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714"/>
        <w:gridCol w:w="492"/>
        <w:gridCol w:w="3086"/>
        <w:gridCol w:w="297"/>
      </w:tblGrid>
      <w:tr w:rsidR="000432F2" w:rsidRPr="00B139C4" w14:paraId="2AFE8FB8" w14:textId="77777777" w:rsidTr="00B139C4">
        <w:trPr>
          <w:gridAfter w:val="1"/>
          <w:wAfter w:w="297" w:type="dxa"/>
          <w:trHeight w:hRule="exact" w:val="418"/>
          <w:jc w:val="center"/>
        </w:trPr>
        <w:tc>
          <w:tcPr>
            <w:tcW w:w="8523" w:type="dxa"/>
            <w:gridSpan w:val="4"/>
          </w:tcPr>
          <w:p w14:paraId="0D590417" w14:textId="77777777" w:rsidR="000432F2" w:rsidRPr="00B139C4" w:rsidRDefault="000432F2" w:rsidP="00E7376D">
            <w:pPr>
              <w:pStyle w:val="a3"/>
              <w:jc w:val="center"/>
              <w:rPr>
                <w:rFonts w:ascii="Tahoma" w:hAnsi="Tahoma"/>
                <w:color w:val="000080"/>
                <w:sz w:val="32"/>
                <w:szCs w:val="32"/>
                <w:rtl/>
              </w:rPr>
            </w:pPr>
            <w:bookmarkStart w:id="0" w:name="LastJudge"/>
            <w:r w:rsidRPr="00B139C4">
              <w:rPr>
                <w:rFonts w:ascii="Tahoma" w:hAnsi="Tahoma"/>
                <w:b/>
                <w:bCs/>
                <w:color w:val="000080"/>
                <w:sz w:val="32"/>
                <w:szCs w:val="32"/>
                <w:rtl/>
              </w:rPr>
              <w:t>בית משפט השלום בתל אביב - יפו</w:t>
            </w:r>
          </w:p>
        </w:tc>
      </w:tr>
      <w:tr w:rsidR="000432F2" w:rsidRPr="00B139C4" w14:paraId="1EA55964" w14:textId="77777777" w:rsidTr="00B139C4">
        <w:trPr>
          <w:gridAfter w:val="1"/>
          <w:wAfter w:w="297" w:type="dxa"/>
          <w:trHeight w:val="337"/>
          <w:jc w:val="center"/>
        </w:trPr>
        <w:tc>
          <w:tcPr>
            <w:tcW w:w="4945" w:type="dxa"/>
            <w:gridSpan w:val="2"/>
          </w:tcPr>
          <w:p w14:paraId="02DC4384" w14:textId="77777777" w:rsidR="000432F2" w:rsidRPr="00B139C4" w:rsidRDefault="000432F2" w:rsidP="00E7376D">
            <w:pPr>
              <w:rPr>
                <w:sz w:val="26"/>
                <w:szCs w:val="26"/>
                <w:rtl/>
              </w:rPr>
            </w:pPr>
            <w:r w:rsidRPr="00B139C4">
              <w:rPr>
                <w:sz w:val="26"/>
                <w:szCs w:val="26"/>
                <w:rtl/>
              </w:rPr>
              <w:t>ת"פ</w:t>
            </w:r>
            <w:r w:rsidRPr="00B139C4">
              <w:rPr>
                <w:rFonts w:hint="cs"/>
                <w:sz w:val="26"/>
                <w:szCs w:val="26"/>
                <w:rtl/>
              </w:rPr>
              <w:t xml:space="preserve"> </w:t>
            </w:r>
            <w:r w:rsidRPr="00B139C4">
              <w:rPr>
                <w:sz w:val="26"/>
                <w:szCs w:val="26"/>
                <w:rtl/>
              </w:rPr>
              <w:t>21056-10-19</w:t>
            </w:r>
            <w:r w:rsidRPr="00B139C4">
              <w:rPr>
                <w:rFonts w:hint="cs"/>
                <w:sz w:val="26"/>
                <w:szCs w:val="26"/>
                <w:rtl/>
              </w:rPr>
              <w:t xml:space="preserve"> </w:t>
            </w:r>
            <w:r w:rsidRPr="00B139C4">
              <w:rPr>
                <w:sz w:val="26"/>
                <w:szCs w:val="26"/>
                <w:rtl/>
              </w:rPr>
              <w:t>מדינת ישראל נ' יעקב</w:t>
            </w:r>
          </w:p>
        </w:tc>
        <w:tc>
          <w:tcPr>
            <w:tcW w:w="3578" w:type="dxa"/>
            <w:gridSpan w:val="2"/>
          </w:tcPr>
          <w:p w14:paraId="5716BEDF" w14:textId="77777777" w:rsidR="000432F2" w:rsidRPr="00B139C4" w:rsidRDefault="000432F2" w:rsidP="00E7376D">
            <w:pPr>
              <w:pStyle w:val="a3"/>
              <w:jc w:val="right"/>
              <w:rPr>
                <w:sz w:val="28"/>
                <w:szCs w:val="28"/>
                <w:rtl/>
              </w:rPr>
            </w:pPr>
          </w:p>
        </w:tc>
      </w:tr>
      <w:tr w:rsidR="000432F2" w:rsidRPr="00B139C4" w14:paraId="39D5C5A1" w14:textId="77777777" w:rsidTr="00B13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48631CC8" w14:textId="77777777" w:rsidR="000432F2" w:rsidRPr="00B139C4" w:rsidRDefault="000432F2" w:rsidP="000432F2">
            <w:pPr>
              <w:jc w:val="both"/>
              <w:rPr>
                <w:sz w:val="26"/>
                <w:szCs w:val="26"/>
                <w:rtl/>
              </w:rPr>
            </w:pPr>
            <w:r w:rsidRPr="00B139C4">
              <w:rPr>
                <w:rFonts w:hint="cs"/>
                <w:rtl/>
              </w:rPr>
              <w:t xml:space="preserve"> </w:t>
            </w:r>
            <w:r w:rsidRPr="00B139C4">
              <w:rPr>
                <w:rFonts w:ascii="Arial" w:hAnsi="Arial" w:hint="cs"/>
                <w:b/>
                <w:bCs/>
                <w:sz w:val="26"/>
                <w:szCs w:val="26"/>
                <w:rtl/>
              </w:rPr>
              <w:t>ל</w:t>
            </w:r>
            <w:r w:rsidRPr="00B139C4">
              <w:rPr>
                <w:rFonts w:ascii="Arial" w:hAnsi="Arial"/>
                <w:b/>
                <w:bCs/>
                <w:sz w:val="26"/>
                <w:szCs w:val="26"/>
                <w:rtl/>
              </w:rPr>
              <w:t xml:space="preserve">פני </w:t>
            </w:r>
            <w:r w:rsidRPr="00B139C4">
              <w:rPr>
                <w:rFonts w:ascii="Arial" w:hAnsi="Arial" w:hint="cs"/>
                <w:b/>
                <w:bCs/>
                <w:sz w:val="26"/>
                <w:szCs w:val="26"/>
                <w:rtl/>
              </w:rPr>
              <w:t>כבוד ה</w:t>
            </w:r>
            <w:r w:rsidRPr="00B139C4">
              <w:rPr>
                <w:rFonts w:ascii="Arial" w:hAnsi="Arial"/>
                <w:b/>
                <w:bCs/>
                <w:sz w:val="26"/>
                <w:szCs w:val="26"/>
                <w:rtl/>
              </w:rPr>
              <w:t>שופט</w:t>
            </w:r>
            <w:r w:rsidRPr="00B139C4">
              <w:rPr>
                <w:rFonts w:ascii="Arial" w:hAnsi="Arial" w:hint="cs"/>
                <w:b/>
                <w:bCs/>
                <w:sz w:val="26"/>
                <w:szCs w:val="26"/>
                <w:rtl/>
              </w:rPr>
              <w:t xml:space="preserve">  </w:t>
            </w:r>
            <w:r w:rsidRPr="00B139C4">
              <w:rPr>
                <w:rFonts w:ascii="Arial" w:hAnsi="Arial"/>
                <w:b/>
                <w:bCs/>
                <w:sz w:val="26"/>
                <w:szCs w:val="26"/>
                <w:rtl/>
              </w:rPr>
              <w:t>איתי הרמלין</w:t>
            </w:r>
          </w:p>
          <w:p w14:paraId="1D53FB20" w14:textId="77777777" w:rsidR="000432F2" w:rsidRPr="00B139C4" w:rsidRDefault="000432F2" w:rsidP="000432F2">
            <w:pPr>
              <w:jc w:val="both"/>
              <w:rPr>
                <w:rFonts w:ascii="Arial" w:hAnsi="Arial"/>
                <w:b/>
                <w:bCs/>
                <w:sz w:val="26"/>
                <w:szCs w:val="26"/>
              </w:rPr>
            </w:pPr>
          </w:p>
        </w:tc>
      </w:tr>
      <w:tr w:rsidR="000432F2" w:rsidRPr="00B139C4" w14:paraId="11234BB3" w14:textId="77777777" w:rsidTr="00B13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590B8482" w14:textId="77777777" w:rsidR="000432F2" w:rsidRPr="00B139C4" w:rsidRDefault="000432F2" w:rsidP="000432F2">
            <w:pPr>
              <w:jc w:val="both"/>
              <w:rPr>
                <w:rFonts w:ascii="Arial" w:hAnsi="Arial"/>
                <w:b/>
                <w:bCs/>
                <w:sz w:val="26"/>
                <w:szCs w:val="26"/>
              </w:rPr>
            </w:pPr>
            <w:bookmarkStart w:id="1" w:name="FirstAppellant"/>
            <w:bookmarkStart w:id="2" w:name="FirstLawyer"/>
            <w:r w:rsidRPr="00B139C4">
              <w:rPr>
                <w:rFonts w:ascii="Arial" w:hAnsi="Arial" w:hint="cs"/>
                <w:b/>
                <w:bCs/>
                <w:sz w:val="26"/>
                <w:szCs w:val="26"/>
                <w:rtl/>
              </w:rPr>
              <w:t>ה</w:t>
            </w:r>
            <w:r w:rsidRPr="00B139C4">
              <w:rPr>
                <w:rFonts w:ascii="Arial" w:hAnsi="Arial"/>
                <w:b/>
                <w:bCs/>
                <w:sz w:val="26"/>
                <w:szCs w:val="26"/>
                <w:rtl/>
              </w:rPr>
              <w:t>מאשימה</w:t>
            </w:r>
          </w:p>
        </w:tc>
        <w:tc>
          <w:tcPr>
            <w:tcW w:w="4206" w:type="dxa"/>
            <w:gridSpan w:val="2"/>
            <w:tcBorders>
              <w:top w:val="nil"/>
              <w:left w:val="nil"/>
              <w:bottom w:val="nil"/>
              <w:right w:val="nil"/>
            </w:tcBorders>
            <w:shd w:val="clear" w:color="auto" w:fill="auto"/>
          </w:tcPr>
          <w:p w14:paraId="29E752F5" w14:textId="77777777" w:rsidR="000432F2" w:rsidRPr="00B139C4" w:rsidRDefault="000432F2" w:rsidP="00E7376D">
            <w:pPr>
              <w:rPr>
                <w:sz w:val="26"/>
                <w:szCs w:val="26"/>
                <w:rtl/>
              </w:rPr>
            </w:pPr>
            <w:r w:rsidRPr="00B139C4">
              <w:rPr>
                <w:rFonts w:ascii="Arial" w:hAnsi="Arial"/>
                <w:b/>
                <w:bCs/>
                <w:sz w:val="26"/>
                <w:szCs w:val="26"/>
                <w:rtl/>
              </w:rPr>
              <w:t>מדינת ישראל</w:t>
            </w:r>
          </w:p>
          <w:p w14:paraId="2A6651C7" w14:textId="77777777" w:rsidR="000432F2" w:rsidRPr="00B139C4" w:rsidRDefault="000432F2" w:rsidP="00E7376D">
            <w:r w:rsidRPr="00B139C4">
              <w:rPr>
                <w:rFonts w:hint="cs"/>
                <w:rtl/>
              </w:rPr>
              <w:t>ע"י עו"ד אורי סלע ועו"ד מאיה הבר</w:t>
            </w:r>
          </w:p>
        </w:tc>
        <w:tc>
          <w:tcPr>
            <w:tcW w:w="3383" w:type="dxa"/>
            <w:gridSpan w:val="2"/>
            <w:tcBorders>
              <w:top w:val="nil"/>
              <w:left w:val="nil"/>
              <w:bottom w:val="nil"/>
              <w:right w:val="nil"/>
            </w:tcBorders>
            <w:shd w:val="clear" w:color="auto" w:fill="auto"/>
          </w:tcPr>
          <w:p w14:paraId="325C11CA" w14:textId="77777777" w:rsidR="000432F2" w:rsidRPr="00B139C4" w:rsidRDefault="000432F2" w:rsidP="000432F2">
            <w:pPr>
              <w:jc w:val="both"/>
              <w:rPr>
                <w:rFonts w:ascii="Arial" w:hAnsi="Arial"/>
                <w:sz w:val="26"/>
                <w:szCs w:val="26"/>
              </w:rPr>
            </w:pPr>
          </w:p>
        </w:tc>
      </w:tr>
      <w:bookmarkEnd w:id="1"/>
      <w:bookmarkEnd w:id="2"/>
      <w:tr w:rsidR="000432F2" w:rsidRPr="00B139C4" w14:paraId="73F58D6D" w14:textId="77777777" w:rsidTr="00B13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231" w:type="dxa"/>
            <w:tcBorders>
              <w:top w:val="nil"/>
              <w:left w:val="nil"/>
              <w:bottom w:val="nil"/>
              <w:right w:val="nil"/>
            </w:tcBorders>
            <w:shd w:val="clear" w:color="auto" w:fill="auto"/>
          </w:tcPr>
          <w:p w14:paraId="121BD94A" w14:textId="77777777" w:rsidR="000432F2" w:rsidRPr="00B139C4" w:rsidRDefault="000432F2" w:rsidP="000432F2">
            <w:pPr>
              <w:jc w:val="both"/>
              <w:rPr>
                <w:rFonts w:ascii="Arial" w:hAnsi="Arial"/>
                <w:sz w:val="26"/>
                <w:szCs w:val="26"/>
                <w:rtl/>
              </w:rPr>
            </w:pPr>
          </w:p>
        </w:tc>
        <w:tc>
          <w:tcPr>
            <w:tcW w:w="7589" w:type="dxa"/>
            <w:gridSpan w:val="4"/>
            <w:tcBorders>
              <w:top w:val="nil"/>
              <w:left w:val="nil"/>
              <w:bottom w:val="nil"/>
              <w:right w:val="nil"/>
            </w:tcBorders>
            <w:shd w:val="clear" w:color="auto" w:fill="auto"/>
          </w:tcPr>
          <w:p w14:paraId="516B9564" w14:textId="77777777" w:rsidR="000432F2" w:rsidRPr="00B139C4" w:rsidRDefault="000432F2" w:rsidP="000432F2">
            <w:pPr>
              <w:jc w:val="center"/>
              <w:rPr>
                <w:rFonts w:ascii="Arial" w:hAnsi="Arial"/>
                <w:b/>
                <w:bCs/>
                <w:sz w:val="26"/>
                <w:szCs w:val="26"/>
                <w:rtl/>
              </w:rPr>
            </w:pPr>
          </w:p>
          <w:p w14:paraId="274F0F4C" w14:textId="77777777" w:rsidR="000432F2" w:rsidRPr="00B139C4" w:rsidRDefault="000432F2" w:rsidP="000432F2">
            <w:pPr>
              <w:jc w:val="center"/>
              <w:rPr>
                <w:rFonts w:ascii="Arial" w:hAnsi="Arial"/>
                <w:b/>
                <w:bCs/>
                <w:sz w:val="26"/>
                <w:szCs w:val="26"/>
                <w:rtl/>
              </w:rPr>
            </w:pPr>
            <w:r w:rsidRPr="00B139C4">
              <w:rPr>
                <w:rFonts w:ascii="Arial" w:hAnsi="Arial"/>
                <w:b/>
                <w:bCs/>
                <w:sz w:val="26"/>
                <w:szCs w:val="26"/>
                <w:rtl/>
              </w:rPr>
              <w:t>נגד</w:t>
            </w:r>
          </w:p>
          <w:p w14:paraId="1F0A94A7" w14:textId="77777777" w:rsidR="000432F2" w:rsidRPr="00B139C4" w:rsidRDefault="000432F2" w:rsidP="000432F2">
            <w:pPr>
              <w:jc w:val="both"/>
              <w:rPr>
                <w:rFonts w:ascii="Arial" w:hAnsi="Arial"/>
                <w:sz w:val="26"/>
                <w:szCs w:val="26"/>
              </w:rPr>
            </w:pPr>
          </w:p>
        </w:tc>
      </w:tr>
      <w:tr w:rsidR="000432F2" w:rsidRPr="00B139C4" w14:paraId="5A80DA94" w14:textId="77777777" w:rsidTr="00B13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2E3F88BB" w14:textId="77777777" w:rsidR="000432F2" w:rsidRPr="00B139C4" w:rsidRDefault="000432F2" w:rsidP="00E7376D">
            <w:pPr>
              <w:rPr>
                <w:rFonts w:ascii="Arial" w:hAnsi="Arial"/>
                <w:b/>
                <w:bCs/>
                <w:sz w:val="26"/>
                <w:szCs w:val="26"/>
                <w:rtl/>
              </w:rPr>
            </w:pPr>
            <w:r w:rsidRPr="00B139C4">
              <w:rPr>
                <w:rFonts w:ascii="Arial" w:hAnsi="Arial" w:hint="cs"/>
                <w:b/>
                <w:bCs/>
                <w:sz w:val="26"/>
                <w:szCs w:val="26"/>
                <w:rtl/>
              </w:rPr>
              <w:t>ה</w:t>
            </w:r>
            <w:r w:rsidRPr="00B139C4">
              <w:rPr>
                <w:rFonts w:ascii="Arial" w:hAnsi="Arial"/>
                <w:b/>
                <w:bCs/>
                <w:sz w:val="26"/>
                <w:szCs w:val="26"/>
                <w:rtl/>
              </w:rPr>
              <w:t>נאשם</w:t>
            </w:r>
          </w:p>
        </w:tc>
        <w:tc>
          <w:tcPr>
            <w:tcW w:w="4206" w:type="dxa"/>
            <w:gridSpan w:val="2"/>
            <w:tcBorders>
              <w:top w:val="nil"/>
              <w:left w:val="nil"/>
              <w:bottom w:val="nil"/>
              <w:right w:val="nil"/>
            </w:tcBorders>
            <w:shd w:val="clear" w:color="auto" w:fill="auto"/>
          </w:tcPr>
          <w:p w14:paraId="566D4AC5" w14:textId="77777777" w:rsidR="000432F2" w:rsidRPr="00B139C4" w:rsidRDefault="000432F2" w:rsidP="00E7376D">
            <w:pPr>
              <w:rPr>
                <w:sz w:val="26"/>
                <w:szCs w:val="26"/>
                <w:rtl/>
              </w:rPr>
            </w:pPr>
            <w:r w:rsidRPr="00B139C4">
              <w:rPr>
                <w:rFonts w:ascii="Arial" w:hAnsi="Arial"/>
                <w:b/>
                <w:bCs/>
                <w:sz w:val="26"/>
                <w:szCs w:val="26"/>
                <w:rtl/>
              </w:rPr>
              <w:t>גיא יעקב</w:t>
            </w:r>
          </w:p>
          <w:p w14:paraId="39DA436E" w14:textId="77777777" w:rsidR="000432F2" w:rsidRPr="00B139C4" w:rsidRDefault="000432F2" w:rsidP="00E7376D">
            <w:pPr>
              <w:rPr>
                <w:rtl/>
              </w:rPr>
            </w:pPr>
            <w:r w:rsidRPr="00B139C4">
              <w:rPr>
                <w:rFonts w:hint="cs"/>
                <w:rtl/>
              </w:rPr>
              <w:t>ע"י עו"ד ירון פורר</w:t>
            </w:r>
          </w:p>
        </w:tc>
        <w:tc>
          <w:tcPr>
            <w:tcW w:w="3383" w:type="dxa"/>
            <w:gridSpan w:val="2"/>
            <w:tcBorders>
              <w:top w:val="nil"/>
              <w:left w:val="nil"/>
              <w:bottom w:val="nil"/>
              <w:right w:val="nil"/>
            </w:tcBorders>
            <w:shd w:val="clear" w:color="auto" w:fill="auto"/>
          </w:tcPr>
          <w:p w14:paraId="0559A0F7" w14:textId="77777777" w:rsidR="000432F2" w:rsidRPr="00B139C4" w:rsidRDefault="000432F2" w:rsidP="000432F2">
            <w:pPr>
              <w:jc w:val="right"/>
              <w:rPr>
                <w:rFonts w:ascii="Arial" w:hAnsi="Arial"/>
                <w:sz w:val="26"/>
                <w:szCs w:val="26"/>
              </w:rPr>
            </w:pPr>
          </w:p>
        </w:tc>
      </w:tr>
    </w:tbl>
    <w:p w14:paraId="1C4E381C" w14:textId="77777777" w:rsidR="00B139C4" w:rsidRDefault="00B139C4" w:rsidP="00992052">
      <w:pPr>
        <w:rPr>
          <w:rtl/>
        </w:rPr>
      </w:pPr>
    </w:p>
    <w:p w14:paraId="7FCB4390" w14:textId="77777777" w:rsidR="00B139C4" w:rsidRPr="00B139C4" w:rsidRDefault="00B139C4" w:rsidP="00B139C4">
      <w:pPr>
        <w:spacing w:after="120" w:line="240" w:lineRule="exact"/>
        <w:ind w:left="283" w:hanging="283"/>
        <w:jc w:val="both"/>
        <w:rPr>
          <w:rFonts w:ascii="FrankRuehl" w:hAnsi="FrankRuehl" w:cs="FrankRuehl"/>
          <w:rtl/>
        </w:rPr>
      </w:pPr>
    </w:p>
    <w:p w14:paraId="33EBF0C3" w14:textId="77777777" w:rsidR="000C1F48" w:rsidRPr="000C1F48" w:rsidRDefault="000C1F48" w:rsidP="000C1F48">
      <w:pPr>
        <w:spacing w:before="120" w:after="120" w:line="240" w:lineRule="exact"/>
        <w:ind w:left="283" w:hanging="283"/>
        <w:jc w:val="both"/>
        <w:rPr>
          <w:rFonts w:ascii="FrankRuehl" w:hAnsi="FrankRuehl" w:cs="FrankRuehl"/>
          <w:rtl/>
        </w:rPr>
      </w:pPr>
    </w:p>
    <w:p w14:paraId="7D802FA5" w14:textId="77777777" w:rsidR="00621647" w:rsidRDefault="00621647" w:rsidP="00621647">
      <w:pPr>
        <w:rPr>
          <w:rtl/>
        </w:rPr>
      </w:pPr>
      <w:bookmarkStart w:id="3" w:name="LawTable"/>
      <w:bookmarkEnd w:id="3"/>
    </w:p>
    <w:p w14:paraId="39B0BFBB" w14:textId="77777777" w:rsidR="00621647" w:rsidRPr="00621647" w:rsidRDefault="00621647" w:rsidP="00621647">
      <w:pPr>
        <w:spacing w:before="120" w:after="120" w:line="240" w:lineRule="exact"/>
        <w:ind w:left="283" w:hanging="283"/>
        <w:jc w:val="both"/>
        <w:rPr>
          <w:rFonts w:ascii="FrankRuehl" w:hAnsi="FrankRuehl" w:cs="FrankRuehl"/>
          <w:rtl/>
        </w:rPr>
      </w:pPr>
    </w:p>
    <w:p w14:paraId="4CB84D43" w14:textId="77777777" w:rsidR="00621647" w:rsidRPr="00621647" w:rsidRDefault="00621647" w:rsidP="00621647">
      <w:pPr>
        <w:spacing w:before="120" w:after="120" w:line="240" w:lineRule="exact"/>
        <w:ind w:left="283" w:hanging="283"/>
        <w:jc w:val="both"/>
        <w:rPr>
          <w:rFonts w:ascii="FrankRuehl" w:hAnsi="FrankRuehl" w:cs="FrankRuehl"/>
          <w:rtl/>
        </w:rPr>
      </w:pPr>
    </w:p>
    <w:p w14:paraId="5578E57F" w14:textId="77777777" w:rsidR="00621647" w:rsidRPr="00621647" w:rsidRDefault="00621647" w:rsidP="00621647">
      <w:pPr>
        <w:spacing w:before="120" w:after="120" w:line="240" w:lineRule="exact"/>
        <w:ind w:left="283" w:hanging="283"/>
        <w:jc w:val="both"/>
        <w:rPr>
          <w:rFonts w:ascii="FrankRuehl" w:hAnsi="FrankRuehl" w:cs="FrankRuehl"/>
          <w:rtl/>
        </w:rPr>
      </w:pPr>
      <w:r w:rsidRPr="00621647">
        <w:rPr>
          <w:rFonts w:ascii="FrankRuehl" w:hAnsi="FrankRuehl" w:cs="FrankRuehl"/>
          <w:rtl/>
        </w:rPr>
        <w:t xml:space="preserve">חקיקה שאוזכרה: </w:t>
      </w:r>
    </w:p>
    <w:p w14:paraId="1A091108" w14:textId="77777777" w:rsidR="00621647" w:rsidRPr="00621647" w:rsidRDefault="00621647" w:rsidP="00621647">
      <w:pPr>
        <w:spacing w:before="120" w:after="120" w:line="240" w:lineRule="exact"/>
        <w:ind w:left="283" w:hanging="283"/>
        <w:jc w:val="both"/>
        <w:rPr>
          <w:rFonts w:ascii="FrankRuehl" w:hAnsi="FrankRuehl" w:cs="FrankRuehl"/>
          <w:rtl/>
        </w:rPr>
      </w:pPr>
      <w:hyperlink r:id="rId7" w:history="1">
        <w:r w:rsidRPr="00621647">
          <w:rPr>
            <w:rFonts w:ascii="FrankRuehl" w:hAnsi="FrankRuehl" w:cs="FrankRuehl"/>
            <w:color w:val="0000FF"/>
            <w:rtl/>
          </w:rPr>
          <w:t>חוק העונשין, תשל"ז-1977</w:t>
        </w:r>
      </w:hyperlink>
      <w:r w:rsidRPr="00621647">
        <w:rPr>
          <w:rFonts w:ascii="FrankRuehl" w:hAnsi="FrankRuehl" w:cs="FrankRuehl"/>
          <w:rtl/>
        </w:rPr>
        <w:t xml:space="preserve">: סע'  </w:t>
      </w:r>
      <w:hyperlink r:id="rId8" w:history="1">
        <w:r w:rsidRPr="00621647">
          <w:rPr>
            <w:rFonts w:ascii="FrankRuehl" w:hAnsi="FrankRuehl" w:cs="FrankRuehl"/>
            <w:color w:val="0000FF"/>
            <w:rtl/>
          </w:rPr>
          <w:t>40ד</w:t>
        </w:r>
      </w:hyperlink>
    </w:p>
    <w:p w14:paraId="68DF15DA" w14:textId="77777777" w:rsidR="00621647" w:rsidRPr="00621647" w:rsidRDefault="00621647" w:rsidP="00621647">
      <w:pPr>
        <w:spacing w:before="120" w:after="120" w:line="240" w:lineRule="exact"/>
        <w:ind w:left="283" w:hanging="283"/>
        <w:jc w:val="both"/>
        <w:rPr>
          <w:rFonts w:ascii="FrankRuehl" w:hAnsi="FrankRuehl" w:cs="FrankRuehl"/>
          <w:rtl/>
        </w:rPr>
      </w:pPr>
      <w:hyperlink r:id="rId9" w:history="1">
        <w:r w:rsidRPr="00621647">
          <w:rPr>
            <w:rFonts w:ascii="FrankRuehl" w:hAnsi="FrankRuehl" w:cs="FrankRuehl"/>
            <w:color w:val="0000FF"/>
            <w:rtl/>
          </w:rPr>
          <w:t>פקודת הסמים המסוכנים [נוסח חדש], תשל"ג-1973</w:t>
        </w:r>
      </w:hyperlink>
    </w:p>
    <w:p w14:paraId="51564401" w14:textId="77777777" w:rsidR="00621647" w:rsidRPr="00621647" w:rsidRDefault="00621647" w:rsidP="00621647">
      <w:pPr>
        <w:rPr>
          <w:rtl/>
        </w:rPr>
      </w:pPr>
      <w:bookmarkStart w:id="4" w:name="LawTable_End"/>
      <w:bookmarkEnd w:id="4"/>
    </w:p>
    <w:p w14:paraId="757BC535" w14:textId="77777777" w:rsidR="000432F2" w:rsidRPr="000C1F48" w:rsidRDefault="000432F2" w:rsidP="000C1F4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32F2" w:rsidRPr="00B139C4" w14:paraId="29EA5E84" w14:textId="77777777" w:rsidTr="000432F2">
        <w:trPr>
          <w:trHeight w:val="355"/>
          <w:jc w:val="center"/>
        </w:trPr>
        <w:tc>
          <w:tcPr>
            <w:tcW w:w="8820" w:type="dxa"/>
            <w:tcBorders>
              <w:top w:val="nil"/>
              <w:left w:val="nil"/>
              <w:bottom w:val="nil"/>
              <w:right w:val="nil"/>
            </w:tcBorders>
            <w:shd w:val="clear" w:color="auto" w:fill="auto"/>
          </w:tcPr>
          <w:p w14:paraId="28498335" w14:textId="77777777" w:rsidR="00992052" w:rsidRPr="00B139C4" w:rsidRDefault="00992052" w:rsidP="00992052">
            <w:pPr>
              <w:jc w:val="center"/>
              <w:rPr>
                <w:rFonts w:ascii="Arial" w:hAnsi="Arial"/>
                <w:b/>
                <w:bCs/>
                <w:sz w:val="28"/>
                <w:szCs w:val="28"/>
                <w:u w:val="single"/>
                <w:rtl/>
              </w:rPr>
            </w:pPr>
            <w:bookmarkStart w:id="5" w:name="PsakDin" w:colFirst="0" w:colLast="0"/>
            <w:bookmarkEnd w:id="0"/>
            <w:r w:rsidRPr="00B139C4">
              <w:rPr>
                <w:rFonts w:ascii="Arial" w:hAnsi="Arial"/>
                <w:b/>
                <w:bCs/>
                <w:sz w:val="28"/>
                <w:szCs w:val="28"/>
                <w:u w:val="single"/>
                <w:rtl/>
              </w:rPr>
              <w:t>גזר דין</w:t>
            </w:r>
          </w:p>
          <w:p w14:paraId="273B52F6" w14:textId="77777777" w:rsidR="000432F2" w:rsidRPr="00B139C4" w:rsidRDefault="000432F2" w:rsidP="00992052">
            <w:pPr>
              <w:jc w:val="center"/>
              <w:rPr>
                <w:rFonts w:ascii="Arial" w:hAnsi="Arial"/>
                <w:bCs/>
                <w:sz w:val="28"/>
                <w:szCs w:val="28"/>
                <w:u w:val="single"/>
                <w:rtl/>
              </w:rPr>
            </w:pPr>
          </w:p>
        </w:tc>
      </w:tr>
      <w:bookmarkEnd w:id="5"/>
    </w:tbl>
    <w:p w14:paraId="1F38BBCE" w14:textId="77777777" w:rsidR="000432F2" w:rsidRPr="00B139C4" w:rsidRDefault="000432F2" w:rsidP="000432F2">
      <w:pPr>
        <w:rPr>
          <w:rFonts w:ascii="Arial" w:hAnsi="Arial"/>
          <w:rtl/>
        </w:rPr>
      </w:pPr>
    </w:p>
    <w:p w14:paraId="5E899D1C"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bookmarkStart w:id="6" w:name="ABSTRACT_START"/>
      <w:bookmarkEnd w:id="6"/>
      <w:r w:rsidRPr="00B139C4">
        <w:rPr>
          <w:rFonts w:ascii="David" w:hAnsi="David" w:cs="David"/>
          <w:sz w:val="24"/>
          <w:szCs w:val="24"/>
          <w:rtl/>
        </w:rPr>
        <w:t xml:space="preserve">הנאשם </w:t>
      </w:r>
      <w:r w:rsidRPr="00B139C4">
        <w:rPr>
          <w:rFonts w:ascii="David" w:hAnsi="David" w:cs="David" w:hint="cs"/>
          <w:sz w:val="24"/>
          <w:szCs w:val="24"/>
          <w:rtl/>
        </w:rPr>
        <w:t>הורשע על סמך הודאתו</w:t>
      </w:r>
      <w:r w:rsidRPr="00B139C4">
        <w:rPr>
          <w:rFonts w:ascii="David" w:hAnsi="David" w:cs="David"/>
          <w:sz w:val="24"/>
          <w:szCs w:val="24"/>
          <w:rtl/>
        </w:rPr>
        <w:t xml:space="preserve"> </w:t>
      </w:r>
      <w:r w:rsidRPr="00B139C4">
        <w:rPr>
          <w:rFonts w:ascii="David" w:hAnsi="David" w:cs="David" w:hint="cs"/>
          <w:sz w:val="24"/>
          <w:szCs w:val="24"/>
          <w:rtl/>
        </w:rPr>
        <w:t xml:space="preserve">במכירה של כגרם קוקאין תמורת 700 ש"ח, שאותה ביצע כשליח של אדם אחר. </w:t>
      </w:r>
    </w:p>
    <w:p w14:paraId="605D1BC1" w14:textId="77777777" w:rsidR="000432F2" w:rsidRPr="00B139C4" w:rsidRDefault="000432F2" w:rsidP="000432F2">
      <w:pPr>
        <w:pStyle w:val="a9"/>
        <w:spacing w:after="0" w:line="360" w:lineRule="auto"/>
        <w:jc w:val="both"/>
        <w:rPr>
          <w:rFonts w:ascii="David" w:hAnsi="David" w:cs="David"/>
          <w:sz w:val="24"/>
          <w:szCs w:val="24"/>
        </w:rPr>
      </w:pPr>
    </w:p>
    <w:p w14:paraId="6EFE9A1F"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במעשהו פגע הנאשם במאבקה של המדינה בהפצתם של חומרים משני תודעה וממכרים. סוג הסם שאותו מכר הנאשם נחשב ל"קשה", אך מדובר היה במקרה יחיד, בכמות קטנה יחסית וכאשר הנאשם משמש אחרון בשרשרת המוכרים (שליח). הפגיעה בכללותה הייתה קטנה.</w:t>
      </w:r>
    </w:p>
    <w:p w14:paraId="386B7D64" w14:textId="77777777" w:rsidR="000432F2" w:rsidRPr="00B139C4" w:rsidRDefault="000432F2" w:rsidP="000432F2">
      <w:pPr>
        <w:pStyle w:val="a9"/>
        <w:rPr>
          <w:rFonts w:ascii="David" w:hAnsi="David" w:cs="David"/>
          <w:sz w:val="24"/>
          <w:szCs w:val="24"/>
          <w:rtl/>
        </w:rPr>
      </w:pPr>
      <w:bookmarkStart w:id="7" w:name="ABSTRACT_END"/>
      <w:bookmarkEnd w:id="7"/>
    </w:p>
    <w:p w14:paraId="0EB62EFC"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הסניגור עתר לביטול הרשעתו של הנאשם, ולכן לא הגיש פסקי דין המשקפים את מדיניות הענישה הנוהגת. התובע טען למתחם עונש הולם שבין 8 ל-18 חודשי מאסר בפועל, והפנה  ל</w:t>
      </w:r>
      <w:hyperlink r:id="rId10" w:history="1">
        <w:r w:rsidR="00992052" w:rsidRPr="00B139C4">
          <w:rPr>
            <w:rFonts w:ascii="David" w:hAnsi="David" w:cs="David"/>
            <w:color w:val="0000FF"/>
            <w:sz w:val="24"/>
            <w:szCs w:val="24"/>
            <w:u w:val="single"/>
            <w:rtl/>
          </w:rPr>
          <w:t>רע"פ 126/15</w:t>
        </w:r>
      </w:hyperlink>
      <w:r w:rsidRPr="00B139C4">
        <w:rPr>
          <w:rFonts w:ascii="David" w:hAnsi="David" w:cs="David" w:hint="cs"/>
          <w:sz w:val="24"/>
          <w:szCs w:val="24"/>
          <w:rtl/>
        </w:rPr>
        <w:t xml:space="preserve"> </w:t>
      </w:r>
      <w:r w:rsidRPr="00B139C4">
        <w:rPr>
          <w:rFonts w:ascii="David" w:hAnsi="David" w:cs="David" w:hint="cs"/>
          <w:b/>
          <w:bCs/>
          <w:sz w:val="24"/>
          <w:szCs w:val="24"/>
          <w:rtl/>
        </w:rPr>
        <w:t>טל חביף נ' מדינת ישראל</w:t>
      </w:r>
      <w:r w:rsidRPr="00B139C4">
        <w:rPr>
          <w:rFonts w:ascii="David" w:hAnsi="David" w:cs="David" w:hint="cs"/>
          <w:sz w:val="24"/>
          <w:szCs w:val="24"/>
          <w:rtl/>
        </w:rPr>
        <w:t xml:space="preserve"> (13.1.2015) שם נקבע מתחם עונש הולם כזה בגין מכירת קוקאין. על כך ניתן להוסיף גם את </w:t>
      </w:r>
      <w:hyperlink r:id="rId11" w:history="1">
        <w:r w:rsidR="00992052" w:rsidRPr="00B139C4">
          <w:rPr>
            <w:rFonts w:ascii="David" w:hAnsi="David" w:cs="David"/>
            <w:color w:val="0000FF"/>
            <w:sz w:val="24"/>
            <w:szCs w:val="24"/>
            <w:u w:val="single"/>
            <w:rtl/>
          </w:rPr>
          <w:t>רע"פ 5353/17</w:t>
        </w:r>
      </w:hyperlink>
      <w:r w:rsidRPr="00B139C4">
        <w:rPr>
          <w:rFonts w:ascii="David" w:hAnsi="David" w:cs="David"/>
          <w:sz w:val="24"/>
          <w:szCs w:val="24"/>
          <w:rtl/>
        </w:rPr>
        <w:t xml:space="preserve"> </w:t>
      </w:r>
      <w:r w:rsidRPr="00B139C4">
        <w:rPr>
          <w:rFonts w:ascii="David" w:hAnsi="David" w:cs="David" w:hint="cs"/>
          <w:b/>
          <w:bCs/>
          <w:sz w:val="24"/>
          <w:szCs w:val="24"/>
          <w:rtl/>
        </w:rPr>
        <w:t xml:space="preserve">דגו </w:t>
      </w:r>
      <w:r w:rsidRPr="00B139C4">
        <w:rPr>
          <w:rFonts w:ascii="David" w:hAnsi="David" w:cs="David"/>
          <w:b/>
          <w:bCs/>
          <w:sz w:val="24"/>
          <w:szCs w:val="24"/>
          <w:rtl/>
        </w:rPr>
        <w:t xml:space="preserve">טפרה נ' מדינת ישראל </w:t>
      </w:r>
      <w:r w:rsidRPr="00B139C4">
        <w:rPr>
          <w:rFonts w:ascii="David" w:hAnsi="David" w:cs="David"/>
          <w:sz w:val="24"/>
          <w:szCs w:val="24"/>
          <w:rtl/>
        </w:rPr>
        <w:t>(18.9.17)</w:t>
      </w:r>
      <w:r w:rsidRPr="00B139C4">
        <w:rPr>
          <w:rFonts w:ascii="David" w:hAnsi="David" w:cs="David" w:hint="cs"/>
          <w:sz w:val="24"/>
          <w:szCs w:val="24"/>
          <w:rtl/>
        </w:rPr>
        <w:t xml:space="preserve"> שם הוזכר מתחם עונש הולם בגין עבירה דומה שנקבע בבית משפט השלום ומתחיל ב-6 חודשי מאסר בפועל בגין עבירה דומה. מתחם שבין 6 ל-18 חודשי מאסר בפועל בגין מכירת קוקאין הוזכר גם ב</w:t>
      </w:r>
      <w:hyperlink r:id="rId12" w:history="1">
        <w:r w:rsidR="00992052" w:rsidRPr="00B139C4">
          <w:rPr>
            <w:rFonts w:ascii="David" w:hAnsi="David" w:cs="David"/>
            <w:color w:val="0000FF"/>
            <w:sz w:val="24"/>
            <w:szCs w:val="24"/>
            <w:u w:val="single"/>
            <w:rtl/>
          </w:rPr>
          <w:t>רע"פ 65/15</w:t>
        </w:r>
      </w:hyperlink>
      <w:r w:rsidRPr="00B139C4">
        <w:rPr>
          <w:rFonts w:ascii="David" w:hAnsi="David" w:cs="David"/>
          <w:sz w:val="24"/>
          <w:szCs w:val="24"/>
          <w:rtl/>
        </w:rPr>
        <w:t xml:space="preserve"> </w:t>
      </w:r>
      <w:r w:rsidRPr="00B139C4">
        <w:rPr>
          <w:rFonts w:ascii="David" w:hAnsi="David" w:cs="David" w:hint="cs"/>
          <w:b/>
          <w:bCs/>
          <w:sz w:val="24"/>
          <w:szCs w:val="24"/>
          <w:rtl/>
        </w:rPr>
        <w:t xml:space="preserve">ג'מאל </w:t>
      </w:r>
      <w:r w:rsidRPr="00B139C4">
        <w:rPr>
          <w:rFonts w:ascii="David" w:hAnsi="David" w:cs="David"/>
          <w:b/>
          <w:bCs/>
          <w:sz w:val="24"/>
          <w:szCs w:val="24"/>
          <w:rtl/>
        </w:rPr>
        <w:t xml:space="preserve">מסארווה נ' מדינת ישראל </w:t>
      </w:r>
      <w:r w:rsidRPr="00B139C4">
        <w:rPr>
          <w:rFonts w:ascii="David" w:hAnsi="David" w:cs="David"/>
          <w:sz w:val="24"/>
          <w:szCs w:val="24"/>
          <w:rtl/>
        </w:rPr>
        <w:t>(13.1.15)</w:t>
      </w:r>
      <w:r w:rsidRPr="00B139C4">
        <w:rPr>
          <w:rFonts w:ascii="David" w:hAnsi="David" w:cs="David" w:hint="cs"/>
          <w:sz w:val="24"/>
          <w:szCs w:val="24"/>
          <w:rtl/>
        </w:rPr>
        <w:t xml:space="preserve">. </w:t>
      </w:r>
    </w:p>
    <w:p w14:paraId="7E354239" w14:textId="77777777" w:rsidR="000432F2" w:rsidRPr="00B139C4" w:rsidRDefault="000432F2" w:rsidP="000432F2">
      <w:pPr>
        <w:pStyle w:val="a9"/>
        <w:rPr>
          <w:rFonts w:ascii="David" w:hAnsi="David" w:cs="David"/>
          <w:sz w:val="24"/>
          <w:szCs w:val="24"/>
          <w:rtl/>
        </w:rPr>
      </w:pPr>
    </w:p>
    <w:p w14:paraId="5C3A8C40"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lastRenderedPageBreak/>
        <w:t xml:space="preserve">לנוכח מידת הפגיעה בערך המוגן, נסיבות ביצוע העבירה ומדיניות הענישה הנוהגת, אני קובע שמתחם העונש ההולם נע בין 6 ל-12 חודשי מאסר בפועל. </w:t>
      </w:r>
    </w:p>
    <w:p w14:paraId="4D2363B8" w14:textId="77777777" w:rsidR="000432F2" w:rsidRPr="00B139C4" w:rsidRDefault="000432F2" w:rsidP="000432F2">
      <w:pPr>
        <w:spacing w:line="360" w:lineRule="auto"/>
        <w:ind w:left="360"/>
        <w:jc w:val="both"/>
        <w:rPr>
          <w:rFonts w:ascii="David" w:hAnsi="David"/>
          <w:u w:val="single"/>
          <w:rtl/>
        </w:rPr>
      </w:pPr>
    </w:p>
    <w:p w14:paraId="61B555F8" w14:textId="77777777" w:rsidR="000432F2" w:rsidRPr="00B139C4" w:rsidRDefault="000432F2" w:rsidP="000432F2">
      <w:pPr>
        <w:spacing w:line="360" w:lineRule="auto"/>
        <w:ind w:left="360"/>
        <w:jc w:val="both"/>
        <w:rPr>
          <w:rFonts w:ascii="David" w:hAnsi="David"/>
          <w:rtl/>
        </w:rPr>
      </w:pPr>
      <w:r w:rsidRPr="00B139C4">
        <w:rPr>
          <w:rFonts w:ascii="David" w:hAnsi="David" w:hint="cs"/>
          <w:u w:val="single"/>
          <w:rtl/>
        </w:rPr>
        <w:t>ראיות ההגנה ותסקיר שירות המבחן</w:t>
      </w:r>
      <w:r w:rsidRPr="00B139C4">
        <w:rPr>
          <w:rFonts w:ascii="David" w:hAnsi="David" w:hint="cs"/>
          <w:rtl/>
        </w:rPr>
        <w:t>:</w:t>
      </w:r>
    </w:p>
    <w:p w14:paraId="04AFF9EB" w14:textId="77777777" w:rsidR="000432F2" w:rsidRPr="00B139C4" w:rsidRDefault="000432F2" w:rsidP="000432F2">
      <w:pPr>
        <w:spacing w:line="360" w:lineRule="auto"/>
        <w:ind w:left="360"/>
        <w:jc w:val="both"/>
        <w:rPr>
          <w:rFonts w:ascii="David" w:hAnsi="David"/>
        </w:rPr>
      </w:pPr>
    </w:p>
    <w:p w14:paraId="6E135248"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הסניגור הגיש לעיוני מספר מסמכים המתארים את אופיו הטוב של הנאשם: תעודת הצטיינות ומכתב של התיכון והמכללה שבו למד הנאשם, שמהם עולה שסיים את לימודי ההנדסאות בהצטיינות יתרה, וכן מכתב ממנחהו של הנאשם בפרויקט מחויבות אישית, שהנאשם סייע לו גם באופן פרטי בגינון כיוון שהמנחה עצמו הוא בעל מוגבלות. למסמכים אלה צירף הסניגור צו גיוס שנשלח לנאשם, אך לא מומש בשל תיק זה.</w:t>
      </w:r>
    </w:p>
    <w:p w14:paraId="764890E9" w14:textId="77777777" w:rsidR="000432F2" w:rsidRPr="00B139C4" w:rsidRDefault="000432F2" w:rsidP="000432F2">
      <w:pPr>
        <w:pStyle w:val="a9"/>
        <w:spacing w:after="0" w:line="360" w:lineRule="auto"/>
        <w:jc w:val="both"/>
        <w:rPr>
          <w:rFonts w:ascii="David" w:hAnsi="David" w:cs="David"/>
          <w:sz w:val="24"/>
          <w:szCs w:val="24"/>
        </w:rPr>
      </w:pPr>
      <w:r w:rsidRPr="00B139C4">
        <w:rPr>
          <w:rFonts w:ascii="David" w:hAnsi="David" w:cs="David" w:hint="cs"/>
          <w:sz w:val="24"/>
          <w:szCs w:val="24"/>
          <w:rtl/>
        </w:rPr>
        <w:t xml:space="preserve">  </w:t>
      </w:r>
    </w:p>
    <w:p w14:paraId="58EC251E" w14:textId="77777777" w:rsidR="000432F2" w:rsidRPr="00B139C4" w:rsidRDefault="000432F2" w:rsidP="000432F2">
      <w:pPr>
        <w:pStyle w:val="a9"/>
        <w:spacing w:after="0" w:line="360" w:lineRule="auto"/>
        <w:jc w:val="both"/>
        <w:rPr>
          <w:rFonts w:ascii="David" w:hAnsi="David" w:cs="David"/>
          <w:sz w:val="24"/>
          <w:szCs w:val="24"/>
        </w:rPr>
      </w:pPr>
    </w:p>
    <w:p w14:paraId="7658CE15"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 xml:space="preserve">מתסקיר שירות המבחן </w:t>
      </w:r>
      <w:r w:rsidRPr="00B139C4">
        <w:rPr>
          <w:rFonts w:ascii="David" w:hAnsi="David" w:cs="David"/>
          <w:sz w:val="24"/>
          <w:szCs w:val="24"/>
          <w:rtl/>
        </w:rPr>
        <w:t xml:space="preserve">עולה שהנאשם, בן 21, עובד כשליח בתחום המזון ובאופן מזדמן בגינון. הנאשם </w:t>
      </w:r>
      <w:r w:rsidRPr="00B139C4">
        <w:rPr>
          <w:rFonts w:ascii="David" w:hAnsi="David" w:cs="David" w:hint="cs"/>
          <w:sz w:val="24"/>
          <w:szCs w:val="24"/>
          <w:rtl/>
        </w:rPr>
        <w:t>הוא בעל</w:t>
      </w:r>
      <w:r w:rsidRPr="00B139C4">
        <w:rPr>
          <w:rFonts w:ascii="David" w:hAnsi="David" w:cs="David"/>
          <w:sz w:val="24"/>
          <w:szCs w:val="24"/>
          <w:rtl/>
        </w:rPr>
        <w:t xml:space="preserve"> השכלה תיכונית ותעודת בגרות מלא</w:t>
      </w:r>
      <w:r w:rsidRPr="00B139C4">
        <w:rPr>
          <w:rFonts w:ascii="David" w:hAnsi="David" w:cs="David" w:hint="cs"/>
          <w:sz w:val="24"/>
          <w:szCs w:val="24"/>
          <w:rtl/>
        </w:rPr>
        <w:t>ות</w:t>
      </w:r>
      <w:r w:rsidRPr="00B139C4">
        <w:rPr>
          <w:rFonts w:ascii="David" w:hAnsi="David" w:cs="David"/>
          <w:sz w:val="24"/>
          <w:szCs w:val="24"/>
          <w:rtl/>
        </w:rPr>
        <w:t xml:space="preserve">, ולאחרונה השלים בהצטיינות לימודי תעודה </w:t>
      </w:r>
      <w:r w:rsidRPr="00B139C4">
        <w:rPr>
          <w:rFonts w:ascii="David" w:hAnsi="David" w:cs="David" w:hint="cs"/>
          <w:sz w:val="24"/>
          <w:szCs w:val="24"/>
          <w:rtl/>
        </w:rPr>
        <w:t>בהנדסאות</w:t>
      </w:r>
      <w:r w:rsidRPr="00B139C4">
        <w:rPr>
          <w:rFonts w:ascii="David" w:hAnsi="David" w:cs="David"/>
          <w:sz w:val="24"/>
          <w:szCs w:val="24"/>
          <w:rtl/>
        </w:rPr>
        <w:t xml:space="preserve"> מכונות. </w:t>
      </w:r>
      <w:r w:rsidRPr="00B139C4">
        <w:rPr>
          <w:rFonts w:ascii="David" w:hAnsi="David" w:cs="David" w:hint="cs"/>
          <w:sz w:val="24"/>
          <w:szCs w:val="24"/>
          <w:rtl/>
        </w:rPr>
        <w:t>הנאשם יועד לשרת בצבא כשרטט אך</w:t>
      </w:r>
      <w:r w:rsidRPr="00B139C4">
        <w:rPr>
          <w:rFonts w:ascii="David" w:hAnsi="David" w:cs="David"/>
          <w:sz w:val="24"/>
          <w:szCs w:val="24"/>
          <w:rtl/>
        </w:rPr>
        <w:t xml:space="preserve"> </w:t>
      </w:r>
      <w:r w:rsidRPr="00B139C4">
        <w:rPr>
          <w:rFonts w:ascii="David" w:hAnsi="David" w:cs="David" w:hint="cs"/>
          <w:sz w:val="24"/>
          <w:szCs w:val="24"/>
          <w:rtl/>
        </w:rPr>
        <w:t>גיוסו</w:t>
      </w:r>
      <w:r w:rsidRPr="00B139C4">
        <w:rPr>
          <w:rFonts w:ascii="David" w:hAnsi="David" w:cs="David"/>
          <w:sz w:val="24"/>
          <w:szCs w:val="24"/>
          <w:rtl/>
        </w:rPr>
        <w:t xml:space="preserve"> הושהה עקב ההליך המשפטי המתנהל נגדו. </w:t>
      </w:r>
      <w:r w:rsidRPr="00B139C4">
        <w:rPr>
          <w:rFonts w:ascii="David" w:hAnsi="David" w:cs="David" w:hint="cs"/>
          <w:sz w:val="24"/>
          <w:szCs w:val="24"/>
          <w:rtl/>
        </w:rPr>
        <w:t>תיק זה הוא התיק הפלילי היחיד שנפתח לו. הנאשם הכיר בחומרת העבירה והביע בפני שירות המבחן חרטה ואכזבה מעצמו ושיתף את השירות בתחושת הבושה שלו בפני משפחתו.</w:t>
      </w:r>
    </w:p>
    <w:p w14:paraId="47E6E1D5" w14:textId="77777777" w:rsidR="000432F2" w:rsidRPr="00B139C4" w:rsidRDefault="000432F2" w:rsidP="000432F2">
      <w:pPr>
        <w:pStyle w:val="a9"/>
        <w:spacing w:after="0" w:line="360" w:lineRule="auto"/>
        <w:jc w:val="both"/>
        <w:rPr>
          <w:rFonts w:ascii="David" w:hAnsi="David" w:cs="David"/>
          <w:sz w:val="24"/>
          <w:szCs w:val="24"/>
        </w:rPr>
      </w:pPr>
    </w:p>
    <w:p w14:paraId="7F7278EC"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sz w:val="24"/>
          <w:szCs w:val="24"/>
          <w:rtl/>
        </w:rPr>
        <w:t>הנאשם העיד בפני שירות המבחן שילדותו ונעוריו לוו בקשיים חברתיים, רגשיים ומשפחתיים</w:t>
      </w:r>
      <w:r w:rsidRPr="00B139C4">
        <w:rPr>
          <w:rFonts w:ascii="David" w:hAnsi="David" w:cs="David" w:hint="cs"/>
          <w:sz w:val="24"/>
          <w:szCs w:val="24"/>
          <w:rtl/>
        </w:rPr>
        <w:t>, שמטעמי צנעת הפרט לא אפרטם כאן. הנאשם נחשף מגיל צעיר לסמים בשל מעורבותו של אחד מבני משפחתו הגרעינית בתחום, ושירות המבחן התרשם שעמדותיו המקלות של הנאשם כלפי שימוש בסמים הושפעו מכך. עם זאת, שירות המבחן התרשם שהסביבה המשפחתית שבה גדל הנאשם הייתה בעלת מאפיינים חיוביים, שקשריו עם הוריו טובים וקרובים גם כיום ושהם מספקים לו מערכת תמיכה משפחתית משמעותית.</w:t>
      </w:r>
    </w:p>
    <w:p w14:paraId="6596000D" w14:textId="77777777" w:rsidR="000432F2" w:rsidRPr="00B139C4" w:rsidRDefault="000432F2" w:rsidP="000432F2">
      <w:pPr>
        <w:spacing w:line="360" w:lineRule="auto"/>
        <w:jc w:val="both"/>
        <w:rPr>
          <w:rFonts w:ascii="David" w:hAnsi="David"/>
        </w:rPr>
      </w:pPr>
    </w:p>
    <w:p w14:paraId="468CD88D"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 xml:space="preserve">לדברי הנאשם בעבר היה מכור לקנאביס, בין היתר על רקע הקשיים האישיים והחברתיים שחווה בהתבגרותו, אך העיד בפני שירות המבחן שמאז אוגוסט 2021 לא צרך עוד סמים. בשלוש בדיקות שנערכו לנאשם במהלך החודשים נובמבר-דצמבר 2021 לא נמצאו בגופו שרידי סם. הנאשם שלל צורך בטיפול בנושא סמים, אך השתלב בקבוצה טיפולית לעוברים על החוק, ושירות המבחן דיווח כי הוא השתתף באופן פעיל במפגשי הקבוצה שנערכו עד כה והביע רצון להמשיך בכך.  </w:t>
      </w:r>
    </w:p>
    <w:p w14:paraId="245C6D4B" w14:textId="77777777" w:rsidR="000432F2" w:rsidRPr="00B139C4" w:rsidRDefault="000432F2" w:rsidP="000432F2">
      <w:pPr>
        <w:spacing w:line="360" w:lineRule="auto"/>
        <w:jc w:val="both"/>
        <w:rPr>
          <w:rFonts w:ascii="David" w:hAnsi="David"/>
        </w:rPr>
      </w:pPr>
    </w:p>
    <w:p w14:paraId="08D9A872"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 xml:space="preserve">בין גורמי הסיכון להישנות ביצוע עבירות על ידי הנאשם, ציין שירות המבחן את התנהלותו האימפולסיבית של הנאשם וקשייו בריסון עצמי והעריך שלמשפחתו יכולת מוגבלת להציב לו גבולות, במיוחד בנושא סמים. כמו כן שקל שירות המבחן כגורמי סיכון את חשיפתו של הנאשם לחברה שולית ונטייתו לריצוי חברתי, ואת קשייו בקבלת החלטות מושכלות תוך שקילת ההשלכות של מעשיו. </w:t>
      </w:r>
    </w:p>
    <w:p w14:paraId="211FDADC" w14:textId="77777777" w:rsidR="000432F2" w:rsidRPr="00B139C4" w:rsidRDefault="000432F2" w:rsidP="000432F2">
      <w:pPr>
        <w:pStyle w:val="a9"/>
        <w:spacing w:after="0" w:line="360" w:lineRule="auto"/>
        <w:rPr>
          <w:rFonts w:ascii="David" w:hAnsi="David" w:cs="David"/>
          <w:sz w:val="24"/>
          <w:szCs w:val="24"/>
          <w:rtl/>
        </w:rPr>
      </w:pPr>
    </w:p>
    <w:p w14:paraId="5E1BDB4C"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lastRenderedPageBreak/>
        <w:t xml:space="preserve">מנגד התרשם שירות המבחן שהנאשם הפיק לקחים מההליך המשפטי והטיפולי, וכי הוא מנהל אורח חיים נורמטיבי ומתפקד באופן תקין וחיובי. בין הגורמים העשויים להשפיע לחיוב על סיכויי שיקומו, ציין שירות המבחן את היכולות שהפגין הנאשם במסגרת לימודיו ואת שאיפתו לשירות צבאי משמעותי, וכן את לקיחת האחריות על מעשיו ומחויבותו להמשיך בהליך הטיפולי. </w:t>
      </w:r>
    </w:p>
    <w:p w14:paraId="6DB8E758" w14:textId="77777777" w:rsidR="000432F2" w:rsidRPr="00B139C4" w:rsidRDefault="000432F2" w:rsidP="000432F2">
      <w:pPr>
        <w:pStyle w:val="a9"/>
        <w:rPr>
          <w:rFonts w:ascii="David" w:hAnsi="David" w:cs="David"/>
          <w:sz w:val="24"/>
          <w:szCs w:val="24"/>
          <w:rtl/>
        </w:rPr>
      </w:pPr>
    </w:p>
    <w:p w14:paraId="69901B05" w14:textId="77777777" w:rsidR="000432F2" w:rsidRPr="00B139C4" w:rsidRDefault="000432F2" w:rsidP="000432F2">
      <w:pPr>
        <w:pStyle w:val="a9"/>
        <w:numPr>
          <w:ilvl w:val="0"/>
          <w:numId w:val="1"/>
        </w:numPr>
        <w:spacing w:after="0" w:line="360" w:lineRule="auto"/>
        <w:jc w:val="both"/>
        <w:rPr>
          <w:rFonts w:ascii="David" w:hAnsi="David" w:cs="David"/>
          <w:sz w:val="24"/>
          <w:szCs w:val="24"/>
        </w:rPr>
      </w:pPr>
      <w:r w:rsidRPr="00B139C4">
        <w:rPr>
          <w:rFonts w:ascii="David" w:hAnsi="David" w:cs="David" w:hint="cs"/>
          <w:sz w:val="24"/>
          <w:szCs w:val="24"/>
          <w:rtl/>
        </w:rPr>
        <w:t xml:space="preserve">בשל גילו הצעיר של הנאשם ורצונו להתגייס לצה"ל, לנוכח החשיבות לאפשר לנאשם להמשיך במסלול חיים נורמטיבי, ועל מנת לאפשר לו להשקיע מאמצים וכוחות בהליך הטיפולי לצד עשייה שיש בה תרומה לחברה, המליץ שירות המבחן שלא להטיל על הנאשם עונש של עבודות שירות אלא שירות לתועלת הציבור בהיקף נרחב של 300 שעות. ענישה מוחשית וקונקרטית זו תבטא לדעת השירות את חומרת העבירה. </w:t>
      </w:r>
    </w:p>
    <w:p w14:paraId="586978FD" w14:textId="77777777" w:rsidR="000432F2" w:rsidRPr="00B139C4" w:rsidRDefault="000432F2" w:rsidP="000432F2">
      <w:pPr>
        <w:pStyle w:val="a9"/>
        <w:rPr>
          <w:rFonts w:ascii="David" w:hAnsi="David" w:cs="David"/>
          <w:sz w:val="24"/>
          <w:szCs w:val="24"/>
          <w:rtl/>
        </w:rPr>
      </w:pPr>
    </w:p>
    <w:p w14:paraId="61536A82" w14:textId="77777777" w:rsidR="000432F2" w:rsidRPr="00B139C4" w:rsidRDefault="000432F2" w:rsidP="000432F2">
      <w:pPr>
        <w:pStyle w:val="a9"/>
        <w:numPr>
          <w:ilvl w:val="0"/>
          <w:numId w:val="1"/>
        </w:numPr>
        <w:spacing w:after="0" w:line="360" w:lineRule="auto"/>
        <w:jc w:val="both"/>
        <w:rPr>
          <w:rFonts w:ascii="David" w:hAnsi="David" w:cs="David"/>
          <w:sz w:val="24"/>
          <w:szCs w:val="24"/>
          <w:rtl/>
        </w:rPr>
      </w:pPr>
      <w:r w:rsidRPr="00B139C4">
        <w:rPr>
          <w:rFonts w:ascii="David" w:hAnsi="David" w:cs="David" w:hint="cs"/>
          <w:sz w:val="24"/>
          <w:szCs w:val="24"/>
          <w:rtl/>
        </w:rPr>
        <w:t>לנוכח השתלבותו של הנאשם בטיפול, העובדה שהעבירה שבוצעה הייתה חריגה להתנהגותו, התרשמותו של שירות המבחן שעצם ההליכים הפליליים מציבים בפני הנאשם גבול חיצוני ומרתיע, ובמטרה למנוע פגיעה בסיכויי גיוסו של הנאשם לשירות בצבא ובאפשרויות התעסוקה העתידית שלו, המליץ שירות המבחן להימנע מהרשעת הנאשם.</w:t>
      </w:r>
    </w:p>
    <w:p w14:paraId="5829ECF2" w14:textId="77777777" w:rsidR="000432F2" w:rsidRPr="00B139C4" w:rsidRDefault="000432F2" w:rsidP="000432F2">
      <w:pPr>
        <w:spacing w:line="360" w:lineRule="auto"/>
        <w:jc w:val="both"/>
        <w:rPr>
          <w:rFonts w:ascii="David" w:hAnsi="David"/>
          <w:u w:val="single"/>
          <w:rtl/>
        </w:rPr>
      </w:pPr>
    </w:p>
    <w:p w14:paraId="5B73D315" w14:textId="77777777" w:rsidR="000432F2" w:rsidRPr="00B139C4" w:rsidRDefault="000432F2" w:rsidP="000432F2">
      <w:pPr>
        <w:spacing w:line="360" w:lineRule="auto"/>
        <w:jc w:val="both"/>
        <w:rPr>
          <w:rFonts w:ascii="David" w:hAnsi="David"/>
          <w:rtl/>
        </w:rPr>
      </w:pPr>
      <w:r w:rsidRPr="00B139C4">
        <w:rPr>
          <w:rFonts w:ascii="David" w:hAnsi="David" w:hint="cs"/>
          <w:u w:val="single"/>
          <w:rtl/>
        </w:rPr>
        <w:t>סוגית ההרשעה</w:t>
      </w:r>
      <w:r w:rsidRPr="00B139C4">
        <w:rPr>
          <w:rFonts w:ascii="David" w:hAnsi="David" w:hint="cs"/>
          <w:rtl/>
        </w:rPr>
        <w:t>:</w:t>
      </w:r>
    </w:p>
    <w:p w14:paraId="0575BE4D" w14:textId="77777777" w:rsidR="000432F2" w:rsidRPr="00B139C4" w:rsidRDefault="000432F2" w:rsidP="000432F2">
      <w:pPr>
        <w:spacing w:line="360" w:lineRule="auto"/>
        <w:jc w:val="both"/>
        <w:rPr>
          <w:rFonts w:ascii="David" w:hAnsi="David"/>
          <w:rtl/>
        </w:rPr>
      </w:pPr>
    </w:p>
    <w:p w14:paraId="11123225"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 xml:space="preserve">הסניגור עתר כאמור לעיל לביטול הרשעתו של הנאשם בהתאם להמלצת שירות המבחן. </w:t>
      </w:r>
      <w:r w:rsidRPr="00B139C4">
        <w:rPr>
          <w:rFonts w:ascii="David" w:hAnsi="David" w:cs="David"/>
          <w:sz w:val="24"/>
          <w:szCs w:val="24"/>
          <w:rtl/>
        </w:rPr>
        <w:t xml:space="preserve">לטענת הסניגור, הרשעה תפגע באופן קונקרטי לא רק בנאשם ובעתידו, אלא גם באינטרס הציבורי שיש ברתימת הכשרתו המקצועית של הנאשם לשירותו בצבא. הסניגור הדגיש ששאלת גיוסו של הנאשם היא שיקול חשוב אך לא יחיד </w:t>
      </w:r>
      <w:r w:rsidRPr="00B139C4">
        <w:rPr>
          <w:rFonts w:ascii="David" w:hAnsi="David" w:cs="David" w:hint="cs"/>
          <w:sz w:val="24"/>
          <w:szCs w:val="24"/>
          <w:rtl/>
        </w:rPr>
        <w:t>התומך בהימנעות</w:t>
      </w:r>
      <w:r w:rsidRPr="00B139C4">
        <w:rPr>
          <w:rFonts w:ascii="David" w:hAnsi="David" w:cs="David"/>
          <w:sz w:val="24"/>
          <w:szCs w:val="24"/>
          <w:rtl/>
        </w:rPr>
        <w:t xml:space="preserve"> </w:t>
      </w:r>
      <w:r w:rsidRPr="00B139C4">
        <w:rPr>
          <w:rFonts w:ascii="David" w:hAnsi="David" w:cs="David" w:hint="cs"/>
          <w:sz w:val="24"/>
          <w:szCs w:val="24"/>
          <w:rtl/>
        </w:rPr>
        <w:t xml:space="preserve">מהרשעת </w:t>
      </w:r>
      <w:r w:rsidRPr="00B139C4">
        <w:rPr>
          <w:rFonts w:ascii="David" w:hAnsi="David" w:cs="David"/>
          <w:sz w:val="24"/>
          <w:szCs w:val="24"/>
          <w:rtl/>
        </w:rPr>
        <w:t>הנאשם</w:t>
      </w:r>
      <w:r w:rsidRPr="00B139C4">
        <w:rPr>
          <w:rFonts w:ascii="David" w:hAnsi="David" w:cs="David" w:hint="cs"/>
          <w:sz w:val="24"/>
          <w:szCs w:val="24"/>
          <w:rtl/>
        </w:rPr>
        <w:t xml:space="preserve">. </w:t>
      </w:r>
      <w:r w:rsidRPr="00B139C4">
        <w:rPr>
          <w:rFonts w:ascii="David" w:hAnsi="David" w:cs="David"/>
          <w:sz w:val="24"/>
          <w:szCs w:val="24"/>
          <w:rtl/>
        </w:rPr>
        <w:t>שיקולים נוספים הם גילו הצעיר של הנאשם, עברו הנקי, התסקיר החיובי של שירות המבחן</w:t>
      </w:r>
      <w:r w:rsidRPr="00B139C4">
        <w:rPr>
          <w:rFonts w:ascii="David" w:hAnsi="David" w:cs="David" w:hint="cs"/>
          <w:sz w:val="24"/>
          <w:szCs w:val="24"/>
          <w:rtl/>
        </w:rPr>
        <w:t>,</w:t>
      </w:r>
      <w:r w:rsidRPr="00B139C4">
        <w:rPr>
          <w:rFonts w:ascii="David" w:hAnsi="David" w:cs="David"/>
          <w:sz w:val="24"/>
          <w:szCs w:val="24"/>
          <w:rtl/>
        </w:rPr>
        <w:t xml:space="preserve"> השתלבותו של הנאשם בטיפול במסגרתו, ומעורבותו המוגבלת בביצוע העבירה. </w:t>
      </w:r>
      <w:r w:rsidRPr="00B139C4">
        <w:rPr>
          <w:rFonts w:ascii="David" w:hAnsi="David" w:cs="David" w:hint="cs"/>
          <w:sz w:val="24"/>
          <w:szCs w:val="24"/>
          <w:rtl/>
        </w:rPr>
        <w:t xml:space="preserve">הסניגור הפנה למספר החלטות על ביטול הרשעה במקרים דומים: </w:t>
      </w:r>
      <w:hyperlink r:id="rId13" w:history="1">
        <w:r w:rsidR="00992052" w:rsidRPr="00B139C4">
          <w:rPr>
            <w:rFonts w:ascii="David" w:hAnsi="David" w:cs="David"/>
            <w:color w:val="0000FF"/>
            <w:sz w:val="24"/>
            <w:szCs w:val="24"/>
            <w:u w:val="single"/>
            <w:rtl/>
          </w:rPr>
          <w:t>ע"פ (ירושלים) 33947-10-17</w:t>
        </w:r>
      </w:hyperlink>
      <w:r w:rsidRPr="00B139C4">
        <w:rPr>
          <w:rFonts w:ascii="David" w:hAnsi="David" w:cs="David" w:hint="cs"/>
          <w:sz w:val="24"/>
          <w:szCs w:val="24"/>
          <w:rtl/>
        </w:rPr>
        <w:t xml:space="preserve"> </w:t>
      </w:r>
      <w:r w:rsidRPr="00B139C4">
        <w:rPr>
          <w:rFonts w:ascii="David" w:hAnsi="David" w:cs="David" w:hint="cs"/>
          <w:b/>
          <w:bCs/>
          <w:sz w:val="24"/>
          <w:szCs w:val="24"/>
          <w:rtl/>
        </w:rPr>
        <w:t xml:space="preserve">מדינת ישראל נ' שלמה קרוקוצקי </w:t>
      </w:r>
      <w:r w:rsidRPr="00B139C4">
        <w:rPr>
          <w:rFonts w:ascii="David" w:hAnsi="David" w:cs="David" w:hint="cs"/>
          <w:sz w:val="24"/>
          <w:szCs w:val="24"/>
          <w:rtl/>
        </w:rPr>
        <w:t xml:space="preserve">(20.3.2018), </w:t>
      </w:r>
      <w:hyperlink r:id="rId14" w:history="1">
        <w:r w:rsidR="00992052" w:rsidRPr="00B139C4">
          <w:rPr>
            <w:rFonts w:ascii="David" w:hAnsi="David" w:cs="David"/>
            <w:color w:val="0000FF"/>
            <w:sz w:val="24"/>
            <w:szCs w:val="24"/>
            <w:u w:val="single"/>
            <w:rtl/>
          </w:rPr>
          <w:t>ת"פ (ירושלים) 28032-06-19</w:t>
        </w:r>
      </w:hyperlink>
      <w:r w:rsidRPr="00B139C4">
        <w:rPr>
          <w:rFonts w:ascii="David" w:hAnsi="David" w:cs="David" w:hint="cs"/>
          <w:sz w:val="24"/>
          <w:szCs w:val="24"/>
          <w:rtl/>
        </w:rPr>
        <w:t xml:space="preserve"> </w:t>
      </w:r>
      <w:r w:rsidRPr="00B139C4">
        <w:rPr>
          <w:rFonts w:ascii="David" w:hAnsi="David" w:cs="David" w:hint="cs"/>
          <w:b/>
          <w:bCs/>
          <w:sz w:val="24"/>
          <w:szCs w:val="24"/>
          <w:rtl/>
        </w:rPr>
        <w:t>מדינת ישראל נ' משה רן אביסדריס</w:t>
      </w:r>
      <w:r w:rsidRPr="00B139C4">
        <w:rPr>
          <w:rFonts w:ascii="David" w:hAnsi="David" w:cs="David" w:hint="cs"/>
          <w:sz w:val="24"/>
          <w:szCs w:val="24"/>
          <w:rtl/>
        </w:rPr>
        <w:t xml:space="preserve"> (25.4.2021), </w:t>
      </w:r>
      <w:hyperlink r:id="rId15" w:history="1">
        <w:r w:rsidR="00992052" w:rsidRPr="00B139C4">
          <w:rPr>
            <w:rFonts w:ascii="David" w:hAnsi="David" w:cs="David"/>
            <w:color w:val="0000FF"/>
            <w:sz w:val="24"/>
            <w:szCs w:val="24"/>
            <w:u w:val="single"/>
            <w:rtl/>
          </w:rPr>
          <w:t>ת"פ (תל אביב) 42378-11-19</w:t>
        </w:r>
      </w:hyperlink>
      <w:r w:rsidRPr="00B139C4">
        <w:rPr>
          <w:rFonts w:ascii="David" w:hAnsi="David" w:cs="David" w:hint="cs"/>
          <w:sz w:val="24"/>
          <w:szCs w:val="24"/>
          <w:rtl/>
        </w:rPr>
        <w:t xml:space="preserve"> </w:t>
      </w:r>
      <w:r w:rsidRPr="00B139C4">
        <w:rPr>
          <w:rFonts w:ascii="David" w:hAnsi="David" w:cs="David" w:hint="cs"/>
          <w:b/>
          <w:bCs/>
          <w:sz w:val="24"/>
          <w:szCs w:val="24"/>
          <w:rtl/>
        </w:rPr>
        <w:t xml:space="preserve">מדינת ישראל נ' יותם שטרית </w:t>
      </w:r>
      <w:r w:rsidRPr="00B139C4">
        <w:rPr>
          <w:rFonts w:ascii="David" w:hAnsi="David" w:cs="David" w:hint="cs"/>
          <w:sz w:val="24"/>
          <w:szCs w:val="24"/>
          <w:rtl/>
        </w:rPr>
        <w:t xml:space="preserve">(26.4.2021), </w:t>
      </w:r>
      <w:hyperlink r:id="rId16" w:history="1">
        <w:r w:rsidR="00992052" w:rsidRPr="00B139C4">
          <w:rPr>
            <w:rFonts w:ascii="David" w:hAnsi="David" w:cs="David"/>
            <w:color w:val="0000FF"/>
            <w:sz w:val="24"/>
            <w:szCs w:val="24"/>
            <w:u w:val="single"/>
            <w:rtl/>
          </w:rPr>
          <w:t>ת"פ (ראשון לציון) 65092-02-19</w:t>
        </w:r>
      </w:hyperlink>
      <w:r w:rsidRPr="00B139C4">
        <w:rPr>
          <w:rFonts w:ascii="David" w:hAnsi="David" w:cs="David" w:hint="cs"/>
          <w:sz w:val="24"/>
          <w:szCs w:val="24"/>
          <w:rtl/>
        </w:rPr>
        <w:t xml:space="preserve"> </w:t>
      </w:r>
      <w:r w:rsidRPr="00B139C4">
        <w:rPr>
          <w:rFonts w:ascii="David" w:hAnsi="David" w:cs="David" w:hint="cs"/>
          <w:b/>
          <w:bCs/>
          <w:sz w:val="24"/>
          <w:szCs w:val="24"/>
          <w:rtl/>
        </w:rPr>
        <w:t>מדינת ישראל נ' גיל עילם</w:t>
      </w:r>
      <w:r w:rsidRPr="00B139C4">
        <w:rPr>
          <w:rFonts w:ascii="David" w:hAnsi="David" w:cs="David" w:hint="cs"/>
          <w:sz w:val="24"/>
          <w:szCs w:val="24"/>
          <w:rtl/>
        </w:rPr>
        <w:t xml:space="preserve"> (31.5.2020).</w:t>
      </w:r>
    </w:p>
    <w:p w14:paraId="021A6254" w14:textId="77777777" w:rsidR="000432F2" w:rsidRPr="00B139C4" w:rsidRDefault="000432F2" w:rsidP="000432F2">
      <w:pPr>
        <w:pStyle w:val="a9"/>
        <w:spacing w:line="360" w:lineRule="auto"/>
        <w:jc w:val="both"/>
        <w:rPr>
          <w:rFonts w:ascii="David" w:hAnsi="David" w:cs="David"/>
          <w:sz w:val="24"/>
          <w:szCs w:val="24"/>
        </w:rPr>
      </w:pPr>
    </w:p>
    <w:p w14:paraId="493ADC6C"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התביעה התנגדה לכך שהרשעת הנאשם תבוטל. זאת, בשל התפקיד המשמעותי לעמדתה שמילא הנאשם בשרשרת אספקת הסם, בשל סוגו של הסם שבמכירתו היה מעורב, ובשל המעגלים החברתיים הרחבים שנפגעים מנגע הסמים. התביעה הפנתה ל</w:t>
      </w:r>
      <w:hyperlink r:id="rId17" w:history="1">
        <w:r w:rsidR="00992052" w:rsidRPr="00B139C4">
          <w:rPr>
            <w:rFonts w:ascii="David" w:hAnsi="David" w:cs="David"/>
            <w:color w:val="0000FF"/>
            <w:sz w:val="24"/>
            <w:szCs w:val="24"/>
            <w:u w:val="single"/>
            <w:rtl/>
          </w:rPr>
          <w:t>רע״פ 727/21</w:t>
        </w:r>
      </w:hyperlink>
      <w:r w:rsidRPr="00B139C4">
        <w:rPr>
          <w:rFonts w:ascii="David" w:hAnsi="David" w:cs="David" w:hint="cs"/>
          <w:sz w:val="24"/>
          <w:szCs w:val="24"/>
          <w:rtl/>
        </w:rPr>
        <w:t xml:space="preserve"> </w:t>
      </w:r>
      <w:r w:rsidRPr="00B139C4">
        <w:rPr>
          <w:rFonts w:ascii="David" w:hAnsi="David" w:cs="David" w:hint="cs"/>
          <w:b/>
          <w:bCs/>
          <w:sz w:val="24"/>
          <w:szCs w:val="24"/>
          <w:rtl/>
        </w:rPr>
        <w:t>אבישג חובב נ׳ מדינת ישראל</w:t>
      </w:r>
      <w:r w:rsidRPr="00B139C4">
        <w:rPr>
          <w:rFonts w:ascii="David" w:hAnsi="David" w:cs="David" w:hint="cs"/>
          <w:sz w:val="24"/>
          <w:szCs w:val="24"/>
          <w:rtl/>
        </w:rPr>
        <w:t xml:space="preserve"> (16.2.2021) שבו נקבע כי ״</w:t>
      </w:r>
      <w:r w:rsidRPr="00B139C4">
        <w:rPr>
          <w:rFonts w:ascii="FrankRuehl" w:hAnsi="FrankRuehl" w:cs="David"/>
          <w:sz w:val="26"/>
          <w:szCs w:val="26"/>
          <w:rtl/>
        </w:rPr>
        <w:t>ככלל עבירות הסמים החמורות אינן מתאימות מטיבן לוויתור על הרשעה</w:t>
      </w:r>
      <w:r w:rsidRPr="00B139C4">
        <w:rPr>
          <w:rFonts w:ascii="David" w:hAnsi="David" w:cs="David" w:hint="cs"/>
          <w:sz w:val="24"/>
          <w:szCs w:val="24"/>
          <w:rtl/>
        </w:rPr>
        <w:t>", ול</w:t>
      </w:r>
      <w:hyperlink r:id="rId18" w:history="1">
        <w:r w:rsidR="00992052" w:rsidRPr="00B139C4">
          <w:rPr>
            <w:rFonts w:ascii="David" w:hAnsi="David" w:cs="David"/>
            <w:color w:val="0000FF"/>
            <w:sz w:val="24"/>
            <w:szCs w:val="24"/>
            <w:u w:val="single"/>
            <w:rtl/>
          </w:rPr>
          <w:t>רע״פ 114/19</w:t>
        </w:r>
      </w:hyperlink>
      <w:r w:rsidRPr="00B139C4">
        <w:rPr>
          <w:rFonts w:ascii="David" w:hAnsi="David" w:cs="David" w:hint="cs"/>
          <w:sz w:val="24"/>
          <w:szCs w:val="24"/>
          <w:rtl/>
        </w:rPr>
        <w:t xml:space="preserve"> </w:t>
      </w:r>
      <w:r w:rsidRPr="00B139C4">
        <w:rPr>
          <w:rFonts w:ascii="David" w:hAnsi="David" w:cs="David" w:hint="cs"/>
          <w:b/>
          <w:bCs/>
          <w:sz w:val="24"/>
          <w:szCs w:val="24"/>
          <w:rtl/>
        </w:rPr>
        <w:t>יוליה שצ׳רבקוב נ׳ מדינת ישראל</w:t>
      </w:r>
      <w:r w:rsidRPr="00B139C4">
        <w:rPr>
          <w:rFonts w:ascii="David" w:hAnsi="David" w:cs="David" w:hint="cs"/>
          <w:sz w:val="24"/>
          <w:szCs w:val="24"/>
          <w:rtl/>
        </w:rPr>
        <w:t xml:space="preserve"> (13.1.2019) שבו נקבע שחשש שהרשעה תפגע בסיכוי להתגייס לשירות בצבא לא מצדיק בפני עצמו הימנעות מהרשעה.</w:t>
      </w:r>
    </w:p>
    <w:p w14:paraId="72270602" w14:textId="77777777" w:rsidR="000432F2" w:rsidRPr="00B139C4" w:rsidRDefault="000432F2" w:rsidP="000432F2">
      <w:pPr>
        <w:pStyle w:val="a9"/>
        <w:rPr>
          <w:rFonts w:ascii="David" w:hAnsi="David" w:cs="David"/>
          <w:sz w:val="24"/>
          <w:szCs w:val="24"/>
          <w:rtl/>
        </w:rPr>
      </w:pPr>
    </w:p>
    <w:p w14:paraId="5E1E6559" w14:textId="77777777" w:rsidR="000432F2" w:rsidRPr="00B139C4" w:rsidRDefault="000432F2" w:rsidP="000432F2">
      <w:pPr>
        <w:pStyle w:val="a9"/>
        <w:numPr>
          <w:ilvl w:val="0"/>
          <w:numId w:val="1"/>
        </w:numPr>
        <w:spacing w:line="360" w:lineRule="auto"/>
        <w:jc w:val="both"/>
        <w:rPr>
          <w:rFonts w:ascii="David" w:hAnsi="David" w:cs="David"/>
          <w:sz w:val="24"/>
          <w:szCs w:val="24"/>
          <w:rtl/>
        </w:rPr>
      </w:pPr>
      <w:r w:rsidRPr="00B139C4">
        <w:rPr>
          <w:rFonts w:ascii="David" w:hAnsi="David" w:cs="David"/>
          <w:sz w:val="24"/>
          <w:szCs w:val="24"/>
          <w:rtl/>
        </w:rPr>
        <w:t>כידוע, הכלל הוא ש</w:t>
      </w:r>
      <w:r w:rsidRPr="00B139C4">
        <w:rPr>
          <w:rFonts w:cs="David"/>
          <w:rtl/>
        </w:rPr>
        <w:t>"</w:t>
      </w:r>
      <w:r w:rsidRPr="00B139C4">
        <w:rPr>
          <w:rFonts w:cs="David"/>
          <w:sz w:val="26"/>
          <w:szCs w:val="26"/>
          <w:rtl/>
        </w:rPr>
        <w:t>משהוכח ביצועה של עבירה יש להרשיע את הנאשם</w:t>
      </w:r>
      <w:r w:rsidRPr="00B139C4">
        <w:rPr>
          <w:rFonts w:cs="David"/>
          <w:rtl/>
        </w:rPr>
        <w:t>"</w:t>
      </w:r>
      <w:r w:rsidRPr="00B139C4">
        <w:rPr>
          <w:rStyle w:val="ac"/>
          <w:rFonts w:ascii="David" w:hAnsi="David" w:cs="David"/>
          <w:rtl/>
        </w:rPr>
        <w:footnoteReference w:id="1"/>
      </w:r>
      <w:r w:rsidRPr="00B139C4">
        <w:rPr>
          <w:rFonts w:cs="David" w:hint="cs"/>
          <w:rtl/>
        </w:rPr>
        <w:t>,</w:t>
      </w:r>
      <w:r w:rsidRPr="00B139C4">
        <w:rPr>
          <w:rFonts w:cs="David"/>
          <w:rtl/>
        </w:rPr>
        <w:t xml:space="preserve"> </w:t>
      </w:r>
      <w:r w:rsidRPr="00B139C4">
        <w:rPr>
          <w:rFonts w:ascii="David" w:hAnsi="David" w:cs="David"/>
          <w:sz w:val="24"/>
          <w:szCs w:val="24"/>
          <w:rtl/>
        </w:rPr>
        <w:t>וסיומו של תיק במקרה כזה ללא הרשעה הוא חריג לכלל שיש לנקוט בו</w:t>
      </w:r>
      <w:r w:rsidRPr="00B139C4">
        <w:rPr>
          <w:rFonts w:ascii="David" w:hAnsi="David" w:cs="David"/>
          <w:rtl/>
        </w:rPr>
        <w:t xml:space="preserve"> "</w:t>
      </w:r>
      <w:r w:rsidRPr="00B139C4">
        <w:rPr>
          <w:rFonts w:cs="David"/>
          <w:sz w:val="26"/>
          <w:szCs w:val="26"/>
          <w:rtl/>
        </w:rPr>
        <w:t>רק בנסיבות יוצאות דופן, בהן אין יחס סביר בין הנזק הצפוי מן ההרשעה בדין לבין חומרתה של העבירה</w:t>
      </w:r>
      <w:r w:rsidRPr="00B139C4">
        <w:rPr>
          <w:rFonts w:ascii="David" w:hAnsi="David" w:cs="David"/>
          <w:rtl/>
        </w:rPr>
        <w:t>"</w:t>
      </w:r>
      <w:r w:rsidRPr="00B139C4">
        <w:rPr>
          <w:rStyle w:val="ac"/>
          <w:rFonts w:ascii="David" w:hAnsi="David" w:cs="David"/>
          <w:rtl/>
        </w:rPr>
        <w:footnoteReference w:id="2"/>
      </w:r>
      <w:r w:rsidRPr="00B139C4">
        <w:rPr>
          <w:rFonts w:ascii="David" w:hAnsi="David" w:cs="David"/>
          <w:rtl/>
        </w:rPr>
        <w:t xml:space="preserve"> </w:t>
      </w:r>
      <w:r w:rsidRPr="00B139C4">
        <w:rPr>
          <w:rFonts w:ascii="David" w:hAnsi="David" w:cs="David"/>
          <w:sz w:val="24"/>
          <w:szCs w:val="24"/>
          <w:rtl/>
        </w:rPr>
        <w:t xml:space="preserve">– זאת, כאשר מתמלאים שני תנאים: </w:t>
      </w:r>
      <w:r w:rsidRPr="00B139C4">
        <w:rPr>
          <w:rFonts w:ascii="David" w:hAnsi="David" w:cs="David"/>
          <w:rtl/>
        </w:rPr>
        <w:t>"</w:t>
      </w:r>
      <w:r w:rsidRPr="00B139C4">
        <w:rPr>
          <w:rFonts w:cs="David"/>
          <w:sz w:val="26"/>
          <w:szCs w:val="26"/>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Pr="00B139C4">
        <w:rPr>
          <w:rFonts w:ascii="David" w:hAnsi="David" w:cs="David"/>
          <w:rtl/>
        </w:rPr>
        <w:t>"</w:t>
      </w:r>
      <w:r w:rsidRPr="00B139C4">
        <w:rPr>
          <w:rStyle w:val="ac"/>
          <w:rFonts w:ascii="David" w:hAnsi="David" w:cs="David"/>
          <w:rtl/>
        </w:rPr>
        <w:footnoteReference w:id="3"/>
      </w:r>
      <w:r w:rsidRPr="00B139C4">
        <w:rPr>
          <w:rFonts w:ascii="David" w:hAnsi="David" w:cs="David"/>
          <w:rtl/>
        </w:rPr>
        <w:t xml:space="preserve">. </w:t>
      </w:r>
      <w:r w:rsidRPr="00B139C4">
        <w:rPr>
          <w:rFonts w:ascii="David" w:hAnsi="David" w:cs="David"/>
          <w:sz w:val="24"/>
          <w:szCs w:val="24"/>
          <w:rtl/>
        </w:rPr>
        <w:t>עם השנים השתרשה בפסיקה גישה שלפיה</w:t>
      </w:r>
      <w:r w:rsidRPr="00B139C4">
        <w:rPr>
          <w:rFonts w:ascii="David" w:hAnsi="David" w:cs="David"/>
          <w:rtl/>
        </w:rPr>
        <w:t xml:space="preserve"> "</w:t>
      </w:r>
      <w:r w:rsidRPr="00B139C4">
        <w:rPr>
          <w:rFonts w:cs="David"/>
          <w:sz w:val="26"/>
          <w:szCs w:val="26"/>
          <w:rtl/>
        </w:rPr>
        <w:t>על העותר לאי-הרשעה מוטלת החובה להצביע על כך שהרשעתו תביא לפגיעה קשה וקונקרטית בסיכויי שיקומו, ולתמוך את טענותיו בתשתית ראייתית מתאימה</w:t>
      </w:r>
      <w:r w:rsidRPr="00B139C4">
        <w:rPr>
          <w:rFonts w:ascii="David" w:hAnsi="David" w:cs="David"/>
          <w:rtl/>
        </w:rPr>
        <w:t>"</w:t>
      </w:r>
      <w:r w:rsidRPr="00B139C4">
        <w:rPr>
          <w:rStyle w:val="ac"/>
          <w:rFonts w:ascii="David" w:hAnsi="David" w:cs="David"/>
          <w:rtl/>
        </w:rPr>
        <w:footnoteReference w:id="4"/>
      </w:r>
      <w:r w:rsidRPr="00B139C4">
        <w:rPr>
          <w:rFonts w:ascii="David" w:hAnsi="David" w:cs="David"/>
          <w:rtl/>
        </w:rPr>
        <w:t xml:space="preserve">. </w:t>
      </w:r>
      <w:r w:rsidRPr="00B139C4">
        <w:rPr>
          <w:rFonts w:ascii="David" w:hAnsi="David" w:cs="David"/>
          <w:sz w:val="24"/>
          <w:szCs w:val="24"/>
          <w:rtl/>
        </w:rPr>
        <w:t>הפסיקה גם הכירה בכך שמתקיים יחס בין שני התנאים לסיום תיק ללא הרשעה במובן ש</w:t>
      </w:r>
      <w:r w:rsidRPr="00B139C4">
        <w:rPr>
          <w:rFonts w:ascii="David" w:hAnsi="David" w:cs="David"/>
          <w:rtl/>
        </w:rPr>
        <w:t>"</w:t>
      </w:r>
      <w:r w:rsidRPr="00B139C4">
        <w:rPr>
          <w:rFonts w:cs="David"/>
          <w:sz w:val="26"/>
          <w:szCs w:val="26"/>
          <w:rtl/>
        </w:rPr>
        <w:t>ככל שהעבירה שעבר הנאשם ונסיבות ביצועה הן ברף הנמוך, כך פוחת האינטרס הציבורי שבהרשעה. כפועל יוצא, ניתן להקל על הנטל המוטל על כתפי הנאשם להראות את עצמת הפגיעה שתיגרם לו כתוצאה מן ההרשעה כתנאי לאי הרשעתו בדין</w:t>
      </w:r>
      <w:r w:rsidRPr="00B139C4">
        <w:rPr>
          <w:rFonts w:ascii="David" w:hAnsi="David" w:cs="David"/>
          <w:rtl/>
        </w:rPr>
        <w:t>"</w:t>
      </w:r>
      <w:r w:rsidRPr="00B139C4">
        <w:rPr>
          <w:rStyle w:val="ac"/>
          <w:rFonts w:ascii="David" w:hAnsi="David" w:cs="David"/>
          <w:rtl/>
        </w:rPr>
        <w:footnoteReference w:id="5"/>
      </w:r>
      <w:r w:rsidRPr="00B139C4">
        <w:rPr>
          <w:rFonts w:ascii="David" w:hAnsi="David" w:cs="David"/>
          <w:rtl/>
        </w:rPr>
        <w:t xml:space="preserve">. </w:t>
      </w:r>
      <w:r w:rsidRPr="00B139C4">
        <w:rPr>
          <w:rFonts w:ascii="David" w:hAnsi="David" w:cs="David"/>
          <w:sz w:val="24"/>
          <w:szCs w:val="24"/>
          <w:rtl/>
        </w:rPr>
        <w:t xml:space="preserve">סיכום מן העת האחרונה של ההלכות </w:t>
      </w:r>
      <w:r w:rsidRPr="00B139C4">
        <w:rPr>
          <w:rFonts w:ascii="David" w:hAnsi="David" w:cs="David" w:hint="cs"/>
          <w:sz w:val="24"/>
          <w:szCs w:val="24"/>
          <w:rtl/>
        </w:rPr>
        <w:t xml:space="preserve">הרלוונטיות </w:t>
      </w:r>
      <w:r w:rsidRPr="00B139C4">
        <w:rPr>
          <w:rFonts w:ascii="David" w:hAnsi="David" w:cs="David"/>
          <w:sz w:val="24"/>
          <w:szCs w:val="24"/>
          <w:rtl/>
        </w:rPr>
        <w:t>ניתן למצוא ב</w:t>
      </w:r>
      <w:hyperlink r:id="rId19" w:history="1">
        <w:r w:rsidR="00992052" w:rsidRPr="00B139C4">
          <w:rPr>
            <w:rFonts w:ascii="David" w:hAnsi="David" w:cs="David"/>
            <w:color w:val="0000FF"/>
            <w:sz w:val="24"/>
            <w:szCs w:val="24"/>
            <w:u w:val="single"/>
            <w:rtl/>
          </w:rPr>
          <w:t>עפ"א (באר שבע) 61054-07-21</w:t>
        </w:r>
      </w:hyperlink>
      <w:r w:rsidRPr="00B139C4">
        <w:rPr>
          <w:rFonts w:ascii="David" w:hAnsi="David" w:cs="David"/>
          <w:b/>
          <w:bCs/>
          <w:sz w:val="24"/>
          <w:szCs w:val="24"/>
          <w:rtl/>
        </w:rPr>
        <w:t xml:space="preserve"> גיל חמו נ' מדינת ישראל </w:t>
      </w:r>
      <w:r w:rsidRPr="00B139C4">
        <w:rPr>
          <w:rFonts w:ascii="David" w:hAnsi="David" w:cs="David"/>
          <w:sz w:val="24"/>
          <w:szCs w:val="24"/>
          <w:rtl/>
        </w:rPr>
        <w:t>(7.11.2021).</w:t>
      </w:r>
      <w:r w:rsidRPr="00B139C4">
        <w:rPr>
          <w:rFonts w:cs="David"/>
          <w:rtl/>
        </w:rPr>
        <w:t xml:space="preserve"> </w:t>
      </w:r>
    </w:p>
    <w:p w14:paraId="4F22F374" w14:textId="77777777" w:rsidR="000432F2" w:rsidRPr="00B139C4" w:rsidRDefault="000432F2" w:rsidP="000432F2">
      <w:pPr>
        <w:pStyle w:val="a9"/>
        <w:rPr>
          <w:rFonts w:ascii="David" w:hAnsi="David" w:cs="David"/>
          <w:sz w:val="24"/>
          <w:szCs w:val="24"/>
          <w:rtl/>
        </w:rPr>
      </w:pPr>
    </w:p>
    <w:p w14:paraId="0AE2871B"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עיון ב</w:t>
      </w:r>
      <w:r w:rsidRPr="00B139C4">
        <w:rPr>
          <w:rFonts w:ascii="David" w:hAnsi="David" w:cs="David" w:hint="cs"/>
          <w:b/>
          <w:bCs/>
          <w:sz w:val="24"/>
          <w:szCs w:val="24"/>
          <w:rtl/>
        </w:rPr>
        <w:t>רע"פ שצ'רבקוב</w:t>
      </w:r>
      <w:r w:rsidRPr="00B139C4">
        <w:rPr>
          <w:rFonts w:ascii="David" w:hAnsi="David" w:cs="David" w:hint="cs"/>
          <w:sz w:val="24"/>
          <w:szCs w:val="24"/>
          <w:rtl/>
        </w:rPr>
        <w:t xml:space="preserve"> שאליו הפנה התובע כמו גם ב</w:t>
      </w:r>
      <w:hyperlink r:id="rId20" w:history="1">
        <w:r w:rsidR="00992052" w:rsidRPr="00B139C4">
          <w:rPr>
            <w:rFonts w:ascii="David" w:hAnsi="David" w:cs="David"/>
            <w:color w:val="0000FF"/>
            <w:sz w:val="24"/>
            <w:szCs w:val="24"/>
            <w:u w:val="single"/>
            <w:rtl/>
          </w:rPr>
          <w:t>רע"פ 2180/14</w:t>
        </w:r>
      </w:hyperlink>
      <w:r w:rsidRPr="00B139C4">
        <w:rPr>
          <w:rFonts w:ascii="David" w:hAnsi="David" w:cs="David" w:hint="cs"/>
          <w:sz w:val="24"/>
          <w:szCs w:val="24"/>
          <w:rtl/>
        </w:rPr>
        <w:t xml:space="preserve"> </w:t>
      </w:r>
      <w:r w:rsidRPr="00B139C4">
        <w:rPr>
          <w:rFonts w:ascii="David" w:hAnsi="David" w:cs="David" w:hint="cs"/>
          <w:b/>
          <w:bCs/>
          <w:sz w:val="24"/>
          <w:szCs w:val="24"/>
          <w:rtl/>
        </w:rPr>
        <w:t>ספיר</w:t>
      </w:r>
      <w:r w:rsidRPr="00B139C4">
        <w:rPr>
          <w:rFonts w:ascii="David" w:hAnsi="David" w:cs="David" w:hint="cs"/>
          <w:sz w:val="24"/>
          <w:szCs w:val="24"/>
          <w:rtl/>
        </w:rPr>
        <w:t xml:space="preserve"> </w:t>
      </w:r>
      <w:r w:rsidRPr="00B139C4">
        <w:rPr>
          <w:rFonts w:ascii="David" w:hAnsi="David" w:cs="David" w:hint="cs"/>
          <w:b/>
          <w:bCs/>
          <w:sz w:val="24"/>
          <w:szCs w:val="24"/>
          <w:rtl/>
        </w:rPr>
        <w:t xml:space="preserve">שמואלי נ' מדינת ישראל </w:t>
      </w:r>
      <w:r w:rsidRPr="00B139C4">
        <w:rPr>
          <w:rFonts w:ascii="David" w:hAnsi="David" w:cs="David" w:hint="cs"/>
          <w:sz w:val="24"/>
          <w:szCs w:val="24"/>
          <w:rtl/>
        </w:rPr>
        <w:t xml:space="preserve">(24.4.2014) ובע"פ </w:t>
      </w:r>
      <w:hyperlink r:id="rId21" w:history="1">
        <w:r w:rsidR="000C1F48" w:rsidRPr="000C1F48">
          <w:rPr>
            <w:rFonts w:ascii="David" w:hAnsi="David" w:cs="David"/>
            <w:color w:val="0000FF"/>
            <w:sz w:val="24"/>
            <w:szCs w:val="24"/>
            <w:u w:val="single"/>
            <w:rtl/>
          </w:rPr>
          <w:t xml:space="preserve">207/16 </w:t>
        </w:r>
      </w:hyperlink>
      <w:r w:rsidRPr="00B139C4">
        <w:rPr>
          <w:rFonts w:ascii="David" w:hAnsi="David" w:cs="David" w:hint="cs"/>
          <w:sz w:val="24"/>
          <w:szCs w:val="24"/>
          <w:rtl/>
        </w:rPr>
        <w:t xml:space="preserve"> </w:t>
      </w:r>
      <w:r w:rsidRPr="00B139C4">
        <w:rPr>
          <w:rFonts w:ascii="David" w:hAnsi="David" w:cs="David" w:hint="cs"/>
          <w:b/>
          <w:bCs/>
          <w:sz w:val="24"/>
          <w:szCs w:val="24"/>
          <w:rtl/>
        </w:rPr>
        <w:t xml:space="preserve">פלוני נ' מדינת ישראל </w:t>
      </w:r>
      <w:r w:rsidRPr="00B139C4">
        <w:rPr>
          <w:rFonts w:ascii="David" w:hAnsi="David" w:cs="David" w:hint="cs"/>
          <w:sz w:val="24"/>
          <w:szCs w:val="24"/>
          <w:rtl/>
        </w:rPr>
        <w:t>(15.10.2017) מלמד על פסיקה עקבית של בית המשפט העליון שלפיה החשש מפני אי גיוס לצה"ל אינו מצדיק בפני עצמו  הימנעות מהרשעה. כפי שסיכם זאת השופט אורי שהם ב</w:t>
      </w:r>
      <w:r w:rsidRPr="00B139C4">
        <w:rPr>
          <w:rFonts w:ascii="David" w:hAnsi="David" w:cs="David" w:hint="cs"/>
          <w:b/>
          <w:bCs/>
          <w:sz w:val="24"/>
          <w:szCs w:val="24"/>
          <w:rtl/>
        </w:rPr>
        <w:t>רע"פ שמואלי</w:t>
      </w:r>
      <w:r w:rsidRPr="00B139C4">
        <w:rPr>
          <w:rFonts w:ascii="David" w:hAnsi="David" w:cs="David" w:hint="cs"/>
          <w:sz w:val="24"/>
          <w:szCs w:val="24"/>
          <w:rtl/>
        </w:rPr>
        <w:t xml:space="preserve"> הנ"ל: "</w:t>
      </w:r>
      <w:r w:rsidRPr="00B139C4">
        <w:rPr>
          <w:rFonts w:ascii="FrankRuehl" w:hAnsi="FrankRuehl" w:cs="David"/>
          <w:sz w:val="26"/>
          <w:szCs w:val="26"/>
          <w:rtl/>
        </w:rPr>
        <w:t>גם בנוגע להימנעות מהרשעתו של קטין, יש</w:t>
      </w:r>
      <w:r w:rsidRPr="00B139C4">
        <w:rPr>
          <w:rFonts w:ascii="FrankRuehl" w:hAnsi="FrankRuehl" w:cs="David" w:hint="cs"/>
          <w:sz w:val="26"/>
          <w:szCs w:val="26"/>
          <w:rtl/>
        </w:rPr>
        <w:t xml:space="preserve"> לה</w:t>
      </w:r>
      <w:r w:rsidRPr="00B139C4">
        <w:rPr>
          <w:rFonts w:ascii="FrankRuehl" w:hAnsi="FrankRuehl" w:cs="David"/>
          <w:sz w:val="26"/>
          <w:szCs w:val="26"/>
          <w:rtl/>
        </w:rPr>
        <w:t xml:space="preserve">ראות כי ההרשעה תוביל לפגיעה מהותית וקונקרטית בעתידו או בשיקומו, כאמור. על אחת כמה וכמה, שדרישה זו עומדת בתוקפה כאשר מדובר בבגיר, או ב"בגיר צעיר". בבקשה שלפניי נטען, כי המבקש מעוניין להתגייס לצה"ל, וחושש כי הותרת ההרשעה על כנה תפגע באפשרותו לעשות כן. ככל הידוע לי, שאלת קיומה של הרשעה בפלילים, היא רק שיקול אחד מבין שיקולים רבים העומדים בפני רשויות הצבא בבואן להחליט על גיוס לצה"ל. אני סמוך ובטוח כי רשויות הגיוס בצה"ל ישקלו את מכלול נתוניו האישיים של המבקש, ויחליטו לגבי גיוסו בהתאם לאמות המידה המקובלות בתחום זה. </w:t>
      </w:r>
      <w:r w:rsidRPr="00B139C4">
        <w:rPr>
          <w:rFonts w:ascii="FrankRuehl" w:hAnsi="FrankRuehl" w:cs="David"/>
          <w:sz w:val="26"/>
          <w:szCs w:val="26"/>
          <w:u w:val="single"/>
          <w:rtl/>
        </w:rPr>
        <w:t>על כל פנים, החשש לפגיעה באפשרותו של המבקש להתגייס לצה"ל, אין בו כדי להצדיק כשלעצמו הימנעות מהרשעה</w:t>
      </w:r>
      <w:r w:rsidRPr="00B139C4">
        <w:rPr>
          <w:rFonts w:ascii="David" w:hAnsi="David" w:cs="David" w:hint="cs"/>
          <w:sz w:val="24"/>
          <w:szCs w:val="24"/>
          <w:rtl/>
        </w:rPr>
        <w:t>".</w:t>
      </w:r>
    </w:p>
    <w:p w14:paraId="2F65C1BE" w14:textId="77777777" w:rsidR="000432F2" w:rsidRPr="00B139C4" w:rsidRDefault="000432F2" w:rsidP="000432F2">
      <w:pPr>
        <w:pStyle w:val="a9"/>
        <w:rPr>
          <w:rFonts w:ascii="David" w:hAnsi="David" w:cs="David"/>
          <w:sz w:val="24"/>
          <w:szCs w:val="24"/>
          <w:rtl/>
        </w:rPr>
      </w:pPr>
    </w:p>
    <w:p w14:paraId="6DC672EF"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במקרה שבפניי מעבר להעלאת חשש מפני אי גיוס לצה"ל שכאמור אינו יכול להוות כשלעצמו בסיס להימנעות מהרשעה, לא הציג הנאשם ראיות לפגיעה אחרת שתגרם לו בוודאות גבוהה כתוצאה מהרשעתו. לפיכך, אני דוחה את הבקשה לביטול הרשעה.</w:t>
      </w:r>
    </w:p>
    <w:p w14:paraId="71341DA7" w14:textId="77777777" w:rsidR="000432F2" w:rsidRPr="00B139C4" w:rsidRDefault="000432F2" w:rsidP="000432F2">
      <w:pPr>
        <w:pStyle w:val="a9"/>
        <w:rPr>
          <w:rFonts w:ascii="David" w:hAnsi="David" w:cs="David"/>
          <w:sz w:val="24"/>
          <w:szCs w:val="24"/>
          <w:rtl/>
        </w:rPr>
      </w:pPr>
    </w:p>
    <w:p w14:paraId="77627FFC" w14:textId="77777777" w:rsidR="000432F2" w:rsidRPr="00B139C4" w:rsidRDefault="000432F2" w:rsidP="000432F2">
      <w:pPr>
        <w:spacing w:line="360" w:lineRule="auto"/>
        <w:ind w:left="360"/>
        <w:jc w:val="both"/>
        <w:rPr>
          <w:rFonts w:ascii="David" w:hAnsi="David"/>
          <w:u w:val="single"/>
        </w:rPr>
      </w:pPr>
      <w:r w:rsidRPr="00B139C4">
        <w:rPr>
          <w:rFonts w:ascii="David" w:hAnsi="David" w:hint="cs"/>
          <w:u w:val="single"/>
          <w:rtl/>
        </w:rPr>
        <w:t>העונש</w:t>
      </w:r>
    </w:p>
    <w:p w14:paraId="18D4CB2E" w14:textId="77777777" w:rsidR="000432F2" w:rsidRPr="00B139C4" w:rsidRDefault="000432F2" w:rsidP="000432F2">
      <w:pPr>
        <w:pStyle w:val="a9"/>
        <w:rPr>
          <w:rFonts w:ascii="David" w:hAnsi="David" w:cs="David"/>
          <w:sz w:val="24"/>
          <w:szCs w:val="24"/>
          <w:rtl/>
        </w:rPr>
      </w:pPr>
    </w:p>
    <w:p w14:paraId="36835517"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התובע עתר לגזור על הנאשם עונש של 8 חודשי מאסר בפועל הנמצא בקצה התחתון של מתחם העונש ההולם שלו טען. הסניגור ביקש שתאומץ המלצתו העונשית של שירות המבחן.</w:t>
      </w:r>
    </w:p>
    <w:p w14:paraId="676421BA" w14:textId="77777777" w:rsidR="000432F2" w:rsidRPr="00B139C4" w:rsidRDefault="000432F2" w:rsidP="000432F2">
      <w:pPr>
        <w:pStyle w:val="a9"/>
        <w:spacing w:line="360" w:lineRule="auto"/>
        <w:jc w:val="both"/>
        <w:rPr>
          <w:rFonts w:ascii="David" w:hAnsi="David" w:cs="David"/>
          <w:sz w:val="24"/>
          <w:szCs w:val="24"/>
          <w:rtl/>
        </w:rPr>
      </w:pPr>
    </w:p>
    <w:p w14:paraId="076EDCA0" w14:textId="77777777" w:rsidR="000432F2" w:rsidRPr="00B139C4" w:rsidRDefault="000432F2" w:rsidP="000432F2">
      <w:pPr>
        <w:pStyle w:val="a9"/>
        <w:spacing w:line="360" w:lineRule="auto"/>
        <w:jc w:val="both"/>
        <w:rPr>
          <w:rFonts w:ascii="David" w:hAnsi="David" w:cs="David"/>
          <w:sz w:val="24"/>
          <w:szCs w:val="24"/>
        </w:rPr>
      </w:pPr>
    </w:p>
    <w:p w14:paraId="4312A9DC"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 xml:space="preserve">בעוד לא מצאתי מקום לבטל את הרשעת הנאשם כהמלצת שירות המבחן, אני מוצא מקום לחרוג ממתחם העונש ההולם בהתאם להוראות </w:t>
      </w:r>
      <w:hyperlink r:id="rId22" w:history="1">
        <w:r w:rsidR="00B139C4" w:rsidRPr="00B139C4">
          <w:rPr>
            <w:rStyle w:val="Hyperlink"/>
            <w:rFonts w:ascii="David" w:hAnsi="David" w:cs="David" w:hint="cs"/>
            <w:sz w:val="24"/>
            <w:szCs w:val="24"/>
            <w:rtl/>
          </w:rPr>
          <w:t>סעיף</w:t>
        </w:r>
        <w:r w:rsidR="00B139C4" w:rsidRPr="00B139C4">
          <w:rPr>
            <w:rStyle w:val="Hyperlink"/>
            <w:rFonts w:ascii="David" w:hAnsi="David" w:cs="David"/>
            <w:sz w:val="24"/>
            <w:szCs w:val="24"/>
            <w:rtl/>
          </w:rPr>
          <w:t xml:space="preserve"> 40ד</w:t>
        </w:r>
      </w:hyperlink>
      <w:r w:rsidRPr="00B139C4">
        <w:rPr>
          <w:rFonts w:ascii="David" w:hAnsi="David" w:cs="David" w:hint="cs"/>
          <w:sz w:val="24"/>
          <w:szCs w:val="24"/>
          <w:rtl/>
        </w:rPr>
        <w:t xml:space="preserve"> ל</w:t>
      </w:r>
      <w:hyperlink r:id="rId23" w:history="1">
        <w:r w:rsidR="00992052" w:rsidRPr="00B139C4">
          <w:rPr>
            <w:rFonts w:ascii="David" w:hAnsi="David" w:cs="David"/>
            <w:color w:val="0000FF"/>
            <w:sz w:val="24"/>
            <w:szCs w:val="24"/>
            <w:u w:val="single"/>
            <w:rtl/>
          </w:rPr>
          <w:t>חוק העונשין</w:t>
        </w:r>
      </w:hyperlink>
      <w:r w:rsidRPr="00B139C4">
        <w:rPr>
          <w:rFonts w:ascii="David" w:hAnsi="David" w:cs="David" w:hint="cs"/>
          <w:sz w:val="24"/>
          <w:szCs w:val="24"/>
          <w:rtl/>
        </w:rPr>
        <w:t>, תשל"ז-1977 ולאמץ את המלצתו העונשית של שירות המבחן. זאת, לנוכח הסימנים לשיקומו של הנאשם והסיכוי הגבוה לשיקומו כעולה מתסקיר שירות המבחן. אציין בהקשר זה את גילו הצעיר של הנאשם, היעדר הסתבכויות נוספות עם החוק, לקיחת אחריות מלאה והשתתפות פעילה בטיפול. בצד זאת, אני סבור שהשל"ץ שעל ביצועו ממליץ שירות המבחן ישרת היטב את מטרות הענישה, ויאפשר למצות את הטיפול והשיקום של הנאשם.</w:t>
      </w:r>
    </w:p>
    <w:p w14:paraId="3E0B3E8E" w14:textId="77777777" w:rsidR="000432F2" w:rsidRPr="00B139C4" w:rsidRDefault="000432F2" w:rsidP="000432F2">
      <w:pPr>
        <w:pStyle w:val="a9"/>
        <w:spacing w:line="360" w:lineRule="auto"/>
        <w:jc w:val="both"/>
        <w:rPr>
          <w:rFonts w:ascii="David" w:hAnsi="David" w:cs="David"/>
          <w:sz w:val="24"/>
          <w:szCs w:val="24"/>
        </w:rPr>
      </w:pPr>
    </w:p>
    <w:p w14:paraId="506B9B10"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לנוכח האמור לעיל, אני גוזר על הנאשם את העונשים הבאים:</w:t>
      </w:r>
    </w:p>
    <w:p w14:paraId="4B28879C" w14:textId="77777777" w:rsidR="000432F2" w:rsidRPr="00B139C4" w:rsidRDefault="000432F2" w:rsidP="000432F2">
      <w:pPr>
        <w:pStyle w:val="a9"/>
        <w:rPr>
          <w:rFonts w:ascii="David" w:hAnsi="David" w:cs="David"/>
          <w:sz w:val="24"/>
          <w:szCs w:val="24"/>
          <w:rtl/>
        </w:rPr>
      </w:pPr>
    </w:p>
    <w:p w14:paraId="6CE73A7E" w14:textId="77777777" w:rsidR="000432F2" w:rsidRPr="00B139C4" w:rsidRDefault="000432F2" w:rsidP="000432F2">
      <w:pPr>
        <w:pStyle w:val="a9"/>
        <w:numPr>
          <w:ilvl w:val="0"/>
          <w:numId w:val="2"/>
        </w:numPr>
        <w:rPr>
          <w:rFonts w:ascii="David" w:hAnsi="David" w:cs="David"/>
          <w:sz w:val="24"/>
          <w:szCs w:val="24"/>
        </w:rPr>
      </w:pPr>
      <w:r w:rsidRPr="00B139C4">
        <w:rPr>
          <w:rFonts w:ascii="David" w:hAnsi="David" w:cs="David" w:hint="cs"/>
          <w:sz w:val="24"/>
          <w:szCs w:val="24"/>
          <w:rtl/>
        </w:rPr>
        <w:t xml:space="preserve">300 שעות של"ץ לפי התוכנית שגיבש שירות המבחן. </w:t>
      </w:r>
    </w:p>
    <w:p w14:paraId="7DBBF745" w14:textId="77777777" w:rsidR="000432F2" w:rsidRPr="00B139C4" w:rsidRDefault="000432F2" w:rsidP="000432F2">
      <w:pPr>
        <w:pStyle w:val="a9"/>
        <w:spacing w:line="360" w:lineRule="auto"/>
        <w:ind w:left="1080"/>
        <w:rPr>
          <w:rFonts w:ascii="David" w:hAnsi="David" w:cs="David"/>
          <w:sz w:val="24"/>
          <w:szCs w:val="24"/>
        </w:rPr>
      </w:pPr>
    </w:p>
    <w:p w14:paraId="2F0A09E1" w14:textId="77777777" w:rsidR="000432F2" w:rsidRPr="00B139C4" w:rsidRDefault="000432F2" w:rsidP="000432F2">
      <w:pPr>
        <w:pStyle w:val="a9"/>
        <w:numPr>
          <w:ilvl w:val="0"/>
          <w:numId w:val="2"/>
        </w:numPr>
        <w:spacing w:line="360" w:lineRule="auto"/>
        <w:jc w:val="both"/>
        <w:rPr>
          <w:rFonts w:ascii="David" w:hAnsi="David" w:cs="David"/>
          <w:sz w:val="24"/>
          <w:szCs w:val="24"/>
        </w:rPr>
      </w:pPr>
      <w:r w:rsidRPr="00B139C4">
        <w:rPr>
          <w:rFonts w:ascii="David" w:hAnsi="David" w:cs="David" w:hint="cs"/>
          <w:sz w:val="24"/>
          <w:szCs w:val="24"/>
          <w:rtl/>
        </w:rPr>
        <w:t>6 חודשי מאסר על תנאי לשלוש שנים שלא ישוב ויעבור עבירת סמים שהיא פשע.</w:t>
      </w:r>
    </w:p>
    <w:p w14:paraId="2F29C14D" w14:textId="77777777" w:rsidR="000432F2" w:rsidRPr="00B139C4" w:rsidRDefault="000432F2" w:rsidP="000432F2">
      <w:pPr>
        <w:pStyle w:val="a9"/>
        <w:spacing w:line="360" w:lineRule="auto"/>
        <w:jc w:val="both"/>
        <w:rPr>
          <w:rFonts w:ascii="David" w:hAnsi="David" w:cs="David"/>
          <w:sz w:val="24"/>
          <w:szCs w:val="24"/>
          <w:rtl/>
        </w:rPr>
      </w:pPr>
    </w:p>
    <w:p w14:paraId="6FE9622A" w14:textId="77777777" w:rsidR="000432F2" w:rsidRPr="00B139C4" w:rsidRDefault="000432F2" w:rsidP="000432F2">
      <w:pPr>
        <w:pStyle w:val="a9"/>
        <w:numPr>
          <w:ilvl w:val="0"/>
          <w:numId w:val="2"/>
        </w:numPr>
        <w:spacing w:line="360" w:lineRule="auto"/>
        <w:jc w:val="both"/>
        <w:rPr>
          <w:rFonts w:ascii="David" w:hAnsi="David" w:cs="David"/>
          <w:sz w:val="24"/>
          <w:szCs w:val="24"/>
        </w:rPr>
      </w:pPr>
      <w:r w:rsidRPr="00B139C4">
        <w:rPr>
          <w:rFonts w:ascii="David" w:hAnsi="David" w:cs="David" w:hint="cs"/>
          <w:sz w:val="24"/>
          <w:szCs w:val="24"/>
          <w:rtl/>
        </w:rPr>
        <w:t xml:space="preserve">קנס בסך 1,000 ₪ או 5 ימי מאסר תמורתו. ניתן לקזז את הקנס מכל סכום שהופקד בתיק </w:t>
      </w:r>
      <w:hyperlink r:id="rId24" w:history="1">
        <w:r w:rsidR="00992052" w:rsidRPr="00B139C4">
          <w:rPr>
            <w:rFonts w:ascii="David" w:hAnsi="David" w:cs="David"/>
            <w:color w:val="0000FF"/>
            <w:sz w:val="24"/>
            <w:szCs w:val="24"/>
            <w:u w:val="single"/>
            <w:rtl/>
          </w:rPr>
          <w:t>מ"ת 21042-10-19</w:t>
        </w:r>
      </w:hyperlink>
      <w:r w:rsidRPr="00B139C4">
        <w:rPr>
          <w:rFonts w:ascii="David" w:hAnsi="David" w:cs="David" w:hint="cs"/>
          <w:sz w:val="24"/>
          <w:szCs w:val="24"/>
          <w:rtl/>
        </w:rPr>
        <w:t xml:space="preserve"> או בתיק </w:t>
      </w:r>
      <w:hyperlink r:id="rId25" w:history="1">
        <w:r w:rsidR="00992052" w:rsidRPr="00B139C4">
          <w:rPr>
            <w:rFonts w:ascii="David" w:hAnsi="David" w:cs="David"/>
            <w:color w:val="0000FF"/>
            <w:sz w:val="24"/>
            <w:szCs w:val="24"/>
            <w:u w:val="single"/>
            <w:rtl/>
          </w:rPr>
          <w:t>מ"י 1506-10-19</w:t>
        </w:r>
      </w:hyperlink>
      <w:r w:rsidRPr="00B139C4">
        <w:rPr>
          <w:rFonts w:ascii="David" w:hAnsi="David" w:cs="David" w:hint="cs"/>
          <w:sz w:val="24"/>
          <w:szCs w:val="24"/>
          <w:rtl/>
        </w:rPr>
        <w:t>. יתרת הפיקדון שמעבר לקיזוז תוחזר לנאשם אם לא הוטל על הכסף עיקול ואין מניעה חוקית אחרת להחזירו.</w:t>
      </w:r>
    </w:p>
    <w:p w14:paraId="6767D220" w14:textId="77777777" w:rsidR="000432F2" w:rsidRPr="00B139C4" w:rsidRDefault="000432F2" w:rsidP="000432F2">
      <w:pPr>
        <w:pStyle w:val="a9"/>
        <w:spacing w:line="360" w:lineRule="auto"/>
        <w:rPr>
          <w:rFonts w:ascii="David" w:hAnsi="David" w:cs="David"/>
          <w:sz w:val="24"/>
          <w:szCs w:val="24"/>
          <w:rtl/>
        </w:rPr>
      </w:pPr>
    </w:p>
    <w:p w14:paraId="14F512FC"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מוצא בזאת צו מבחן למשך 18 חודשים בעניינו של הנאשם.</w:t>
      </w:r>
    </w:p>
    <w:p w14:paraId="18E5FC9B" w14:textId="77777777" w:rsidR="000432F2" w:rsidRPr="00B139C4" w:rsidRDefault="000432F2" w:rsidP="000432F2">
      <w:pPr>
        <w:pStyle w:val="a9"/>
        <w:spacing w:line="360" w:lineRule="auto"/>
        <w:jc w:val="both"/>
        <w:rPr>
          <w:rFonts w:ascii="David" w:hAnsi="David" w:cs="David"/>
          <w:sz w:val="24"/>
          <w:szCs w:val="24"/>
        </w:rPr>
      </w:pPr>
    </w:p>
    <w:p w14:paraId="4A187C7B"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מובהר לנאשם שהפרת צו המבחן או צו השל"ץ עשויים להביא להטלת עונשים אחרים תחתם.</w:t>
      </w:r>
    </w:p>
    <w:p w14:paraId="286C610A" w14:textId="77777777" w:rsidR="000432F2" w:rsidRPr="00B139C4" w:rsidRDefault="000432F2" w:rsidP="000432F2">
      <w:pPr>
        <w:pStyle w:val="a9"/>
        <w:rPr>
          <w:rFonts w:ascii="David" w:hAnsi="David" w:cs="David"/>
          <w:sz w:val="24"/>
          <w:szCs w:val="24"/>
          <w:rtl/>
        </w:rPr>
      </w:pPr>
    </w:p>
    <w:p w14:paraId="60D374C1"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 xml:space="preserve">בהתאם להוראת </w:t>
      </w:r>
      <w:hyperlink r:id="rId26" w:history="1">
        <w:r w:rsidR="00992052" w:rsidRPr="00B139C4">
          <w:rPr>
            <w:rFonts w:ascii="David" w:hAnsi="David" w:cs="David"/>
            <w:color w:val="0000FF"/>
            <w:sz w:val="24"/>
            <w:szCs w:val="24"/>
            <w:u w:val="single"/>
            <w:rtl/>
          </w:rPr>
          <w:t>פקודת הסמים המסוכנים</w:t>
        </w:r>
      </w:hyperlink>
      <w:r w:rsidRPr="00B139C4">
        <w:rPr>
          <w:rFonts w:ascii="David" w:hAnsi="David" w:cs="David" w:hint="cs"/>
          <w:sz w:val="24"/>
          <w:szCs w:val="24"/>
          <w:rtl/>
        </w:rPr>
        <w:t xml:space="preserve"> [נוסח חדש], תשל"ג-1973 לנוכח הרשעת הנאשם בעבירה של סחר בסמים, אני מכריז עליו כסוחר סמים, ומורה על חילוט סכום של 700 ₪ שנתפס ברשותו.</w:t>
      </w:r>
    </w:p>
    <w:p w14:paraId="2B32EBD4" w14:textId="77777777" w:rsidR="000432F2" w:rsidRPr="00B139C4" w:rsidRDefault="000432F2" w:rsidP="000432F2">
      <w:pPr>
        <w:pStyle w:val="a9"/>
        <w:rPr>
          <w:rFonts w:ascii="David" w:hAnsi="David" w:cs="David"/>
          <w:sz w:val="24"/>
          <w:szCs w:val="24"/>
          <w:rtl/>
        </w:rPr>
      </w:pPr>
    </w:p>
    <w:p w14:paraId="5B8DE414" w14:textId="77777777" w:rsidR="000432F2" w:rsidRPr="00B139C4" w:rsidRDefault="000432F2" w:rsidP="000432F2">
      <w:pPr>
        <w:pStyle w:val="a9"/>
        <w:numPr>
          <w:ilvl w:val="0"/>
          <w:numId w:val="1"/>
        </w:numPr>
        <w:spacing w:line="360" w:lineRule="auto"/>
        <w:jc w:val="both"/>
        <w:rPr>
          <w:rFonts w:ascii="David" w:hAnsi="David" w:cs="David"/>
          <w:sz w:val="24"/>
          <w:szCs w:val="24"/>
        </w:rPr>
      </w:pPr>
      <w:r w:rsidRPr="00B139C4">
        <w:rPr>
          <w:rFonts w:ascii="David" w:hAnsi="David" w:cs="David" w:hint="cs"/>
          <w:sz w:val="24"/>
          <w:szCs w:val="24"/>
          <w:rtl/>
        </w:rPr>
        <w:t>לנוכח חד פעמיות העבירה, היקפה של העבירה והתפקיד האינסידנטלי של הקטנוע בביצוע העבירה ומתוך הקפדה על עיקרון המידתיות, לא מצאתי לנכון לגזור על הנאשם עונש הקשור לרשיון הנהיגה שלו או להורות על חילוט הקטנוע. לפיכך, אני מורה להחזיר לנאשם את הקטנוע התפוס שמספרו 357-84-801. סמים שנתפסו, יושמדו.</w:t>
      </w:r>
    </w:p>
    <w:p w14:paraId="6D73B8B7" w14:textId="77777777" w:rsidR="000432F2" w:rsidRPr="00B139C4" w:rsidRDefault="000432F2" w:rsidP="000432F2">
      <w:pPr>
        <w:ind w:left="360"/>
        <w:rPr>
          <w:rFonts w:ascii="David" w:hAnsi="David"/>
          <w:rtl/>
        </w:rPr>
      </w:pPr>
      <w:r w:rsidRPr="00B139C4">
        <w:rPr>
          <w:rFonts w:ascii="David" w:hAnsi="David" w:hint="cs"/>
          <w:rtl/>
        </w:rPr>
        <w:t>זכות ערעור לבית המשפט המחוזי בתוך 45 יום.</w:t>
      </w:r>
    </w:p>
    <w:p w14:paraId="0B824270" w14:textId="77777777" w:rsidR="000432F2" w:rsidRPr="00B139C4" w:rsidRDefault="000432F2" w:rsidP="000432F2">
      <w:pPr>
        <w:ind w:left="360"/>
        <w:rPr>
          <w:rFonts w:ascii="David" w:hAnsi="David"/>
          <w:rtl/>
        </w:rPr>
      </w:pPr>
    </w:p>
    <w:p w14:paraId="1F3B8334" w14:textId="77777777" w:rsidR="000432F2" w:rsidRPr="00B139C4" w:rsidRDefault="00992052" w:rsidP="000432F2">
      <w:pPr>
        <w:ind w:left="360"/>
        <w:rPr>
          <w:rFonts w:ascii="David" w:hAnsi="David"/>
        </w:rPr>
      </w:pPr>
      <w:r w:rsidRPr="00B139C4">
        <w:rPr>
          <w:rFonts w:ascii="David" w:hAnsi="David"/>
          <w:color w:val="FFFFFF"/>
          <w:sz w:val="2"/>
          <w:szCs w:val="2"/>
          <w:rtl/>
        </w:rPr>
        <w:t>5129371</w:t>
      </w:r>
      <w:r w:rsidR="000432F2" w:rsidRPr="00B139C4">
        <w:rPr>
          <w:rFonts w:ascii="David" w:hAnsi="David" w:hint="cs"/>
          <w:rtl/>
        </w:rPr>
        <w:t>המזכירות תשלח גזר דין זה לשירות המבחן.</w:t>
      </w:r>
    </w:p>
    <w:p w14:paraId="4925246D" w14:textId="77777777" w:rsidR="000432F2" w:rsidRPr="00B139C4" w:rsidRDefault="00992052" w:rsidP="000432F2">
      <w:pPr>
        <w:spacing w:line="360" w:lineRule="auto"/>
        <w:rPr>
          <w:rFonts w:ascii="Arial" w:hAnsi="Arial"/>
          <w:color w:val="FFFFFF"/>
          <w:sz w:val="2"/>
          <w:szCs w:val="2"/>
          <w:rtl/>
        </w:rPr>
      </w:pPr>
      <w:r w:rsidRPr="00B139C4">
        <w:rPr>
          <w:rFonts w:ascii="Arial" w:hAnsi="Arial"/>
          <w:color w:val="FFFFFF"/>
          <w:sz w:val="2"/>
          <w:szCs w:val="2"/>
          <w:rtl/>
        </w:rPr>
        <w:t>54678313</w:t>
      </w:r>
    </w:p>
    <w:p w14:paraId="30F34ED4" w14:textId="77777777" w:rsidR="000432F2" w:rsidRPr="00B139C4" w:rsidRDefault="00992052" w:rsidP="000432F2">
      <w:pPr>
        <w:rPr>
          <w:rtl/>
        </w:rPr>
      </w:pPr>
      <w:bookmarkStart w:id="8" w:name="Nitan"/>
      <w:r w:rsidRPr="00B139C4">
        <w:rPr>
          <w:rFonts w:ascii="Arial" w:hAnsi="Arial"/>
          <w:rtl/>
        </w:rPr>
        <w:t xml:space="preserve">ניתן היום, 21 במרץ 2022, בנוכחות הצדדים. </w:t>
      </w:r>
      <w:bookmarkEnd w:id="8"/>
    </w:p>
    <w:p w14:paraId="0123DDB5" w14:textId="77777777" w:rsidR="000432F2" w:rsidRPr="00B139C4" w:rsidRDefault="000432F2" w:rsidP="00992052">
      <w:pPr>
        <w:jc w:val="center"/>
      </w:pPr>
      <w:r w:rsidRPr="00B139C4">
        <w:rPr>
          <w:rFonts w:hint="cs"/>
          <w:rtl/>
        </w:rPr>
        <w:t xml:space="preserve">   </w:t>
      </w:r>
      <w:r w:rsidRPr="00B139C4">
        <w:rPr>
          <w:rFonts w:hint="cs"/>
          <w:rtl/>
        </w:rPr>
        <w:tab/>
      </w:r>
      <w:r w:rsidRPr="00B139C4">
        <w:rPr>
          <w:rFonts w:hint="cs"/>
          <w:rtl/>
        </w:rPr>
        <w:tab/>
      </w:r>
      <w:r w:rsidRPr="00B139C4">
        <w:rPr>
          <w:rFonts w:hint="cs"/>
          <w:rtl/>
        </w:rPr>
        <w:tab/>
      </w:r>
      <w:r w:rsidRPr="00B139C4">
        <w:rPr>
          <w:rFonts w:hint="cs"/>
          <w:rtl/>
        </w:rPr>
        <w:tab/>
      </w:r>
      <w:r w:rsidRPr="00B139C4">
        <w:rPr>
          <w:rFonts w:hint="cs"/>
          <w:rtl/>
        </w:rPr>
        <w:tab/>
      </w:r>
    </w:p>
    <w:p w14:paraId="57FD0F31" w14:textId="77777777" w:rsidR="000432F2" w:rsidRPr="00B139C4" w:rsidRDefault="000432F2" w:rsidP="000432F2">
      <w:pPr>
        <w:jc w:val="center"/>
        <w:rPr>
          <w:rFonts w:ascii="Arial" w:hAnsi="Arial"/>
          <w:rtl/>
        </w:rPr>
      </w:pPr>
    </w:p>
    <w:p w14:paraId="223CAB9D" w14:textId="77777777" w:rsidR="000432F2" w:rsidRPr="00B139C4" w:rsidRDefault="00B139C4" w:rsidP="000432F2">
      <w:pPr>
        <w:pStyle w:val="a3"/>
        <w:rPr>
          <w:color w:val="FFFFFF"/>
          <w:sz w:val="2"/>
          <w:szCs w:val="2"/>
          <w:rtl/>
        </w:rPr>
      </w:pPr>
      <w:r w:rsidRPr="00B139C4">
        <w:rPr>
          <w:color w:val="FFFFFF"/>
          <w:sz w:val="2"/>
          <w:szCs w:val="2"/>
          <w:rtl/>
        </w:rPr>
        <w:t>5129371</w:t>
      </w:r>
    </w:p>
    <w:p w14:paraId="0C9058B1" w14:textId="77777777" w:rsidR="006428F0" w:rsidRPr="00B139C4" w:rsidRDefault="00B139C4" w:rsidP="00992052">
      <w:pPr>
        <w:keepNext/>
        <w:rPr>
          <w:rFonts w:ascii="David" w:hAnsi="David"/>
          <w:color w:val="FFFFFF"/>
          <w:sz w:val="2"/>
          <w:szCs w:val="2"/>
          <w:rtl/>
        </w:rPr>
      </w:pPr>
      <w:r w:rsidRPr="00B139C4">
        <w:rPr>
          <w:rFonts w:ascii="David" w:hAnsi="David"/>
          <w:color w:val="FFFFFF"/>
          <w:sz w:val="2"/>
          <w:szCs w:val="2"/>
          <w:rtl/>
        </w:rPr>
        <w:t>54678313</w:t>
      </w:r>
    </w:p>
    <w:p w14:paraId="18A729B0" w14:textId="77777777" w:rsidR="00992052" w:rsidRPr="00B139C4" w:rsidRDefault="00992052" w:rsidP="00992052">
      <w:pPr>
        <w:rPr>
          <w:rtl/>
        </w:rPr>
      </w:pPr>
    </w:p>
    <w:p w14:paraId="5FF6FEEE" w14:textId="77777777" w:rsidR="00992052" w:rsidRPr="00B139C4" w:rsidRDefault="00992052" w:rsidP="00992052">
      <w:pPr>
        <w:jc w:val="center"/>
        <w:rPr>
          <w:color w:val="0000FF"/>
          <w:u w:val="single"/>
        </w:rPr>
      </w:pPr>
      <w:hyperlink r:id="rId27" w:history="1">
        <w:r w:rsidRPr="00B139C4">
          <w:rPr>
            <w:color w:val="0000FF"/>
            <w:u w:val="single"/>
            <w:rtl/>
          </w:rPr>
          <w:t>בעניין עריכה ושינויים במסמכי פסיקה, חקיקה ועוד באתר נבו – הקש כאן</w:t>
        </w:r>
      </w:hyperlink>
    </w:p>
    <w:p w14:paraId="219EE0EE" w14:textId="77777777" w:rsidR="00B139C4" w:rsidRPr="00B139C4" w:rsidRDefault="00B139C4" w:rsidP="00B139C4">
      <w:pPr>
        <w:keepNext/>
        <w:rPr>
          <w:rFonts w:ascii="David" w:hAnsi="David"/>
          <w:color w:val="000000"/>
          <w:sz w:val="22"/>
          <w:szCs w:val="22"/>
          <w:rtl/>
        </w:rPr>
      </w:pPr>
    </w:p>
    <w:p w14:paraId="6727D696" w14:textId="77777777" w:rsidR="00B139C4" w:rsidRPr="00B139C4" w:rsidRDefault="00B139C4" w:rsidP="00B139C4">
      <w:pPr>
        <w:keepNext/>
        <w:rPr>
          <w:rFonts w:ascii="David" w:hAnsi="David"/>
          <w:color w:val="000000"/>
          <w:sz w:val="22"/>
          <w:szCs w:val="22"/>
          <w:rtl/>
        </w:rPr>
      </w:pPr>
      <w:r w:rsidRPr="00B139C4">
        <w:rPr>
          <w:rFonts w:ascii="David" w:hAnsi="David"/>
          <w:color w:val="000000"/>
          <w:sz w:val="22"/>
          <w:szCs w:val="22"/>
          <w:rtl/>
        </w:rPr>
        <w:t>איתי הרמלין 54678313-/</w:t>
      </w:r>
    </w:p>
    <w:p w14:paraId="7E60274F" w14:textId="77777777" w:rsidR="00992052" w:rsidRPr="00B139C4" w:rsidRDefault="00B139C4" w:rsidP="00B139C4">
      <w:pPr>
        <w:rPr>
          <w:color w:val="0000FF"/>
          <w:u w:val="single"/>
        </w:rPr>
      </w:pPr>
      <w:r w:rsidRPr="00B139C4">
        <w:rPr>
          <w:color w:val="000000"/>
          <w:u w:val="single"/>
          <w:rtl/>
        </w:rPr>
        <w:t>נוסח מסמך זה כפוף לשינויי ניסוח ועריכה</w:t>
      </w:r>
    </w:p>
    <w:sectPr w:rsidR="00992052" w:rsidRPr="00B139C4" w:rsidSect="00B139C4">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9076" w14:textId="77777777" w:rsidR="00B97982" w:rsidRDefault="00B97982" w:rsidP="000432F2">
      <w:r>
        <w:separator/>
      </w:r>
    </w:p>
  </w:endnote>
  <w:endnote w:type="continuationSeparator" w:id="0">
    <w:p w14:paraId="280E5E1A" w14:textId="77777777" w:rsidR="00B97982" w:rsidRDefault="00B97982" w:rsidP="0004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223F4" w14:textId="77777777" w:rsidR="00B139C4" w:rsidRDefault="00B139C4" w:rsidP="00B139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CA48BE" w14:textId="77777777" w:rsidR="00E7376D" w:rsidRPr="00B139C4" w:rsidRDefault="00B139C4" w:rsidP="00B139C4">
    <w:pPr>
      <w:pStyle w:val="a5"/>
      <w:pBdr>
        <w:top w:val="single" w:sz="4" w:space="1" w:color="auto"/>
        <w:between w:val="single" w:sz="4" w:space="0" w:color="auto"/>
      </w:pBdr>
      <w:spacing w:after="60"/>
      <w:jc w:val="center"/>
      <w:rPr>
        <w:rFonts w:ascii="FrankRuehl" w:hAnsi="FrankRuehl" w:cs="FrankRuehl"/>
        <w:color w:val="000000"/>
      </w:rPr>
    </w:pPr>
    <w:r w:rsidRPr="00B139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94407" w14:textId="77777777" w:rsidR="00B139C4" w:rsidRDefault="00B139C4" w:rsidP="00B139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5346">
      <w:rPr>
        <w:rFonts w:ascii="FrankRuehl" w:hAnsi="FrankRuehl" w:cs="FrankRuehl"/>
        <w:noProof/>
        <w:rtl/>
      </w:rPr>
      <w:t>1</w:t>
    </w:r>
    <w:r>
      <w:rPr>
        <w:rFonts w:ascii="FrankRuehl" w:hAnsi="FrankRuehl" w:cs="FrankRuehl"/>
        <w:rtl/>
      </w:rPr>
      <w:fldChar w:fldCharType="end"/>
    </w:r>
  </w:p>
  <w:p w14:paraId="30238F25" w14:textId="77777777" w:rsidR="00E7376D" w:rsidRPr="00B139C4" w:rsidRDefault="00B139C4" w:rsidP="00B139C4">
    <w:pPr>
      <w:pStyle w:val="a5"/>
      <w:pBdr>
        <w:top w:val="single" w:sz="4" w:space="1" w:color="auto"/>
        <w:between w:val="single" w:sz="4" w:space="0" w:color="auto"/>
      </w:pBdr>
      <w:spacing w:after="60"/>
      <w:jc w:val="center"/>
      <w:rPr>
        <w:rFonts w:ascii="FrankRuehl" w:hAnsi="FrankRuehl" w:cs="FrankRuehl"/>
        <w:color w:val="000000"/>
      </w:rPr>
    </w:pPr>
    <w:r w:rsidRPr="00B139C4">
      <w:rPr>
        <w:rFonts w:ascii="FrankRuehl" w:hAnsi="FrankRuehl" w:cs="FrankRuehl"/>
        <w:color w:val="000000"/>
      </w:rPr>
      <w:pict w14:anchorId="7F8AD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A8425" w14:textId="77777777" w:rsidR="00B97982" w:rsidRDefault="00B97982" w:rsidP="000432F2">
      <w:r>
        <w:separator/>
      </w:r>
    </w:p>
  </w:footnote>
  <w:footnote w:type="continuationSeparator" w:id="0">
    <w:p w14:paraId="7DBBDC57" w14:textId="77777777" w:rsidR="00B97982" w:rsidRDefault="00B97982" w:rsidP="000432F2">
      <w:r>
        <w:continuationSeparator/>
      </w:r>
    </w:p>
  </w:footnote>
  <w:footnote w:id="1">
    <w:p w14:paraId="0B84955C" w14:textId="77777777" w:rsidR="000432F2" w:rsidRDefault="000432F2" w:rsidP="000432F2">
      <w:pPr>
        <w:pStyle w:val="aa"/>
        <w:rPr>
          <w:rtl/>
        </w:rPr>
      </w:pPr>
      <w:r>
        <w:rPr>
          <w:rStyle w:val="ac"/>
        </w:rPr>
        <w:footnoteRef/>
      </w:r>
      <w:r>
        <w:rPr>
          <w:rtl/>
        </w:rPr>
        <w:t xml:space="preserve"> </w:t>
      </w:r>
      <w:r>
        <w:rPr>
          <w:rFonts w:hint="cs"/>
          <w:rtl/>
        </w:rPr>
        <w:t xml:space="preserve">ע"פ 2083/96‏ </w:t>
      </w:r>
      <w:r>
        <w:rPr>
          <w:rFonts w:hint="cs"/>
          <w:b/>
          <w:bCs/>
          <w:rtl/>
        </w:rPr>
        <w:t>תמר כתב נ' מדינת ישראל</w:t>
      </w:r>
      <w:r>
        <w:rPr>
          <w:rFonts w:hint="cs"/>
          <w:rtl/>
        </w:rPr>
        <w:t xml:space="preserve"> (21.8.1997)</w:t>
      </w:r>
    </w:p>
  </w:footnote>
  <w:footnote w:id="2">
    <w:p w14:paraId="7862A5D6" w14:textId="77777777" w:rsidR="000432F2" w:rsidRPr="00620552" w:rsidRDefault="000432F2" w:rsidP="000432F2">
      <w:pPr>
        <w:pStyle w:val="aa"/>
        <w:rPr>
          <w:rtl/>
        </w:rPr>
      </w:pPr>
      <w:r>
        <w:rPr>
          <w:rStyle w:val="ac"/>
        </w:rPr>
        <w:footnoteRef/>
      </w:r>
      <w:r>
        <w:rPr>
          <w:rtl/>
        </w:rPr>
        <w:t xml:space="preserve"> </w:t>
      </w:r>
      <w:hyperlink r:id="rId1" w:history="1">
        <w:r w:rsidR="00992052" w:rsidRPr="00992052">
          <w:rPr>
            <w:color w:val="0000FF"/>
            <w:u w:val="single"/>
            <w:rtl/>
          </w:rPr>
          <w:t>ר"ע 432/85</w:t>
        </w:r>
      </w:hyperlink>
      <w:r w:rsidRPr="00620552">
        <w:rPr>
          <w:rFonts w:hint="cs"/>
          <w:rtl/>
        </w:rPr>
        <w:t xml:space="preserve"> </w:t>
      </w:r>
      <w:r w:rsidRPr="00620552">
        <w:rPr>
          <w:rFonts w:hint="cs"/>
          <w:b/>
          <w:bCs/>
          <w:rtl/>
        </w:rPr>
        <w:t>גדעון רומנו נ' מדינת ישראל</w:t>
      </w:r>
      <w:r w:rsidRPr="00620552">
        <w:rPr>
          <w:rFonts w:hint="cs"/>
          <w:rtl/>
        </w:rPr>
        <w:t xml:space="preserve"> (21.8.1985)</w:t>
      </w:r>
    </w:p>
  </w:footnote>
  <w:footnote w:id="3">
    <w:p w14:paraId="7B810484" w14:textId="77777777" w:rsidR="000432F2" w:rsidRPr="00620552" w:rsidRDefault="000432F2" w:rsidP="000432F2">
      <w:pPr>
        <w:pStyle w:val="aa"/>
        <w:rPr>
          <w:rtl/>
        </w:rPr>
      </w:pPr>
      <w:r w:rsidRPr="00620552">
        <w:rPr>
          <w:rStyle w:val="ac"/>
        </w:rPr>
        <w:footnoteRef/>
      </w:r>
      <w:r w:rsidRPr="00620552">
        <w:rPr>
          <w:rtl/>
        </w:rPr>
        <w:t xml:space="preserve"> </w:t>
      </w:r>
      <w:r w:rsidRPr="00620552">
        <w:rPr>
          <w:rFonts w:hint="cs"/>
          <w:b/>
          <w:bCs/>
          <w:rtl/>
        </w:rPr>
        <w:t>ע"פ</w:t>
      </w:r>
      <w:r w:rsidRPr="00620552">
        <w:rPr>
          <w:rFonts w:hint="cs"/>
          <w:rtl/>
        </w:rPr>
        <w:t xml:space="preserve"> </w:t>
      </w:r>
      <w:r w:rsidRPr="00620552">
        <w:rPr>
          <w:rFonts w:hint="cs"/>
          <w:b/>
          <w:bCs/>
          <w:rtl/>
        </w:rPr>
        <w:t>כתב</w:t>
      </w:r>
      <w:r w:rsidRPr="00620552">
        <w:rPr>
          <w:rFonts w:hint="cs"/>
          <w:rtl/>
        </w:rPr>
        <w:t xml:space="preserve"> הנ"ל</w:t>
      </w:r>
    </w:p>
  </w:footnote>
  <w:footnote w:id="4">
    <w:p w14:paraId="1F972CDF" w14:textId="77777777" w:rsidR="000432F2" w:rsidRDefault="000432F2" w:rsidP="000432F2">
      <w:pPr>
        <w:pStyle w:val="aa"/>
        <w:rPr>
          <w:rtl/>
        </w:rPr>
      </w:pPr>
      <w:r w:rsidRPr="00620552">
        <w:rPr>
          <w:rStyle w:val="ac"/>
        </w:rPr>
        <w:footnoteRef/>
      </w:r>
      <w:r w:rsidRPr="00620552">
        <w:rPr>
          <w:rtl/>
        </w:rPr>
        <w:t xml:space="preserve"> </w:t>
      </w:r>
      <w:hyperlink r:id="rId2" w:history="1">
        <w:r w:rsidR="00992052" w:rsidRPr="00992052">
          <w:rPr>
            <w:color w:val="0000FF"/>
            <w:u w:val="single"/>
            <w:rtl/>
          </w:rPr>
          <w:t>רע"פ 3589/14</w:t>
        </w:r>
      </w:hyperlink>
      <w:r w:rsidRPr="00620552">
        <w:rPr>
          <w:rFonts w:hint="cs"/>
          <w:rtl/>
        </w:rPr>
        <w:t xml:space="preserve"> ‏</w:t>
      </w:r>
      <w:r w:rsidRPr="00620552">
        <w:rPr>
          <w:rFonts w:hint="cs"/>
          <w:b/>
          <w:bCs/>
          <w:rtl/>
        </w:rPr>
        <w:t xml:space="preserve">שרון </w:t>
      </w:r>
      <w:r>
        <w:rPr>
          <w:rFonts w:hint="cs"/>
          <w:b/>
          <w:bCs/>
          <w:rtl/>
        </w:rPr>
        <w:t>לוזון נ' מדינת ישראל</w:t>
      </w:r>
      <w:r>
        <w:rPr>
          <w:rFonts w:hint="cs"/>
          <w:rtl/>
        </w:rPr>
        <w:t xml:space="preserve"> (10.6.2014)</w:t>
      </w:r>
    </w:p>
  </w:footnote>
  <w:footnote w:id="5">
    <w:p w14:paraId="05A136AA" w14:textId="77777777" w:rsidR="000432F2" w:rsidRDefault="000432F2" w:rsidP="000432F2">
      <w:pPr>
        <w:pStyle w:val="aa"/>
      </w:pPr>
      <w:r>
        <w:rPr>
          <w:rStyle w:val="ac"/>
        </w:rPr>
        <w:footnoteRef/>
      </w:r>
      <w:r>
        <w:rPr>
          <w:rtl/>
        </w:rPr>
        <w:t xml:space="preserve"> </w:t>
      </w:r>
      <w:hyperlink r:id="rId3" w:history="1">
        <w:r w:rsidR="00992052" w:rsidRPr="00992052">
          <w:rPr>
            <w:color w:val="0000FF"/>
            <w:u w:val="single"/>
            <w:rtl/>
          </w:rPr>
          <w:t>רע"פ 3515/12</w:t>
        </w:r>
      </w:hyperlink>
      <w:r>
        <w:rPr>
          <w:rFonts w:hint="cs"/>
          <w:rtl/>
        </w:rPr>
        <w:t xml:space="preserve"> </w:t>
      </w:r>
      <w:r>
        <w:rPr>
          <w:rFonts w:hint="cs"/>
          <w:b/>
          <w:bCs/>
          <w:rtl/>
        </w:rPr>
        <w:t>מדינת ישראל נ' דוד שבתאי</w:t>
      </w:r>
      <w:r>
        <w:rPr>
          <w:rFonts w:hint="cs"/>
          <w:rtl/>
        </w:rPr>
        <w:t xml:space="preserve"> (10.9.2013).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7D311" w14:textId="77777777" w:rsidR="00992052" w:rsidRPr="00B139C4" w:rsidRDefault="00B139C4" w:rsidP="00B139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21056-10-19</w:t>
    </w:r>
    <w:r>
      <w:rPr>
        <w:rFonts w:ascii="David" w:hAnsi="David"/>
        <w:color w:val="000000"/>
        <w:sz w:val="22"/>
        <w:szCs w:val="22"/>
        <w:rtl/>
      </w:rPr>
      <w:tab/>
      <w:t xml:space="preserve"> מדינת ישראל נ' גיא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60E3B" w14:textId="77777777" w:rsidR="00992052" w:rsidRPr="00B139C4" w:rsidRDefault="00B139C4" w:rsidP="00B139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21056-10-19</w:t>
    </w:r>
    <w:r>
      <w:rPr>
        <w:rFonts w:ascii="David" w:hAnsi="David"/>
        <w:color w:val="000000"/>
        <w:sz w:val="22"/>
        <w:szCs w:val="22"/>
        <w:rtl/>
      </w:rPr>
      <w:tab/>
      <w:t xml:space="preserve"> מדינת ישראל נ' גיא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A3B35"/>
    <w:multiLevelType w:val="hybridMultilevel"/>
    <w:tmpl w:val="4044D4A0"/>
    <w:lvl w:ilvl="0" w:tplc="376EF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23DCA"/>
    <w:multiLevelType w:val="hybridMultilevel"/>
    <w:tmpl w:val="924CD936"/>
    <w:lvl w:ilvl="0" w:tplc="6CF44AB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060094">
    <w:abstractNumId w:val="0"/>
  </w:num>
  <w:num w:numId="2" w16cid:durableId="532615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32F2"/>
    <w:rsid w:val="000432F2"/>
    <w:rsid w:val="000C1F48"/>
    <w:rsid w:val="001B5A3B"/>
    <w:rsid w:val="002B3D03"/>
    <w:rsid w:val="00355917"/>
    <w:rsid w:val="00366F35"/>
    <w:rsid w:val="004D2BDD"/>
    <w:rsid w:val="00534C92"/>
    <w:rsid w:val="00535346"/>
    <w:rsid w:val="005658C4"/>
    <w:rsid w:val="00621647"/>
    <w:rsid w:val="006428F0"/>
    <w:rsid w:val="00992052"/>
    <w:rsid w:val="00B139C4"/>
    <w:rsid w:val="00B97982"/>
    <w:rsid w:val="00E7376D"/>
    <w:rsid w:val="00EF6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213448"/>
  <w15:chartTrackingRefBased/>
  <w15:docId w15:val="{A76FD46B-9899-44AA-808A-1D75DAC2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32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32F2"/>
    <w:pPr>
      <w:tabs>
        <w:tab w:val="center" w:pos="4153"/>
        <w:tab w:val="right" w:pos="8306"/>
      </w:tabs>
    </w:pPr>
  </w:style>
  <w:style w:type="character" w:customStyle="1" w:styleId="a4">
    <w:name w:val="כותרת עליונה תו"/>
    <w:link w:val="a3"/>
    <w:rsid w:val="000432F2"/>
    <w:rPr>
      <w:rFonts w:ascii="Times New Roman" w:eastAsia="Times New Roman" w:hAnsi="Times New Roman" w:cs="David"/>
      <w:sz w:val="24"/>
      <w:szCs w:val="24"/>
    </w:rPr>
  </w:style>
  <w:style w:type="paragraph" w:styleId="a5">
    <w:name w:val="footer"/>
    <w:basedOn w:val="a"/>
    <w:link w:val="a6"/>
    <w:rsid w:val="000432F2"/>
    <w:pPr>
      <w:tabs>
        <w:tab w:val="center" w:pos="4153"/>
        <w:tab w:val="right" w:pos="8306"/>
      </w:tabs>
    </w:pPr>
  </w:style>
  <w:style w:type="character" w:customStyle="1" w:styleId="a6">
    <w:name w:val="כותרת תחתונה תו"/>
    <w:link w:val="a5"/>
    <w:rsid w:val="000432F2"/>
    <w:rPr>
      <w:rFonts w:ascii="Times New Roman" w:eastAsia="Times New Roman" w:hAnsi="Times New Roman" w:cs="David"/>
      <w:sz w:val="24"/>
      <w:szCs w:val="24"/>
    </w:rPr>
  </w:style>
  <w:style w:type="table" w:styleId="a7">
    <w:name w:val="Table Grid"/>
    <w:basedOn w:val="a1"/>
    <w:rsid w:val="000432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32F2"/>
  </w:style>
  <w:style w:type="paragraph" w:styleId="a9">
    <w:name w:val="List Paragraph"/>
    <w:basedOn w:val="a"/>
    <w:qFormat/>
    <w:rsid w:val="000432F2"/>
    <w:pPr>
      <w:spacing w:after="160" w:line="259" w:lineRule="auto"/>
      <w:ind w:left="720"/>
      <w:contextualSpacing/>
    </w:pPr>
    <w:rPr>
      <w:rFonts w:ascii="Calibri" w:eastAsia="Calibri" w:hAnsi="Calibri" w:cs="Arial"/>
      <w:sz w:val="22"/>
      <w:szCs w:val="22"/>
    </w:rPr>
  </w:style>
  <w:style w:type="paragraph" w:styleId="aa">
    <w:name w:val="footnote text"/>
    <w:basedOn w:val="a"/>
    <w:link w:val="ab"/>
    <w:rsid w:val="000432F2"/>
    <w:rPr>
      <w:sz w:val="20"/>
      <w:szCs w:val="20"/>
    </w:rPr>
  </w:style>
  <w:style w:type="character" w:customStyle="1" w:styleId="ab">
    <w:name w:val="טקסט הערת שוליים תו"/>
    <w:link w:val="aa"/>
    <w:rsid w:val="000432F2"/>
    <w:rPr>
      <w:rFonts w:ascii="Times New Roman" w:eastAsia="Times New Roman" w:hAnsi="Times New Roman" w:cs="David"/>
      <w:sz w:val="20"/>
      <w:szCs w:val="20"/>
    </w:rPr>
  </w:style>
  <w:style w:type="character" w:styleId="ac">
    <w:name w:val="footnote reference"/>
    <w:rsid w:val="000432F2"/>
    <w:rPr>
      <w:vertAlign w:val="superscript"/>
    </w:rPr>
  </w:style>
  <w:style w:type="character" w:styleId="Hyperlink">
    <w:name w:val="Hyperlink"/>
    <w:rsid w:val="00992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158178" TargetMode="External"/><Relationship Id="rId18" Type="http://schemas.openxmlformats.org/officeDocument/2006/relationships/hyperlink" Target="http://www.nevo.co.il/case/2529451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891752" TargetMode="External"/><Relationship Id="rId7" Type="http://schemas.openxmlformats.org/officeDocument/2006/relationships/hyperlink" Target="http://www.nevo.co.il/law/70301" TargetMode="External"/><Relationship Id="rId12" Type="http://schemas.openxmlformats.org/officeDocument/2006/relationships/hyperlink" Target="http://www.nevo.co.il/case/18784698" TargetMode="External"/><Relationship Id="rId17" Type="http://schemas.openxmlformats.org/officeDocument/2006/relationships/hyperlink" Target="http://www.nevo.co.il/case/27365823" TargetMode="External"/><Relationship Id="rId25" Type="http://schemas.openxmlformats.org/officeDocument/2006/relationships/hyperlink" Target="http://www.nevo.co.il/case/2607983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5488133" TargetMode="External"/><Relationship Id="rId20" Type="http://schemas.openxmlformats.org/officeDocument/2006/relationships/hyperlink" Target="http://www.nevo.co.il/case/1690036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2797714" TargetMode="External"/><Relationship Id="rId24" Type="http://schemas.openxmlformats.org/officeDocument/2006/relationships/hyperlink" Target="http://www.nevo.co.il/case/2610350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6197029"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case/18793360" TargetMode="External"/><Relationship Id="rId19" Type="http://schemas.openxmlformats.org/officeDocument/2006/relationships/hyperlink" Target="http://www.nevo.co.il/case/2781947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5777929" TargetMode="External"/><Relationship Id="rId22" Type="http://schemas.openxmlformats.org/officeDocument/2006/relationships/hyperlink" Target="http://www.nevo.co.il/law/70301/40d"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5583699" TargetMode="External"/><Relationship Id="rId2" Type="http://schemas.openxmlformats.org/officeDocument/2006/relationships/hyperlink" Target="http://www.nevo.co.il/case/16941543" TargetMode="External"/><Relationship Id="rId1" Type="http://schemas.openxmlformats.org/officeDocument/2006/relationships/hyperlink" Target="http://www.nevo.co.il/case/1794375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1781</Words>
  <Characters>8907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10667</CharactersWithSpaces>
  <SharedDoc>false</SharedDoc>
  <HLinks>
    <vt:vector size="144"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3670141</vt:i4>
      </vt:variant>
      <vt:variant>
        <vt:i4>54</vt:i4>
      </vt:variant>
      <vt:variant>
        <vt:i4>0</vt:i4>
      </vt:variant>
      <vt:variant>
        <vt:i4>5</vt:i4>
      </vt:variant>
      <vt:variant>
        <vt:lpwstr>http://www.nevo.co.il/case/26079835</vt:lpwstr>
      </vt:variant>
      <vt:variant>
        <vt:lpwstr/>
      </vt:variant>
      <vt:variant>
        <vt:i4>3145847</vt:i4>
      </vt:variant>
      <vt:variant>
        <vt:i4>51</vt:i4>
      </vt:variant>
      <vt:variant>
        <vt:i4>0</vt:i4>
      </vt:variant>
      <vt:variant>
        <vt:i4>5</vt:i4>
      </vt:variant>
      <vt:variant>
        <vt:lpwstr>http://www.nevo.co.il/case/26103502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4063354</vt:i4>
      </vt:variant>
      <vt:variant>
        <vt:i4>42</vt:i4>
      </vt:variant>
      <vt:variant>
        <vt:i4>0</vt:i4>
      </vt:variant>
      <vt:variant>
        <vt:i4>5</vt:i4>
      </vt:variant>
      <vt:variant>
        <vt:lpwstr>http://www.nevo.co.il/case/20891752</vt:lpwstr>
      </vt:variant>
      <vt:variant>
        <vt:lpwstr/>
      </vt:variant>
      <vt:variant>
        <vt:i4>4063345</vt:i4>
      </vt:variant>
      <vt:variant>
        <vt:i4>39</vt:i4>
      </vt:variant>
      <vt:variant>
        <vt:i4>0</vt:i4>
      </vt:variant>
      <vt:variant>
        <vt:i4>5</vt:i4>
      </vt:variant>
      <vt:variant>
        <vt:lpwstr>http://www.nevo.co.il/case/16900367</vt:lpwstr>
      </vt:variant>
      <vt:variant>
        <vt:lpwstr/>
      </vt:variant>
      <vt:variant>
        <vt:i4>3407990</vt:i4>
      </vt:variant>
      <vt:variant>
        <vt:i4>36</vt:i4>
      </vt:variant>
      <vt:variant>
        <vt:i4>0</vt:i4>
      </vt:variant>
      <vt:variant>
        <vt:i4>5</vt:i4>
      </vt:variant>
      <vt:variant>
        <vt:lpwstr>http://www.nevo.co.il/case/27819471</vt:lpwstr>
      </vt:variant>
      <vt:variant>
        <vt:lpwstr/>
      </vt:variant>
      <vt:variant>
        <vt:i4>3473533</vt:i4>
      </vt:variant>
      <vt:variant>
        <vt:i4>33</vt:i4>
      </vt:variant>
      <vt:variant>
        <vt:i4>0</vt:i4>
      </vt:variant>
      <vt:variant>
        <vt:i4>5</vt:i4>
      </vt:variant>
      <vt:variant>
        <vt:lpwstr>http://www.nevo.co.il/case/25294518</vt:lpwstr>
      </vt:variant>
      <vt:variant>
        <vt:lpwstr/>
      </vt:variant>
      <vt:variant>
        <vt:i4>3539069</vt:i4>
      </vt:variant>
      <vt:variant>
        <vt:i4>30</vt:i4>
      </vt:variant>
      <vt:variant>
        <vt:i4>0</vt:i4>
      </vt:variant>
      <vt:variant>
        <vt:i4>5</vt:i4>
      </vt:variant>
      <vt:variant>
        <vt:lpwstr>http://www.nevo.co.il/case/27365823</vt:lpwstr>
      </vt:variant>
      <vt:variant>
        <vt:lpwstr/>
      </vt:variant>
      <vt:variant>
        <vt:i4>3997816</vt:i4>
      </vt:variant>
      <vt:variant>
        <vt:i4>27</vt:i4>
      </vt:variant>
      <vt:variant>
        <vt:i4>0</vt:i4>
      </vt:variant>
      <vt:variant>
        <vt:i4>5</vt:i4>
      </vt:variant>
      <vt:variant>
        <vt:lpwstr>http://www.nevo.co.il/case/25488133</vt:lpwstr>
      </vt:variant>
      <vt:variant>
        <vt:lpwstr/>
      </vt:variant>
      <vt:variant>
        <vt:i4>3539067</vt:i4>
      </vt:variant>
      <vt:variant>
        <vt:i4>24</vt:i4>
      </vt:variant>
      <vt:variant>
        <vt:i4>0</vt:i4>
      </vt:variant>
      <vt:variant>
        <vt:i4>5</vt:i4>
      </vt:variant>
      <vt:variant>
        <vt:lpwstr>http://www.nevo.co.il/case/26197029</vt:lpwstr>
      </vt:variant>
      <vt:variant>
        <vt:lpwstr/>
      </vt:variant>
      <vt:variant>
        <vt:i4>3145855</vt:i4>
      </vt:variant>
      <vt:variant>
        <vt:i4>21</vt:i4>
      </vt:variant>
      <vt:variant>
        <vt:i4>0</vt:i4>
      </vt:variant>
      <vt:variant>
        <vt:i4>5</vt:i4>
      </vt:variant>
      <vt:variant>
        <vt:lpwstr>http://www.nevo.co.il/case/25777929</vt:lpwstr>
      </vt:variant>
      <vt:variant>
        <vt:lpwstr/>
      </vt:variant>
      <vt:variant>
        <vt:i4>3932275</vt:i4>
      </vt:variant>
      <vt:variant>
        <vt:i4>18</vt:i4>
      </vt:variant>
      <vt:variant>
        <vt:i4>0</vt:i4>
      </vt:variant>
      <vt:variant>
        <vt:i4>5</vt:i4>
      </vt:variant>
      <vt:variant>
        <vt:lpwstr>http://www.nevo.co.il/case/23158178</vt:lpwstr>
      </vt:variant>
      <vt:variant>
        <vt:lpwstr/>
      </vt:variant>
      <vt:variant>
        <vt:i4>3866738</vt:i4>
      </vt:variant>
      <vt:variant>
        <vt:i4>15</vt:i4>
      </vt:variant>
      <vt:variant>
        <vt:i4>0</vt:i4>
      </vt:variant>
      <vt:variant>
        <vt:i4>5</vt:i4>
      </vt:variant>
      <vt:variant>
        <vt:lpwstr>http://www.nevo.co.il/case/18784698</vt:lpwstr>
      </vt:variant>
      <vt:variant>
        <vt:lpwstr/>
      </vt:variant>
      <vt:variant>
        <vt:i4>3342456</vt:i4>
      </vt:variant>
      <vt:variant>
        <vt:i4>12</vt:i4>
      </vt:variant>
      <vt:variant>
        <vt:i4>0</vt:i4>
      </vt:variant>
      <vt:variant>
        <vt:i4>5</vt:i4>
      </vt:variant>
      <vt:variant>
        <vt:lpwstr>http://www.nevo.co.il/case/22797714</vt:lpwstr>
      </vt:variant>
      <vt:variant>
        <vt:lpwstr/>
      </vt:variant>
      <vt:variant>
        <vt:i4>3342454</vt:i4>
      </vt:variant>
      <vt:variant>
        <vt:i4>9</vt:i4>
      </vt:variant>
      <vt:variant>
        <vt:i4>0</vt:i4>
      </vt:variant>
      <vt:variant>
        <vt:i4>5</vt:i4>
      </vt:variant>
      <vt:variant>
        <vt:lpwstr>http://www.nevo.co.il/case/18793360</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ariant>
        <vt:i4>3276923</vt:i4>
      </vt:variant>
      <vt:variant>
        <vt:i4>6</vt:i4>
      </vt:variant>
      <vt:variant>
        <vt:i4>0</vt:i4>
      </vt:variant>
      <vt:variant>
        <vt:i4>5</vt:i4>
      </vt:variant>
      <vt:variant>
        <vt:lpwstr>http://www.nevo.co.il/case/5583699</vt:lpwstr>
      </vt:variant>
      <vt:variant>
        <vt:lpwstr/>
      </vt:variant>
      <vt:variant>
        <vt:i4>3997811</vt:i4>
      </vt:variant>
      <vt:variant>
        <vt:i4>3</vt:i4>
      </vt:variant>
      <vt:variant>
        <vt:i4>0</vt:i4>
      </vt:variant>
      <vt:variant>
        <vt:i4>5</vt:i4>
      </vt:variant>
      <vt:variant>
        <vt:lpwstr>http://www.nevo.co.il/case/16941543</vt:lpwstr>
      </vt:variant>
      <vt:variant>
        <vt:lpwstr/>
      </vt:variant>
      <vt:variant>
        <vt:i4>4063344</vt:i4>
      </vt:variant>
      <vt:variant>
        <vt:i4>0</vt:i4>
      </vt:variant>
      <vt:variant>
        <vt:i4>0</vt:i4>
      </vt:variant>
      <vt:variant>
        <vt:i4>5</vt:i4>
      </vt:variant>
      <vt:variant>
        <vt:lpwstr>http://www.nevo.co.il/case/17943750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21056</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גיא יעקב</vt:lpwstr>
  </property>
  <property fmtid="{D5CDD505-2E9C-101B-9397-08002B2CF9AE}" pid="10" name="LAWYER">
    <vt:lpwstr>אורי סלע;מאיה הבר;ירון פורר</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20220321</vt:lpwstr>
  </property>
  <property fmtid="{D5CDD505-2E9C-101B-9397-08002B2CF9AE}" pid="14" name="TYPE_N_DATE">
    <vt:lpwstr>38020220321</vt:lpwstr>
  </property>
  <property fmtid="{D5CDD505-2E9C-101B-9397-08002B2CF9AE}" pid="15" name="WORDNUMPAGES">
    <vt:lpwstr>6</vt:lpwstr>
  </property>
  <property fmtid="{D5CDD505-2E9C-101B-9397-08002B2CF9AE}" pid="16" name="TYPE_ABS_DATE">
    <vt:lpwstr>380020220321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18793360;22797714;18784698;23158178;25777929;26197029;25488133;27365823;25294518;27819471;16900367;20891752;26103502;26079835;17943750;16941543;5583699</vt:lpwstr>
  </property>
  <property fmtid="{D5CDD505-2E9C-101B-9397-08002B2CF9AE}" pid="36" name="LAWLISTTMP1">
    <vt:lpwstr>70301/040d:2</vt:lpwstr>
  </property>
  <property fmtid="{D5CDD505-2E9C-101B-9397-08002B2CF9AE}" pid="37" name="LAWLISTTMP2">
    <vt:lpwstr>4216</vt:lpwstr>
  </property>
</Properties>
</file>