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6A09D8" w:rsidRPr="00356AE0" w14:paraId="4535FC70" w14:textId="77777777" w:rsidTr="005D1F7E">
        <w:trPr>
          <w:trHeight w:hRule="exact" w:val="418"/>
          <w:jc w:val="center"/>
        </w:trPr>
        <w:tc>
          <w:tcPr>
            <w:tcW w:w="8721" w:type="dxa"/>
            <w:gridSpan w:val="2"/>
          </w:tcPr>
          <w:p w14:paraId="7FFA6D09" w14:textId="77777777" w:rsidR="006A09D8" w:rsidRPr="00356AE0" w:rsidRDefault="006A09D8" w:rsidP="00164DC4">
            <w:pPr>
              <w:pStyle w:val="a3"/>
              <w:jc w:val="center"/>
              <w:rPr>
                <w:rFonts w:ascii="Tahoma" w:hAnsi="Tahoma" w:cs="Tahoma"/>
                <w:color w:val="000080"/>
                <w:rtl/>
              </w:rPr>
            </w:pPr>
            <w:r w:rsidRPr="00356AE0">
              <w:rPr>
                <w:rFonts w:ascii="Tahoma" w:hAnsi="Tahoma" w:cs="Tahoma"/>
                <w:b/>
                <w:bCs/>
                <w:color w:val="000080"/>
                <w:rtl/>
              </w:rPr>
              <w:t>בית משפט השלום בקריות</w:t>
            </w:r>
          </w:p>
        </w:tc>
      </w:tr>
      <w:tr w:rsidR="006A09D8" w:rsidRPr="00356AE0" w14:paraId="2B1DD690" w14:textId="77777777" w:rsidTr="005D1F7E">
        <w:trPr>
          <w:trHeight w:val="337"/>
          <w:jc w:val="center"/>
        </w:trPr>
        <w:tc>
          <w:tcPr>
            <w:tcW w:w="5063" w:type="dxa"/>
          </w:tcPr>
          <w:p w14:paraId="43222C6E" w14:textId="77777777" w:rsidR="006A09D8" w:rsidRPr="00356AE0" w:rsidRDefault="006A09D8" w:rsidP="00164DC4">
            <w:pPr>
              <w:rPr>
                <w:rFonts w:cs="FrankRuehl"/>
                <w:sz w:val="28"/>
                <w:szCs w:val="28"/>
                <w:rtl/>
              </w:rPr>
            </w:pPr>
            <w:r w:rsidRPr="00356AE0">
              <w:rPr>
                <w:rFonts w:cs="FrankRuehl"/>
                <w:sz w:val="28"/>
                <w:szCs w:val="28"/>
                <w:rtl/>
              </w:rPr>
              <w:t>ת"פ</w:t>
            </w:r>
            <w:r w:rsidRPr="00356AE0">
              <w:rPr>
                <w:rFonts w:cs="FrankRuehl" w:hint="cs"/>
                <w:sz w:val="28"/>
                <w:szCs w:val="28"/>
                <w:rtl/>
              </w:rPr>
              <w:t xml:space="preserve"> </w:t>
            </w:r>
            <w:r w:rsidRPr="00356AE0">
              <w:rPr>
                <w:rFonts w:cs="FrankRuehl"/>
                <w:sz w:val="28"/>
                <w:szCs w:val="28"/>
                <w:rtl/>
              </w:rPr>
              <w:t>21284-10-19</w:t>
            </w:r>
            <w:r w:rsidRPr="00356AE0">
              <w:rPr>
                <w:rFonts w:cs="FrankRuehl" w:hint="cs"/>
                <w:sz w:val="28"/>
                <w:szCs w:val="28"/>
                <w:rtl/>
              </w:rPr>
              <w:t xml:space="preserve"> </w:t>
            </w:r>
            <w:r w:rsidRPr="00356AE0">
              <w:rPr>
                <w:rFonts w:cs="FrankRuehl"/>
                <w:sz w:val="28"/>
                <w:szCs w:val="28"/>
                <w:rtl/>
              </w:rPr>
              <w:t>מדינת ישראל נ' רייקוב(אחר/נוסף)</w:t>
            </w:r>
          </w:p>
          <w:p w14:paraId="110F4657" w14:textId="77777777" w:rsidR="006A09D8" w:rsidRPr="00356AE0" w:rsidRDefault="006A09D8" w:rsidP="00164DC4">
            <w:pPr>
              <w:pStyle w:val="a3"/>
              <w:rPr>
                <w:rFonts w:cs="FrankRuehl"/>
                <w:sz w:val="28"/>
                <w:szCs w:val="28"/>
                <w:rtl/>
              </w:rPr>
            </w:pPr>
          </w:p>
        </w:tc>
        <w:tc>
          <w:tcPr>
            <w:tcW w:w="3658" w:type="dxa"/>
          </w:tcPr>
          <w:p w14:paraId="120A2AEF" w14:textId="77777777" w:rsidR="006A09D8" w:rsidRPr="00356AE0" w:rsidRDefault="006A09D8" w:rsidP="00164DC4">
            <w:pPr>
              <w:pStyle w:val="a3"/>
              <w:jc w:val="right"/>
              <w:rPr>
                <w:rFonts w:cs="FrankRuehl"/>
                <w:sz w:val="28"/>
                <w:szCs w:val="28"/>
                <w:rtl/>
              </w:rPr>
            </w:pPr>
          </w:p>
        </w:tc>
      </w:tr>
    </w:tbl>
    <w:p w14:paraId="32BD0D95" w14:textId="77777777" w:rsidR="006A09D8" w:rsidRPr="00356AE0" w:rsidRDefault="006A09D8" w:rsidP="006A09D8">
      <w:pPr>
        <w:pStyle w:val="a3"/>
        <w:rPr>
          <w:rtl/>
        </w:rPr>
      </w:pPr>
      <w:r w:rsidRPr="00356AE0">
        <w:rPr>
          <w:rFonts w:hint="cs"/>
          <w:rtl/>
        </w:rPr>
        <w:t xml:space="preserve"> </w:t>
      </w:r>
    </w:p>
    <w:p w14:paraId="19BEDA9C" w14:textId="77777777" w:rsidR="006A09D8" w:rsidRPr="00356AE0" w:rsidRDefault="006A09D8" w:rsidP="006A09D8">
      <w:pPr>
        <w:rPr>
          <w:rFonts w:ascii="David" w:hAnsi="David"/>
          <w:rtl/>
        </w:rPr>
      </w:pPr>
    </w:p>
    <w:p w14:paraId="49D53F1B" w14:textId="77777777" w:rsidR="006A09D8" w:rsidRPr="00356AE0" w:rsidRDefault="006A09D8" w:rsidP="006A09D8">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A09D8" w:rsidRPr="00356AE0" w14:paraId="4971D748" w14:textId="77777777" w:rsidTr="006A09D8">
        <w:trPr>
          <w:trHeight w:val="295"/>
          <w:jc w:val="center"/>
        </w:trPr>
        <w:tc>
          <w:tcPr>
            <w:tcW w:w="923" w:type="dxa"/>
            <w:tcBorders>
              <w:top w:val="nil"/>
              <w:left w:val="nil"/>
              <w:bottom w:val="nil"/>
              <w:right w:val="nil"/>
            </w:tcBorders>
            <w:shd w:val="clear" w:color="auto" w:fill="auto"/>
          </w:tcPr>
          <w:p w14:paraId="14E2BDA3" w14:textId="77777777" w:rsidR="006A09D8" w:rsidRPr="00356AE0" w:rsidRDefault="006A09D8" w:rsidP="006A09D8">
            <w:pPr>
              <w:jc w:val="both"/>
              <w:rPr>
                <w:rFonts w:ascii="David" w:hAnsi="David"/>
                <w:b/>
                <w:bCs/>
              </w:rPr>
            </w:pPr>
            <w:r w:rsidRPr="00356AE0">
              <w:rPr>
                <w:rFonts w:ascii="David" w:hAnsi="David"/>
                <w:b/>
                <w:bCs/>
                <w:rtl/>
              </w:rPr>
              <w:t xml:space="preserve">בפני </w:t>
            </w:r>
          </w:p>
        </w:tc>
        <w:tc>
          <w:tcPr>
            <w:tcW w:w="7897" w:type="dxa"/>
            <w:gridSpan w:val="2"/>
            <w:tcBorders>
              <w:top w:val="nil"/>
              <w:left w:val="nil"/>
              <w:bottom w:val="nil"/>
              <w:right w:val="nil"/>
            </w:tcBorders>
            <w:shd w:val="clear" w:color="auto" w:fill="auto"/>
          </w:tcPr>
          <w:p w14:paraId="5991CCFC" w14:textId="77777777" w:rsidR="006A09D8" w:rsidRPr="00356AE0" w:rsidRDefault="006A09D8" w:rsidP="006A09D8">
            <w:pPr>
              <w:jc w:val="both"/>
              <w:rPr>
                <w:rFonts w:ascii="David" w:hAnsi="David"/>
                <w:b/>
                <w:bCs/>
              </w:rPr>
            </w:pPr>
            <w:r w:rsidRPr="00356AE0">
              <w:rPr>
                <w:rFonts w:ascii="David" w:hAnsi="David"/>
                <w:b/>
                <w:bCs/>
                <w:rtl/>
              </w:rPr>
              <w:t xml:space="preserve">כב' השופט יוסי טורס , סגן הנשיא </w:t>
            </w:r>
          </w:p>
        </w:tc>
      </w:tr>
      <w:tr w:rsidR="006A09D8" w:rsidRPr="00356AE0" w14:paraId="525329C0" w14:textId="77777777" w:rsidTr="006A09D8">
        <w:trPr>
          <w:trHeight w:val="355"/>
          <w:jc w:val="center"/>
        </w:trPr>
        <w:tc>
          <w:tcPr>
            <w:tcW w:w="923" w:type="dxa"/>
            <w:tcBorders>
              <w:top w:val="nil"/>
              <w:left w:val="nil"/>
              <w:bottom w:val="nil"/>
              <w:right w:val="nil"/>
            </w:tcBorders>
            <w:shd w:val="clear" w:color="auto" w:fill="auto"/>
          </w:tcPr>
          <w:p w14:paraId="2F5CC909" w14:textId="77777777" w:rsidR="006A09D8" w:rsidRPr="00356AE0" w:rsidRDefault="006A09D8" w:rsidP="006A09D8">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15993CFB" w14:textId="77777777" w:rsidR="006A09D8" w:rsidRPr="00356AE0" w:rsidRDefault="006A09D8" w:rsidP="00164DC4">
            <w:pPr>
              <w:rPr>
                <w:rFonts w:ascii="David" w:hAnsi="David"/>
                <w:b/>
                <w:bCs/>
              </w:rPr>
            </w:pPr>
          </w:p>
        </w:tc>
        <w:tc>
          <w:tcPr>
            <w:tcW w:w="3771" w:type="dxa"/>
            <w:tcBorders>
              <w:top w:val="nil"/>
              <w:left w:val="nil"/>
              <w:bottom w:val="nil"/>
              <w:right w:val="nil"/>
            </w:tcBorders>
            <w:shd w:val="clear" w:color="auto" w:fill="auto"/>
          </w:tcPr>
          <w:p w14:paraId="32C53370" w14:textId="77777777" w:rsidR="006A09D8" w:rsidRPr="00356AE0" w:rsidRDefault="006A09D8" w:rsidP="006A09D8">
            <w:pPr>
              <w:jc w:val="both"/>
              <w:rPr>
                <w:rFonts w:ascii="David" w:hAnsi="David"/>
                <w:b/>
                <w:bCs/>
              </w:rPr>
            </w:pPr>
          </w:p>
        </w:tc>
      </w:tr>
      <w:tr w:rsidR="006A09D8" w:rsidRPr="00356AE0" w14:paraId="7C310D04" w14:textId="77777777" w:rsidTr="006A09D8">
        <w:trPr>
          <w:trHeight w:val="355"/>
          <w:jc w:val="center"/>
        </w:trPr>
        <w:tc>
          <w:tcPr>
            <w:tcW w:w="923" w:type="dxa"/>
            <w:tcBorders>
              <w:top w:val="nil"/>
              <w:left w:val="nil"/>
              <w:bottom w:val="nil"/>
              <w:right w:val="nil"/>
            </w:tcBorders>
            <w:shd w:val="clear" w:color="auto" w:fill="auto"/>
          </w:tcPr>
          <w:p w14:paraId="5B759153" w14:textId="77777777" w:rsidR="006A09D8" w:rsidRPr="00356AE0" w:rsidRDefault="006A09D8" w:rsidP="006A09D8">
            <w:pPr>
              <w:jc w:val="both"/>
              <w:rPr>
                <w:rFonts w:ascii="David" w:hAnsi="David"/>
                <w:b/>
                <w:bCs/>
              </w:rPr>
            </w:pPr>
            <w:bookmarkStart w:id="1" w:name="FirstAppellant"/>
            <w:r w:rsidRPr="00356AE0">
              <w:rPr>
                <w:rFonts w:ascii="David" w:hAnsi="David"/>
                <w:b/>
                <w:bCs/>
                <w:rtl/>
              </w:rPr>
              <w:t>בעניין:</w:t>
            </w:r>
          </w:p>
        </w:tc>
        <w:tc>
          <w:tcPr>
            <w:tcW w:w="4126" w:type="dxa"/>
            <w:tcBorders>
              <w:top w:val="nil"/>
              <w:left w:val="nil"/>
              <w:bottom w:val="nil"/>
              <w:right w:val="nil"/>
            </w:tcBorders>
            <w:shd w:val="clear" w:color="auto" w:fill="auto"/>
          </w:tcPr>
          <w:p w14:paraId="4855108B" w14:textId="77777777" w:rsidR="006A09D8" w:rsidRPr="00356AE0" w:rsidRDefault="006A09D8" w:rsidP="00164DC4">
            <w:pPr>
              <w:rPr>
                <w:rFonts w:ascii="David" w:hAnsi="David"/>
                <w:b/>
                <w:bCs/>
              </w:rPr>
            </w:pPr>
            <w:r w:rsidRPr="00356AE0">
              <w:rPr>
                <w:rFonts w:ascii="David" w:hAnsi="David"/>
                <w:b/>
                <w:bCs/>
                <w:rtl/>
              </w:rPr>
              <w:t>מדינת ישראל</w:t>
            </w:r>
          </w:p>
        </w:tc>
        <w:tc>
          <w:tcPr>
            <w:tcW w:w="3771" w:type="dxa"/>
            <w:tcBorders>
              <w:top w:val="nil"/>
              <w:left w:val="nil"/>
              <w:bottom w:val="nil"/>
              <w:right w:val="nil"/>
            </w:tcBorders>
            <w:shd w:val="clear" w:color="auto" w:fill="auto"/>
          </w:tcPr>
          <w:p w14:paraId="026873D9" w14:textId="77777777" w:rsidR="006A09D8" w:rsidRPr="00356AE0" w:rsidRDefault="006A09D8" w:rsidP="006A09D8">
            <w:pPr>
              <w:jc w:val="right"/>
              <w:rPr>
                <w:rFonts w:ascii="David" w:hAnsi="David"/>
                <w:b/>
                <w:bCs/>
                <w:rtl/>
              </w:rPr>
            </w:pPr>
            <w:r w:rsidRPr="00356AE0">
              <w:rPr>
                <w:rFonts w:ascii="David" w:hAnsi="David"/>
                <w:b/>
                <w:bCs/>
                <w:rtl/>
              </w:rPr>
              <w:t>המאשימה</w:t>
            </w:r>
          </w:p>
        </w:tc>
      </w:tr>
      <w:bookmarkEnd w:id="1"/>
      <w:tr w:rsidR="006A09D8" w:rsidRPr="00356AE0" w14:paraId="203E237C" w14:textId="77777777" w:rsidTr="006A09D8">
        <w:trPr>
          <w:trHeight w:val="355"/>
          <w:jc w:val="center"/>
        </w:trPr>
        <w:tc>
          <w:tcPr>
            <w:tcW w:w="923" w:type="dxa"/>
            <w:tcBorders>
              <w:top w:val="nil"/>
              <w:left w:val="nil"/>
              <w:bottom w:val="nil"/>
              <w:right w:val="nil"/>
            </w:tcBorders>
            <w:shd w:val="clear" w:color="auto" w:fill="auto"/>
          </w:tcPr>
          <w:p w14:paraId="00CD53B6" w14:textId="77777777" w:rsidR="006A09D8" w:rsidRPr="00356AE0" w:rsidRDefault="006A09D8" w:rsidP="006A09D8">
            <w:pPr>
              <w:jc w:val="both"/>
              <w:rPr>
                <w:rFonts w:ascii="David" w:hAnsi="David"/>
                <w:b/>
                <w:bCs/>
                <w:rtl/>
              </w:rPr>
            </w:pPr>
          </w:p>
        </w:tc>
        <w:tc>
          <w:tcPr>
            <w:tcW w:w="7897" w:type="dxa"/>
            <w:gridSpan w:val="2"/>
            <w:tcBorders>
              <w:top w:val="nil"/>
              <w:left w:val="nil"/>
              <w:bottom w:val="nil"/>
              <w:right w:val="nil"/>
            </w:tcBorders>
            <w:shd w:val="clear" w:color="auto" w:fill="auto"/>
          </w:tcPr>
          <w:p w14:paraId="60111DE5" w14:textId="77777777" w:rsidR="006A09D8" w:rsidRPr="00356AE0" w:rsidRDefault="006A09D8" w:rsidP="006A09D8">
            <w:pPr>
              <w:jc w:val="center"/>
              <w:rPr>
                <w:rFonts w:ascii="David" w:hAnsi="David"/>
                <w:b/>
                <w:bCs/>
                <w:rtl/>
              </w:rPr>
            </w:pPr>
          </w:p>
          <w:p w14:paraId="0BB4BD8D" w14:textId="77777777" w:rsidR="006A09D8" w:rsidRPr="00356AE0" w:rsidRDefault="006A09D8" w:rsidP="006A09D8">
            <w:pPr>
              <w:jc w:val="center"/>
              <w:rPr>
                <w:rFonts w:ascii="David" w:hAnsi="David"/>
                <w:b/>
                <w:bCs/>
                <w:rtl/>
              </w:rPr>
            </w:pPr>
            <w:r w:rsidRPr="00356AE0">
              <w:rPr>
                <w:rFonts w:ascii="David" w:hAnsi="David"/>
                <w:b/>
                <w:bCs/>
                <w:rtl/>
              </w:rPr>
              <w:t>נגד</w:t>
            </w:r>
          </w:p>
          <w:p w14:paraId="2FD8839E" w14:textId="77777777" w:rsidR="006A09D8" w:rsidRPr="00356AE0" w:rsidRDefault="006A09D8" w:rsidP="006A09D8">
            <w:pPr>
              <w:jc w:val="both"/>
              <w:rPr>
                <w:rFonts w:ascii="David" w:hAnsi="David"/>
                <w:b/>
                <w:bCs/>
              </w:rPr>
            </w:pPr>
          </w:p>
        </w:tc>
      </w:tr>
      <w:tr w:rsidR="006A09D8" w:rsidRPr="00356AE0" w14:paraId="5F506D54" w14:textId="77777777" w:rsidTr="006A09D8">
        <w:trPr>
          <w:trHeight w:val="355"/>
          <w:jc w:val="center"/>
        </w:trPr>
        <w:tc>
          <w:tcPr>
            <w:tcW w:w="923" w:type="dxa"/>
            <w:tcBorders>
              <w:top w:val="nil"/>
              <w:left w:val="nil"/>
              <w:bottom w:val="nil"/>
              <w:right w:val="nil"/>
            </w:tcBorders>
            <w:shd w:val="clear" w:color="auto" w:fill="auto"/>
          </w:tcPr>
          <w:p w14:paraId="0AE412C8" w14:textId="77777777" w:rsidR="006A09D8" w:rsidRPr="00356AE0" w:rsidRDefault="006A09D8" w:rsidP="00164DC4">
            <w:pPr>
              <w:rPr>
                <w:rFonts w:ascii="David" w:hAnsi="David"/>
                <w:b/>
                <w:bCs/>
                <w:rtl/>
              </w:rPr>
            </w:pPr>
          </w:p>
        </w:tc>
        <w:tc>
          <w:tcPr>
            <w:tcW w:w="4126" w:type="dxa"/>
            <w:tcBorders>
              <w:top w:val="nil"/>
              <w:left w:val="nil"/>
              <w:bottom w:val="nil"/>
              <w:right w:val="nil"/>
            </w:tcBorders>
            <w:shd w:val="clear" w:color="auto" w:fill="auto"/>
          </w:tcPr>
          <w:p w14:paraId="6AB1481D" w14:textId="77777777" w:rsidR="006A09D8" w:rsidRPr="00356AE0" w:rsidRDefault="006A09D8" w:rsidP="00164DC4">
            <w:pPr>
              <w:rPr>
                <w:rFonts w:ascii="David" w:hAnsi="David"/>
                <w:b/>
                <w:bCs/>
                <w:rtl/>
              </w:rPr>
            </w:pPr>
          </w:p>
        </w:tc>
        <w:tc>
          <w:tcPr>
            <w:tcW w:w="3771" w:type="dxa"/>
            <w:tcBorders>
              <w:top w:val="nil"/>
              <w:left w:val="nil"/>
              <w:bottom w:val="nil"/>
              <w:right w:val="nil"/>
            </w:tcBorders>
            <w:shd w:val="clear" w:color="auto" w:fill="auto"/>
          </w:tcPr>
          <w:p w14:paraId="2E2868FD" w14:textId="77777777" w:rsidR="006A09D8" w:rsidRPr="00356AE0" w:rsidRDefault="006A09D8" w:rsidP="006A09D8">
            <w:pPr>
              <w:jc w:val="right"/>
              <w:rPr>
                <w:rFonts w:ascii="David" w:hAnsi="David"/>
                <w:b/>
                <w:bCs/>
              </w:rPr>
            </w:pPr>
          </w:p>
        </w:tc>
      </w:tr>
      <w:tr w:rsidR="006A09D8" w:rsidRPr="00356AE0" w14:paraId="2E3B16A3" w14:textId="77777777" w:rsidTr="006A09D8">
        <w:trPr>
          <w:trHeight w:val="355"/>
          <w:jc w:val="center"/>
        </w:trPr>
        <w:tc>
          <w:tcPr>
            <w:tcW w:w="923" w:type="dxa"/>
            <w:tcBorders>
              <w:top w:val="nil"/>
              <w:left w:val="nil"/>
              <w:bottom w:val="nil"/>
              <w:right w:val="nil"/>
            </w:tcBorders>
            <w:shd w:val="clear" w:color="auto" w:fill="auto"/>
          </w:tcPr>
          <w:p w14:paraId="2B7F0AEE" w14:textId="77777777" w:rsidR="006A09D8" w:rsidRPr="00356AE0" w:rsidRDefault="006A09D8" w:rsidP="006A09D8">
            <w:pPr>
              <w:jc w:val="both"/>
              <w:rPr>
                <w:rFonts w:ascii="David" w:hAnsi="David"/>
                <w:b/>
                <w:bCs/>
                <w:rtl/>
              </w:rPr>
            </w:pPr>
          </w:p>
        </w:tc>
        <w:tc>
          <w:tcPr>
            <w:tcW w:w="4126" w:type="dxa"/>
            <w:tcBorders>
              <w:top w:val="nil"/>
              <w:left w:val="nil"/>
              <w:bottom w:val="nil"/>
              <w:right w:val="nil"/>
            </w:tcBorders>
            <w:shd w:val="clear" w:color="auto" w:fill="auto"/>
          </w:tcPr>
          <w:p w14:paraId="43D31704" w14:textId="77777777" w:rsidR="006A09D8" w:rsidRPr="00356AE0" w:rsidRDefault="006A09D8" w:rsidP="006A09D8">
            <w:pPr>
              <w:jc w:val="both"/>
              <w:rPr>
                <w:rFonts w:ascii="David" w:hAnsi="David"/>
                <w:b/>
                <w:bCs/>
                <w:rtl/>
              </w:rPr>
            </w:pPr>
            <w:r w:rsidRPr="00356AE0">
              <w:rPr>
                <w:rFonts w:ascii="David" w:hAnsi="David"/>
                <w:b/>
                <w:bCs/>
                <w:rtl/>
              </w:rPr>
              <w:t xml:space="preserve">אלירן רייקוב </w:t>
            </w:r>
          </w:p>
        </w:tc>
        <w:tc>
          <w:tcPr>
            <w:tcW w:w="3771" w:type="dxa"/>
            <w:tcBorders>
              <w:top w:val="nil"/>
              <w:left w:val="nil"/>
              <w:bottom w:val="nil"/>
              <w:right w:val="nil"/>
            </w:tcBorders>
            <w:shd w:val="clear" w:color="auto" w:fill="auto"/>
          </w:tcPr>
          <w:p w14:paraId="1426C408" w14:textId="77777777" w:rsidR="006A09D8" w:rsidRPr="00356AE0" w:rsidRDefault="006A09D8" w:rsidP="006A09D8">
            <w:pPr>
              <w:jc w:val="right"/>
              <w:rPr>
                <w:rFonts w:ascii="David" w:hAnsi="David"/>
                <w:b/>
                <w:bCs/>
              </w:rPr>
            </w:pPr>
            <w:r w:rsidRPr="00356AE0">
              <w:rPr>
                <w:rFonts w:ascii="David" w:hAnsi="David"/>
                <w:b/>
                <w:bCs/>
                <w:rtl/>
              </w:rPr>
              <w:t>הנאש</w:t>
            </w:r>
            <w:r w:rsidRPr="00356AE0">
              <w:rPr>
                <w:rFonts w:ascii="David" w:hAnsi="David" w:hint="cs"/>
                <w:b/>
                <w:bCs/>
                <w:rtl/>
              </w:rPr>
              <w:t>ם</w:t>
            </w:r>
          </w:p>
        </w:tc>
      </w:tr>
    </w:tbl>
    <w:p w14:paraId="2BE039BE" w14:textId="77777777" w:rsidR="00A05417" w:rsidRDefault="00A05417" w:rsidP="006A09D8">
      <w:pPr>
        <w:rPr>
          <w:rFonts w:ascii="David" w:hAnsi="David"/>
          <w:rtl/>
        </w:rPr>
      </w:pPr>
      <w:bookmarkStart w:id="2" w:name="Links_Kitvei_Start"/>
    </w:p>
    <w:p w14:paraId="5413EF49" w14:textId="77777777" w:rsidR="00A05417" w:rsidRPr="00A05417" w:rsidRDefault="00A05417" w:rsidP="00A05417">
      <w:pPr>
        <w:spacing w:after="120" w:line="240" w:lineRule="exact"/>
        <w:ind w:left="283" w:hanging="283"/>
        <w:jc w:val="both"/>
        <w:rPr>
          <w:rFonts w:ascii="FrankRuehl" w:hAnsi="FrankRuehl" w:cs="FrankRuehl"/>
          <w:rtl/>
        </w:rPr>
      </w:pPr>
    </w:p>
    <w:bookmarkEnd w:id="2"/>
    <w:p w14:paraId="1BCFA561" w14:textId="77777777" w:rsidR="00A05417" w:rsidRPr="00A05417" w:rsidRDefault="00A05417" w:rsidP="00A05417">
      <w:pPr>
        <w:spacing w:after="120" w:line="240" w:lineRule="exact"/>
        <w:ind w:left="283" w:hanging="283"/>
        <w:jc w:val="both"/>
        <w:rPr>
          <w:rStyle w:val="Hyperlink"/>
          <w:rFonts w:ascii="FrankRuehl" w:hAnsi="FrankRuehl" w:cs="FrankRuehl"/>
          <w:u w:val="none"/>
        </w:rPr>
      </w:pPr>
      <w:r w:rsidRPr="00A05417">
        <w:rPr>
          <w:rFonts w:ascii="FrankRuehl" w:hAnsi="FrankRuehl" w:cs="FrankRuehl"/>
          <w:rtl/>
        </w:rPr>
        <w:t>כתבי עת:</w:t>
      </w:r>
      <w:r w:rsidRPr="00A05417">
        <w:rPr>
          <w:rFonts w:ascii="FrankRuehl" w:hAnsi="FrankRuehl" w:cs="FrankRuehl"/>
          <w:color w:val="0000FF"/>
          <w:rtl/>
        </w:rPr>
        <w:fldChar w:fldCharType="begin"/>
      </w:r>
      <w:r w:rsidRPr="00A05417">
        <w:rPr>
          <w:rFonts w:ascii="FrankRuehl" w:hAnsi="FrankRuehl" w:cs="FrankRuehl"/>
          <w:color w:val="0000FF"/>
          <w:rtl/>
        </w:rPr>
        <w:instrText xml:space="preserve"> </w:instrText>
      </w:r>
      <w:r w:rsidRPr="00A05417">
        <w:rPr>
          <w:rFonts w:ascii="FrankRuehl" w:hAnsi="FrankRuehl" w:cs="FrankRuehl"/>
          <w:color w:val="0000FF"/>
        </w:rPr>
        <w:instrText xml:space="preserve">HYPERLINK </w:instrText>
      </w:r>
      <w:r w:rsidRPr="00A05417">
        <w:rPr>
          <w:rFonts w:ascii="FrankRuehl" w:hAnsi="FrankRuehl" w:cs="FrankRuehl"/>
          <w:color w:val="0000FF"/>
          <w:rtl/>
        </w:rPr>
        <w:instrText>"</w:instrText>
      </w:r>
      <w:r w:rsidRPr="00A05417">
        <w:rPr>
          <w:rFonts w:ascii="FrankRuehl" w:hAnsi="FrankRuehl" w:cs="FrankRuehl"/>
          <w:color w:val="0000FF"/>
        </w:rPr>
        <w:instrText>http://www.nevo.co.il/safrut/book/30035"</w:instrText>
      </w:r>
      <w:r w:rsidRPr="00A05417">
        <w:rPr>
          <w:rFonts w:ascii="FrankRuehl" w:hAnsi="FrankRuehl" w:cs="FrankRuehl"/>
          <w:color w:val="0000FF"/>
          <w:rtl/>
        </w:rPr>
        <w:instrText xml:space="preserve"> </w:instrText>
      </w:r>
      <w:r w:rsidRPr="00A05417">
        <w:rPr>
          <w:rFonts w:ascii="FrankRuehl" w:hAnsi="FrankRuehl" w:cs="FrankRuehl"/>
          <w:color w:val="0000FF"/>
          <w:rtl/>
        </w:rPr>
      </w:r>
      <w:r w:rsidRPr="00A05417">
        <w:rPr>
          <w:rFonts w:ascii="FrankRuehl" w:hAnsi="FrankRuehl" w:cs="FrankRuehl"/>
          <w:color w:val="0000FF"/>
          <w:rtl/>
        </w:rPr>
        <w:fldChar w:fldCharType="separate"/>
      </w:r>
    </w:p>
    <w:p w14:paraId="08083642" w14:textId="77777777" w:rsidR="00A05417" w:rsidRPr="00A05417" w:rsidRDefault="00A05417" w:rsidP="00A05417">
      <w:pPr>
        <w:spacing w:after="120" w:line="240" w:lineRule="exact"/>
        <w:ind w:left="283" w:hanging="283"/>
        <w:jc w:val="both"/>
        <w:rPr>
          <w:rFonts w:ascii="FrankRuehl" w:hAnsi="FrankRuehl" w:cs="FrankRuehl"/>
        </w:rPr>
      </w:pPr>
      <w:r w:rsidRPr="00A05417">
        <w:rPr>
          <w:rStyle w:val="Hyperlink"/>
          <w:rFonts w:ascii="FrankRuehl" w:hAnsi="FrankRuehl" w:cs="FrankRuehl"/>
          <w:u w:val="none"/>
          <w:rtl/>
        </w:rPr>
        <w:t>אורן גזל-אייל, "חריגה ממתחם העונש ההולם", ספר דורית ביניש,  (אונ' בר אילן, נבו, 2018) 539</w:t>
      </w:r>
      <w:r w:rsidRPr="00A05417">
        <w:rPr>
          <w:rFonts w:ascii="FrankRuehl" w:hAnsi="FrankRuehl" w:cs="FrankRuehl"/>
          <w:color w:val="0000FF"/>
          <w:rtl/>
        </w:rPr>
        <w:fldChar w:fldCharType="end"/>
      </w:r>
    </w:p>
    <w:p w14:paraId="3E164869" w14:textId="77777777" w:rsidR="00A05417" w:rsidRDefault="00A05417" w:rsidP="00A05417">
      <w:pPr>
        <w:rPr>
          <w:rFonts w:ascii="David" w:hAnsi="David"/>
          <w:rtl/>
        </w:rPr>
      </w:pPr>
      <w:bookmarkStart w:id="3" w:name="Links_Kitvei_End"/>
      <w:bookmarkStart w:id="4" w:name="LawTable"/>
      <w:bookmarkEnd w:id="3"/>
      <w:bookmarkEnd w:id="4"/>
    </w:p>
    <w:p w14:paraId="77E4B417" w14:textId="77777777" w:rsidR="00A05417" w:rsidRPr="00A05417" w:rsidRDefault="00A05417" w:rsidP="00A05417">
      <w:pPr>
        <w:spacing w:before="120" w:after="120" w:line="240" w:lineRule="exact"/>
        <w:ind w:left="283" w:hanging="283"/>
        <w:jc w:val="both"/>
        <w:rPr>
          <w:rFonts w:ascii="FrankRuehl" w:hAnsi="FrankRuehl" w:cs="FrankRuehl"/>
          <w:rtl/>
        </w:rPr>
      </w:pPr>
    </w:p>
    <w:p w14:paraId="1BDDCF4B" w14:textId="77777777" w:rsidR="00A05417" w:rsidRPr="00A05417" w:rsidRDefault="00A05417" w:rsidP="00A05417">
      <w:pPr>
        <w:spacing w:before="120" w:after="120" w:line="240" w:lineRule="exact"/>
        <w:ind w:left="283" w:hanging="283"/>
        <w:jc w:val="both"/>
        <w:rPr>
          <w:rFonts w:ascii="FrankRuehl" w:hAnsi="FrankRuehl" w:cs="FrankRuehl"/>
          <w:rtl/>
        </w:rPr>
      </w:pPr>
    </w:p>
    <w:p w14:paraId="27662A51" w14:textId="77777777" w:rsidR="00A05417" w:rsidRPr="00A05417" w:rsidRDefault="00A05417" w:rsidP="00A05417">
      <w:pPr>
        <w:spacing w:before="120" w:after="120" w:line="240" w:lineRule="exact"/>
        <w:ind w:left="283" w:hanging="283"/>
        <w:jc w:val="both"/>
        <w:rPr>
          <w:rFonts w:ascii="FrankRuehl" w:hAnsi="FrankRuehl" w:cs="FrankRuehl"/>
          <w:rtl/>
        </w:rPr>
      </w:pPr>
      <w:r w:rsidRPr="00A05417">
        <w:rPr>
          <w:rFonts w:ascii="FrankRuehl" w:hAnsi="FrankRuehl" w:cs="FrankRuehl"/>
          <w:rtl/>
        </w:rPr>
        <w:t xml:space="preserve">חקיקה שאוזכרה: </w:t>
      </w:r>
    </w:p>
    <w:p w14:paraId="15723680" w14:textId="77777777" w:rsidR="00A05417" w:rsidRPr="00A05417" w:rsidRDefault="00A05417" w:rsidP="00A05417">
      <w:pPr>
        <w:spacing w:before="120" w:after="120" w:line="240" w:lineRule="exact"/>
        <w:ind w:left="283" w:hanging="283"/>
        <w:jc w:val="both"/>
        <w:rPr>
          <w:rFonts w:ascii="FrankRuehl" w:hAnsi="FrankRuehl" w:cs="FrankRuehl"/>
          <w:rtl/>
        </w:rPr>
      </w:pPr>
      <w:hyperlink r:id="rId7" w:history="1">
        <w:r w:rsidRPr="00A05417">
          <w:rPr>
            <w:rFonts w:ascii="FrankRuehl" w:hAnsi="FrankRuehl" w:cs="FrankRuehl"/>
            <w:color w:val="0000FF"/>
            <w:rtl/>
          </w:rPr>
          <w:t>פקודת הסמים המסוכנים [נוסח חדש], תשל"ג-1973</w:t>
        </w:r>
      </w:hyperlink>
      <w:r w:rsidRPr="00A05417">
        <w:rPr>
          <w:rFonts w:ascii="FrankRuehl" w:hAnsi="FrankRuehl" w:cs="FrankRuehl"/>
          <w:rtl/>
        </w:rPr>
        <w:t xml:space="preserve">: סע'  </w:t>
      </w:r>
      <w:hyperlink r:id="rId8" w:history="1">
        <w:r w:rsidRPr="00A05417">
          <w:rPr>
            <w:rFonts w:ascii="FrankRuehl" w:hAnsi="FrankRuehl" w:cs="FrankRuehl"/>
            <w:color w:val="0000FF"/>
            <w:rtl/>
          </w:rPr>
          <w:t>7.א.</w:t>
        </w:r>
      </w:hyperlink>
      <w:r w:rsidRPr="00A05417">
        <w:rPr>
          <w:rFonts w:ascii="FrankRuehl" w:hAnsi="FrankRuehl" w:cs="FrankRuehl"/>
          <w:rtl/>
        </w:rPr>
        <w:t xml:space="preserve">, </w:t>
      </w:r>
      <w:hyperlink r:id="rId9" w:history="1">
        <w:r w:rsidRPr="00A05417">
          <w:rPr>
            <w:rFonts w:ascii="FrankRuehl" w:hAnsi="FrankRuehl" w:cs="FrankRuehl"/>
            <w:color w:val="0000FF"/>
            <w:rtl/>
          </w:rPr>
          <w:t>7.ב</w:t>
        </w:r>
      </w:hyperlink>
      <w:r w:rsidRPr="00A05417">
        <w:rPr>
          <w:rFonts w:ascii="FrankRuehl" w:hAnsi="FrankRuehl" w:cs="FrankRuehl"/>
          <w:rtl/>
        </w:rPr>
        <w:t xml:space="preserve">, </w:t>
      </w:r>
      <w:hyperlink r:id="rId10" w:history="1">
        <w:r w:rsidRPr="00A05417">
          <w:rPr>
            <w:rFonts w:ascii="FrankRuehl" w:hAnsi="FrankRuehl" w:cs="FrankRuehl"/>
            <w:color w:val="0000FF"/>
            <w:rtl/>
          </w:rPr>
          <w:t>10</w:t>
        </w:r>
      </w:hyperlink>
      <w:r w:rsidRPr="00A05417">
        <w:rPr>
          <w:rFonts w:ascii="FrankRuehl" w:hAnsi="FrankRuehl" w:cs="FrankRuehl"/>
          <w:rtl/>
        </w:rPr>
        <w:t xml:space="preserve">, </w:t>
      </w:r>
      <w:hyperlink r:id="rId11" w:history="1">
        <w:r w:rsidRPr="00A05417">
          <w:rPr>
            <w:rFonts w:ascii="FrankRuehl" w:hAnsi="FrankRuehl" w:cs="FrankRuehl"/>
            <w:color w:val="0000FF"/>
            <w:rtl/>
          </w:rPr>
          <w:t>13</w:t>
        </w:r>
      </w:hyperlink>
      <w:r w:rsidRPr="00A05417">
        <w:rPr>
          <w:rFonts w:ascii="FrankRuehl" w:hAnsi="FrankRuehl" w:cs="FrankRuehl"/>
          <w:rtl/>
        </w:rPr>
        <w:t xml:space="preserve">, </w:t>
      </w:r>
      <w:hyperlink r:id="rId12" w:history="1">
        <w:r w:rsidRPr="00A05417">
          <w:rPr>
            <w:rFonts w:ascii="FrankRuehl" w:hAnsi="FrankRuehl" w:cs="FrankRuehl"/>
            <w:color w:val="0000FF"/>
            <w:rtl/>
          </w:rPr>
          <w:t>19.א</w:t>
        </w:r>
      </w:hyperlink>
    </w:p>
    <w:p w14:paraId="59A19481" w14:textId="77777777" w:rsidR="00A05417" w:rsidRPr="00A05417" w:rsidRDefault="00A05417" w:rsidP="00A05417">
      <w:pPr>
        <w:spacing w:before="120" w:after="120" w:line="240" w:lineRule="exact"/>
        <w:ind w:left="283" w:hanging="283"/>
        <w:jc w:val="both"/>
        <w:rPr>
          <w:rFonts w:ascii="FrankRuehl" w:hAnsi="FrankRuehl" w:cs="FrankRuehl"/>
          <w:rtl/>
        </w:rPr>
      </w:pPr>
      <w:hyperlink r:id="rId13" w:history="1">
        <w:r w:rsidRPr="00A05417">
          <w:rPr>
            <w:rFonts w:ascii="FrankRuehl" w:hAnsi="FrankRuehl" w:cs="FrankRuehl"/>
            <w:color w:val="0000FF"/>
            <w:rtl/>
          </w:rPr>
          <w:t>חוק העונשין, תשל"ז-1977</w:t>
        </w:r>
      </w:hyperlink>
      <w:r w:rsidRPr="00A05417">
        <w:rPr>
          <w:rFonts w:ascii="FrankRuehl" w:hAnsi="FrankRuehl" w:cs="FrankRuehl"/>
          <w:rtl/>
        </w:rPr>
        <w:t xml:space="preserve">: סע'  </w:t>
      </w:r>
      <w:hyperlink r:id="rId14" w:history="1">
        <w:r w:rsidRPr="00A05417">
          <w:rPr>
            <w:rFonts w:ascii="FrankRuehl" w:hAnsi="FrankRuehl" w:cs="FrankRuehl"/>
            <w:color w:val="0000FF"/>
            <w:rtl/>
          </w:rPr>
          <w:t>29(א)</w:t>
        </w:r>
      </w:hyperlink>
      <w:r w:rsidRPr="00A05417">
        <w:rPr>
          <w:rFonts w:ascii="FrankRuehl" w:hAnsi="FrankRuehl" w:cs="FrankRuehl"/>
          <w:rtl/>
        </w:rPr>
        <w:t xml:space="preserve">, </w:t>
      </w:r>
      <w:hyperlink r:id="rId15" w:history="1">
        <w:r w:rsidRPr="00A05417">
          <w:rPr>
            <w:rFonts w:ascii="FrankRuehl" w:hAnsi="FrankRuehl" w:cs="FrankRuehl"/>
            <w:color w:val="0000FF"/>
            <w:rtl/>
          </w:rPr>
          <w:t>40ד'</w:t>
        </w:r>
      </w:hyperlink>
    </w:p>
    <w:p w14:paraId="26CB080F" w14:textId="77777777" w:rsidR="00A05417" w:rsidRPr="00A05417" w:rsidRDefault="00A05417" w:rsidP="00A05417">
      <w:pPr>
        <w:spacing w:before="120" w:after="120" w:line="240" w:lineRule="exact"/>
        <w:ind w:left="283" w:hanging="283"/>
        <w:jc w:val="both"/>
        <w:rPr>
          <w:rFonts w:ascii="FrankRuehl" w:hAnsi="FrankRuehl" w:cs="FrankRuehl"/>
          <w:rtl/>
        </w:rPr>
      </w:pPr>
      <w:hyperlink r:id="rId16" w:history="1">
        <w:r w:rsidRPr="00A05417">
          <w:rPr>
            <w:rFonts w:ascii="FrankRuehl" w:hAnsi="FrankRuehl" w:cs="FrankRuehl"/>
            <w:color w:val="0000FF"/>
            <w:rtl/>
          </w:rPr>
          <w:t>פקודת המבחן [נוסח חדש], תשכ"ט-1969</w:t>
        </w:r>
      </w:hyperlink>
      <w:r w:rsidRPr="00A05417">
        <w:rPr>
          <w:rFonts w:ascii="FrankRuehl" w:hAnsi="FrankRuehl" w:cs="FrankRuehl"/>
          <w:rtl/>
        </w:rPr>
        <w:t xml:space="preserve">: סע'  </w:t>
      </w:r>
      <w:hyperlink r:id="rId17" w:history="1">
        <w:r w:rsidRPr="00A05417">
          <w:rPr>
            <w:rFonts w:ascii="FrankRuehl" w:hAnsi="FrankRuehl" w:cs="FrankRuehl"/>
            <w:color w:val="0000FF"/>
            <w:rtl/>
          </w:rPr>
          <w:t>1</w:t>
        </w:r>
      </w:hyperlink>
    </w:p>
    <w:p w14:paraId="5600F034" w14:textId="77777777" w:rsidR="00A05417" w:rsidRPr="00A05417" w:rsidRDefault="00A05417" w:rsidP="00A05417">
      <w:pPr>
        <w:rPr>
          <w:rFonts w:ascii="David" w:hAnsi="David"/>
          <w:rtl/>
        </w:rPr>
      </w:pPr>
      <w:bookmarkStart w:id="5" w:name="LawTable_End"/>
      <w:bookmarkEnd w:id="5"/>
    </w:p>
    <w:p w14:paraId="7D0BE30A" w14:textId="77777777" w:rsidR="006A09D8" w:rsidRPr="00A05417" w:rsidRDefault="006A09D8" w:rsidP="006A09D8">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09D8" w:rsidRPr="007B5476" w14:paraId="15AE31DB" w14:textId="77777777" w:rsidTr="006A09D8">
        <w:trPr>
          <w:trHeight w:val="355"/>
          <w:jc w:val="center"/>
        </w:trPr>
        <w:tc>
          <w:tcPr>
            <w:tcW w:w="8820" w:type="dxa"/>
            <w:tcBorders>
              <w:top w:val="nil"/>
              <w:left w:val="nil"/>
              <w:bottom w:val="nil"/>
              <w:right w:val="nil"/>
            </w:tcBorders>
            <w:shd w:val="clear" w:color="auto" w:fill="auto"/>
          </w:tcPr>
          <w:p w14:paraId="4C11E2E7" w14:textId="77777777" w:rsidR="00356AE0" w:rsidRPr="00356AE0" w:rsidRDefault="00356AE0" w:rsidP="00356AE0">
            <w:pPr>
              <w:jc w:val="center"/>
              <w:rPr>
                <w:rFonts w:ascii="David" w:hAnsi="David"/>
                <w:b/>
                <w:bCs/>
                <w:sz w:val="28"/>
                <w:szCs w:val="28"/>
                <w:u w:val="single"/>
                <w:rtl/>
              </w:rPr>
            </w:pPr>
            <w:bookmarkStart w:id="6" w:name="PsakDin" w:colFirst="0" w:colLast="0"/>
            <w:r w:rsidRPr="00356AE0">
              <w:rPr>
                <w:rFonts w:ascii="David" w:hAnsi="David"/>
                <w:b/>
                <w:bCs/>
                <w:sz w:val="28"/>
                <w:szCs w:val="28"/>
                <w:u w:val="single"/>
                <w:rtl/>
              </w:rPr>
              <w:t>גזר דין</w:t>
            </w:r>
          </w:p>
          <w:p w14:paraId="653AA3E3" w14:textId="77777777" w:rsidR="006A09D8" w:rsidRPr="00356AE0" w:rsidRDefault="006A09D8" w:rsidP="00356AE0">
            <w:pPr>
              <w:jc w:val="center"/>
              <w:rPr>
                <w:rFonts w:ascii="David" w:hAnsi="David"/>
                <w:b/>
                <w:bCs/>
                <w:u w:val="single"/>
                <w:rtl/>
              </w:rPr>
            </w:pPr>
          </w:p>
        </w:tc>
      </w:tr>
      <w:bookmarkEnd w:id="6"/>
    </w:tbl>
    <w:p w14:paraId="56BB51BC" w14:textId="77777777" w:rsidR="006A09D8" w:rsidRDefault="006A09D8" w:rsidP="006A09D8">
      <w:pPr>
        <w:rPr>
          <w:rFonts w:ascii="Arial" w:hAnsi="Arial"/>
          <w:rtl/>
        </w:rPr>
      </w:pPr>
    </w:p>
    <w:p w14:paraId="6B3B7575" w14:textId="77777777" w:rsidR="006A09D8" w:rsidRDefault="006A09D8" w:rsidP="006A09D8">
      <w:pPr>
        <w:rPr>
          <w:rFonts w:ascii="Arial" w:hAnsi="Arial"/>
          <w:b/>
          <w:bCs/>
          <w:u w:val="single"/>
          <w:rtl/>
        </w:rPr>
      </w:pPr>
      <w:r w:rsidRPr="00EE0172">
        <w:rPr>
          <w:rFonts w:ascii="Arial" w:hAnsi="Arial"/>
          <w:b/>
          <w:bCs/>
          <w:u w:val="single"/>
          <w:rtl/>
        </w:rPr>
        <w:t>כתב האישום</w:t>
      </w:r>
      <w:r>
        <w:rPr>
          <w:rFonts w:ascii="Arial" w:hAnsi="Arial"/>
          <w:b/>
          <w:bCs/>
          <w:u w:val="single"/>
          <w:rtl/>
        </w:rPr>
        <w:t xml:space="preserve"> וההליכים</w:t>
      </w:r>
    </w:p>
    <w:p w14:paraId="6315F360" w14:textId="77777777" w:rsidR="006A09D8" w:rsidRPr="00B05847" w:rsidRDefault="006A09D8" w:rsidP="006A09D8">
      <w:pPr>
        <w:rPr>
          <w:rFonts w:ascii="Arial" w:hAnsi="Arial"/>
          <w:rtl/>
        </w:rPr>
      </w:pPr>
    </w:p>
    <w:p w14:paraId="5C269D0A" w14:textId="77777777" w:rsidR="006A09D8" w:rsidRPr="00B05847" w:rsidRDefault="006A09D8" w:rsidP="006A09D8">
      <w:pPr>
        <w:rPr>
          <w:rFonts w:ascii="Arial" w:hAnsi="Arial"/>
          <w:rtl/>
        </w:rPr>
      </w:pPr>
    </w:p>
    <w:p w14:paraId="50636971" w14:textId="77777777" w:rsidR="006A09D8" w:rsidRDefault="006A09D8" w:rsidP="006A09D8">
      <w:pPr>
        <w:pStyle w:val="a9"/>
        <w:numPr>
          <w:ilvl w:val="0"/>
          <w:numId w:val="1"/>
        </w:numPr>
        <w:spacing w:line="360" w:lineRule="auto"/>
        <w:jc w:val="both"/>
      </w:pPr>
      <w:bookmarkStart w:id="7" w:name="ABSTRACT_START"/>
      <w:bookmarkEnd w:id="7"/>
      <w:r>
        <w:rPr>
          <w:rFonts w:hint="cs"/>
          <w:rtl/>
        </w:rPr>
        <w:t xml:space="preserve">הנאשם הורשע, על פי הודאתו בכתב אישום מתוקן, בעבירה של החזקת סם של לצריכה עצמית, לפי </w:t>
      </w:r>
      <w:hyperlink r:id="rId18" w:history="1">
        <w:r w:rsidR="005D1F7E" w:rsidRPr="005D1F7E">
          <w:rPr>
            <w:rStyle w:val="Hyperlink"/>
            <w:rFonts w:hint="eastAsia"/>
            <w:rtl/>
          </w:rPr>
          <w:t>סעיף</w:t>
        </w:r>
        <w:r w:rsidR="005D1F7E" w:rsidRPr="005D1F7E">
          <w:rPr>
            <w:rStyle w:val="Hyperlink"/>
            <w:rtl/>
          </w:rPr>
          <w:t xml:space="preserve"> 7(א)+7(ג)</w:t>
        </w:r>
      </w:hyperlink>
      <w:r>
        <w:rPr>
          <w:rFonts w:hint="cs"/>
          <w:rtl/>
        </w:rPr>
        <w:t xml:space="preserve"> רישא ל</w:t>
      </w:r>
      <w:hyperlink r:id="rId19" w:history="1">
        <w:r w:rsidR="00356AE0" w:rsidRPr="00356AE0">
          <w:rPr>
            <w:color w:val="0000FF"/>
            <w:u w:val="single"/>
            <w:rtl/>
          </w:rPr>
          <w:t>פקודת הסמים המסוכנים</w:t>
        </w:r>
      </w:hyperlink>
      <w:r>
        <w:rPr>
          <w:rFonts w:hint="cs"/>
          <w:rtl/>
        </w:rPr>
        <w:t xml:space="preserve"> (נוסח חדש), תשל"ג- 1973 (להלן </w:t>
      </w:r>
      <w:r>
        <w:rPr>
          <w:rtl/>
        </w:rPr>
        <w:t>–</w:t>
      </w:r>
      <w:r>
        <w:rPr>
          <w:rFonts w:hint="cs"/>
          <w:rtl/>
        </w:rPr>
        <w:t xml:space="preserve"> </w:t>
      </w:r>
      <w:r w:rsidRPr="00322178">
        <w:rPr>
          <w:rFonts w:cs="Miriam" w:hint="cs"/>
          <w:rtl/>
        </w:rPr>
        <w:t>פקודת הסמים</w:t>
      </w:r>
      <w:r>
        <w:rPr>
          <w:rFonts w:hint="cs"/>
          <w:rtl/>
        </w:rPr>
        <w:t xml:space="preserve">); עבירה של סחר בסם מסוכן, </w:t>
      </w:r>
      <w:r>
        <w:rPr>
          <w:rtl/>
        </w:rPr>
        <w:t xml:space="preserve">לפי סעיפים </w:t>
      </w:r>
      <w:hyperlink r:id="rId20" w:history="1">
        <w:r w:rsidR="005D1F7E" w:rsidRPr="005D1F7E">
          <w:rPr>
            <w:rStyle w:val="Hyperlink"/>
            <w:rtl/>
          </w:rPr>
          <w:t>13 + 19א</w:t>
        </w:r>
      </w:hyperlink>
      <w:r>
        <w:rPr>
          <w:rtl/>
        </w:rPr>
        <w:t xml:space="preserve"> לפקודת הסמים</w:t>
      </w:r>
      <w:r>
        <w:rPr>
          <w:rFonts w:hint="cs"/>
          <w:rtl/>
        </w:rPr>
        <w:t xml:space="preserve"> + </w:t>
      </w:r>
      <w:hyperlink r:id="rId21" w:history="1">
        <w:r w:rsidR="005D1F7E" w:rsidRPr="005D1F7E">
          <w:rPr>
            <w:rStyle w:val="Hyperlink"/>
            <w:rFonts w:hint="eastAsia"/>
            <w:rtl/>
          </w:rPr>
          <w:t>סעיף</w:t>
        </w:r>
        <w:r w:rsidR="005D1F7E" w:rsidRPr="005D1F7E">
          <w:rPr>
            <w:rStyle w:val="Hyperlink"/>
            <w:rtl/>
          </w:rPr>
          <w:t xml:space="preserve"> 29(א)</w:t>
        </w:r>
      </w:hyperlink>
      <w:r>
        <w:rPr>
          <w:rFonts w:hint="cs"/>
          <w:rtl/>
        </w:rPr>
        <w:t xml:space="preserve"> ל</w:t>
      </w:r>
      <w:hyperlink r:id="rId22" w:history="1">
        <w:r w:rsidR="00356AE0" w:rsidRPr="00356AE0">
          <w:rPr>
            <w:color w:val="0000FF"/>
            <w:u w:val="single"/>
            <w:rtl/>
          </w:rPr>
          <w:t>חוק העונשין</w:t>
        </w:r>
      </w:hyperlink>
      <w:r>
        <w:rPr>
          <w:rFonts w:hint="cs"/>
          <w:rtl/>
        </w:rPr>
        <w:t xml:space="preserve">, תשל"ז- 1977 (להלן </w:t>
      </w:r>
      <w:r>
        <w:rPr>
          <w:rtl/>
        </w:rPr>
        <w:t>–</w:t>
      </w:r>
      <w:r>
        <w:rPr>
          <w:rFonts w:hint="cs"/>
          <w:rtl/>
        </w:rPr>
        <w:t xml:space="preserve"> </w:t>
      </w:r>
      <w:r w:rsidRPr="00315651">
        <w:rPr>
          <w:rFonts w:ascii="Miriam" w:hAnsi="Miriam" w:cs="Miriam"/>
          <w:rtl/>
        </w:rPr>
        <w:t>חוק העונשין</w:t>
      </w:r>
      <w:r>
        <w:rPr>
          <w:rFonts w:hint="cs"/>
          <w:rtl/>
        </w:rPr>
        <w:t xml:space="preserve">); ובעבירה של החזקת כלים להכנת סם שלא לצריכה עצמית, לפי </w:t>
      </w:r>
      <w:hyperlink r:id="rId23" w:history="1">
        <w:r w:rsidR="005D1F7E" w:rsidRPr="005D1F7E">
          <w:rPr>
            <w:rStyle w:val="Hyperlink"/>
            <w:rFonts w:hint="eastAsia"/>
            <w:rtl/>
          </w:rPr>
          <w:t>סעיף</w:t>
        </w:r>
        <w:r w:rsidR="005D1F7E" w:rsidRPr="005D1F7E">
          <w:rPr>
            <w:rStyle w:val="Hyperlink"/>
            <w:rtl/>
          </w:rPr>
          <w:t xml:space="preserve"> 10</w:t>
        </w:r>
      </w:hyperlink>
      <w:r>
        <w:rPr>
          <w:rFonts w:hint="cs"/>
          <w:rtl/>
        </w:rPr>
        <w:t xml:space="preserve"> רישא לפקודת הסמים המסוכנים. </w:t>
      </w:r>
    </w:p>
    <w:p w14:paraId="10D0E19B" w14:textId="77777777" w:rsidR="006A09D8" w:rsidRDefault="006A09D8" w:rsidP="006A09D8">
      <w:pPr>
        <w:pStyle w:val="a9"/>
        <w:ind w:left="0"/>
        <w:jc w:val="both"/>
      </w:pPr>
      <w:bookmarkStart w:id="8" w:name="ABSTRACT_END"/>
      <w:bookmarkEnd w:id="8"/>
    </w:p>
    <w:p w14:paraId="386BAAB6" w14:textId="77777777" w:rsidR="006A09D8" w:rsidRDefault="006A09D8" w:rsidP="006A09D8">
      <w:pPr>
        <w:pStyle w:val="a9"/>
        <w:numPr>
          <w:ilvl w:val="0"/>
          <w:numId w:val="1"/>
        </w:numPr>
        <w:spacing w:line="360" w:lineRule="auto"/>
        <w:jc w:val="both"/>
      </w:pPr>
      <w:r>
        <w:rPr>
          <w:rtl/>
        </w:rPr>
        <w:lastRenderedPageBreak/>
        <w:t>על פי עובדות כתב האישום המתוקן, ב</w:t>
      </w:r>
      <w:r>
        <w:rPr>
          <w:rFonts w:hint="cs"/>
          <w:rtl/>
        </w:rPr>
        <w:t xml:space="preserve">יום 1.5.2019 שכר הנאשם דירה ששימשה כתחנה למכירת סמים מסוכנים מסוג קנבוס וחשיש. </w:t>
      </w:r>
      <w:r>
        <w:rPr>
          <w:rtl/>
        </w:rPr>
        <w:t xml:space="preserve">בכתב האישום יוחסו לנאשם </w:t>
      </w:r>
      <w:r>
        <w:rPr>
          <w:rFonts w:hint="cs"/>
          <w:rtl/>
        </w:rPr>
        <w:t>שש</w:t>
      </w:r>
      <w:r>
        <w:rPr>
          <w:rtl/>
        </w:rPr>
        <w:t xml:space="preserve"> עסקאות </w:t>
      </w:r>
      <w:r>
        <w:rPr>
          <w:rFonts w:hint="cs"/>
          <w:rtl/>
        </w:rPr>
        <w:t xml:space="preserve">של </w:t>
      </w:r>
      <w:r>
        <w:rPr>
          <w:rtl/>
        </w:rPr>
        <w:t>סחר בסם</w:t>
      </w:r>
      <w:r>
        <w:rPr>
          <w:rFonts w:hint="cs"/>
          <w:rtl/>
        </w:rPr>
        <w:t xml:space="preserve"> אותן ביצע ביחד עם אחר שזהותו אינה ידועה למאשימה. בארבעה מקרים מדובר היה בכמות של 1 גרם קנבוס, במקרה אחד 4 גרם, ובאחרון- 5 גרם והכל בסכום כולל של 900 ₪. כן צוין בכתב האישום כי ביום 26.9.2019 החזיק הנאשם בדירה סם מסוכן מסוג קנבוס במשקל כולל של 87.9 גרם נטו וכן סם מסוכן מסוג חשיש במשקל 100 גרם נטו, וזאת שלא לצריכתו העצמית. במעמד זה החזיק הנאשם גם בשקיות ריקות שיכולות לשמש להפצת הסמים. </w:t>
      </w:r>
    </w:p>
    <w:p w14:paraId="1580D2D3" w14:textId="77777777" w:rsidR="006A09D8" w:rsidRDefault="006A09D8" w:rsidP="006A09D8">
      <w:pPr>
        <w:pStyle w:val="a9"/>
        <w:ind w:left="0"/>
        <w:jc w:val="both"/>
      </w:pPr>
    </w:p>
    <w:p w14:paraId="0A249FCE" w14:textId="77777777" w:rsidR="006A09D8" w:rsidRDefault="006A09D8" w:rsidP="006A09D8">
      <w:pPr>
        <w:pStyle w:val="a9"/>
        <w:numPr>
          <w:ilvl w:val="0"/>
          <w:numId w:val="1"/>
        </w:numPr>
        <w:spacing w:line="360" w:lineRule="auto"/>
        <w:jc w:val="both"/>
      </w:pPr>
      <w:r>
        <w:rPr>
          <w:rFonts w:ascii="Arial" w:hAnsi="Arial"/>
          <w:rtl/>
        </w:rPr>
        <w:t>הצדדים הגיעו להסדר טיעון במסגרתו הודה הנאשם בעובדות כתב האישום</w:t>
      </w:r>
      <w:r>
        <w:rPr>
          <w:rFonts w:ascii="Arial" w:hAnsi="Arial" w:hint="cs"/>
          <w:rtl/>
        </w:rPr>
        <w:t xml:space="preserve"> המתוקן,</w:t>
      </w:r>
      <w:r>
        <w:rPr>
          <w:rFonts w:ascii="Arial" w:hAnsi="Arial"/>
          <w:rtl/>
        </w:rPr>
        <w:t xml:space="preserve"> </w:t>
      </w:r>
      <w:r>
        <w:rPr>
          <w:rFonts w:ascii="Arial" w:hAnsi="Arial" w:hint="cs"/>
          <w:rtl/>
        </w:rPr>
        <w:t xml:space="preserve">וזאת </w:t>
      </w:r>
      <w:r>
        <w:rPr>
          <w:rFonts w:ascii="Arial" w:hAnsi="Arial"/>
          <w:rtl/>
        </w:rPr>
        <w:t>ללא הסכמה עונשי</w:t>
      </w:r>
      <w:r>
        <w:rPr>
          <w:rFonts w:ascii="Arial" w:hAnsi="Arial" w:hint="cs"/>
          <w:rtl/>
        </w:rPr>
        <w:t xml:space="preserve">ת. בשל גילו של הנאשם עניינו הופנה לשירות המבחן. </w:t>
      </w:r>
    </w:p>
    <w:p w14:paraId="3A134953" w14:textId="77777777" w:rsidR="006A09D8" w:rsidRPr="005F3A8D" w:rsidRDefault="006A09D8" w:rsidP="006A09D8">
      <w:pPr>
        <w:pStyle w:val="a9"/>
        <w:ind w:left="0"/>
        <w:jc w:val="both"/>
        <w:rPr>
          <w:rtl/>
        </w:rPr>
      </w:pPr>
    </w:p>
    <w:p w14:paraId="10F0C46E" w14:textId="77777777" w:rsidR="006A09D8" w:rsidRPr="00094C71" w:rsidRDefault="006A09D8" w:rsidP="006A09D8">
      <w:pPr>
        <w:pStyle w:val="a9"/>
        <w:spacing w:line="360" w:lineRule="auto"/>
        <w:ind w:left="0"/>
        <w:jc w:val="both"/>
        <w:rPr>
          <w:rtl/>
        </w:rPr>
      </w:pPr>
      <w:r w:rsidRPr="00094C71">
        <w:rPr>
          <w:b/>
          <w:bCs/>
          <w:u w:val="single"/>
          <w:rtl/>
        </w:rPr>
        <w:t>תסקיר</w:t>
      </w:r>
      <w:r>
        <w:rPr>
          <w:rFonts w:hint="cs"/>
          <w:b/>
          <w:bCs/>
          <w:u w:val="single"/>
          <w:rtl/>
        </w:rPr>
        <w:t>י</w:t>
      </w:r>
      <w:r w:rsidRPr="00094C71">
        <w:rPr>
          <w:b/>
          <w:bCs/>
          <w:u w:val="single"/>
          <w:rtl/>
        </w:rPr>
        <w:t xml:space="preserve"> שירות המבחן</w:t>
      </w:r>
    </w:p>
    <w:p w14:paraId="7FAC6A2D" w14:textId="77777777" w:rsidR="006A09D8" w:rsidRPr="000C15D2" w:rsidRDefault="006A09D8" w:rsidP="006A09D8">
      <w:pPr>
        <w:pStyle w:val="a9"/>
        <w:ind w:left="0"/>
        <w:jc w:val="both"/>
      </w:pPr>
    </w:p>
    <w:p w14:paraId="147245B9" w14:textId="77777777" w:rsidR="006A09D8" w:rsidRDefault="006A09D8" w:rsidP="006A09D8">
      <w:pPr>
        <w:pStyle w:val="a9"/>
        <w:numPr>
          <w:ilvl w:val="0"/>
          <w:numId w:val="1"/>
        </w:numPr>
        <w:spacing w:line="360" w:lineRule="auto"/>
        <w:jc w:val="both"/>
      </w:pPr>
      <w:r>
        <w:rPr>
          <w:rtl/>
        </w:rPr>
        <w:t xml:space="preserve">שירות המבחן הגיש </w:t>
      </w:r>
      <w:r>
        <w:rPr>
          <w:rFonts w:hint="cs"/>
          <w:rtl/>
        </w:rPr>
        <w:t xml:space="preserve">שני </w:t>
      </w:r>
      <w:r>
        <w:rPr>
          <w:rtl/>
        </w:rPr>
        <w:t>תסקיר</w:t>
      </w:r>
      <w:r>
        <w:rPr>
          <w:rFonts w:hint="cs"/>
          <w:rtl/>
        </w:rPr>
        <w:t>ים</w:t>
      </w:r>
      <w:r>
        <w:rPr>
          <w:rtl/>
        </w:rPr>
        <w:t xml:space="preserve"> וב</w:t>
      </w:r>
      <w:r>
        <w:rPr>
          <w:rFonts w:hint="cs"/>
          <w:rtl/>
        </w:rPr>
        <w:t xml:space="preserve">הם </w:t>
      </w:r>
      <w:r>
        <w:rPr>
          <w:rtl/>
        </w:rPr>
        <w:t>סקר את נסיבות חייו</w:t>
      </w:r>
      <w:r>
        <w:rPr>
          <w:rFonts w:hint="cs"/>
          <w:rtl/>
        </w:rPr>
        <w:t xml:space="preserve"> של הנאשם</w:t>
      </w:r>
      <w:r>
        <w:rPr>
          <w:rtl/>
        </w:rPr>
        <w:t>. מטעמים של צנעת הפרט לא אפרט יתר על המידה את הדברים. בתמצית ייאמר כי הנאשם רווק כבן</w:t>
      </w:r>
      <w:r>
        <w:rPr>
          <w:rFonts w:hint="cs"/>
          <w:rtl/>
        </w:rPr>
        <w:t xml:space="preserve"> 23, שלחובתו שתי הרשעות קודמות בעבירות סמים מבית דין צבאי, בגינן ריצה שני מאסרים מאחורי סורג ובריח. ביחס לביצוע העבירות, בתחילה התקשה הנאשם לקבל אחריות מלאה למעשים ומזער את חלקו. שירות המבחן התרשם כי שותפו לדירה ולעבירות היווה עבורו דמות משמעותית שהובילה אותו להתנהגות נגררת, מרצה ותמימה. כן התרשם שירות המבחן כי הנאשם עושה שימוש בסמים כדרך התמודדות סביב מצוקות שחווה, אך הוא אינו בעל דפוסים עבריינים וקיימת סביבו מערכת תמיכה משפחתית שעשויה להוות מקור מוטיבציה וסיוע בתהליך שיקומי. בשל כך המליץ שירות המבחן לשלב את הנאשם בטיפול ביחידה להתמכרויות וכך היה. התרשמות גורמי הטיפול מהנאשם הייתה חיובית, נמסרו בדיקות שתן נקיות, ועם התקדמות ההליך שינה הנאשם את עמדתו וקיבל אחריות מלאה על מעשיו. לאור כל זאת, המליץ שירות המבחן להעדיף את הפן השיקומי בעניינו של הנאשם, להאריך את המאסר המותנה, להעמידו בצו מבחן למשך 12 חודשים, לצד ענישה בדמות צו של"צ וקנס. ביחס לאפשרות לגזור על הנאשם עונש מאסר בכליאה, ציין שירות המבחן כי ענישה שכזו עשויה לפגוע בהליך הטיפולי בו מצוי הנאשם, להביא לרגרסיה במצבו הרגשי ולחשוף אותו למגע עם דמויות שעשויות להשפיע עליו באופן שלילי. </w:t>
      </w:r>
    </w:p>
    <w:p w14:paraId="7EE989F8" w14:textId="77777777" w:rsidR="006A09D8" w:rsidRPr="00AF47AC" w:rsidRDefault="006A09D8" w:rsidP="006A09D8">
      <w:pPr>
        <w:pStyle w:val="a9"/>
        <w:ind w:left="0"/>
        <w:jc w:val="both"/>
        <w:rPr>
          <w:rtl/>
        </w:rPr>
      </w:pPr>
    </w:p>
    <w:p w14:paraId="605EDF09" w14:textId="77777777" w:rsidR="006A09D8" w:rsidRDefault="006A09D8" w:rsidP="006A09D8">
      <w:pPr>
        <w:spacing w:line="360" w:lineRule="auto"/>
        <w:jc w:val="both"/>
        <w:rPr>
          <w:b/>
          <w:bCs/>
          <w:u w:val="single"/>
          <w:rtl/>
        </w:rPr>
      </w:pPr>
      <w:r>
        <w:rPr>
          <w:b/>
          <w:bCs/>
          <w:u w:val="single"/>
          <w:rtl/>
        </w:rPr>
        <w:t>טיעוני הצדדים לעונש והראיות</w:t>
      </w:r>
    </w:p>
    <w:p w14:paraId="329F447F" w14:textId="77777777" w:rsidR="006A09D8" w:rsidRDefault="006A09D8" w:rsidP="006A09D8">
      <w:pPr>
        <w:pStyle w:val="a9"/>
        <w:ind w:left="0"/>
        <w:jc w:val="both"/>
      </w:pPr>
    </w:p>
    <w:p w14:paraId="23138904" w14:textId="77777777" w:rsidR="006A09D8" w:rsidRDefault="006A09D8" w:rsidP="006A09D8">
      <w:pPr>
        <w:pStyle w:val="a9"/>
        <w:numPr>
          <w:ilvl w:val="0"/>
          <w:numId w:val="1"/>
        </w:numPr>
        <w:spacing w:line="360" w:lineRule="auto"/>
        <w:jc w:val="both"/>
      </w:pPr>
      <w:r>
        <w:rPr>
          <w:rFonts w:hint="cs"/>
          <w:rtl/>
        </w:rPr>
        <w:t xml:space="preserve">אמו של הנאשם העידה </w:t>
      </w:r>
      <w:r>
        <w:rPr>
          <w:rtl/>
        </w:rPr>
        <w:t>במסגרת הטיעונים לעונש. הא</w:t>
      </w:r>
      <w:r>
        <w:rPr>
          <w:rFonts w:hint="cs"/>
          <w:rtl/>
        </w:rPr>
        <w:t>ם</w:t>
      </w:r>
      <w:r>
        <w:rPr>
          <w:rtl/>
        </w:rPr>
        <w:t xml:space="preserve"> סיפר</w:t>
      </w:r>
      <w:r>
        <w:rPr>
          <w:rFonts w:hint="cs"/>
          <w:rtl/>
        </w:rPr>
        <w:t>ה</w:t>
      </w:r>
      <w:r>
        <w:rPr>
          <w:rtl/>
        </w:rPr>
        <w:t xml:space="preserve"> על</w:t>
      </w:r>
      <w:r>
        <w:rPr>
          <w:rFonts w:hint="cs"/>
          <w:rtl/>
        </w:rPr>
        <w:t xml:space="preserve"> תקופת המעצר בה שהה, לרבות באיזוק, על התמיכה המשפחתית שהעניקו לו ועל רצונה לסייע לו לשקם את חייו. </w:t>
      </w:r>
    </w:p>
    <w:p w14:paraId="3F7C1FDE" w14:textId="77777777" w:rsidR="006A09D8" w:rsidRDefault="006A09D8" w:rsidP="006A09D8">
      <w:pPr>
        <w:pStyle w:val="a9"/>
        <w:ind w:left="0"/>
        <w:jc w:val="both"/>
      </w:pPr>
    </w:p>
    <w:p w14:paraId="17DF5115" w14:textId="77777777" w:rsidR="006A09D8" w:rsidRDefault="006A09D8" w:rsidP="006A09D8">
      <w:pPr>
        <w:pStyle w:val="a9"/>
        <w:numPr>
          <w:ilvl w:val="0"/>
          <w:numId w:val="1"/>
        </w:numPr>
        <w:spacing w:line="360" w:lineRule="auto"/>
        <w:jc w:val="both"/>
      </w:pPr>
      <w:r>
        <w:rPr>
          <w:rFonts w:hint="cs"/>
          <w:rtl/>
        </w:rPr>
        <w:t xml:space="preserve"> המאשימה הגישה את גיליו</w:t>
      </w:r>
      <w:r>
        <w:rPr>
          <w:rFonts w:hint="eastAsia"/>
          <w:rtl/>
        </w:rPr>
        <w:t>ן</w:t>
      </w:r>
      <w:r>
        <w:rPr>
          <w:rFonts w:hint="cs"/>
          <w:rtl/>
        </w:rPr>
        <w:t xml:space="preserve"> הרישום הפלילי של הנאשם; כתבי אישום וגזר דין של נאשמים אחרים שהתגוררו בדירה עם הנאשם;  וכן כתב אישום וגזר דין מתיק קודם ובו מאסר מותנה.  </w:t>
      </w:r>
    </w:p>
    <w:p w14:paraId="6D364667" w14:textId="77777777" w:rsidR="006A09D8" w:rsidRPr="00103038" w:rsidRDefault="006A09D8" w:rsidP="006A09D8">
      <w:pPr>
        <w:pStyle w:val="a9"/>
        <w:ind w:left="0"/>
        <w:jc w:val="both"/>
      </w:pPr>
    </w:p>
    <w:p w14:paraId="5637CAF6" w14:textId="77777777" w:rsidR="006A09D8" w:rsidRDefault="006A09D8" w:rsidP="006A09D8">
      <w:pPr>
        <w:pStyle w:val="a9"/>
        <w:numPr>
          <w:ilvl w:val="0"/>
          <w:numId w:val="1"/>
        </w:numPr>
        <w:spacing w:line="360" w:lineRule="auto"/>
        <w:jc w:val="both"/>
      </w:pPr>
      <w:r w:rsidRPr="0035221C">
        <w:rPr>
          <w:rtl/>
        </w:rPr>
        <w:t>ב</w:t>
      </w:r>
      <w:r>
        <w:rPr>
          <w:rtl/>
        </w:rPr>
        <w:t>"כ המאשימה הדגיש</w:t>
      </w:r>
      <w:r>
        <w:rPr>
          <w:rFonts w:hint="cs"/>
          <w:rtl/>
        </w:rPr>
        <w:t>ה</w:t>
      </w:r>
      <w:r>
        <w:rPr>
          <w:rtl/>
        </w:rPr>
        <w:t xml:space="preserve"> את חומרתן של עבירות הסמים ואת פגיעתן הרבה בבריאות הציבור ושלומו. צוין כי מדובר </w:t>
      </w:r>
      <w:r>
        <w:rPr>
          <w:rFonts w:hint="cs"/>
          <w:rtl/>
        </w:rPr>
        <w:t>בשש</w:t>
      </w:r>
      <w:r>
        <w:rPr>
          <w:rtl/>
        </w:rPr>
        <w:t xml:space="preserve"> </w:t>
      </w:r>
      <w:r>
        <w:rPr>
          <w:rFonts w:hint="cs"/>
          <w:rtl/>
        </w:rPr>
        <w:t>עסקאות</w:t>
      </w:r>
      <w:r>
        <w:rPr>
          <w:rtl/>
        </w:rPr>
        <w:t xml:space="preserve"> סחר בסם שבוצעו ביחד עם </w:t>
      </w:r>
      <w:r>
        <w:rPr>
          <w:rFonts w:hint="cs"/>
          <w:rtl/>
        </w:rPr>
        <w:t>אחר</w:t>
      </w:r>
      <w:r>
        <w:rPr>
          <w:rtl/>
        </w:rPr>
        <w:t>, וכן בעביר</w:t>
      </w:r>
      <w:r>
        <w:rPr>
          <w:rFonts w:hint="cs"/>
          <w:rtl/>
        </w:rPr>
        <w:t>ות</w:t>
      </w:r>
      <w:r>
        <w:rPr>
          <w:rtl/>
        </w:rPr>
        <w:t xml:space="preserve"> של החזקת סם</w:t>
      </w:r>
      <w:r>
        <w:rPr>
          <w:rFonts w:hint="cs"/>
          <w:rtl/>
        </w:rPr>
        <w:t xml:space="preserve"> וכלים,</w:t>
      </w:r>
      <w:r>
        <w:rPr>
          <w:rtl/>
        </w:rPr>
        <w:t xml:space="preserve"> </w:t>
      </w:r>
      <w:r>
        <w:rPr>
          <w:rFonts w:hint="cs"/>
          <w:rtl/>
        </w:rPr>
        <w:t>ש</w:t>
      </w:r>
      <w:r>
        <w:rPr>
          <w:rtl/>
        </w:rPr>
        <w:t>ל</w:t>
      </w:r>
      <w:r>
        <w:rPr>
          <w:rFonts w:hint="cs"/>
          <w:rtl/>
        </w:rPr>
        <w:t>א ל</w:t>
      </w:r>
      <w:r>
        <w:rPr>
          <w:rtl/>
        </w:rPr>
        <w:t>שימוש עצמי</w:t>
      </w:r>
      <w:r>
        <w:rPr>
          <w:rFonts w:hint="cs"/>
          <w:rtl/>
        </w:rPr>
        <w:t xml:space="preserve">. המאשימה הפנתה לפסיקה ונטען כי מדובר בעבירות שתוכננו היטב וכי יש לקבוע בגינן מתחם ענישה אחד הנע בין 12 חודשי מאסר בפועל ועד 24 חודשי מאסר בפועל, לצד ענישה נלוות. ביחס לעונש הראוי לנאשם נטען כי מדובר בנאשם בעל עבר פלילי בעבירות סמים, שאף ריצה בעברו מאסרים מאחורי סורג ובריח, ולחובתו מאסר מותנה. כן נטען שההליך בשירות המבחן בראשיתו ואינו מצדיק סטייה ממתחם הענישה. לאור כך, עתרה המאשימה לעונש מאסר בן 12 חודשים, מאסר על תנאי, קנס ופסילת רישיון בפועל. </w:t>
      </w:r>
    </w:p>
    <w:p w14:paraId="35722EC9" w14:textId="77777777" w:rsidR="006A09D8" w:rsidRDefault="006A09D8" w:rsidP="006A09D8">
      <w:pPr>
        <w:pStyle w:val="a9"/>
        <w:rPr>
          <w:rtl/>
        </w:rPr>
      </w:pPr>
    </w:p>
    <w:p w14:paraId="7879B2AD" w14:textId="77777777" w:rsidR="006A09D8" w:rsidRDefault="006A09D8" w:rsidP="006A09D8">
      <w:pPr>
        <w:pStyle w:val="a9"/>
        <w:numPr>
          <w:ilvl w:val="0"/>
          <w:numId w:val="1"/>
        </w:numPr>
        <w:spacing w:line="360" w:lineRule="auto"/>
        <w:jc w:val="both"/>
      </w:pPr>
      <w:r>
        <w:rPr>
          <w:rFonts w:hint="cs"/>
          <w:rtl/>
        </w:rPr>
        <w:t>ב"כ הנאשם הדגיש כי מדובר בנאשם שהודה בכתב אישום מתוקן, וכי מדובר בעסקאות שבוצעו מול שני קונים בלבד, בכמויות קטנות יחסית. ההגנה ביקשה לזקוף לזכותו של הנאשם את ההליך השיקומי בו הוא מצוי כיום, את העובדה כי משך תקופה ארוכה מוסר הנאשם בדיקות שתן נקיות משרידי סם, ואת התרשמות שירות המבחן מיכולתו לערוך כיום שינוי באורח חייו. ברוח דברים אלו עתרה ההגנה לחרוג ממתחם הענישה משיקולי שיקום, ובכל מקרה לגזור על הנאשם עונש שניתן לרצות בדרך של עבודות שירות. יודגש כי ההגנה לא ביקשה להאריך את המאסר המותנה, חרף המלצת שירות המבחן.</w:t>
      </w:r>
    </w:p>
    <w:p w14:paraId="6FC898FF" w14:textId="77777777" w:rsidR="006A09D8" w:rsidRPr="004A3BEF" w:rsidRDefault="006A09D8" w:rsidP="006A09D8">
      <w:pPr>
        <w:pStyle w:val="a9"/>
        <w:rPr>
          <w:rtl/>
        </w:rPr>
      </w:pPr>
    </w:p>
    <w:p w14:paraId="7DA25C1B" w14:textId="77777777" w:rsidR="006A09D8" w:rsidRDefault="006A09D8" w:rsidP="006A09D8">
      <w:pPr>
        <w:pStyle w:val="a9"/>
        <w:numPr>
          <w:ilvl w:val="0"/>
          <w:numId w:val="1"/>
        </w:numPr>
        <w:spacing w:line="360" w:lineRule="auto"/>
        <w:jc w:val="both"/>
      </w:pPr>
      <w:r>
        <w:rPr>
          <w:rFonts w:hint="cs"/>
          <w:rtl/>
        </w:rPr>
        <w:t xml:space="preserve">הנאשם בדברו האחרון הביע חרטה וקיבל אחריות על מעשיו. כן תאר את הליך הטיפול בו הוא מצוי וביקש לאפשר לו להמשיך במסלול זה. </w:t>
      </w:r>
    </w:p>
    <w:p w14:paraId="58B4602F" w14:textId="77777777" w:rsidR="006A09D8" w:rsidRPr="004A3BEF" w:rsidRDefault="006A09D8" w:rsidP="006A09D8">
      <w:pPr>
        <w:jc w:val="both"/>
      </w:pPr>
    </w:p>
    <w:p w14:paraId="1ADAC5F7" w14:textId="77777777" w:rsidR="006A09D8" w:rsidRDefault="006A09D8" w:rsidP="006A09D8">
      <w:pPr>
        <w:spacing w:line="360" w:lineRule="auto"/>
        <w:jc w:val="both"/>
        <w:rPr>
          <w:b/>
          <w:bCs/>
          <w:u w:val="single"/>
          <w:rtl/>
        </w:rPr>
      </w:pPr>
      <w:r>
        <w:rPr>
          <w:b/>
          <w:bCs/>
          <w:u w:val="single"/>
          <w:rtl/>
        </w:rPr>
        <w:t xml:space="preserve">דיון והכרעה </w:t>
      </w:r>
    </w:p>
    <w:p w14:paraId="55E954DE" w14:textId="77777777" w:rsidR="006A09D8" w:rsidRDefault="006A09D8" w:rsidP="006A09D8">
      <w:pPr>
        <w:pStyle w:val="a9"/>
        <w:spacing w:line="360" w:lineRule="auto"/>
        <w:ind w:left="0"/>
        <w:jc w:val="both"/>
        <w:rPr>
          <w:b/>
          <w:bCs/>
          <w:u w:val="single"/>
          <w:rtl/>
        </w:rPr>
      </w:pPr>
      <w:r>
        <w:rPr>
          <w:b/>
          <w:bCs/>
          <w:u w:val="single"/>
          <w:rtl/>
        </w:rPr>
        <w:t>קביעת מתחם הענישה</w:t>
      </w:r>
    </w:p>
    <w:p w14:paraId="7369B511" w14:textId="77777777" w:rsidR="006A09D8" w:rsidRDefault="006A09D8" w:rsidP="006A09D8">
      <w:pPr>
        <w:pStyle w:val="a9"/>
        <w:spacing w:line="360" w:lineRule="auto"/>
        <w:ind w:left="0"/>
        <w:jc w:val="both"/>
        <w:rPr>
          <w:b/>
          <w:bCs/>
          <w:u w:val="single"/>
          <w:rtl/>
        </w:rPr>
      </w:pPr>
    </w:p>
    <w:p w14:paraId="39544703" w14:textId="77777777" w:rsidR="006A09D8" w:rsidRDefault="006A09D8" w:rsidP="006A09D8">
      <w:pPr>
        <w:pStyle w:val="a9"/>
        <w:numPr>
          <w:ilvl w:val="0"/>
          <w:numId w:val="1"/>
        </w:numPr>
        <w:spacing w:line="360" w:lineRule="auto"/>
        <w:jc w:val="both"/>
        <w:rPr>
          <w:b/>
          <w:bCs/>
        </w:rPr>
      </w:pPr>
      <w:r w:rsidRPr="00801FFB">
        <w:rPr>
          <w:rFonts w:ascii="David" w:eastAsia="Calibri" w:hAnsi="David"/>
          <w:rtl/>
        </w:rPr>
        <w:t xml:space="preserve">כידוע, </w:t>
      </w:r>
      <w:r>
        <w:rPr>
          <w:rFonts w:ascii="David" w:eastAsia="Calibri" w:hAnsi="David" w:hint="cs"/>
          <w:rtl/>
        </w:rPr>
        <w:t xml:space="preserve">במסגרת </w:t>
      </w:r>
      <w:r w:rsidRPr="00801FFB">
        <w:rPr>
          <w:rFonts w:ascii="David" w:eastAsia="Calibri" w:hAnsi="David"/>
          <w:rtl/>
        </w:rPr>
        <w:t>תיקון 113 ל</w:t>
      </w:r>
      <w:hyperlink r:id="rId24" w:history="1">
        <w:r w:rsidR="00356AE0" w:rsidRPr="00356AE0">
          <w:rPr>
            <w:rFonts w:ascii="David" w:eastAsia="Calibri" w:hAnsi="David"/>
            <w:color w:val="0000FF"/>
            <w:u w:val="single"/>
            <w:rtl/>
          </w:rPr>
          <w:t>חוק העונשין</w:t>
        </w:r>
      </w:hyperlink>
      <w:r w:rsidRPr="00801FFB">
        <w:rPr>
          <w:rFonts w:ascii="David" w:eastAsia="Calibri" w:hAnsi="David"/>
          <w:rtl/>
        </w:rPr>
        <w:t xml:space="preserve"> גזר הדין ניתן במסגרת הליך תלת שלבי. בשלב הראשון יש לקבוע אם כתב האישום מתאר אירוע אחד או מספר אירועים. לאחר מכן יש לקבוע את מתחם הענישה ההולם את האירוע ובסופו של תהליך, יש להחליט אם נכון לחרוג מהמתחם שנקבע, שאחרת ייגזר העונש בגדרי המתחם</w:t>
      </w:r>
      <w:r w:rsidRPr="004A3BEF">
        <w:rPr>
          <w:rFonts w:ascii="David" w:eastAsia="Calibri" w:hAnsi="David"/>
          <w:rtl/>
        </w:rPr>
        <w:t xml:space="preserve">. הצדדים </w:t>
      </w:r>
      <w:r w:rsidRPr="004A3BEF">
        <w:rPr>
          <w:rFonts w:ascii="David" w:eastAsia="Calibri" w:hAnsi="David" w:hint="cs"/>
          <w:rtl/>
        </w:rPr>
        <w:t xml:space="preserve">לא טענו בעניין זה </w:t>
      </w:r>
      <w:r w:rsidRPr="004A3BEF">
        <w:rPr>
          <w:rFonts w:ascii="David" w:eastAsia="Calibri" w:hAnsi="David"/>
          <w:rtl/>
        </w:rPr>
        <w:t xml:space="preserve">ודומה אפוא שסברו שמדובר באירוע אחד הכולל מספר עבירות. דעתי דומה ונכון </w:t>
      </w:r>
      <w:r w:rsidRPr="004A3BEF">
        <w:rPr>
          <w:rFonts w:ascii="David" w:eastAsia="Calibri" w:hAnsi="David" w:hint="cs"/>
          <w:rtl/>
        </w:rPr>
        <w:t xml:space="preserve">אפוא </w:t>
      </w:r>
      <w:r w:rsidRPr="004A3BEF">
        <w:rPr>
          <w:rFonts w:ascii="David" w:eastAsia="Calibri" w:hAnsi="David"/>
          <w:rtl/>
        </w:rPr>
        <w:t>לקבוע מתחם עונש אחד לעבירות כולן</w:t>
      </w:r>
      <w:r w:rsidRPr="004A3BEF">
        <w:rPr>
          <w:rFonts w:ascii="David" w:eastAsia="Calibri" w:hAnsi="David" w:hint="cs"/>
          <w:rtl/>
        </w:rPr>
        <w:t>.</w:t>
      </w:r>
      <w:r w:rsidRPr="004A3BEF">
        <w:rPr>
          <w:rFonts w:ascii="David" w:eastAsia="Calibri" w:hAnsi="David"/>
          <w:rtl/>
        </w:rPr>
        <w:t xml:space="preserve"> </w:t>
      </w:r>
      <w:r w:rsidRPr="004A3BEF">
        <w:rPr>
          <w:rFonts w:ascii="David" w:eastAsia="Calibri" w:hAnsi="David" w:hint="cs"/>
          <w:rtl/>
        </w:rPr>
        <w:t>כל עסקאות הסם</w:t>
      </w:r>
      <w:r w:rsidRPr="004A3BEF">
        <w:rPr>
          <w:rFonts w:ascii="David" w:eastAsia="Calibri" w:hAnsi="David"/>
          <w:rtl/>
        </w:rPr>
        <w:t xml:space="preserve"> מקורן באותה תכנית עבריינית; מדובר בשיטת פעולה זהה בה נקט הנאשם; העבירות בוצעו בסמיכות זמנים; ואף ביחס לאות</w:t>
      </w:r>
      <w:r w:rsidRPr="004A3BEF">
        <w:rPr>
          <w:rFonts w:ascii="David" w:eastAsia="Calibri" w:hAnsi="David" w:hint="cs"/>
          <w:rtl/>
        </w:rPr>
        <w:t>ם</w:t>
      </w:r>
      <w:r w:rsidRPr="004A3BEF">
        <w:rPr>
          <w:rFonts w:ascii="David" w:eastAsia="Calibri" w:hAnsi="David"/>
          <w:rtl/>
        </w:rPr>
        <w:t xml:space="preserve"> "קונ</w:t>
      </w:r>
      <w:r w:rsidRPr="004A3BEF">
        <w:rPr>
          <w:rFonts w:ascii="David" w:eastAsia="Calibri" w:hAnsi="David" w:hint="cs"/>
          <w:rtl/>
        </w:rPr>
        <w:t>ים</w:t>
      </w:r>
      <w:r w:rsidRPr="004A3BEF">
        <w:rPr>
          <w:rFonts w:ascii="David" w:eastAsia="Calibri" w:hAnsi="David"/>
          <w:rtl/>
        </w:rPr>
        <w:t xml:space="preserve">". כמו כן יש לראות את החזקת הסמים </w:t>
      </w:r>
      <w:r w:rsidRPr="004A3BEF">
        <w:rPr>
          <w:rFonts w:ascii="David" w:eastAsia="Calibri" w:hAnsi="David" w:hint="cs"/>
          <w:rtl/>
        </w:rPr>
        <w:t xml:space="preserve">והכלים </w:t>
      </w:r>
      <w:r w:rsidRPr="004A3BEF">
        <w:rPr>
          <w:rFonts w:ascii="David" w:eastAsia="Calibri" w:hAnsi="David"/>
          <w:rtl/>
        </w:rPr>
        <w:t>כחלק מאותו אירוע, שכן מדובר בעבירה אינהרנטית למקרי הסחר, היינו שמטרת החזקת הסמים הייתה לאפשר את ביצוע עבירות הסחר. מכאן שקיים קשר הדוק בין כל העבירות וראוי לקבוע מתחם עונש אחד, המביא בחשבון כמובן שמדובר במספר עבירות (</w:t>
      </w:r>
      <w:hyperlink r:id="rId25" w:history="1">
        <w:r w:rsidR="00356AE0" w:rsidRPr="00356AE0">
          <w:rPr>
            <w:rFonts w:ascii="David" w:eastAsia="Calibri" w:hAnsi="David"/>
            <w:color w:val="0000FF"/>
            <w:u w:val="single"/>
            <w:rtl/>
          </w:rPr>
          <w:t>ע"פ 4910/13</w:t>
        </w:r>
      </w:hyperlink>
      <w:r w:rsidRPr="004A3BEF">
        <w:rPr>
          <w:rFonts w:ascii="David" w:eastAsia="Calibri" w:hAnsi="David"/>
          <w:rtl/>
        </w:rPr>
        <w:t xml:space="preserve"> </w:t>
      </w:r>
      <w:r w:rsidRPr="004A3BEF">
        <w:rPr>
          <w:rFonts w:ascii="David" w:eastAsia="Calibri" w:hAnsi="David"/>
          <w:b/>
          <w:bCs/>
          <w:rtl/>
        </w:rPr>
        <w:t>ג'אבר נ' מדינת ישראל</w:t>
      </w:r>
      <w:r w:rsidRPr="004A3BEF">
        <w:rPr>
          <w:rFonts w:ascii="David" w:eastAsia="Calibri" w:hAnsi="David"/>
          <w:rtl/>
        </w:rPr>
        <w:t xml:space="preserve"> (29.10.</w:t>
      </w:r>
      <w:r w:rsidRPr="004A3BEF">
        <w:rPr>
          <w:rFonts w:ascii="David" w:eastAsia="Calibri" w:hAnsi="David" w:hint="cs"/>
          <w:rtl/>
        </w:rPr>
        <w:t>2014</w:t>
      </w:r>
      <w:r w:rsidRPr="004A3BEF">
        <w:rPr>
          <w:rFonts w:ascii="David" w:eastAsia="Calibri" w:hAnsi="David"/>
          <w:rtl/>
        </w:rPr>
        <w:t>); (</w:t>
      </w:r>
      <w:hyperlink r:id="rId26" w:history="1">
        <w:r w:rsidR="00356AE0" w:rsidRPr="00356AE0">
          <w:rPr>
            <w:rFonts w:ascii="David" w:eastAsia="Calibri" w:hAnsi="David"/>
            <w:color w:val="0000FF"/>
            <w:u w:val="single"/>
            <w:rtl/>
          </w:rPr>
          <w:t>רע"פ 4760/14</w:t>
        </w:r>
      </w:hyperlink>
      <w:r w:rsidRPr="004A3BEF">
        <w:rPr>
          <w:rFonts w:ascii="David" w:eastAsia="Calibri" w:hAnsi="David"/>
          <w:rtl/>
        </w:rPr>
        <w:t xml:space="preserve"> </w:t>
      </w:r>
      <w:r w:rsidRPr="004A3BEF">
        <w:rPr>
          <w:rFonts w:ascii="David" w:eastAsia="Calibri" w:hAnsi="David"/>
          <w:b/>
          <w:bCs/>
          <w:rtl/>
        </w:rPr>
        <w:t>קיסלמן ואח' נ' מדינת ישראל</w:t>
      </w:r>
      <w:r w:rsidRPr="004A3BEF">
        <w:rPr>
          <w:rFonts w:ascii="David" w:eastAsia="Calibri" w:hAnsi="David"/>
          <w:rtl/>
        </w:rPr>
        <w:t xml:space="preserve"> (7.5.</w:t>
      </w:r>
      <w:r w:rsidRPr="004A3BEF">
        <w:rPr>
          <w:rFonts w:ascii="David" w:eastAsia="Calibri" w:hAnsi="David" w:hint="cs"/>
          <w:rtl/>
        </w:rPr>
        <w:t>2015</w:t>
      </w:r>
      <w:r w:rsidRPr="004A3BEF">
        <w:rPr>
          <w:rFonts w:ascii="David" w:eastAsia="Calibri" w:hAnsi="David"/>
          <w:rtl/>
        </w:rPr>
        <w:t>); (</w:t>
      </w:r>
      <w:hyperlink r:id="rId27" w:history="1">
        <w:r w:rsidR="00356AE0" w:rsidRPr="00356AE0">
          <w:rPr>
            <w:rFonts w:ascii="David" w:eastAsia="Calibri" w:hAnsi="David"/>
            <w:color w:val="0000FF"/>
            <w:u w:val="single"/>
            <w:rtl/>
          </w:rPr>
          <w:t>דנ"פ 2999/16</w:t>
        </w:r>
      </w:hyperlink>
      <w:r w:rsidRPr="004A3BEF">
        <w:rPr>
          <w:rFonts w:ascii="David" w:eastAsia="Calibri" w:hAnsi="David"/>
          <w:rtl/>
        </w:rPr>
        <w:t xml:space="preserve"> </w:t>
      </w:r>
      <w:r w:rsidRPr="004A3BEF">
        <w:rPr>
          <w:rFonts w:ascii="David" w:eastAsia="Calibri" w:hAnsi="David"/>
          <w:b/>
          <w:bCs/>
          <w:rtl/>
        </w:rPr>
        <w:t>מזרחי נ' מדינת ישראל</w:t>
      </w:r>
      <w:r w:rsidRPr="004A3BEF">
        <w:rPr>
          <w:rFonts w:ascii="David" w:eastAsia="Calibri" w:hAnsi="David"/>
          <w:rtl/>
        </w:rPr>
        <w:t xml:space="preserve"> (22.5.</w:t>
      </w:r>
      <w:r w:rsidRPr="004A3BEF">
        <w:rPr>
          <w:rFonts w:ascii="David" w:eastAsia="Calibri" w:hAnsi="David" w:hint="cs"/>
          <w:rtl/>
        </w:rPr>
        <w:t>2016</w:t>
      </w:r>
      <w:r w:rsidRPr="004A3BEF">
        <w:rPr>
          <w:rFonts w:ascii="David" w:eastAsia="Calibri" w:hAnsi="David"/>
          <w:rtl/>
        </w:rPr>
        <w:t>)).</w:t>
      </w:r>
    </w:p>
    <w:p w14:paraId="7134FF0D" w14:textId="77777777" w:rsidR="006A09D8" w:rsidRDefault="006A09D8" w:rsidP="006A09D8">
      <w:pPr>
        <w:pStyle w:val="a9"/>
        <w:ind w:left="0"/>
        <w:jc w:val="both"/>
        <w:rPr>
          <w:b/>
          <w:bCs/>
        </w:rPr>
      </w:pPr>
    </w:p>
    <w:p w14:paraId="19298212" w14:textId="77777777" w:rsidR="006A09D8" w:rsidRDefault="006A09D8" w:rsidP="006A09D8">
      <w:pPr>
        <w:numPr>
          <w:ilvl w:val="0"/>
          <w:numId w:val="1"/>
        </w:numPr>
        <w:spacing w:line="360" w:lineRule="auto"/>
        <w:contextualSpacing/>
        <w:jc w:val="both"/>
      </w:pPr>
      <w:r w:rsidRPr="00D94CE6">
        <w:rPr>
          <w:b/>
          <w:bCs/>
          <w:rtl/>
        </w:rPr>
        <w:t>הערכים המוגנים בבסיס העבירות:</w:t>
      </w:r>
      <w:r w:rsidRPr="00D94CE6">
        <w:rPr>
          <w:rtl/>
        </w:rPr>
        <w:t xml:space="preserve"> נגע הסמים מכלה כל חלקה טובה בחברה. על נזקיו הבריאותיים, החברתיים והכלכליים, אין צורך להכביר מילים (</w:t>
      </w:r>
      <w:hyperlink r:id="rId28" w:history="1">
        <w:r w:rsidR="00356AE0" w:rsidRPr="00356AE0">
          <w:rPr>
            <w:color w:val="0000FF"/>
            <w:u w:val="single"/>
            <w:rtl/>
          </w:rPr>
          <w:t>ע"פ 11220/03</w:t>
        </w:r>
      </w:hyperlink>
      <w:r w:rsidRPr="00D94CE6">
        <w:rPr>
          <w:rtl/>
        </w:rPr>
        <w:t xml:space="preserve"> </w:t>
      </w:r>
      <w:r w:rsidRPr="00D94CE6">
        <w:rPr>
          <w:rFonts w:hint="cs"/>
          <w:b/>
          <w:bCs/>
          <w:rtl/>
        </w:rPr>
        <w:t>פלוני נ' מדינת ישראל</w:t>
      </w:r>
      <w:r w:rsidRPr="00D94CE6">
        <w:rPr>
          <w:rFonts w:hint="cs"/>
          <w:rtl/>
        </w:rPr>
        <w:t xml:space="preserve"> (6.7.</w:t>
      </w:r>
      <w:r>
        <w:rPr>
          <w:rFonts w:hint="cs"/>
          <w:rtl/>
        </w:rPr>
        <w:t>2005</w:t>
      </w:r>
      <w:r w:rsidRPr="00D94CE6">
        <w:rPr>
          <w:rFonts w:hint="cs"/>
          <w:rtl/>
        </w:rPr>
        <w:t xml:space="preserve">); </w:t>
      </w:r>
      <w:hyperlink r:id="rId29" w:history="1">
        <w:r w:rsidR="00356AE0" w:rsidRPr="00356AE0">
          <w:rPr>
            <w:color w:val="0000FF"/>
            <w:u w:val="single"/>
            <w:rtl/>
          </w:rPr>
          <w:t>ע"פ 4998/95 קרדוסו נ' מדינת ישראל, פ"ד נא</w:t>
        </w:r>
      </w:hyperlink>
      <w:r w:rsidRPr="00D94CE6">
        <w:rPr>
          <w:rtl/>
        </w:rPr>
        <w:t>(3), 769)). הצורך בסם מוליד מספר נזקי משנה ובהם נזקים לגופו של המשתמש בסם, ובעקיפין גם לשלום הציבור, בשל כך שלרוב מכורי הסם מבצעים עבירות רכוש על מנת לממנו. בענייננו, שימש הנאשם חלק ממערך הפצת הסמים ומכאן שפגע פגיעה ממשית באינטרסים המוגנים כמפורט לעיל.</w:t>
      </w:r>
    </w:p>
    <w:p w14:paraId="686FB930" w14:textId="77777777" w:rsidR="006A09D8" w:rsidRDefault="006A09D8" w:rsidP="006A09D8">
      <w:pPr>
        <w:contextualSpacing/>
        <w:jc w:val="both"/>
      </w:pPr>
    </w:p>
    <w:p w14:paraId="21205FAC" w14:textId="77777777" w:rsidR="006A09D8" w:rsidRPr="00060B0E" w:rsidRDefault="006A09D8" w:rsidP="006A09D8">
      <w:pPr>
        <w:numPr>
          <w:ilvl w:val="0"/>
          <w:numId w:val="1"/>
        </w:numPr>
        <w:spacing w:line="360" w:lineRule="auto"/>
        <w:contextualSpacing/>
        <w:jc w:val="both"/>
      </w:pPr>
      <w:r w:rsidRPr="00C16799">
        <w:rPr>
          <w:b/>
          <w:bCs/>
          <w:rtl/>
        </w:rPr>
        <w:t>נסיבות הקשורות לביצוע העביר</w:t>
      </w:r>
      <w:r w:rsidRPr="00C16799">
        <w:rPr>
          <w:rFonts w:hint="cs"/>
          <w:b/>
          <w:bCs/>
          <w:rtl/>
        </w:rPr>
        <w:t>ות</w:t>
      </w:r>
      <w:r w:rsidRPr="00C16799">
        <w:rPr>
          <w:b/>
          <w:bCs/>
          <w:rtl/>
        </w:rPr>
        <w:t>:</w:t>
      </w:r>
      <w:r w:rsidRPr="00C16799">
        <w:rPr>
          <w:rFonts w:hint="cs"/>
          <w:b/>
          <w:bCs/>
          <w:rtl/>
        </w:rPr>
        <w:t xml:space="preserve"> </w:t>
      </w:r>
      <w:r>
        <w:rPr>
          <w:rtl/>
        </w:rPr>
        <w:t xml:space="preserve">מדובר </w:t>
      </w:r>
      <w:r>
        <w:rPr>
          <w:rFonts w:hint="cs"/>
          <w:rtl/>
        </w:rPr>
        <w:t>בשש</w:t>
      </w:r>
      <w:r>
        <w:rPr>
          <w:rtl/>
        </w:rPr>
        <w:t xml:space="preserve"> עבירות שונות של סחר בסם מסוכן שבוצעו אגב תכנון מוקדם</w:t>
      </w:r>
      <w:r>
        <w:rPr>
          <w:rFonts w:hint="cs"/>
          <w:rtl/>
        </w:rPr>
        <w:t xml:space="preserve"> שכלל שכירת דירה ששימשה כתחנה למכירת סמים,</w:t>
      </w:r>
      <w:r>
        <w:rPr>
          <w:rtl/>
        </w:rPr>
        <w:t xml:space="preserve"> והצטיידות בחומרים מתאימים, ולראיה כמות הסם המשמעותית ששימשה "מלאי" </w:t>
      </w:r>
      <w:r>
        <w:rPr>
          <w:rFonts w:hint="cs"/>
          <w:rtl/>
        </w:rPr>
        <w:t>בדירה אותה שכר הנאשם.</w:t>
      </w:r>
      <w:r>
        <w:rPr>
          <w:rtl/>
        </w:rPr>
        <w:t xml:space="preserve"> אין לראות נסיבה מקלה </w:t>
      </w:r>
      <w:r>
        <w:rPr>
          <w:rFonts w:hint="cs"/>
          <w:rtl/>
        </w:rPr>
        <w:t>בכך שהמכירות היו במשקלים נמוכים יחסית,</w:t>
      </w:r>
      <w:r>
        <w:rPr>
          <w:rFonts w:hint="cs"/>
        </w:rPr>
        <w:t xml:space="preserve"> </w:t>
      </w:r>
      <w:r>
        <w:rPr>
          <w:rtl/>
        </w:rPr>
        <w:t xml:space="preserve">שכן </w:t>
      </w:r>
      <w:r>
        <w:rPr>
          <w:rFonts w:hint="cs"/>
          <w:rtl/>
        </w:rPr>
        <w:t>הדבר</w:t>
      </w:r>
      <w:r>
        <w:rPr>
          <w:rtl/>
        </w:rPr>
        <w:t xml:space="preserve"> תלוי בכמות אותה מבקש הלקוח.</w:t>
      </w:r>
      <w:r>
        <w:rPr>
          <w:rFonts w:hint="cs"/>
          <w:rtl/>
        </w:rPr>
        <w:t xml:space="preserve"> אזכיר כי הנאשם החזיק "מלאי" לא מבוטל בדירה, כך שהיה ביכולתו לספק גם כמות גדולה יותר לו התבקשה. כן אציין ש</w:t>
      </w:r>
      <w:r>
        <w:rPr>
          <w:rtl/>
        </w:rPr>
        <w:t xml:space="preserve">ביחס לכמות נקבע כי </w:t>
      </w:r>
      <w:r w:rsidRPr="00C16799">
        <w:rPr>
          <w:rFonts w:cs="Miriam"/>
          <w:rtl/>
        </w:rPr>
        <w:t xml:space="preserve">"אף אם כמויות הסמים נושא העבירות "קטנות" – כטענת המבקש – אין בכך כדי להפחית מחומרתן של עבירות אלה ומהצורך למגר אותן באמצעות הטלת עונש בעל היבט הרתעתי" </w:t>
      </w:r>
      <w:r w:rsidRPr="00060B0E">
        <w:rPr>
          <w:rtl/>
        </w:rPr>
        <w:t>(</w:t>
      </w:r>
      <w:hyperlink r:id="rId30" w:history="1">
        <w:r w:rsidR="00356AE0" w:rsidRPr="00356AE0">
          <w:rPr>
            <w:color w:val="0000FF"/>
            <w:u w:val="single"/>
            <w:rtl/>
          </w:rPr>
          <w:t>רע"פ 7996/12</w:t>
        </w:r>
      </w:hyperlink>
      <w:r w:rsidRPr="00060B0E">
        <w:rPr>
          <w:rtl/>
        </w:rPr>
        <w:t xml:space="preserve"> </w:t>
      </w:r>
      <w:r w:rsidRPr="00C16799">
        <w:rPr>
          <w:rFonts w:hint="cs"/>
          <w:b/>
          <w:bCs/>
          <w:rtl/>
        </w:rPr>
        <w:t>יוסף נ' מדינת ישראל</w:t>
      </w:r>
      <w:r w:rsidRPr="00060B0E">
        <w:rPr>
          <w:rFonts w:hint="cs"/>
          <w:rtl/>
        </w:rPr>
        <w:t xml:space="preserve"> (23.1.</w:t>
      </w:r>
      <w:r>
        <w:rPr>
          <w:rFonts w:hint="cs"/>
          <w:rtl/>
        </w:rPr>
        <w:t>2013</w:t>
      </w:r>
      <w:r w:rsidRPr="00060B0E">
        <w:rPr>
          <w:rFonts w:hint="cs"/>
          <w:rtl/>
        </w:rPr>
        <w:t>)). עוד אציין כי שינוי המדיניות ביחס למשתמשים בסם מסוג זה, אין בה כדי להפחית מחומרת העבירות שביצע הנאשם, שהרי "</w:t>
      </w:r>
      <w:r w:rsidRPr="00C16799">
        <w:rPr>
          <w:rFonts w:cs="Miriam"/>
          <w:rtl/>
        </w:rPr>
        <w:t>מדיניות 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 (</w:t>
      </w:r>
      <w:hyperlink r:id="rId31" w:history="1">
        <w:r w:rsidR="00356AE0" w:rsidRPr="00356AE0">
          <w:rPr>
            <w:rFonts w:cs="Miriam"/>
            <w:color w:val="0000FF"/>
            <w:u w:val="single"/>
            <w:rtl/>
          </w:rPr>
          <w:t>ע"פ 5807/17</w:t>
        </w:r>
      </w:hyperlink>
      <w:r w:rsidRPr="00C16799">
        <w:rPr>
          <w:rFonts w:cs="Miriam"/>
          <w:rtl/>
        </w:rPr>
        <w:t xml:space="preserve"> </w:t>
      </w:r>
      <w:r w:rsidRPr="00C16799">
        <w:rPr>
          <w:rFonts w:cs="Miriam" w:hint="cs"/>
          <w:rtl/>
        </w:rPr>
        <w:t xml:space="preserve">משה דרחי נ' מדינת ישראל (18.6.2018)). </w:t>
      </w:r>
      <w:r w:rsidRPr="00C16799">
        <w:rPr>
          <w:rFonts w:ascii="David" w:hAnsi="David"/>
          <w:rtl/>
        </w:rPr>
        <w:t>כן, נקבע בנושא זה כי</w:t>
      </w:r>
      <w:r w:rsidRPr="00C16799">
        <w:rPr>
          <w:rFonts w:cs="Miriam" w:hint="cs"/>
          <w:rtl/>
        </w:rPr>
        <w:t xml:space="preserve"> "</w:t>
      </w:r>
      <w:r w:rsidRPr="00C16799">
        <w:rPr>
          <w:rFonts w:cs="Miriam"/>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C16799">
        <w:rPr>
          <w:rFonts w:cs="Miriam" w:hint="cs"/>
          <w:rtl/>
        </w:rPr>
        <w:t xml:space="preserve">" </w:t>
      </w:r>
      <w:r w:rsidRPr="0042269F">
        <w:rPr>
          <w:rFonts w:hint="cs"/>
          <w:rtl/>
        </w:rPr>
        <w:t>(</w:t>
      </w:r>
      <w:hyperlink r:id="rId32" w:history="1">
        <w:r w:rsidR="00356AE0" w:rsidRPr="00356AE0">
          <w:rPr>
            <w:color w:val="0000FF"/>
            <w:u w:val="single"/>
            <w:rtl/>
          </w:rPr>
          <w:t>ע"פ 2596/18</w:t>
        </w:r>
      </w:hyperlink>
      <w:r w:rsidRPr="0042269F">
        <w:rPr>
          <w:rFonts w:hint="cs"/>
          <w:rtl/>
        </w:rPr>
        <w:t xml:space="preserve"> </w:t>
      </w:r>
      <w:r w:rsidRPr="00C16799">
        <w:rPr>
          <w:rFonts w:hint="cs"/>
          <w:b/>
          <w:bCs/>
          <w:rtl/>
        </w:rPr>
        <w:t>כפיר זנזורי נ' מדינת ישראל</w:t>
      </w:r>
      <w:r w:rsidRPr="0042269F">
        <w:rPr>
          <w:rFonts w:hint="cs"/>
          <w:rtl/>
        </w:rPr>
        <w:t xml:space="preserve"> (12.8.2018))</w:t>
      </w:r>
      <w:r w:rsidRPr="00C16799">
        <w:rPr>
          <w:rFonts w:cs="Miriam"/>
          <w:rtl/>
        </w:rPr>
        <w:t xml:space="preserve">. </w:t>
      </w:r>
      <w:r>
        <w:rPr>
          <w:rFonts w:hint="cs"/>
          <w:rtl/>
        </w:rPr>
        <w:t xml:space="preserve">עם זאת, הבאתי בחשבון לקולה כי לנאשם יוחסו עבירות סחר לשני קונים בלבד, כשחמש מתוך שש העסקאות בוצעו עם אותה "לקוחה", וכי לא מדובר היה אפוא בהפצה המונית, על כל המשמעויות שבכך. </w:t>
      </w:r>
    </w:p>
    <w:p w14:paraId="72031F46" w14:textId="77777777" w:rsidR="006A09D8" w:rsidRPr="00AA7522" w:rsidRDefault="006A09D8" w:rsidP="006A09D8">
      <w:pPr>
        <w:jc w:val="both"/>
      </w:pPr>
    </w:p>
    <w:p w14:paraId="7CD3BFCE" w14:textId="77777777" w:rsidR="006A09D8" w:rsidRDefault="006A09D8" w:rsidP="006A09D8">
      <w:pPr>
        <w:pStyle w:val="a9"/>
        <w:numPr>
          <w:ilvl w:val="0"/>
          <w:numId w:val="1"/>
        </w:numPr>
        <w:spacing w:line="360" w:lineRule="auto"/>
        <w:jc w:val="both"/>
      </w:pPr>
      <w:r w:rsidRPr="00017C13">
        <w:rPr>
          <w:b/>
          <w:bCs/>
          <w:rtl/>
        </w:rPr>
        <w:t>מדיניות הענישה:</w:t>
      </w:r>
      <w:r w:rsidRPr="00017C13">
        <w:rPr>
          <w:rFonts w:ascii="David" w:hAnsi="David"/>
          <w:rtl/>
        </w:rPr>
        <w:t xml:space="preserve"> </w:t>
      </w:r>
      <w:r>
        <w:rPr>
          <w:rtl/>
        </w:rPr>
        <w:t xml:space="preserve">בתי המשפט הדגישו פעם אחר פעם כי יש לנהוג בעבירות הקשורות להפצת סמים ביד נוקשה, ולהטיל עונשים כבדים. ראו: </w:t>
      </w:r>
    </w:p>
    <w:p w14:paraId="627239F2" w14:textId="77777777" w:rsidR="006A09D8" w:rsidRDefault="006A09D8" w:rsidP="006A09D8">
      <w:pPr>
        <w:ind w:left="720"/>
        <w:contextualSpacing/>
        <w:jc w:val="both"/>
        <w:rPr>
          <w:b/>
          <w:bCs/>
        </w:rPr>
      </w:pPr>
    </w:p>
    <w:p w14:paraId="5325D959" w14:textId="77777777" w:rsidR="006A09D8" w:rsidRPr="00017C13" w:rsidRDefault="006A09D8" w:rsidP="006A09D8">
      <w:pPr>
        <w:ind w:left="1440" w:right="1134"/>
        <w:contextualSpacing/>
        <w:jc w:val="both"/>
        <w:rPr>
          <w:rtl/>
        </w:rPr>
      </w:pPr>
      <w:r>
        <w:rPr>
          <w:rFonts w:cs="Miriam"/>
          <w:rtl/>
        </w:rPr>
        <w:t xml:space="preserve">"ההלכה בעניין עבירות סמים קובעת כי נוכח חומרתן הרבה של אותן העבירות יש להתמודד מולן באמצעות ענישה משמעותית ומרתיעה ...כי יש לבכר את שיקולי ההרתעה על השיקולים האישיים בעבירות מסוג זה ... וכי יש חשיבות בענישה כלכלית </w:t>
      </w:r>
      <w:r w:rsidRPr="00017C13">
        <w:rPr>
          <w:rFonts w:cs="Miriam"/>
          <w:rtl/>
        </w:rPr>
        <w:t xml:space="preserve">בעבירות סמים שעיקרן הוא בצע כסף" </w:t>
      </w:r>
      <w:r w:rsidRPr="00017C13">
        <w:rPr>
          <w:rtl/>
        </w:rPr>
        <w:t>(</w:t>
      </w:r>
      <w:hyperlink r:id="rId33" w:history="1">
        <w:r w:rsidR="00356AE0" w:rsidRPr="00356AE0">
          <w:rPr>
            <w:color w:val="0000FF"/>
            <w:u w:val="single"/>
            <w:rtl/>
          </w:rPr>
          <w:t>ע"פ 8988/16</w:t>
        </w:r>
      </w:hyperlink>
      <w:r w:rsidRPr="00017C13">
        <w:rPr>
          <w:rtl/>
        </w:rPr>
        <w:t xml:space="preserve"> </w:t>
      </w:r>
      <w:r w:rsidRPr="00017C13">
        <w:rPr>
          <w:rFonts w:hint="cs"/>
          <w:b/>
          <w:bCs/>
          <w:rtl/>
        </w:rPr>
        <w:t>אשר בן סימון נ' מדינת ישראל</w:t>
      </w:r>
      <w:r w:rsidRPr="00017C13">
        <w:rPr>
          <w:rFonts w:hint="cs"/>
          <w:rtl/>
        </w:rPr>
        <w:t xml:space="preserve"> (8.3.</w:t>
      </w:r>
      <w:r>
        <w:rPr>
          <w:rFonts w:hint="cs"/>
          <w:rtl/>
        </w:rPr>
        <w:t>2017</w:t>
      </w:r>
      <w:r w:rsidRPr="00017C13">
        <w:rPr>
          <w:rFonts w:hint="cs"/>
          <w:rtl/>
        </w:rPr>
        <w:t>)).</w:t>
      </w:r>
    </w:p>
    <w:p w14:paraId="6E0FFC67" w14:textId="77777777" w:rsidR="006A09D8" w:rsidRPr="00017C13" w:rsidRDefault="006A09D8" w:rsidP="006A09D8">
      <w:pPr>
        <w:ind w:left="1440" w:right="1134"/>
        <w:contextualSpacing/>
        <w:jc w:val="both"/>
        <w:rPr>
          <w:rtl/>
        </w:rPr>
      </w:pPr>
    </w:p>
    <w:p w14:paraId="7652E9C9" w14:textId="77777777" w:rsidR="006A09D8" w:rsidRPr="00017C13" w:rsidRDefault="006A09D8" w:rsidP="006A09D8">
      <w:pPr>
        <w:spacing w:line="360" w:lineRule="auto"/>
        <w:ind w:left="720"/>
        <w:contextualSpacing/>
        <w:jc w:val="both"/>
        <w:rPr>
          <w:rtl/>
        </w:rPr>
      </w:pPr>
      <w:r w:rsidRPr="00017C13">
        <w:rPr>
          <w:rtl/>
        </w:rPr>
        <w:t xml:space="preserve">וכן: </w:t>
      </w:r>
    </w:p>
    <w:p w14:paraId="65DFB349" w14:textId="77777777" w:rsidR="006A09D8" w:rsidRDefault="006A09D8" w:rsidP="006A09D8">
      <w:pPr>
        <w:ind w:left="1440" w:right="992"/>
        <w:contextualSpacing/>
        <w:jc w:val="both"/>
        <w:rPr>
          <w:rtl/>
        </w:rPr>
      </w:pPr>
      <w:r w:rsidRPr="00017C13">
        <w:rPr>
          <w:rFonts w:cs="Miriam"/>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r w:rsidRPr="00017C13">
        <w:rPr>
          <w:rtl/>
        </w:rPr>
        <w:t>(</w:t>
      </w:r>
      <w:hyperlink r:id="rId34" w:history="1">
        <w:r w:rsidR="00356AE0" w:rsidRPr="00356AE0">
          <w:rPr>
            <w:color w:val="0000FF"/>
            <w:u w:val="single"/>
            <w:rtl/>
          </w:rPr>
          <w:t>ע"פ 9482/09</w:t>
        </w:r>
      </w:hyperlink>
      <w:r w:rsidRPr="00017C13">
        <w:rPr>
          <w:rtl/>
        </w:rPr>
        <w:t xml:space="preserve"> </w:t>
      </w:r>
      <w:r w:rsidRPr="00017C13">
        <w:rPr>
          <w:rFonts w:hint="cs"/>
          <w:b/>
          <w:bCs/>
          <w:rtl/>
        </w:rPr>
        <w:t>ביטון נ' מדינת ישראל</w:t>
      </w:r>
      <w:r w:rsidRPr="00017C13">
        <w:rPr>
          <w:rFonts w:hint="cs"/>
          <w:rtl/>
        </w:rPr>
        <w:t xml:space="preserve"> (24.07.</w:t>
      </w:r>
      <w:r>
        <w:rPr>
          <w:rFonts w:hint="cs"/>
          <w:rtl/>
        </w:rPr>
        <w:t>2011</w:t>
      </w:r>
      <w:r w:rsidRPr="00017C13">
        <w:rPr>
          <w:rFonts w:hint="cs"/>
          <w:rtl/>
        </w:rPr>
        <w:t>)).</w:t>
      </w:r>
    </w:p>
    <w:p w14:paraId="51EDEDAE" w14:textId="77777777" w:rsidR="006A09D8" w:rsidRDefault="006A09D8" w:rsidP="006A09D8">
      <w:pPr>
        <w:ind w:left="1440" w:right="992"/>
        <w:contextualSpacing/>
        <w:jc w:val="both"/>
        <w:rPr>
          <w:rtl/>
        </w:rPr>
      </w:pPr>
    </w:p>
    <w:p w14:paraId="2FC41736" w14:textId="77777777" w:rsidR="006A09D8" w:rsidRPr="00017C13" w:rsidRDefault="006A09D8" w:rsidP="006A09D8">
      <w:pPr>
        <w:ind w:left="1440" w:right="992"/>
        <w:contextualSpacing/>
        <w:jc w:val="both"/>
        <w:rPr>
          <w:rtl/>
        </w:rPr>
      </w:pPr>
    </w:p>
    <w:p w14:paraId="10BB34C8" w14:textId="77777777" w:rsidR="006A09D8" w:rsidRPr="00D13DA0" w:rsidRDefault="006A09D8" w:rsidP="006A09D8">
      <w:pPr>
        <w:numPr>
          <w:ilvl w:val="0"/>
          <w:numId w:val="1"/>
        </w:numPr>
        <w:spacing w:line="360" w:lineRule="auto"/>
        <w:contextualSpacing/>
        <w:jc w:val="both"/>
      </w:pPr>
      <w:r w:rsidRPr="00017C13">
        <w:rPr>
          <w:rtl/>
        </w:rPr>
        <w:t xml:space="preserve">הענישה הנוהגת ביחס לעבירות סחר בסמים משתנה ממקרה למקרה והיא תלויה בסוג הסם, בכמות שנמכרה, בהישנות המקרים ובנסיבותיו האישיות של הנאשם. </w:t>
      </w:r>
      <w:r>
        <w:rPr>
          <w:rFonts w:hint="cs"/>
          <w:rtl/>
        </w:rPr>
        <w:t>בחינת</w:t>
      </w:r>
      <w:r w:rsidRPr="00017C13">
        <w:rPr>
          <w:rtl/>
        </w:rPr>
        <w:t xml:space="preserve"> מדיניות הענישה ביחס לעבירת סחר בודדת בכמות קטנה יחסית של חשיש (או קנביס) ובתמורה נמוכה בהתאם, מלמדת כי לרוב מוטלים עונשי מאסר קצרים ובמקרים מתאימים אף בעבודות שירות. אפנה למשל ל</w:t>
      </w:r>
      <w:hyperlink r:id="rId35" w:history="1">
        <w:r w:rsidR="00356AE0" w:rsidRPr="00356AE0">
          <w:rPr>
            <w:color w:val="0000FF"/>
            <w:u w:val="single"/>
            <w:rtl/>
          </w:rPr>
          <w:t>רע"פ 5712/16</w:t>
        </w:r>
      </w:hyperlink>
      <w:r w:rsidRPr="00017C13">
        <w:rPr>
          <w:rtl/>
        </w:rPr>
        <w:t xml:space="preserve"> </w:t>
      </w:r>
      <w:r w:rsidRPr="00017C13">
        <w:rPr>
          <w:rFonts w:hint="cs"/>
          <w:b/>
          <w:bCs/>
          <w:rtl/>
        </w:rPr>
        <w:t>יצחק אייזנבוך נ' מדינת ישראל</w:t>
      </w:r>
      <w:r w:rsidRPr="00017C13">
        <w:rPr>
          <w:rFonts w:hint="cs"/>
          <w:rtl/>
        </w:rPr>
        <w:t xml:space="preserve"> (17.8.</w:t>
      </w:r>
      <w:r>
        <w:rPr>
          <w:rFonts w:hint="cs"/>
          <w:rtl/>
        </w:rPr>
        <w:t>2016</w:t>
      </w:r>
      <w:r w:rsidRPr="00017C13">
        <w:rPr>
          <w:rFonts w:hint="cs"/>
          <w:rtl/>
        </w:rPr>
        <w:t xml:space="preserve">), בו נדחתה בקשת רשות ערעור של נאשם שהוטלו עליו 8 חודשי מאסר בגין 4 עסקאות סמים בכמויות קטנות יחסית. הנאשם היה צעיר, עברו נקי ושירות המבחן המליץ על ענישה שיקומית; </w:t>
      </w:r>
      <w:hyperlink r:id="rId36" w:history="1">
        <w:r w:rsidR="00356AE0" w:rsidRPr="00356AE0">
          <w:rPr>
            <w:color w:val="0000FF"/>
            <w:u w:val="single"/>
            <w:rtl/>
          </w:rPr>
          <w:t>רע"פ 3627/13</w:t>
        </w:r>
      </w:hyperlink>
      <w:r w:rsidRPr="00017C13">
        <w:rPr>
          <w:rtl/>
        </w:rPr>
        <w:t xml:space="preserve"> </w:t>
      </w:r>
      <w:r w:rsidRPr="00017C13">
        <w:rPr>
          <w:rFonts w:hint="cs"/>
          <w:b/>
          <w:bCs/>
          <w:rtl/>
        </w:rPr>
        <w:t>שדה נ' מדינת ישראל</w:t>
      </w:r>
      <w:r w:rsidRPr="00017C13">
        <w:rPr>
          <w:rFonts w:hint="cs"/>
          <w:rtl/>
        </w:rPr>
        <w:t xml:space="preserve"> (22.5.</w:t>
      </w:r>
      <w:r>
        <w:rPr>
          <w:rFonts w:hint="cs"/>
          <w:rtl/>
        </w:rPr>
        <w:t>2013</w:t>
      </w:r>
      <w:r w:rsidRPr="00017C13">
        <w:rPr>
          <w:rFonts w:hint="cs"/>
          <w:rtl/>
        </w:rPr>
        <w:t xml:space="preserve">), בו נדחתה בקשת רשות ערעור של נאשם על חומרת עונשו - 7 חודשי מאסר בגין סחר בסמים מסוג קנבוס בשתי הזדמנויות במשקלים נמוכים; </w:t>
      </w:r>
      <w:hyperlink r:id="rId37" w:history="1">
        <w:r w:rsidR="00356AE0" w:rsidRPr="00356AE0">
          <w:rPr>
            <w:color w:val="0000FF"/>
            <w:u w:val="single"/>
            <w:rtl/>
          </w:rPr>
          <w:t>ע"פ 7319-08-12</w:t>
        </w:r>
      </w:hyperlink>
      <w:r w:rsidRPr="00017C13">
        <w:rPr>
          <w:rtl/>
        </w:rPr>
        <w:t xml:space="preserve"> </w:t>
      </w:r>
      <w:r w:rsidRPr="00017C13">
        <w:rPr>
          <w:rFonts w:hint="cs"/>
          <w:b/>
          <w:bCs/>
          <w:rtl/>
        </w:rPr>
        <w:t>סבח נ' מדינת ישראל</w:t>
      </w:r>
      <w:r w:rsidRPr="00017C13">
        <w:rPr>
          <w:rFonts w:hint="cs"/>
          <w:rtl/>
        </w:rPr>
        <w:t xml:space="preserve"> (25.10.</w:t>
      </w:r>
      <w:r>
        <w:rPr>
          <w:rFonts w:hint="cs"/>
          <w:rtl/>
        </w:rPr>
        <w:t>2012</w:t>
      </w:r>
      <w:r w:rsidRPr="00017C13">
        <w:rPr>
          <w:rFonts w:hint="cs"/>
          <w:rtl/>
        </w:rPr>
        <w:t xml:space="preserve">), בו נדחה ערעור נאשם על חומרת עונשו -  18 חודשי מאסר, לאחר שהורשע בשני מקרי סחר בסם מסוכן מסוג חשיש במשקלים של 5.38 גרם ו- 2.93 גרם; </w:t>
      </w:r>
      <w:hyperlink r:id="rId38" w:history="1">
        <w:r w:rsidR="00356AE0" w:rsidRPr="00356AE0">
          <w:rPr>
            <w:color w:val="0000FF"/>
            <w:u w:val="single"/>
            <w:rtl/>
          </w:rPr>
          <w:t>ת"פ 26938-06-14</w:t>
        </w:r>
      </w:hyperlink>
      <w:r w:rsidRPr="00017C13">
        <w:rPr>
          <w:rtl/>
        </w:rPr>
        <w:t xml:space="preserve"> </w:t>
      </w:r>
      <w:r w:rsidRPr="00017C13">
        <w:rPr>
          <w:rFonts w:hint="cs"/>
          <w:b/>
          <w:bCs/>
          <w:rtl/>
        </w:rPr>
        <w:t>דורני נ' מדינת ישראל</w:t>
      </w:r>
      <w:r w:rsidRPr="00017C13">
        <w:rPr>
          <w:rFonts w:hint="cs"/>
          <w:rtl/>
        </w:rPr>
        <w:t xml:space="preserve"> (21.9.</w:t>
      </w:r>
      <w:r>
        <w:rPr>
          <w:rFonts w:hint="cs"/>
          <w:rtl/>
        </w:rPr>
        <w:t>2014</w:t>
      </w:r>
      <w:r w:rsidRPr="00017C13">
        <w:rPr>
          <w:rFonts w:hint="cs"/>
          <w:rtl/>
        </w:rPr>
        <w:t xml:space="preserve">), בו הוטלו על הנאשם 15 חודשי מאסר בפועל בגין הרשעתו בשני אישומים של סחר בסמים מסוג חשיש לסוכנת במשקלים של 14 ו- 29 גרם, בתמורה ל- 400 ו- 1,000 ₪ בהתאמה; </w:t>
      </w:r>
      <w:hyperlink r:id="rId39" w:history="1">
        <w:r w:rsidR="00356AE0" w:rsidRPr="00356AE0">
          <w:rPr>
            <w:color w:val="0000FF"/>
            <w:u w:val="single"/>
            <w:rtl/>
          </w:rPr>
          <w:t>ת"פ 26650-06-14</w:t>
        </w:r>
      </w:hyperlink>
      <w:r w:rsidRPr="00017C13">
        <w:rPr>
          <w:rtl/>
        </w:rPr>
        <w:t xml:space="preserve"> </w:t>
      </w:r>
      <w:r w:rsidRPr="00017C13">
        <w:rPr>
          <w:rFonts w:hint="cs"/>
          <w:b/>
          <w:bCs/>
          <w:rtl/>
        </w:rPr>
        <w:t>מדינת ישראל נ' סלטאן</w:t>
      </w:r>
      <w:r w:rsidRPr="00017C13">
        <w:rPr>
          <w:rFonts w:hint="cs"/>
          <w:rtl/>
        </w:rPr>
        <w:t xml:space="preserve"> (21.9.</w:t>
      </w:r>
      <w:r>
        <w:rPr>
          <w:rFonts w:hint="cs"/>
          <w:rtl/>
        </w:rPr>
        <w:t>2014</w:t>
      </w:r>
      <w:r w:rsidRPr="00017C13">
        <w:rPr>
          <w:rFonts w:hint="cs"/>
          <w:rtl/>
        </w:rPr>
        <w:t xml:space="preserve">), בו נידון הנאשם ל-12 חודשי מאסר בפועל לצד הפעלת מאסר מותנה בגין סחר בסם מסוכן מסוג חשיש במשקל של 9.7 גרם בתמורה ל- 400 ₪; </w:t>
      </w:r>
      <w:hyperlink r:id="rId40" w:history="1">
        <w:r w:rsidR="00356AE0" w:rsidRPr="00356AE0">
          <w:rPr>
            <w:color w:val="0000FF"/>
            <w:u w:val="single"/>
            <w:rtl/>
          </w:rPr>
          <w:t>ת"פ 26709-06-14</w:t>
        </w:r>
      </w:hyperlink>
      <w:r w:rsidRPr="00017C13">
        <w:rPr>
          <w:rtl/>
        </w:rPr>
        <w:t xml:space="preserve"> </w:t>
      </w:r>
      <w:r w:rsidRPr="00017C13">
        <w:rPr>
          <w:rFonts w:hint="cs"/>
          <w:b/>
          <w:bCs/>
          <w:rtl/>
        </w:rPr>
        <w:t>מדינת ישראל נ' ישראלוב</w:t>
      </w:r>
      <w:r w:rsidRPr="00017C13">
        <w:rPr>
          <w:rFonts w:hint="cs"/>
          <w:rtl/>
        </w:rPr>
        <w:t xml:space="preserve"> (26.10.</w:t>
      </w:r>
      <w:r>
        <w:rPr>
          <w:rFonts w:hint="cs"/>
          <w:rtl/>
        </w:rPr>
        <w:t>2014</w:t>
      </w:r>
      <w:r w:rsidRPr="00017C13">
        <w:rPr>
          <w:rFonts w:hint="cs"/>
          <w:rtl/>
        </w:rPr>
        <w:t xml:space="preserve">), בו נידון נאשם ל-11 חודשי מאסר בפועל בגין סחר בסם מסוג קנבוס </w:t>
      </w:r>
      <w:r w:rsidRPr="00D13DA0">
        <w:rPr>
          <w:rFonts w:hint="cs"/>
          <w:rtl/>
        </w:rPr>
        <w:t xml:space="preserve">בשתי הזדמנויות שונות לסוכנת משטרתית באירועים חברתיים; </w:t>
      </w:r>
      <w:hyperlink r:id="rId41" w:history="1">
        <w:r w:rsidR="00356AE0" w:rsidRPr="00356AE0">
          <w:rPr>
            <w:color w:val="0000FF"/>
            <w:u w:val="single"/>
            <w:rtl/>
          </w:rPr>
          <w:t>ת"פ 38865-09-10</w:t>
        </w:r>
      </w:hyperlink>
      <w:r w:rsidRPr="00D13DA0">
        <w:rPr>
          <w:rtl/>
        </w:rPr>
        <w:t xml:space="preserve"> </w:t>
      </w:r>
      <w:r w:rsidRPr="00D13DA0">
        <w:rPr>
          <w:b/>
          <w:bCs/>
          <w:rtl/>
        </w:rPr>
        <w:t>מדינת ישראל נ' יחיאל</w:t>
      </w:r>
      <w:r w:rsidRPr="00D13DA0">
        <w:rPr>
          <w:rtl/>
        </w:rPr>
        <w:t xml:space="preserve"> (31.1.</w:t>
      </w:r>
      <w:r>
        <w:rPr>
          <w:rFonts w:hint="cs"/>
          <w:rtl/>
        </w:rPr>
        <w:t>2012</w:t>
      </w:r>
      <w:r w:rsidRPr="00D13DA0">
        <w:rPr>
          <w:rtl/>
        </w:rPr>
        <w:t xml:space="preserve">), בו נידון נאשם בשל החזקת סם מסוג חשיש שלא לצריכה עצמית, במשקל של 481 גרם (מחולק ל- 5 פלטות) ל- 4 חודשי עבודות שירות וקנס; </w:t>
      </w:r>
      <w:hyperlink r:id="rId42" w:history="1">
        <w:r w:rsidR="00356AE0" w:rsidRPr="00356AE0">
          <w:rPr>
            <w:color w:val="0000FF"/>
            <w:u w:val="single"/>
            <w:rtl/>
          </w:rPr>
          <w:t>ת"פ 51933-05-12</w:t>
        </w:r>
      </w:hyperlink>
      <w:r w:rsidRPr="00D13DA0">
        <w:rPr>
          <w:rtl/>
        </w:rPr>
        <w:t xml:space="preserve"> </w:t>
      </w:r>
      <w:r w:rsidRPr="00D13DA0">
        <w:rPr>
          <w:b/>
          <w:bCs/>
          <w:rtl/>
        </w:rPr>
        <w:t>מדינת ישראל נ' בוטבול</w:t>
      </w:r>
      <w:r w:rsidRPr="00D13DA0">
        <w:rPr>
          <w:rtl/>
        </w:rPr>
        <w:t xml:space="preserve"> (27.3.</w:t>
      </w:r>
      <w:r>
        <w:rPr>
          <w:rFonts w:hint="cs"/>
          <w:rtl/>
        </w:rPr>
        <w:t>2014</w:t>
      </w:r>
      <w:r w:rsidRPr="00D13DA0">
        <w:rPr>
          <w:rtl/>
        </w:rPr>
        <w:t xml:space="preserve">), בו נידון נאשם בשל החזקת סם מסוג קנביס במשקל כולל של 254.66 גרם נטו לחודשיים מאסר בעבודות שירות ועונשים נלווים; </w:t>
      </w:r>
      <w:hyperlink r:id="rId43" w:history="1">
        <w:r w:rsidR="00356AE0" w:rsidRPr="00356AE0">
          <w:rPr>
            <w:color w:val="0000FF"/>
            <w:u w:val="single"/>
            <w:rtl/>
          </w:rPr>
          <w:t>ת"פ 19158-06-11</w:t>
        </w:r>
      </w:hyperlink>
      <w:r w:rsidRPr="00D13DA0">
        <w:rPr>
          <w:rtl/>
        </w:rPr>
        <w:t xml:space="preserve"> </w:t>
      </w:r>
      <w:r w:rsidRPr="00D13DA0">
        <w:rPr>
          <w:b/>
          <w:bCs/>
          <w:rtl/>
        </w:rPr>
        <w:t>מדינת ישראל נ' ברנס</w:t>
      </w:r>
      <w:r w:rsidRPr="00D13DA0">
        <w:rPr>
          <w:rtl/>
        </w:rPr>
        <w:t xml:space="preserve"> (17.9.</w:t>
      </w:r>
      <w:r>
        <w:rPr>
          <w:rFonts w:hint="cs"/>
          <w:rtl/>
        </w:rPr>
        <w:t>2011</w:t>
      </w:r>
      <w:r w:rsidRPr="00D13DA0">
        <w:rPr>
          <w:rtl/>
        </w:rPr>
        <w:t xml:space="preserve">), בו נידון נאשם שהחזיק סם מסוכן מסוג חשיש במשקל של 2,357 גרם לחמישה חודשי מאסר בפועל; </w:t>
      </w:r>
      <w:hyperlink r:id="rId44" w:history="1">
        <w:r w:rsidR="00356AE0" w:rsidRPr="00356AE0">
          <w:rPr>
            <w:color w:val="0000FF"/>
            <w:u w:val="single"/>
            <w:rtl/>
          </w:rPr>
          <w:t>ת"פ 16576-06-14</w:t>
        </w:r>
      </w:hyperlink>
      <w:r w:rsidRPr="00D13DA0">
        <w:rPr>
          <w:rtl/>
        </w:rPr>
        <w:t xml:space="preserve"> </w:t>
      </w:r>
      <w:r w:rsidRPr="00D13DA0">
        <w:rPr>
          <w:b/>
          <w:bCs/>
          <w:rtl/>
        </w:rPr>
        <w:t>מדינת ישראל נ' אבו טראש</w:t>
      </w:r>
      <w:r w:rsidRPr="00D13DA0">
        <w:rPr>
          <w:rtl/>
        </w:rPr>
        <w:t xml:space="preserve"> (19.10.</w:t>
      </w:r>
      <w:r>
        <w:rPr>
          <w:rFonts w:hint="cs"/>
          <w:rtl/>
        </w:rPr>
        <w:t>2014</w:t>
      </w:r>
      <w:r w:rsidRPr="00D13DA0">
        <w:rPr>
          <w:rtl/>
        </w:rPr>
        <w:t>), בו נידון נאשם בעבירה של החזקת סם מסוג חשיש במשקל 599 ג' שלא לצריכה עצמית לחמישה חו</w:t>
      </w:r>
      <w:r>
        <w:rPr>
          <w:rtl/>
        </w:rPr>
        <w:t>דשי מאסר בפועל, מאסר מותנה וקנס</w:t>
      </w:r>
      <w:r>
        <w:rPr>
          <w:rFonts w:hint="cs"/>
          <w:rtl/>
        </w:rPr>
        <w:t xml:space="preserve">. </w:t>
      </w:r>
    </w:p>
    <w:p w14:paraId="78E49F0A" w14:textId="77777777" w:rsidR="006A09D8" w:rsidRPr="00017C13" w:rsidRDefault="006A09D8" w:rsidP="006A09D8">
      <w:pPr>
        <w:contextualSpacing/>
        <w:jc w:val="both"/>
      </w:pPr>
      <w:r w:rsidRPr="00017C13">
        <w:rPr>
          <w:rFonts w:hint="cs"/>
          <w:rtl/>
        </w:rPr>
        <w:t xml:space="preserve"> </w:t>
      </w:r>
    </w:p>
    <w:p w14:paraId="75B64049" w14:textId="77777777" w:rsidR="006A09D8" w:rsidRDefault="006A09D8" w:rsidP="006A09D8">
      <w:pPr>
        <w:numPr>
          <w:ilvl w:val="0"/>
          <w:numId w:val="1"/>
        </w:numPr>
        <w:spacing w:line="360" w:lineRule="auto"/>
        <w:contextualSpacing/>
        <w:jc w:val="both"/>
      </w:pPr>
      <w:r>
        <w:rPr>
          <w:rtl/>
        </w:rPr>
        <w:t xml:space="preserve">ביחס למקרים בהם הוטלו מאסרים בעבודות שירות אפנה למקרים הבאים:                                    </w:t>
      </w:r>
      <w:hyperlink r:id="rId45" w:history="1">
        <w:r w:rsidR="00356AE0" w:rsidRPr="00356AE0">
          <w:rPr>
            <w:color w:val="0000FF"/>
            <w:u w:val="single"/>
            <w:rtl/>
          </w:rPr>
          <w:t>ת"פ 54706-01-13</w:t>
        </w:r>
      </w:hyperlink>
      <w:r w:rsidRPr="00CF1E98">
        <w:rPr>
          <w:rtl/>
        </w:rPr>
        <w:t xml:space="preserve"> </w:t>
      </w:r>
      <w:r w:rsidRPr="00CF1E98">
        <w:rPr>
          <w:rFonts w:hint="cs"/>
          <w:b/>
          <w:bCs/>
          <w:rtl/>
        </w:rPr>
        <w:t>מדינת ישראל נ' חביב</w:t>
      </w:r>
      <w:r w:rsidRPr="00CF1E98">
        <w:rPr>
          <w:rFonts w:hint="cs"/>
          <w:rtl/>
        </w:rPr>
        <w:t xml:space="preserve"> (</w:t>
      </w:r>
      <w:r>
        <w:rPr>
          <w:rFonts w:hint="cs"/>
          <w:rtl/>
        </w:rPr>
        <w:t>9</w:t>
      </w:r>
      <w:r w:rsidRPr="00CF1E98">
        <w:rPr>
          <w:rFonts w:hint="cs"/>
          <w:rtl/>
        </w:rPr>
        <w:t>.</w:t>
      </w:r>
      <w:r>
        <w:rPr>
          <w:rFonts w:hint="cs"/>
          <w:rtl/>
        </w:rPr>
        <w:t>9</w:t>
      </w:r>
      <w:r w:rsidRPr="00CF1E98">
        <w:rPr>
          <w:rFonts w:hint="cs"/>
          <w:rtl/>
        </w:rPr>
        <w:t>.</w:t>
      </w:r>
      <w:r>
        <w:rPr>
          <w:rFonts w:hint="cs"/>
          <w:rtl/>
        </w:rPr>
        <w:t>2013</w:t>
      </w:r>
      <w:r w:rsidRPr="00CF1E98">
        <w:rPr>
          <w:rFonts w:hint="cs"/>
          <w:rtl/>
        </w:rPr>
        <w:t xml:space="preserve">), בו הורשע נאשם שמכר בארבע הזדמנויות שונות סמים מסוג חשיש במשקלים של 6.4 גרם, 5.38 גרם, 3.98 גרם, וכן אצבע חשיש בכמות לא ידועה. הנאשם נידון ל-6 חודשי עבודות שירות; </w:t>
      </w:r>
      <w:hyperlink r:id="rId46" w:history="1">
        <w:r w:rsidR="00356AE0" w:rsidRPr="00356AE0">
          <w:rPr>
            <w:color w:val="0000FF"/>
            <w:u w:val="single"/>
            <w:rtl/>
          </w:rPr>
          <w:t>ת"פ 3720-03-15</w:t>
        </w:r>
      </w:hyperlink>
      <w:r w:rsidRPr="00CF1E98">
        <w:rPr>
          <w:rtl/>
        </w:rPr>
        <w:t xml:space="preserve"> </w:t>
      </w:r>
      <w:r w:rsidRPr="00CF1E98">
        <w:rPr>
          <w:rFonts w:hint="cs"/>
          <w:b/>
          <w:bCs/>
          <w:rtl/>
        </w:rPr>
        <w:t>מדינת ישראל נ' דוידוב</w:t>
      </w:r>
      <w:r w:rsidRPr="00CF1E98">
        <w:rPr>
          <w:rFonts w:hint="cs"/>
          <w:rtl/>
        </w:rPr>
        <w:t xml:space="preserve"> (25.10.</w:t>
      </w:r>
      <w:r>
        <w:rPr>
          <w:rFonts w:hint="cs"/>
          <w:rtl/>
        </w:rPr>
        <w:t>2015</w:t>
      </w:r>
      <w:r w:rsidRPr="00CF1E98">
        <w:rPr>
          <w:rFonts w:hint="cs"/>
          <w:rtl/>
        </w:rPr>
        <w:t>), בו הורשע נאשם בשישה אישומים של סחר בסם ובאישום נוסף של החזקת סמים. הנאשם מכר לאחרים סם מסוג מריחואנה בכמויות קטנו</w:t>
      </w:r>
      <w:r>
        <w:rPr>
          <w:rFonts w:hint="cs"/>
          <w:rtl/>
        </w:rPr>
        <w:t>ת. הנאשם היה צעיר נורמטיבי והוא</w:t>
      </w:r>
      <w:r w:rsidRPr="00CF1E98">
        <w:rPr>
          <w:rFonts w:hint="cs"/>
          <w:rtl/>
        </w:rPr>
        <w:t xml:space="preserve"> נידון ל- 6 חודשי </w:t>
      </w:r>
      <w:r>
        <w:rPr>
          <w:rFonts w:hint="cs"/>
          <w:rtl/>
        </w:rPr>
        <w:t>מאסר ב</w:t>
      </w:r>
      <w:r w:rsidRPr="00CF1E98">
        <w:rPr>
          <w:rFonts w:hint="cs"/>
          <w:rtl/>
        </w:rPr>
        <w:t xml:space="preserve">עבודות שירות; </w:t>
      </w:r>
      <w:hyperlink r:id="rId47" w:history="1">
        <w:r w:rsidR="00356AE0" w:rsidRPr="00356AE0">
          <w:rPr>
            <w:color w:val="0000FF"/>
            <w:u w:val="single"/>
            <w:rtl/>
          </w:rPr>
          <w:t>ת"פ 21873-05-14</w:t>
        </w:r>
      </w:hyperlink>
      <w:r w:rsidRPr="00CF1E98">
        <w:rPr>
          <w:rtl/>
        </w:rPr>
        <w:t xml:space="preserve"> </w:t>
      </w:r>
      <w:r w:rsidRPr="00CF1E98">
        <w:rPr>
          <w:rFonts w:hint="cs"/>
          <w:b/>
          <w:bCs/>
          <w:rtl/>
        </w:rPr>
        <w:t>מדינת ישראל נ' דהאן</w:t>
      </w:r>
      <w:r w:rsidRPr="00CF1E98">
        <w:rPr>
          <w:rFonts w:hint="cs"/>
          <w:rtl/>
        </w:rPr>
        <w:t xml:space="preserve"> (</w:t>
      </w:r>
      <w:r>
        <w:rPr>
          <w:rFonts w:hint="cs"/>
          <w:rtl/>
        </w:rPr>
        <w:t>6</w:t>
      </w:r>
      <w:r w:rsidRPr="00CF1E98">
        <w:rPr>
          <w:rFonts w:hint="cs"/>
          <w:rtl/>
        </w:rPr>
        <w:t>.</w:t>
      </w:r>
      <w:r>
        <w:rPr>
          <w:rFonts w:hint="cs"/>
          <w:rtl/>
        </w:rPr>
        <w:t>9</w:t>
      </w:r>
      <w:r w:rsidRPr="00CF1E98">
        <w:rPr>
          <w:rFonts w:hint="cs"/>
          <w:rtl/>
        </w:rPr>
        <w:t>.</w:t>
      </w:r>
      <w:r>
        <w:rPr>
          <w:rFonts w:hint="cs"/>
          <w:rtl/>
        </w:rPr>
        <w:t>2015</w:t>
      </w:r>
      <w:r w:rsidRPr="00CF1E98">
        <w:rPr>
          <w:rFonts w:hint="cs"/>
          <w:rtl/>
        </w:rPr>
        <w:t>), בו הורשע נאשם בעבירות של החזקת סמים שלא לצריכה עצמית, החזקת כלים להכנת סם שלא לצריכה עצמית וסחר בסמים. הנאשם מכר בארבעה מועדים שונים לאחר מנת סם מסו</w:t>
      </w:r>
      <w:r>
        <w:rPr>
          <w:rFonts w:hint="cs"/>
          <w:rtl/>
        </w:rPr>
        <w:t xml:space="preserve">ג חשיש במשקל שאינו ידוע במדויק, </w:t>
      </w:r>
      <w:r w:rsidRPr="00CF1E98">
        <w:rPr>
          <w:rFonts w:hint="cs"/>
          <w:rtl/>
        </w:rPr>
        <w:t>החזיק במקומ</w:t>
      </w:r>
      <w:r>
        <w:rPr>
          <w:rFonts w:hint="cs"/>
          <w:rtl/>
        </w:rPr>
        <w:t>ות שונים חשיש במשקל של 248 גרם, ו</w:t>
      </w:r>
      <w:r w:rsidRPr="00CF1E98">
        <w:rPr>
          <w:rFonts w:hint="cs"/>
          <w:rtl/>
        </w:rPr>
        <w:t xml:space="preserve">נידון ל-6 חודשי </w:t>
      </w:r>
      <w:r>
        <w:rPr>
          <w:rFonts w:hint="cs"/>
          <w:rtl/>
        </w:rPr>
        <w:t>מאסר ב</w:t>
      </w:r>
      <w:r w:rsidRPr="00CF1E98">
        <w:rPr>
          <w:rFonts w:hint="cs"/>
          <w:rtl/>
        </w:rPr>
        <w:t>עבודות שירות.</w:t>
      </w:r>
    </w:p>
    <w:p w14:paraId="6BCD21E2" w14:textId="77777777" w:rsidR="006A09D8" w:rsidRDefault="006A09D8" w:rsidP="006A09D8">
      <w:pPr>
        <w:pStyle w:val="a9"/>
        <w:rPr>
          <w:rtl/>
        </w:rPr>
      </w:pPr>
    </w:p>
    <w:p w14:paraId="3799D490" w14:textId="77777777" w:rsidR="006A09D8" w:rsidRDefault="006A09D8" w:rsidP="006A09D8">
      <w:pPr>
        <w:pStyle w:val="a9"/>
        <w:numPr>
          <w:ilvl w:val="0"/>
          <w:numId w:val="1"/>
        </w:numPr>
        <w:spacing w:line="360" w:lineRule="auto"/>
        <w:jc w:val="both"/>
        <w:rPr>
          <w:b/>
          <w:bCs/>
        </w:rPr>
      </w:pPr>
      <w:r>
        <w:rPr>
          <w:rtl/>
        </w:rPr>
        <w:t xml:space="preserve">לאור כך, אני בדעה כי מתחם הענישה ההולם את נסיבותיו של מקרה זה (הכולל מספר עבירות)  נע בין </w:t>
      </w:r>
      <w:r>
        <w:rPr>
          <w:rFonts w:hint="cs"/>
          <w:rtl/>
        </w:rPr>
        <w:t>9</w:t>
      </w:r>
      <w:r>
        <w:rPr>
          <w:rtl/>
        </w:rPr>
        <w:t xml:space="preserve"> חודשי מאסר ועד 24 חודשי מאסר.</w:t>
      </w:r>
    </w:p>
    <w:p w14:paraId="237C5CB9" w14:textId="77777777" w:rsidR="006A09D8" w:rsidRDefault="006A09D8" w:rsidP="006A09D8">
      <w:pPr>
        <w:pStyle w:val="a9"/>
        <w:ind w:left="0"/>
        <w:jc w:val="both"/>
        <w:rPr>
          <w:b/>
          <w:bCs/>
          <w:rtl/>
        </w:rPr>
      </w:pPr>
    </w:p>
    <w:p w14:paraId="74FDF8D3" w14:textId="77777777" w:rsidR="006A09D8" w:rsidRDefault="006A09D8" w:rsidP="006A09D8">
      <w:pPr>
        <w:pStyle w:val="a9"/>
        <w:spacing w:line="360" w:lineRule="auto"/>
        <w:ind w:left="0"/>
        <w:jc w:val="both"/>
        <w:rPr>
          <w:rtl/>
        </w:rPr>
      </w:pPr>
      <w:r>
        <w:rPr>
          <w:rFonts w:hint="cs"/>
          <w:b/>
          <w:bCs/>
          <w:u w:val="single"/>
          <w:rtl/>
        </w:rPr>
        <w:t>קביעת עונשו של הנאשם</w:t>
      </w:r>
    </w:p>
    <w:p w14:paraId="4E3FABC4" w14:textId="77777777" w:rsidR="006A09D8" w:rsidRDefault="006A09D8" w:rsidP="006A09D8">
      <w:pPr>
        <w:pStyle w:val="a9"/>
        <w:ind w:left="0"/>
        <w:jc w:val="both"/>
        <w:rPr>
          <w:rtl/>
        </w:rPr>
      </w:pPr>
    </w:p>
    <w:p w14:paraId="7BAD5471" w14:textId="77777777" w:rsidR="006A09D8" w:rsidRDefault="006A09D8" w:rsidP="006A09D8">
      <w:pPr>
        <w:pStyle w:val="a9"/>
        <w:numPr>
          <w:ilvl w:val="0"/>
          <w:numId w:val="1"/>
        </w:numPr>
        <w:spacing w:line="360" w:lineRule="auto"/>
        <w:jc w:val="both"/>
      </w:pPr>
      <w:r>
        <w:rPr>
          <w:rtl/>
        </w:rPr>
        <w:t>אקדים ואומר כי סבור אני שלאור נתוניו האישיים של הנאשם, ראוי לחרוג במקרה זה ממתחם הענישה ולהעדיף את שיקולי השיקום כהמלצת שירות המבחן. עם זאת,  לא אאמץ את המלצת שירות המבחן במלואה, אלא תוך שינוי מסוים</w:t>
      </w:r>
      <w:r>
        <w:rPr>
          <w:rFonts w:hint="cs"/>
          <w:rtl/>
        </w:rPr>
        <w:t xml:space="preserve"> וכך אף ביקשה ההגנה עצמה</w:t>
      </w:r>
      <w:r>
        <w:rPr>
          <w:rtl/>
        </w:rPr>
        <w:t>. אנמק להלן עמדתי.</w:t>
      </w:r>
    </w:p>
    <w:p w14:paraId="438D75E0" w14:textId="77777777" w:rsidR="006A09D8" w:rsidRPr="005C136F" w:rsidRDefault="006A09D8" w:rsidP="006A09D8">
      <w:pPr>
        <w:pStyle w:val="a9"/>
        <w:ind w:left="0"/>
        <w:jc w:val="both"/>
      </w:pPr>
    </w:p>
    <w:p w14:paraId="24EFF1E9" w14:textId="77777777" w:rsidR="006A09D8" w:rsidRDefault="006A09D8" w:rsidP="006A09D8">
      <w:pPr>
        <w:pStyle w:val="a9"/>
        <w:numPr>
          <w:ilvl w:val="0"/>
          <w:numId w:val="1"/>
        </w:numPr>
        <w:spacing w:line="360" w:lineRule="auto"/>
        <w:jc w:val="both"/>
      </w:pPr>
      <w:r>
        <w:rPr>
          <w:rtl/>
        </w:rPr>
        <w:t>הנאשם שלפני הוא בחור צעיר</w:t>
      </w:r>
      <w:r>
        <w:rPr>
          <w:rFonts w:hint="cs"/>
          <w:rtl/>
        </w:rPr>
        <w:t xml:space="preserve"> ש</w:t>
      </w:r>
      <w:r>
        <w:rPr>
          <w:rtl/>
        </w:rPr>
        <w:t xml:space="preserve">הודה בהזדמנות הראשונה וקיבל אחריות מלאה למעשיו. </w:t>
      </w:r>
      <w:r>
        <w:rPr>
          <w:rFonts w:hint="cs"/>
          <w:rtl/>
        </w:rPr>
        <w:t xml:space="preserve">עם זאת, </w:t>
      </w:r>
      <w:r>
        <w:rPr>
          <w:rtl/>
        </w:rPr>
        <w:t xml:space="preserve">עברו אינו </w:t>
      </w:r>
      <w:r>
        <w:rPr>
          <w:rFonts w:hint="cs"/>
          <w:rtl/>
        </w:rPr>
        <w:t>נקי</w:t>
      </w:r>
      <w:r>
        <w:rPr>
          <w:rtl/>
        </w:rPr>
        <w:t xml:space="preserve"> והוא כולל </w:t>
      </w:r>
      <w:r>
        <w:rPr>
          <w:rFonts w:hint="cs"/>
          <w:rtl/>
        </w:rPr>
        <w:t>שתי</w:t>
      </w:r>
      <w:r>
        <w:rPr>
          <w:rtl/>
        </w:rPr>
        <w:t xml:space="preserve"> הרשעות מבית דין צבאי בעבירות של </w:t>
      </w:r>
      <w:r>
        <w:rPr>
          <w:rFonts w:hint="cs"/>
          <w:rtl/>
        </w:rPr>
        <w:t>שימוש בסם מסוכן וסירוב להיבדק, והוא אף ריצה בגין כך שני מאסרים מאחורי סורג ובריח</w:t>
      </w:r>
      <w:r>
        <w:rPr>
          <w:rtl/>
        </w:rPr>
        <w:t xml:space="preserve">. </w:t>
      </w:r>
      <w:r>
        <w:rPr>
          <w:rFonts w:hint="cs"/>
          <w:rtl/>
        </w:rPr>
        <w:t xml:space="preserve">מהתסקיר עולה כי </w:t>
      </w:r>
      <w:r>
        <w:rPr>
          <w:rtl/>
        </w:rPr>
        <w:t>שירות המבחן התרשם כי הנאשם אינו בעל דפוסי התנהגות עבריינית, הוא שולב בטיפול במסגרת היחידה לטיפול בהתמכרויות והדיווחים שהתקבלו בעניינו היו חיוביים. ניכר היה שחל בנאשם שינוי משמעותי</w:t>
      </w:r>
      <w:r>
        <w:rPr>
          <w:rFonts w:hint="cs"/>
          <w:rtl/>
        </w:rPr>
        <w:t xml:space="preserve">, הוא הבין את הפסול במעשיו, </w:t>
      </w:r>
      <w:r>
        <w:rPr>
          <w:rtl/>
        </w:rPr>
        <w:t>הבדיקות העידו על ניקיון מסמים</w:t>
      </w:r>
      <w:r>
        <w:rPr>
          <w:rFonts w:hint="cs"/>
          <w:rtl/>
        </w:rPr>
        <w:t xml:space="preserve"> וההתרשמות היא מאדם המצוי בנקודת מפנה בחייו והוא בעל מוטיבציה לשינוי</w:t>
      </w:r>
      <w:r>
        <w:rPr>
          <w:rtl/>
        </w:rPr>
        <w:t>. לאור כך, המליץ שירות המבחן להעדיף את הפן השיקומי</w:t>
      </w:r>
      <w:r>
        <w:rPr>
          <w:rFonts w:hint="cs"/>
          <w:rtl/>
        </w:rPr>
        <w:t xml:space="preserve"> ולאפשר את המשך שהייתו בתכנית הטיפולית. </w:t>
      </w:r>
      <w:r>
        <w:rPr>
          <w:rtl/>
        </w:rPr>
        <w:t>ראוי בעיני לעודד את הנאשם להתמיד במגמת השיפור, ולכן המלצת שירות המבחן בנוגע להעדפת הפן השיקומי מקובלת עלי.</w:t>
      </w:r>
    </w:p>
    <w:p w14:paraId="242041D3" w14:textId="77777777" w:rsidR="006A09D8" w:rsidRDefault="006A09D8" w:rsidP="006A09D8">
      <w:pPr>
        <w:pStyle w:val="a9"/>
        <w:ind w:left="0"/>
        <w:jc w:val="both"/>
      </w:pPr>
    </w:p>
    <w:p w14:paraId="048A0EC0" w14:textId="77777777" w:rsidR="006A09D8" w:rsidRDefault="006A09D8" w:rsidP="006A09D8">
      <w:pPr>
        <w:pStyle w:val="a9"/>
        <w:numPr>
          <w:ilvl w:val="0"/>
          <w:numId w:val="1"/>
        </w:numPr>
        <w:spacing w:line="360" w:lineRule="auto"/>
        <w:jc w:val="both"/>
      </w:pPr>
      <w:r w:rsidRPr="00A4116C">
        <w:rPr>
          <w:rFonts w:ascii="David" w:hAnsi="David"/>
          <w:rtl/>
        </w:rPr>
        <w:t xml:space="preserve">כידוע, בהתאם </w:t>
      </w:r>
      <w:hyperlink r:id="rId48" w:history="1">
        <w:r w:rsidR="005D1F7E" w:rsidRPr="005D1F7E">
          <w:rPr>
            <w:rStyle w:val="Hyperlink"/>
            <w:rtl/>
          </w:rPr>
          <w:t>לסעיף 40ד'</w:t>
        </w:r>
      </w:hyperlink>
      <w:r w:rsidRPr="00A4116C">
        <w:rPr>
          <w:rtl/>
        </w:rPr>
        <w:t xml:space="preserve"> ל</w:t>
      </w:r>
      <w:hyperlink r:id="rId49" w:history="1">
        <w:r w:rsidR="00356AE0" w:rsidRPr="00356AE0">
          <w:rPr>
            <w:color w:val="0000FF"/>
            <w:u w:val="single"/>
            <w:rtl/>
          </w:rPr>
          <w:t>חוק העונשין</w:t>
        </w:r>
      </w:hyperlink>
      <w:r w:rsidRPr="00A4116C">
        <w:rPr>
          <w:rFonts w:ascii="David" w:hAnsi="David"/>
          <w:rtl/>
        </w:rPr>
        <w:t xml:space="preserve"> </w:t>
      </w:r>
      <w:r w:rsidRPr="00A4116C">
        <w:rPr>
          <w:rFonts w:ascii="David" w:hAnsi="David" w:hint="cs"/>
          <w:rtl/>
        </w:rPr>
        <w:t xml:space="preserve">רשאי בית המשפט לחרוג לקולה ממתחם הענישה שקבע, אם מצא כי </w:t>
      </w:r>
      <w:r w:rsidRPr="00A4116C">
        <w:rPr>
          <w:rFonts w:ascii="David" w:hAnsi="David" w:cs="Miriam"/>
          <w:rtl/>
        </w:rPr>
        <w:t>"הנאשם השתקם או כי יש סיכוי של ממש שישתקם"</w:t>
      </w:r>
      <w:r w:rsidRPr="00A4116C">
        <w:rPr>
          <w:rFonts w:ascii="David" w:hAnsi="David"/>
          <w:rtl/>
        </w:rPr>
        <w:t xml:space="preserve">. בעניין זה נקבע כי </w:t>
      </w:r>
      <w:r w:rsidRPr="00A4116C">
        <w:rPr>
          <w:rFonts w:ascii="David" w:hAnsi="David" w:cs="Miriam"/>
          <w:rtl/>
        </w:rPr>
        <w:t>"על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w:t>
      </w:r>
      <w:r w:rsidRPr="00A4116C">
        <w:rPr>
          <w:rFonts w:ascii="David" w:hAnsi="David"/>
          <w:rtl/>
        </w:rPr>
        <w:t xml:space="preserve"> </w:t>
      </w:r>
      <w:hyperlink r:id="rId50" w:history="1">
        <w:r w:rsidR="00356AE0" w:rsidRPr="00356AE0">
          <w:rPr>
            <w:color w:val="0000FF"/>
            <w:u w:val="single"/>
            <w:rtl/>
          </w:rPr>
          <w:t>רע"פ 7683/13</w:t>
        </w:r>
      </w:hyperlink>
      <w:r w:rsidRPr="00A4116C">
        <w:rPr>
          <w:rFonts w:ascii="David" w:hAnsi="David"/>
          <w:rtl/>
        </w:rPr>
        <w:t xml:space="preserve"> (</w:t>
      </w:r>
      <w:r w:rsidRPr="00A4116C">
        <w:rPr>
          <w:rFonts w:ascii="David" w:hAnsi="David"/>
          <w:b/>
          <w:bCs/>
          <w:rtl/>
        </w:rPr>
        <w:t>דוד פרלמן נ' מדינת ישראל</w:t>
      </w:r>
      <w:r w:rsidRPr="00A4116C">
        <w:rPr>
          <w:rFonts w:ascii="David" w:hAnsi="David"/>
          <w:rtl/>
        </w:rPr>
        <w:t xml:space="preserve"> (23.2.</w:t>
      </w:r>
      <w:r>
        <w:rPr>
          <w:rFonts w:ascii="David" w:hAnsi="David" w:hint="cs"/>
          <w:rtl/>
        </w:rPr>
        <w:t>2014</w:t>
      </w:r>
      <w:r w:rsidRPr="00A4116C">
        <w:rPr>
          <w:rFonts w:ascii="David" w:hAnsi="David"/>
          <w:rtl/>
        </w:rPr>
        <w:t xml:space="preserve">)). בית המשפט העליון </w:t>
      </w:r>
      <w:r>
        <w:rPr>
          <w:rFonts w:ascii="David" w:hAnsi="David" w:hint="cs"/>
          <w:rtl/>
        </w:rPr>
        <w:t>אף</w:t>
      </w:r>
      <w:r w:rsidRPr="00A4116C">
        <w:rPr>
          <w:rFonts w:ascii="David" w:hAnsi="David"/>
          <w:rtl/>
        </w:rPr>
        <w:t xml:space="preserve"> שב והדגיש כי </w:t>
      </w:r>
      <w:r w:rsidRPr="00A4116C">
        <w:rPr>
          <w:rFonts w:ascii="David" w:hAnsi="David" w:cs="Miriam"/>
          <w:rtl/>
        </w:rPr>
        <w:t>"</w:t>
      </w:r>
      <w:r w:rsidRPr="00A4116C">
        <w:rPr>
          <w:rFonts w:ascii="Century" w:hAnsi="Century" w:cs="Miriam"/>
          <w:spacing w:val="10"/>
          <w:rtl/>
        </w:rPr>
        <w:t xml:space="preserve">את התשתית העובדתית להוכחת סיכויי השיקום ניתן לגבש באמצעים ראייתיים שונים, ובראשם התסקיר של שירות המבחן... </w:t>
      </w:r>
      <w:r w:rsidRPr="00A4116C">
        <w:rPr>
          <w:rFonts w:ascii="Century" w:hAnsi="Century" w:cs="Miriam" w:hint="cs"/>
          <w:spacing w:val="10"/>
          <w:rtl/>
        </w:rPr>
        <w:t xml:space="preserve">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w:t>
      </w:r>
      <w:r w:rsidRPr="00A4116C">
        <w:rPr>
          <w:rFonts w:ascii="Arial TUR" w:hAnsi="Arial TUR" w:cs="Miriam"/>
          <w:spacing w:val="10"/>
          <w:rtl/>
        </w:rPr>
        <w:t xml:space="preserve">הבעת חרטה כנה על המעשים והפגנת אמפתיה כלפי נפגעי העבירה... מבלי לקבוע מסמרות, ניתן לציין ששילוב בין </w:t>
      </w:r>
      <w:r w:rsidRPr="00A4116C">
        <w:rPr>
          <w:rFonts w:ascii="Century" w:hAnsi="Century" w:cs="Miriam"/>
          <w:b/>
          <w:rtl/>
        </w:rPr>
        <w:t>שינוי מהותי בהתייחסות הרגשית</w:t>
      </w:r>
      <w:r w:rsidRPr="00A4116C">
        <w:rPr>
          <w:rFonts w:ascii="Arial TUR" w:hAnsi="Arial TUR" w:cs="Miriam"/>
          <w:spacing w:val="10"/>
          <w:rtl/>
        </w:rPr>
        <w:t xml:space="preserve"> לאירוע העבירה המתבטא בנטילת אחריות, כפרה והבעת אמפתיה לנפגעי העבירה לבין </w:t>
      </w:r>
      <w:r w:rsidRPr="00A4116C">
        <w:rPr>
          <w:rFonts w:ascii="Century" w:hAnsi="Century" w:cs="Miriam"/>
          <w:b/>
          <w:rtl/>
        </w:rPr>
        <w:t>אינדיקציות אובייקטיביות לקיומו של תהליך שיקומי-טיפולי מוצלח</w:t>
      </w:r>
      <w:r w:rsidRPr="00A4116C">
        <w:rPr>
          <w:rFonts w:ascii="Arial TUR" w:hAnsi="Arial TUR" w:cs="Miriam"/>
          <w:spacing w:val="10"/>
          <w:rtl/>
        </w:rPr>
        <w:t xml:space="preserve"> וחזרה לדרך הישר, עשוי להצביע על "סיכוי של ממש לשיקום" כלשונו </w:t>
      </w:r>
      <w:r w:rsidRPr="00A4116C">
        <w:rPr>
          <w:rFonts w:ascii="David" w:hAnsi="David" w:cs="Miriam"/>
          <w:rtl/>
        </w:rPr>
        <w:t>של סעיף 40ד(א).</w:t>
      </w:r>
      <w:r w:rsidRPr="00A4116C">
        <w:rPr>
          <w:rFonts w:ascii="David" w:hAnsi="David"/>
          <w:rtl/>
        </w:rPr>
        <w:t xml:space="preserve"> </w:t>
      </w:r>
      <w:r w:rsidRPr="00A4116C">
        <w:rPr>
          <w:rFonts w:ascii="David" w:hAnsi="David" w:cs="Miriam"/>
          <w:rtl/>
        </w:rPr>
        <w:t>דברים</w:t>
      </w:r>
      <w:r w:rsidRPr="00A4116C">
        <w:rPr>
          <w:rFonts w:ascii="Arial TUR" w:hAnsi="Arial TUR" w:cs="Miriam"/>
          <w:spacing w:val="10"/>
          <w:rtl/>
        </w:rPr>
        <w:t xml:space="preserve"> אלה זוכים למשנה חיזוק מקום בו מדובר באדם צעיר נעדר עבר פלילי"</w:t>
      </w:r>
      <w:r w:rsidRPr="00A4116C">
        <w:rPr>
          <w:rFonts w:ascii="Arial TUR" w:hAnsi="Arial TUR" w:cs="FrankRuehl"/>
          <w:spacing w:val="10"/>
          <w:szCs w:val="28"/>
          <w:rtl/>
        </w:rPr>
        <w:t xml:space="preserve"> </w:t>
      </w:r>
      <w:r w:rsidRPr="00A4116C">
        <w:rPr>
          <w:rFonts w:ascii="Century" w:hAnsi="Century"/>
          <w:spacing w:val="10"/>
          <w:rtl/>
        </w:rPr>
        <w:t>(</w:t>
      </w:r>
      <w:hyperlink r:id="rId51" w:history="1">
        <w:r w:rsidR="00356AE0" w:rsidRPr="00356AE0">
          <w:rPr>
            <w:rFonts w:ascii="Century" w:hAnsi="Century" w:hint="eastAsia"/>
            <w:color w:val="0000FF"/>
            <w:spacing w:val="10"/>
            <w:u w:val="single"/>
            <w:rtl/>
          </w:rPr>
          <w:t>ע</w:t>
        </w:r>
        <w:r w:rsidR="00356AE0" w:rsidRPr="00356AE0">
          <w:rPr>
            <w:rFonts w:ascii="Century" w:hAnsi="Century"/>
            <w:color w:val="0000FF"/>
            <w:spacing w:val="10"/>
            <w:u w:val="single"/>
            <w:rtl/>
          </w:rPr>
          <w:t>"</w:t>
        </w:r>
        <w:r w:rsidR="00356AE0" w:rsidRPr="00356AE0">
          <w:rPr>
            <w:rFonts w:ascii="Century" w:hAnsi="Century" w:hint="eastAsia"/>
            <w:color w:val="0000FF"/>
            <w:spacing w:val="10"/>
            <w:u w:val="single"/>
            <w:rtl/>
          </w:rPr>
          <w:t>פ</w:t>
        </w:r>
        <w:r w:rsidR="00356AE0" w:rsidRPr="00356AE0">
          <w:rPr>
            <w:rFonts w:ascii="Century" w:hAnsi="Century"/>
            <w:color w:val="0000FF"/>
            <w:spacing w:val="10"/>
            <w:u w:val="single"/>
            <w:rtl/>
          </w:rPr>
          <w:t xml:space="preserve"> 6637/17</w:t>
        </w:r>
      </w:hyperlink>
      <w:r w:rsidRPr="00A4116C">
        <w:rPr>
          <w:rFonts w:ascii="Century" w:hAnsi="Century"/>
          <w:spacing w:val="10"/>
          <w:rtl/>
        </w:rPr>
        <w:t xml:space="preserve"> </w:t>
      </w:r>
      <w:r w:rsidRPr="00A4116C">
        <w:rPr>
          <w:rFonts w:ascii="Century" w:hAnsi="Century" w:hint="cs"/>
          <w:b/>
          <w:bCs/>
          <w:spacing w:val="10"/>
          <w:rtl/>
        </w:rPr>
        <w:t>אליזבט קרינדל נ' מדינת ישראל</w:t>
      </w:r>
      <w:r w:rsidRPr="00A4116C">
        <w:rPr>
          <w:rFonts w:ascii="Century" w:hAnsi="Century" w:hint="cs"/>
          <w:spacing w:val="10"/>
          <w:rtl/>
        </w:rPr>
        <w:t xml:space="preserve"> (18.4.</w:t>
      </w:r>
      <w:r>
        <w:rPr>
          <w:rFonts w:ascii="Century" w:hAnsi="Century" w:hint="cs"/>
          <w:spacing w:val="10"/>
          <w:rtl/>
        </w:rPr>
        <w:t>2018</w:t>
      </w:r>
      <w:r w:rsidRPr="00A4116C">
        <w:rPr>
          <w:rFonts w:ascii="Century" w:hAnsi="Century" w:hint="cs"/>
          <w:spacing w:val="10"/>
          <w:rtl/>
        </w:rPr>
        <w:t>)).</w:t>
      </w:r>
    </w:p>
    <w:p w14:paraId="3F64A016" w14:textId="77777777" w:rsidR="006A09D8" w:rsidRPr="000260E6" w:rsidRDefault="006A09D8" w:rsidP="006A09D8">
      <w:pPr>
        <w:pStyle w:val="a9"/>
        <w:ind w:left="0"/>
        <w:jc w:val="both"/>
      </w:pPr>
    </w:p>
    <w:p w14:paraId="125E38A6" w14:textId="77777777" w:rsidR="006A09D8" w:rsidRDefault="006A09D8" w:rsidP="006A09D8">
      <w:pPr>
        <w:pStyle w:val="a9"/>
        <w:numPr>
          <w:ilvl w:val="0"/>
          <w:numId w:val="1"/>
        </w:numPr>
        <w:spacing w:line="360" w:lineRule="auto"/>
        <w:jc w:val="both"/>
      </w:pPr>
      <w:r w:rsidRPr="000260E6">
        <w:rPr>
          <w:rFonts w:ascii="David" w:hAnsi="David"/>
          <w:rtl/>
        </w:rPr>
        <w:t>יישום דברים אלו על הנאשם שלפני מביא למסקנה לפיה הוכחו בעניינו סיכויי שיקום ממשיים.</w:t>
      </w:r>
      <w:r>
        <w:rPr>
          <w:rFonts w:hint="cs"/>
          <w:rtl/>
        </w:rPr>
        <w:t xml:space="preserve"> </w:t>
      </w:r>
      <w:r w:rsidRPr="00C62EC3">
        <w:rPr>
          <w:rtl/>
        </w:rPr>
        <w:t xml:space="preserve">עם זאת, </w:t>
      </w:r>
      <w:r w:rsidRPr="000260E6">
        <w:rPr>
          <w:rFonts w:ascii="David" w:hAnsi="David"/>
          <w:rtl/>
        </w:rPr>
        <w:t xml:space="preserve">כידוע, גם בהתקיים סיכויי שיקום </w:t>
      </w:r>
      <w:r w:rsidRPr="000260E6">
        <w:rPr>
          <w:rFonts w:ascii="David" w:hAnsi="David"/>
          <w:spacing w:val="10"/>
          <w:rtl/>
        </w:rPr>
        <w:t>לא מתפוגגים מאליהם שיקולי ההלימה</w:t>
      </w:r>
      <w:r w:rsidRPr="000260E6">
        <w:rPr>
          <w:rFonts w:ascii="Century" w:hAnsi="Century" w:cs="Miriam"/>
          <w:spacing w:val="10"/>
          <w:rtl/>
        </w:rPr>
        <w:t xml:space="preserve"> </w:t>
      </w:r>
      <w:r w:rsidRPr="000260E6">
        <w:rPr>
          <w:rFonts w:ascii="David" w:hAnsi="David"/>
          <w:spacing w:val="10"/>
          <w:rtl/>
        </w:rPr>
        <w:t>שכן</w:t>
      </w:r>
      <w:r w:rsidRPr="000260E6">
        <w:rPr>
          <w:rFonts w:ascii="Century" w:hAnsi="Century" w:cs="Miriam" w:hint="cs"/>
          <w:spacing w:val="10"/>
          <w:rtl/>
        </w:rPr>
        <w:t xml:space="preserve"> </w:t>
      </w:r>
      <w:r w:rsidRPr="000260E6">
        <w:rPr>
          <w:rFonts w:cs="Miriam"/>
          <w:rtl/>
        </w:rPr>
        <w:t>"</w:t>
      </w:r>
      <w:r w:rsidRPr="000260E6">
        <w:rPr>
          <w:rFonts w:ascii="Garamond" w:hAnsi="Garamond" w:cs="Miriam"/>
          <w:spacing w:val="10"/>
          <w:rtl/>
        </w:rPr>
        <w:t>הגם שישנה חשיבות לשיקולי השיקום, הם אינם חזות הכול, ובצדם ניצבים שיקולי הגמול וההרתעה</w:t>
      </w:r>
      <w:r w:rsidRPr="000260E6">
        <w:rPr>
          <w:rFonts w:cs="Miriam"/>
          <w:rtl/>
        </w:rPr>
        <w:t>"(</w:t>
      </w:r>
      <w:hyperlink r:id="rId52" w:history="1">
        <w:r w:rsidR="00356AE0" w:rsidRPr="00356AE0">
          <w:rPr>
            <w:color w:val="0000FF"/>
            <w:u w:val="single"/>
            <w:rtl/>
          </w:rPr>
          <w:t>ע"פ 5376/15</w:t>
        </w:r>
      </w:hyperlink>
      <w:r>
        <w:rPr>
          <w:rtl/>
        </w:rPr>
        <w:t xml:space="preserve"> </w:t>
      </w:r>
      <w:r w:rsidRPr="000260E6">
        <w:rPr>
          <w:b/>
          <w:bCs/>
          <w:rtl/>
        </w:rPr>
        <w:t>ניסים ביטון נ' מדינת ישראל</w:t>
      </w:r>
      <w:r>
        <w:rPr>
          <w:rtl/>
        </w:rPr>
        <w:t xml:space="preserve"> (11.2.2016)). לאור כך, אף אם קיימים בעניינו של נאשם פלוני סיכויי שיקום ממשיים, אין חובה להעדיף את שיקולי השיקום, בוודאי שלא לחרוג בשל כך ממתחם הענישה, שהרי </w:t>
      </w:r>
      <w:r w:rsidRPr="000260E6">
        <w:rPr>
          <w:rFonts w:cs="Miriam"/>
          <w:rtl/>
        </w:rPr>
        <w:t>"</w:t>
      </w:r>
      <w:r w:rsidRPr="000260E6">
        <w:rPr>
          <w:rFonts w:ascii="Garamond" w:hAnsi="Garamond" w:cs="Miriam"/>
          <w:spacing w:val="10"/>
          <w:rtl/>
        </w:rPr>
        <w:t>בהחלט ייתכנו מקרים, בהם יתר השיקולים הרלוונטיים לעונש, דוגמת חומרת המעשים או נסיבות ביצועם, לא יצדיקו חריגה ממתחם העונש ההולם, חרף קיומם של סיכויי שיקום גבוהים, והדבר נתון לשיקול דעתו של בית המשפט"</w:t>
      </w:r>
      <w:r w:rsidRPr="000260E6">
        <w:rPr>
          <w:rFonts w:ascii="Garamond" w:hAnsi="Garamond"/>
          <w:spacing w:val="10"/>
          <w:rtl/>
        </w:rPr>
        <w:t xml:space="preserve"> (</w:t>
      </w:r>
      <w:hyperlink r:id="rId53" w:history="1">
        <w:r w:rsidR="00356AE0" w:rsidRPr="00356AE0">
          <w:rPr>
            <w:rFonts w:ascii="Garamond" w:hAnsi="Garamond" w:hint="eastAsia"/>
            <w:color w:val="0000FF"/>
            <w:spacing w:val="10"/>
            <w:u w:val="single"/>
            <w:rtl/>
          </w:rPr>
          <w:t>רע</w:t>
        </w:r>
        <w:r w:rsidR="00356AE0" w:rsidRPr="00356AE0">
          <w:rPr>
            <w:rFonts w:ascii="Garamond" w:hAnsi="Garamond"/>
            <w:color w:val="0000FF"/>
            <w:spacing w:val="10"/>
            <w:u w:val="single"/>
            <w:rtl/>
          </w:rPr>
          <w:t>"</w:t>
        </w:r>
        <w:r w:rsidR="00356AE0" w:rsidRPr="00356AE0">
          <w:rPr>
            <w:rFonts w:ascii="Garamond" w:hAnsi="Garamond" w:hint="eastAsia"/>
            <w:color w:val="0000FF"/>
            <w:spacing w:val="10"/>
            <w:u w:val="single"/>
            <w:rtl/>
          </w:rPr>
          <w:t>פ</w:t>
        </w:r>
        <w:r w:rsidR="00356AE0" w:rsidRPr="00356AE0">
          <w:rPr>
            <w:rFonts w:ascii="Garamond" w:hAnsi="Garamond"/>
            <w:color w:val="0000FF"/>
            <w:spacing w:val="10"/>
            <w:u w:val="single"/>
            <w:rtl/>
          </w:rPr>
          <w:t xml:space="preserve"> 398/14</w:t>
        </w:r>
      </w:hyperlink>
      <w:r w:rsidRPr="000260E6">
        <w:rPr>
          <w:rFonts w:ascii="Garamond" w:hAnsi="Garamond"/>
          <w:spacing w:val="10"/>
          <w:rtl/>
        </w:rPr>
        <w:t xml:space="preserve"> </w:t>
      </w:r>
      <w:r w:rsidRPr="000260E6">
        <w:rPr>
          <w:rFonts w:ascii="Garamond" w:hAnsi="Garamond"/>
          <w:b/>
          <w:bCs/>
          <w:spacing w:val="10"/>
          <w:rtl/>
        </w:rPr>
        <w:t>טל ערג' נ' מדינת ישראל</w:t>
      </w:r>
      <w:r w:rsidRPr="000260E6">
        <w:rPr>
          <w:rFonts w:ascii="Garamond" w:hAnsi="Garamond"/>
          <w:spacing w:val="10"/>
          <w:rtl/>
        </w:rPr>
        <w:t xml:space="preserve"> (16.3.2014</w:t>
      </w:r>
      <w:r>
        <w:rPr>
          <w:rtl/>
        </w:rPr>
        <w:t xml:space="preserve">)) וראו גם </w:t>
      </w:r>
      <w:hyperlink r:id="rId54" w:history="1">
        <w:r w:rsidR="00356AE0" w:rsidRPr="00356AE0">
          <w:rPr>
            <w:color w:val="0000FF"/>
            <w:u w:val="single"/>
            <w:rtl/>
          </w:rPr>
          <w:t>רע"פ 1787/15</w:t>
        </w:r>
      </w:hyperlink>
      <w:r>
        <w:rPr>
          <w:rtl/>
        </w:rPr>
        <w:t xml:space="preserve"> </w:t>
      </w:r>
      <w:r w:rsidRPr="000260E6">
        <w:rPr>
          <w:b/>
          <w:bCs/>
          <w:rtl/>
        </w:rPr>
        <w:t>עמר נ' מדינת ישראל</w:t>
      </w:r>
      <w:r>
        <w:rPr>
          <w:rtl/>
        </w:rPr>
        <w:t xml:space="preserve">  (24.3.2015)</w:t>
      </w:r>
      <w:r>
        <w:rPr>
          <w:rFonts w:hint="cs"/>
          <w:rtl/>
        </w:rPr>
        <w:t xml:space="preserve">; </w:t>
      </w:r>
      <w:r w:rsidRPr="000260E6">
        <w:rPr>
          <w:rFonts w:ascii="Century" w:hAnsi="Century"/>
          <w:spacing w:val="10"/>
          <w:rtl/>
        </w:rPr>
        <w:t xml:space="preserve">אורן </w:t>
      </w:r>
      <w:hyperlink r:id="rId55" w:history="1">
        <w:r w:rsidR="00356AE0" w:rsidRPr="00356AE0">
          <w:rPr>
            <w:rFonts w:ascii="Century" w:hAnsi="Century" w:hint="eastAsia"/>
            <w:color w:val="0000FF"/>
            <w:spacing w:val="10"/>
            <w:u w:val="single"/>
            <w:rtl/>
          </w:rPr>
          <w:t>גזל</w:t>
        </w:r>
        <w:r w:rsidR="00356AE0" w:rsidRPr="00356AE0">
          <w:rPr>
            <w:rFonts w:ascii="Century" w:hAnsi="Century"/>
            <w:color w:val="0000FF"/>
            <w:spacing w:val="10"/>
            <w:u w:val="single"/>
            <w:rtl/>
          </w:rPr>
          <w:t>-</w:t>
        </w:r>
        <w:r w:rsidR="00356AE0" w:rsidRPr="00356AE0">
          <w:rPr>
            <w:rFonts w:ascii="Century" w:hAnsi="Century" w:hint="eastAsia"/>
            <w:color w:val="0000FF"/>
            <w:spacing w:val="10"/>
            <w:u w:val="single"/>
            <w:rtl/>
          </w:rPr>
          <w:t>אייל</w:t>
        </w:r>
        <w:r w:rsidR="00356AE0" w:rsidRPr="00356AE0">
          <w:rPr>
            <w:rFonts w:ascii="Century" w:hAnsi="Century"/>
            <w:color w:val="0000FF"/>
            <w:spacing w:val="10"/>
            <w:u w:val="single"/>
            <w:rtl/>
          </w:rPr>
          <w:t xml:space="preserve"> "</w:t>
        </w:r>
        <w:r w:rsidR="00356AE0" w:rsidRPr="00356AE0">
          <w:rPr>
            <w:rFonts w:ascii="Century" w:hAnsi="Century" w:hint="eastAsia"/>
            <w:color w:val="0000FF"/>
            <w:spacing w:val="10"/>
            <w:u w:val="single"/>
            <w:rtl/>
          </w:rPr>
          <w:t>חריגה</w:t>
        </w:r>
        <w:r w:rsidR="00356AE0" w:rsidRPr="00356AE0">
          <w:rPr>
            <w:rFonts w:ascii="Century" w:hAnsi="Century"/>
            <w:color w:val="0000FF"/>
            <w:spacing w:val="10"/>
            <w:u w:val="single"/>
            <w:rtl/>
          </w:rPr>
          <w:t xml:space="preserve"> </w:t>
        </w:r>
        <w:r w:rsidR="00356AE0" w:rsidRPr="00356AE0">
          <w:rPr>
            <w:rFonts w:ascii="Century" w:hAnsi="Century" w:hint="eastAsia"/>
            <w:color w:val="0000FF"/>
            <w:spacing w:val="10"/>
            <w:u w:val="single"/>
            <w:rtl/>
          </w:rPr>
          <w:t>ממתחם</w:t>
        </w:r>
        <w:r w:rsidR="00356AE0" w:rsidRPr="00356AE0">
          <w:rPr>
            <w:rFonts w:ascii="Century" w:hAnsi="Century"/>
            <w:color w:val="0000FF"/>
            <w:spacing w:val="10"/>
            <w:u w:val="single"/>
            <w:rtl/>
          </w:rPr>
          <w:t xml:space="preserve"> </w:t>
        </w:r>
        <w:r w:rsidR="00356AE0" w:rsidRPr="00356AE0">
          <w:rPr>
            <w:rFonts w:ascii="Century" w:hAnsi="Century" w:hint="eastAsia"/>
            <w:color w:val="0000FF"/>
            <w:spacing w:val="10"/>
            <w:u w:val="single"/>
            <w:rtl/>
          </w:rPr>
          <w:t>העונש</w:t>
        </w:r>
        <w:r w:rsidR="00356AE0" w:rsidRPr="00356AE0">
          <w:rPr>
            <w:rFonts w:ascii="Century" w:hAnsi="Century"/>
            <w:color w:val="0000FF"/>
            <w:spacing w:val="10"/>
            <w:u w:val="single"/>
            <w:rtl/>
          </w:rPr>
          <w:t xml:space="preserve"> </w:t>
        </w:r>
        <w:r w:rsidR="00356AE0" w:rsidRPr="00356AE0">
          <w:rPr>
            <w:rFonts w:ascii="Century" w:hAnsi="Century" w:hint="eastAsia"/>
            <w:color w:val="0000FF"/>
            <w:spacing w:val="10"/>
            <w:u w:val="single"/>
            <w:rtl/>
          </w:rPr>
          <w:t>ההולם</w:t>
        </w:r>
        <w:r w:rsidR="00356AE0" w:rsidRPr="00356AE0">
          <w:rPr>
            <w:rFonts w:ascii="Century" w:hAnsi="Century"/>
            <w:color w:val="0000FF"/>
            <w:spacing w:val="10"/>
            <w:u w:val="single"/>
            <w:rtl/>
          </w:rPr>
          <w:t>"</w:t>
        </w:r>
      </w:hyperlink>
      <w:r w:rsidRPr="000260E6">
        <w:rPr>
          <w:rFonts w:ascii="Century" w:hAnsi="Century"/>
          <w:spacing w:val="10"/>
          <w:rtl/>
        </w:rPr>
        <w:t xml:space="preserve"> </w:t>
      </w:r>
      <w:r w:rsidRPr="000260E6">
        <w:rPr>
          <w:rFonts w:ascii="Century" w:hAnsi="Century"/>
          <w:b/>
          <w:rtl/>
        </w:rPr>
        <w:t>ספר דורית ביניש</w:t>
      </w:r>
      <w:r w:rsidRPr="000260E6">
        <w:rPr>
          <w:rFonts w:ascii="Century" w:hAnsi="Century"/>
          <w:spacing w:val="10"/>
          <w:rtl/>
        </w:rPr>
        <w:t xml:space="preserve"> 539, 550</w:t>
      </w:r>
      <w:r w:rsidRPr="00C62EC3">
        <w:rPr>
          <w:rtl/>
        </w:rPr>
        <w:t xml:space="preserve">). </w:t>
      </w:r>
    </w:p>
    <w:p w14:paraId="43AFE4D0" w14:textId="77777777" w:rsidR="006A09D8" w:rsidRDefault="006A09D8" w:rsidP="006A09D8">
      <w:pPr>
        <w:pStyle w:val="a9"/>
        <w:rPr>
          <w:rtl/>
        </w:rPr>
      </w:pPr>
    </w:p>
    <w:p w14:paraId="4DE9D55B" w14:textId="77777777" w:rsidR="006A09D8" w:rsidRPr="00DF6EBB" w:rsidRDefault="006A09D8" w:rsidP="006A09D8">
      <w:pPr>
        <w:pStyle w:val="a9"/>
        <w:numPr>
          <w:ilvl w:val="0"/>
          <w:numId w:val="1"/>
        </w:numPr>
        <w:spacing w:line="360" w:lineRule="auto"/>
        <w:jc w:val="both"/>
        <w:rPr>
          <w:rtl/>
        </w:rPr>
      </w:pPr>
      <w:r>
        <w:rPr>
          <w:rFonts w:hint="cs"/>
          <w:rtl/>
        </w:rPr>
        <w:t>עם זאת,</w:t>
      </w:r>
      <w:r w:rsidRPr="00C62EC3">
        <w:rPr>
          <w:rtl/>
        </w:rPr>
        <w:t xml:space="preserve"> עונש מאסר בכליאה</w:t>
      </w:r>
      <w:r>
        <w:rPr>
          <w:rFonts w:hint="cs"/>
          <w:rtl/>
        </w:rPr>
        <w:t>, כעתירת המאשימה,</w:t>
      </w:r>
      <w:r w:rsidRPr="00C62EC3">
        <w:rPr>
          <w:rtl/>
        </w:rPr>
        <w:t xml:space="preserve"> אינו הולם את נתוני המקרה ויש להימנע ממנו</w:t>
      </w:r>
      <w:r>
        <w:rPr>
          <w:rFonts w:hint="cs"/>
          <w:rtl/>
        </w:rPr>
        <w:t xml:space="preserve">. מדובר בעונש קשה ומכאיב אשר יש להטילו רק כאשר הוא מתחייב </w:t>
      </w:r>
      <w:r w:rsidRPr="00C62EC3">
        <w:rPr>
          <w:rtl/>
        </w:rPr>
        <w:t xml:space="preserve">(להשפעותיו השליליות של עונש מאסר ראו </w:t>
      </w:r>
      <w:r w:rsidRPr="000260E6">
        <w:rPr>
          <w:b/>
          <w:bCs/>
          <w:rtl/>
        </w:rPr>
        <w:t>דו"ח הועדה הציבורית לבחינת מדיניות הענישה והטיפול בעבריינים</w:t>
      </w:r>
      <w:r w:rsidRPr="00C62EC3">
        <w:rPr>
          <w:rtl/>
        </w:rPr>
        <w:t xml:space="preserve">, 2015 (המכונה "דו"ח ועדת דורנר"); כן ראו, </w:t>
      </w:r>
      <w:hyperlink r:id="rId56" w:history="1">
        <w:r w:rsidR="00356AE0" w:rsidRPr="00356AE0">
          <w:rPr>
            <w:color w:val="0000FF"/>
            <w:u w:val="single"/>
            <w:rtl/>
          </w:rPr>
          <w:t>בג"צ 1892/14</w:t>
        </w:r>
      </w:hyperlink>
      <w:r w:rsidRPr="00C62EC3">
        <w:rPr>
          <w:rtl/>
        </w:rPr>
        <w:t xml:space="preserve"> </w:t>
      </w:r>
      <w:r w:rsidRPr="000260E6">
        <w:rPr>
          <w:rFonts w:hint="cs"/>
          <w:b/>
          <w:bCs/>
          <w:rtl/>
        </w:rPr>
        <w:t>האגודה לזכויות האדם בישראל ואח' נ' השר לבטחון פנים ואח'</w:t>
      </w:r>
      <w:r w:rsidRPr="00C62EC3">
        <w:rPr>
          <w:rFonts w:hint="cs"/>
          <w:rtl/>
        </w:rPr>
        <w:t xml:space="preserve"> (13.6.</w:t>
      </w:r>
      <w:r>
        <w:rPr>
          <w:rFonts w:hint="cs"/>
          <w:rtl/>
        </w:rPr>
        <w:t>2017</w:t>
      </w:r>
      <w:r w:rsidRPr="00C62EC3">
        <w:rPr>
          <w:rFonts w:hint="cs"/>
          <w:rtl/>
        </w:rPr>
        <w:t xml:space="preserve">), פסקה קכו' לפסק דינו של המשנה לנשיאה רובינשטיין). עונש מאסר בכליאה אף לא יאפשר הטלת צו מבחן וכאמור, תוצאה זו אינה תואמת את נתוני ענייננו (ראו </w:t>
      </w:r>
      <w:hyperlink r:id="rId57" w:history="1">
        <w:r w:rsidR="005D1F7E" w:rsidRPr="005D1F7E">
          <w:rPr>
            <w:rStyle w:val="Hyperlink"/>
            <w:rtl/>
          </w:rPr>
          <w:t>סעיף 1</w:t>
        </w:r>
      </w:hyperlink>
      <w:r w:rsidRPr="00C62EC3">
        <w:rPr>
          <w:rtl/>
        </w:rPr>
        <w:t xml:space="preserve"> ל</w:t>
      </w:r>
      <w:hyperlink r:id="rId58" w:history="1">
        <w:r w:rsidR="00356AE0" w:rsidRPr="00356AE0">
          <w:rPr>
            <w:color w:val="0000FF"/>
            <w:u w:val="single"/>
            <w:rtl/>
          </w:rPr>
          <w:t>פקודת המבחן</w:t>
        </w:r>
      </w:hyperlink>
      <w:r w:rsidRPr="00C62EC3">
        <w:rPr>
          <w:rtl/>
        </w:rPr>
        <w:t xml:space="preserve">). </w:t>
      </w:r>
      <w:r>
        <w:rPr>
          <w:rFonts w:hint="cs"/>
          <w:rtl/>
        </w:rPr>
        <w:t>לא התעלמתי מכך שהנאשם ריצה בעברו עונש מאסר בכליאה, אך היה זה במסגרת צבאית. שליחתו למאסר כיום, עשויה לחשוף אותו לעבריינות מסוג אחר ובאופן חריג שירות המבחן ציין כי ענישה זו "</w:t>
      </w:r>
      <w:r w:rsidRPr="000260E6">
        <w:rPr>
          <w:rFonts w:ascii="Miriam" w:hAnsi="Miriam" w:cs="Miriam"/>
          <w:rtl/>
        </w:rPr>
        <w:t>עשויה לפגוע בתהליך הטיפולי... להביא לרגרסיה במצבו הרגשי</w:t>
      </w:r>
      <w:r>
        <w:rPr>
          <w:rFonts w:hint="cs"/>
          <w:rtl/>
        </w:rPr>
        <w:t xml:space="preserve">", ועל כן, כאמור, </w:t>
      </w:r>
      <w:r w:rsidRPr="00DF6EBB">
        <w:rPr>
          <w:rFonts w:hint="cs"/>
          <w:rtl/>
        </w:rPr>
        <w:t xml:space="preserve">ראיתי להימנע מכך. </w:t>
      </w:r>
    </w:p>
    <w:p w14:paraId="1EAADD13" w14:textId="77777777" w:rsidR="006A09D8" w:rsidRPr="00DF6EBB" w:rsidRDefault="006A09D8" w:rsidP="006A09D8">
      <w:pPr>
        <w:pStyle w:val="a9"/>
        <w:ind w:left="0"/>
        <w:jc w:val="both"/>
      </w:pPr>
    </w:p>
    <w:p w14:paraId="1BEFF3A7" w14:textId="77777777" w:rsidR="006A09D8" w:rsidRDefault="006A09D8" w:rsidP="006A09D8">
      <w:pPr>
        <w:pStyle w:val="a9"/>
        <w:numPr>
          <w:ilvl w:val="0"/>
          <w:numId w:val="1"/>
        </w:numPr>
        <w:spacing w:line="360" w:lineRule="auto"/>
        <w:jc w:val="both"/>
      </w:pPr>
      <w:r w:rsidRPr="00DF6EBB">
        <w:rPr>
          <w:rtl/>
        </w:rPr>
        <w:t>מנגד, בצו של"צ כהמלצת שירות המבחן, אין די לצורך ביטוי היחס הנכון שבין חומרת העבירות ל</w:t>
      </w:r>
      <w:r w:rsidRPr="00DF6EBB">
        <w:rPr>
          <w:rFonts w:hint="cs"/>
          <w:rtl/>
        </w:rPr>
        <w:t>בין ה</w:t>
      </w:r>
      <w:r w:rsidRPr="00DF6EBB">
        <w:rPr>
          <w:rtl/>
        </w:rPr>
        <w:t xml:space="preserve">עונש ההולם אותן, חרף סיכויי השיקום. </w:t>
      </w:r>
      <w:r w:rsidRPr="00DF6EBB">
        <w:rPr>
          <w:rFonts w:hint="cs"/>
          <w:rtl/>
        </w:rPr>
        <w:t xml:space="preserve">אף ההגנה לא עתרה לאמץ את המלצתו העונשית של שירות המבחן לצו של"צ ועתרה לעונש בעבודות שירות ועל כן לא ראיתי להרחיב בנושא. </w:t>
      </w:r>
      <w:r w:rsidRPr="00DF6EBB">
        <w:rPr>
          <w:rtl/>
        </w:rPr>
        <w:t xml:space="preserve">דעתי היא כי תמהיל הענישה ההולם במקרה זה, אשר יבטא נכונה את שיקולי ההלימה, בצד מתן הזדמנות לנאשם להמשיך בהליך השיקומי, הוא עונש מאסר בעבודות שירות בצד צו מבחן (ראו למשל </w:t>
      </w:r>
      <w:hyperlink r:id="rId59" w:history="1">
        <w:r w:rsidR="00356AE0" w:rsidRPr="00356AE0">
          <w:rPr>
            <w:color w:val="0000FF"/>
            <w:u w:val="single"/>
            <w:rtl/>
          </w:rPr>
          <w:t>עפ"ג 10700-11-16</w:t>
        </w:r>
      </w:hyperlink>
      <w:r w:rsidRPr="00DF6EBB">
        <w:rPr>
          <w:rtl/>
        </w:rPr>
        <w:t xml:space="preserve"> </w:t>
      </w:r>
      <w:r w:rsidRPr="00DF6EBB">
        <w:rPr>
          <w:rFonts w:hint="cs"/>
          <w:b/>
          <w:bCs/>
          <w:rtl/>
        </w:rPr>
        <w:t>מדינת ישראל נ' טולידו</w:t>
      </w:r>
      <w:r w:rsidRPr="00DF6EBB">
        <w:rPr>
          <w:rFonts w:hint="cs"/>
          <w:rtl/>
        </w:rPr>
        <w:t xml:space="preserve"> (17.1.2017)). אינני סבור שיהיה בעונש זה לפגוע בסיכויי שיקומו של הנאשם (והנאשם עצמו אינו סבור כך), ומנגד – יש בעונש זה, כאמור, לבטא נכונה את היחס שבין חומרת העבירה לבין הצורך להביא בחשבון את סיכויי השיקום. אציין עוד </w:t>
      </w:r>
      <w:r w:rsidRPr="00DF6EBB">
        <w:rPr>
          <w:rFonts w:ascii="David" w:hAnsi="David" w:hint="cs"/>
          <w:color w:val="000000"/>
          <w:rtl/>
        </w:rPr>
        <w:t>ש</w:t>
      </w:r>
      <w:r w:rsidRPr="00DF6EBB">
        <w:rPr>
          <w:rFonts w:ascii="David" w:hAnsi="David"/>
          <w:color w:val="000000"/>
          <w:rtl/>
        </w:rPr>
        <w:t>אין בכוונתי לנכות את תקופת מעצרו של הנאשם</w:t>
      </w:r>
      <w:r>
        <w:rPr>
          <w:rFonts w:ascii="David" w:hAnsi="David" w:hint="cs"/>
          <w:color w:val="000000"/>
          <w:rtl/>
        </w:rPr>
        <w:t>,</w:t>
      </w:r>
      <w:r w:rsidRPr="00DF6EBB">
        <w:rPr>
          <w:rFonts w:ascii="David" w:hAnsi="David"/>
          <w:color w:val="000000"/>
          <w:rtl/>
        </w:rPr>
        <w:t xml:space="preserve"> כחודש</w:t>
      </w:r>
      <w:r w:rsidRPr="00DF6EBB">
        <w:rPr>
          <w:rFonts w:ascii="David" w:hAnsi="David" w:hint="cs"/>
          <w:color w:val="000000"/>
          <w:rtl/>
        </w:rPr>
        <w:t>יים</w:t>
      </w:r>
      <w:r>
        <w:rPr>
          <w:rFonts w:hint="cs"/>
          <w:rtl/>
        </w:rPr>
        <w:t xml:space="preserve"> (</w:t>
      </w:r>
      <w:r>
        <w:rPr>
          <w:rtl/>
        </w:rPr>
        <w:t xml:space="preserve">לאי ניכוי ימי מעצר כאשר מוטל עונש בעבודות שירות, ראו: </w:t>
      </w:r>
      <w:hyperlink r:id="rId60" w:history="1">
        <w:r w:rsidR="00356AE0" w:rsidRPr="00356AE0">
          <w:rPr>
            <w:color w:val="0000FF"/>
            <w:u w:val="single"/>
            <w:rtl/>
          </w:rPr>
          <w:t>ע"פ 3541/19</w:t>
        </w:r>
      </w:hyperlink>
      <w:r>
        <w:rPr>
          <w:rtl/>
        </w:rPr>
        <w:t xml:space="preserve"> ‏</w:t>
      </w:r>
      <w:r>
        <w:rPr>
          <w:b/>
          <w:bCs/>
          <w:rtl/>
        </w:rPr>
        <w:t>פלוני נ' מדינת ישראל</w:t>
      </w:r>
      <w:r>
        <w:rPr>
          <w:rtl/>
        </w:rPr>
        <w:t xml:space="preserve"> (7.11.2019)),</w:t>
      </w:r>
      <w:r w:rsidRPr="00DF6EBB">
        <w:rPr>
          <w:rFonts w:ascii="David" w:hAnsi="David" w:hint="cs"/>
          <w:color w:val="000000"/>
          <w:rtl/>
        </w:rPr>
        <w:t xml:space="preserve"> אך בקביעת תקופת המאסר וכן בשאלת היחס בינו לבין המאסר המותנה שיש להפעיל, אביא זאת בחשבון, כמו גם את התקופה הארוכה בה שהה במעצר באיזוק. </w:t>
      </w:r>
      <w:r w:rsidRPr="00DF6EBB">
        <w:rPr>
          <w:rFonts w:hint="cs"/>
          <w:rtl/>
        </w:rPr>
        <w:t xml:space="preserve">משכך, דעתי היא שראוי לאפשר חפיפה מסוימת בין הענישה שתוטל לבין המאסר המותנה שיופעל. בעניין זה אציין כי העונש המותנה שהוטל על הנאשם מקורו בעבירות של שימוש עצמי בסם, בגינו הוטל עליו מאסר לא קצר בצד ענישה מותנת ואביא בחשבון גם נושא זה.  </w:t>
      </w:r>
    </w:p>
    <w:p w14:paraId="5F6307A9" w14:textId="77777777" w:rsidR="006A09D8" w:rsidRDefault="006A09D8" w:rsidP="006A09D8">
      <w:pPr>
        <w:pStyle w:val="a9"/>
        <w:ind w:left="0"/>
        <w:jc w:val="both"/>
      </w:pPr>
    </w:p>
    <w:p w14:paraId="7529CEDC" w14:textId="77777777" w:rsidR="006A09D8" w:rsidRPr="00DF6EBB" w:rsidRDefault="006A09D8" w:rsidP="006A09D8">
      <w:pPr>
        <w:pStyle w:val="a9"/>
        <w:numPr>
          <w:ilvl w:val="0"/>
          <w:numId w:val="1"/>
        </w:numPr>
        <w:spacing w:line="360" w:lineRule="auto"/>
        <w:jc w:val="both"/>
      </w:pPr>
      <w:r>
        <w:rPr>
          <w:rFonts w:hint="cs"/>
          <w:rtl/>
        </w:rPr>
        <w:t>טרם סיום אציין כי אינני סבור שיש לקבוע את עונשו של הנאשם בהתאם לעונש שנקבע בגזרי הדין אליהם הפנתה המאשימה ומכוח עקרון האחידות בענישה. הנאשם לא הורשע בעבירות בהן הורשעו האחרים ועל אף הקשר שבין חברי החבורה, אינני סבור שנכון להחיל בעניין זה את עקרון האחידות בענישה. בכל מקרה, העונש שיוטל על הנאשם לא ישקף ענישה החורגת משמעותית מזו שהוטלה על אחד המעורבים, שאף בעניינו נשקלו שיקולי שיקום, וזאת תוך השוואת מספר העבירות בהן הורשעו השניים, מהותן, ותקופת המעצר ממש והמעצר באיזוק בו שהה הנאשם.</w:t>
      </w:r>
    </w:p>
    <w:p w14:paraId="5FF1C069" w14:textId="77777777" w:rsidR="006A09D8" w:rsidRPr="007C6B1C" w:rsidRDefault="006A09D8" w:rsidP="006A09D8">
      <w:pPr>
        <w:pStyle w:val="a9"/>
        <w:rPr>
          <w:rtl/>
        </w:rPr>
      </w:pPr>
    </w:p>
    <w:p w14:paraId="586F6AF6" w14:textId="77777777" w:rsidR="006A09D8" w:rsidRPr="00DF6EBB" w:rsidRDefault="006A09D8" w:rsidP="006A09D8">
      <w:pPr>
        <w:pStyle w:val="a9"/>
        <w:numPr>
          <w:ilvl w:val="0"/>
          <w:numId w:val="1"/>
        </w:numPr>
        <w:spacing w:line="360" w:lineRule="auto"/>
        <w:jc w:val="both"/>
      </w:pPr>
      <w:r w:rsidRPr="00DF6EBB">
        <w:rPr>
          <w:rtl/>
        </w:rPr>
        <w:t>סיכומו של דבר, לאחר שבחנתי את מכלול השיקולים, הן לחומרה והן לקולה, אני גוזר על הנאשם את העונשים הבאים:</w:t>
      </w:r>
    </w:p>
    <w:p w14:paraId="45675202" w14:textId="77777777" w:rsidR="006A09D8" w:rsidRDefault="006A09D8" w:rsidP="006A09D8">
      <w:pPr>
        <w:pStyle w:val="a9"/>
        <w:rPr>
          <w:rtl/>
        </w:rPr>
      </w:pPr>
    </w:p>
    <w:p w14:paraId="27C1ED1F" w14:textId="77777777" w:rsidR="006A09D8" w:rsidRDefault="006A09D8" w:rsidP="006A09D8">
      <w:pPr>
        <w:pStyle w:val="a9"/>
        <w:numPr>
          <w:ilvl w:val="0"/>
          <w:numId w:val="2"/>
        </w:numPr>
        <w:spacing w:line="360" w:lineRule="auto"/>
        <w:jc w:val="both"/>
      </w:pPr>
      <w:r w:rsidRPr="00C17C27">
        <w:rPr>
          <w:b/>
          <w:bCs/>
          <w:rtl/>
        </w:rPr>
        <w:t xml:space="preserve">מאסר למשך </w:t>
      </w:r>
      <w:r w:rsidRPr="00C17C27">
        <w:rPr>
          <w:rFonts w:hint="cs"/>
          <w:b/>
          <w:bCs/>
          <w:rtl/>
        </w:rPr>
        <w:t>5</w:t>
      </w:r>
      <w:r w:rsidRPr="00C17C27">
        <w:rPr>
          <w:b/>
          <w:bCs/>
          <w:rtl/>
        </w:rPr>
        <w:t xml:space="preserve"> חודשים.</w:t>
      </w:r>
      <w:r>
        <w:rPr>
          <w:rtl/>
        </w:rPr>
        <w:t xml:space="preserve"> </w:t>
      </w:r>
    </w:p>
    <w:p w14:paraId="55B2824C" w14:textId="77777777" w:rsidR="006A09D8" w:rsidRDefault="006A09D8" w:rsidP="006A09D8">
      <w:pPr>
        <w:pStyle w:val="a9"/>
        <w:jc w:val="both"/>
        <w:rPr>
          <w:rtl/>
        </w:rPr>
      </w:pPr>
    </w:p>
    <w:p w14:paraId="3C3D74C0" w14:textId="77777777" w:rsidR="006A09D8" w:rsidRDefault="006A09D8" w:rsidP="006A09D8">
      <w:pPr>
        <w:pStyle w:val="a9"/>
        <w:numPr>
          <w:ilvl w:val="0"/>
          <w:numId w:val="2"/>
        </w:numPr>
        <w:spacing w:line="360" w:lineRule="auto"/>
        <w:jc w:val="both"/>
      </w:pPr>
      <w:r>
        <w:rPr>
          <w:rFonts w:hint="cs"/>
          <w:rtl/>
        </w:rPr>
        <w:t xml:space="preserve">אני מפעיל עונש מאסר מותנה בן 3 חודשים מבי"ד צבאי מחוזי (311-2018), מיום 12.12.2018, באופן שחודש ירוצה </w:t>
      </w:r>
      <w:r w:rsidRPr="007C6B1C">
        <w:rPr>
          <w:rFonts w:hint="cs"/>
          <w:u w:val="single"/>
          <w:rtl/>
        </w:rPr>
        <w:t>במצטבר</w:t>
      </w:r>
      <w:r>
        <w:rPr>
          <w:rFonts w:hint="cs"/>
          <w:rtl/>
        </w:rPr>
        <w:t xml:space="preserve"> וחודשיים </w:t>
      </w:r>
      <w:r w:rsidRPr="000D5E29">
        <w:rPr>
          <w:rFonts w:hint="cs"/>
          <w:rtl/>
        </w:rPr>
        <w:t>ירוצו</w:t>
      </w:r>
      <w:r>
        <w:rPr>
          <w:rFonts w:hint="cs"/>
          <w:rtl/>
        </w:rPr>
        <w:t xml:space="preserve"> </w:t>
      </w:r>
      <w:r w:rsidRPr="007C6B1C">
        <w:rPr>
          <w:rFonts w:hint="cs"/>
          <w:rtl/>
        </w:rPr>
        <w:t>בחופף</w:t>
      </w:r>
      <w:r>
        <w:rPr>
          <w:rFonts w:hint="cs"/>
          <w:rtl/>
        </w:rPr>
        <w:t xml:space="preserve"> לעונש המאסר אותו הטלתי. הטעמים לחפיפה פורטו לעיל ובהם שיקולי שיקומו של הנאשם; תקופת המעצר בה שהה (שלא נוכתה); תקופת המעצר באיזוק (כשנה); והעובדה שהעבירה בגינה הוטל המאסר המותנה היא שימוש בסמים. כן ראיתי להשקיף על העונש הכולל, על מנת שלא להביא למצב בו אורכו יפגע בסיכויי השיקום.</w:t>
      </w:r>
    </w:p>
    <w:p w14:paraId="1CB4CD1B" w14:textId="77777777" w:rsidR="006A09D8" w:rsidRDefault="006A09D8" w:rsidP="006A09D8">
      <w:pPr>
        <w:pStyle w:val="a9"/>
        <w:jc w:val="both"/>
        <w:rPr>
          <w:rtl/>
        </w:rPr>
      </w:pPr>
    </w:p>
    <w:p w14:paraId="5F2D591A" w14:textId="77777777" w:rsidR="006A09D8" w:rsidRDefault="006A09D8" w:rsidP="006A09D8">
      <w:pPr>
        <w:pStyle w:val="a9"/>
        <w:spacing w:line="360" w:lineRule="auto"/>
        <w:jc w:val="both"/>
        <w:rPr>
          <w:rFonts w:ascii="David" w:hAnsi="David"/>
          <w:b/>
          <w:bCs/>
          <w:color w:val="000000"/>
          <w:rtl/>
        </w:rPr>
      </w:pPr>
      <w:r>
        <w:rPr>
          <w:rFonts w:ascii="David" w:hAnsi="David"/>
          <w:b/>
          <w:bCs/>
          <w:color w:val="000000"/>
          <w:rtl/>
        </w:rPr>
        <w:t xml:space="preserve">סה"כ מוטלים </w:t>
      </w:r>
      <w:r>
        <w:rPr>
          <w:rFonts w:ascii="David" w:hAnsi="David" w:hint="cs"/>
          <w:b/>
          <w:bCs/>
          <w:color w:val="000000"/>
          <w:rtl/>
        </w:rPr>
        <w:t xml:space="preserve">אפוא </w:t>
      </w:r>
      <w:r>
        <w:rPr>
          <w:rFonts w:ascii="David" w:hAnsi="David"/>
          <w:b/>
          <w:bCs/>
          <w:color w:val="000000"/>
          <w:rtl/>
        </w:rPr>
        <w:t>על הנאשם</w:t>
      </w:r>
      <w:r>
        <w:rPr>
          <w:rFonts w:ascii="David" w:hAnsi="David" w:hint="cs"/>
          <w:b/>
          <w:bCs/>
          <w:color w:val="000000"/>
          <w:rtl/>
        </w:rPr>
        <w:t xml:space="preserve"> 6 חודשי מאסר. </w:t>
      </w:r>
    </w:p>
    <w:p w14:paraId="69C0218B" w14:textId="77777777" w:rsidR="006A09D8" w:rsidRDefault="006A09D8" w:rsidP="006A09D8">
      <w:pPr>
        <w:pStyle w:val="a9"/>
        <w:spacing w:line="360" w:lineRule="auto"/>
        <w:jc w:val="both"/>
        <w:rPr>
          <w:rFonts w:ascii="David" w:hAnsi="David"/>
          <w:b/>
          <w:bCs/>
          <w:color w:val="000000"/>
          <w:rtl/>
        </w:rPr>
      </w:pPr>
    </w:p>
    <w:p w14:paraId="0AD3CF4E" w14:textId="77777777" w:rsidR="006A09D8" w:rsidRDefault="006A09D8" w:rsidP="006A09D8">
      <w:pPr>
        <w:pStyle w:val="a9"/>
        <w:spacing w:line="360" w:lineRule="auto"/>
        <w:jc w:val="both"/>
      </w:pPr>
      <w:r>
        <w:rPr>
          <w:rtl/>
        </w:rPr>
        <w:t>הנאשם יישא עונש זה בדרך של עבודות שירות בהתאם לחוות דעת הממונה</w:t>
      </w:r>
      <w:r>
        <w:rPr>
          <w:rFonts w:hint="cs"/>
          <w:rtl/>
        </w:rPr>
        <w:t>, החל</w:t>
      </w:r>
      <w:r>
        <w:rPr>
          <w:rtl/>
        </w:rPr>
        <w:t xml:space="preserve"> מיום </w:t>
      </w:r>
      <w:r>
        <w:rPr>
          <w:rFonts w:hint="cs"/>
          <w:rtl/>
        </w:rPr>
        <w:t xml:space="preserve">5.4.2021. ביום זה יתייצב הנאשם במשרדי הממונה </w:t>
      </w:r>
      <w:r w:rsidRPr="00636947">
        <w:rPr>
          <w:rFonts w:hint="cs"/>
          <w:u w:val="single"/>
          <w:rtl/>
        </w:rPr>
        <w:t>במתחם כלא מגידו</w:t>
      </w:r>
      <w:r>
        <w:rPr>
          <w:rFonts w:hint="cs"/>
          <w:rtl/>
        </w:rPr>
        <w:t xml:space="preserve">. </w:t>
      </w:r>
      <w:r w:rsidRPr="00636947">
        <w:rPr>
          <w:b/>
          <w:bCs/>
          <w:rtl/>
        </w:rPr>
        <w:t xml:space="preserve">הובהר לנאשם שעליו לבצע את עבודות השירות לשביעות רצון הממונה וכי אם לא יעשה כן ניתן יהיה להפקיע את העונש והוא יישא ביתרת התקופה בכליאה. </w:t>
      </w:r>
    </w:p>
    <w:p w14:paraId="7AC495D6" w14:textId="77777777" w:rsidR="006A09D8" w:rsidRDefault="006A09D8" w:rsidP="006A09D8">
      <w:pPr>
        <w:pStyle w:val="a9"/>
        <w:rPr>
          <w:rtl/>
        </w:rPr>
      </w:pPr>
    </w:p>
    <w:p w14:paraId="62B51CEA" w14:textId="77777777" w:rsidR="006A09D8" w:rsidRDefault="006A09D8" w:rsidP="006A09D8">
      <w:pPr>
        <w:numPr>
          <w:ilvl w:val="0"/>
          <w:numId w:val="2"/>
        </w:numPr>
        <w:spacing w:before="120" w:after="120" w:line="360" w:lineRule="auto"/>
        <w:contextualSpacing/>
        <w:jc w:val="both"/>
      </w:pPr>
      <w:r>
        <w:rPr>
          <w:b/>
          <w:bCs/>
          <w:rtl/>
        </w:rPr>
        <w:t xml:space="preserve">אני מעמיד את הנאשם בפיקוח שירות המבחן למשך </w:t>
      </w:r>
      <w:r>
        <w:rPr>
          <w:rFonts w:hint="cs"/>
          <w:b/>
          <w:bCs/>
          <w:rtl/>
        </w:rPr>
        <w:t>12</w:t>
      </w:r>
      <w:r>
        <w:rPr>
          <w:b/>
          <w:bCs/>
          <w:rtl/>
        </w:rPr>
        <w:t xml:space="preserve"> חודשים</w:t>
      </w:r>
      <w:r>
        <w:rPr>
          <w:rtl/>
        </w:rPr>
        <w:t xml:space="preserve">. הוסבר לנאשם </w:t>
      </w:r>
      <w:r>
        <w:rPr>
          <w:rFonts w:hint="cs"/>
          <w:rtl/>
        </w:rPr>
        <w:t>בלשון</w:t>
      </w:r>
      <w:r>
        <w:rPr>
          <w:rtl/>
        </w:rPr>
        <w:t xml:space="preserve"> פשוטה שעליו לקיים את הוראות שירות המבחן וכי הפרה של צו הפיקוח עלולה להוביל להפקעתו ולהטלת עונשים נוספים. </w:t>
      </w:r>
    </w:p>
    <w:p w14:paraId="592325AE" w14:textId="77777777" w:rsidR="006A09D8" w:rsidRDefault="006A09D8" w:rsidP="006A09D8">
      <w:pPr>
        <w:pStyle w:val="a9"/>
        <w:numPr>
          <w:ilvl w:val="0"/>
          <w:numId w:val="2"/>
        </w:numPr>
        <w:spacing w:line="360" w:lineRule="auto"/>
        <w:jc w:val="both"/>
      </w:pPr>
      <w:r>
        <w:rPr>
          <w:rtl/>
        </w:rPr>
        <w:t xml:space="preserve">מאסר על תנאי למשך 6 חודשים והתנאי הוא שהנאשם לא יעבור במשך </w:t>
      </w:r>
      <w:r>
        <w:rPr>
          <w:rFonts w:hint="cs"/>
          <w:rtl/>
        </w:rPr>
        <w:t xml:space="preserve">שנתיים </w:t>
      </w:r>
      <w:r>
        <w:rPr>
          <w:rtl/>
        </w:rPr>
        <w:t>כל עבירה על פקודת הסמים שהיא פשע.</w:t>
      </w:r>
    </w:p>
    <w:p w14:paraId="34697AE6" w14:textId="77777777" w:rsidR="006A09D8" w:rsidRDefault="006A09D8" w:rsidP="006A09D8">
      <w:pPr>
        <w:pStyle w:val="a9"/>
        <w:jc w:val="both"/>
      </w:pPr>
    </w:p>
    <w:p w14:paraId="4D9C989B" w14:textId="77777777" w:rsidR="006A09D8" w:rsidRDefault="006A09D8" w:rsidP="006A09D8">
      <w:pPr>
        <w:pStyle w:val="a9"/>
        <w:numPr>
          <w:ilvl w:val="0"/>
          <w:numId w:val="2"/>
        </w:numPr>
        <w:spacing w:line="360" w:lineRule="auto"/>
        <w:jc w:val="both"/>
      </w:pPr>
      <w:r>
        <w:rPr>
          <w:rFonts w:ascii="Calibri" w:hAnsi="Calibri"/>
          <w:rtl/>
        </w:rPr>
        <w:t xml:space="preserve">קנס בסך של </w:t>
      </w:r>
      <w:r>
        <w:rPr>
          <w:rFonts w:ascii="Calibri" w:hAnsi="Calibri" w:hint="cs"/>
          <w:rtl/>
        </w:rPr>
        <w:t>3</w:t>
      </w:r>
      <w:r>
        <w:rPr>
          <w:rFonts w:ascii="Calibri" w:hAnsi="Calibri"/>
          <w:rtl/>
        </w:rPr>
        <w:t xml:space="preserve">,000 ₪. הקנס ישולם ב- </w:t>
      </w:r>
      <w:r>
        <w:rPr>
          <w:rFonts w:ascii="Calibri" w:hAnsi="Calibri" w:hint="cs"/>
          <w:rtl/>
        </w:rPr>
        <w:t>5</w:t>
      </w:r>
      <w:r>
        <w:rPr>
          <w:rFonts w:ascii="Calibri" w:hAnsi="Calibri"/>
          <w:rtl/>
        </w:rPr>
        <w:t xml:space="preserve"> תשלומים חודשיים רצופים ושווים החל מיום </w:t>
      </w:r>
      <w:r>
        <w:rPr>
          <w:rFonts w:ascii="Calibri" w:hAnsi="Calibri" w:hint="cs"/>
          <w:rtl/>
        </w:rPr>
        <w:t>1.3.2021,</w:t>
      </w:r>
      <w:r>
        <w:rPr>
          <w:rFonts w:ascii="Calibri" w:hAnsi="Calibri"/>
          <w:rtl/>
        </w:rPr>
        <w:t xml:space="preserve"> ובכל אחד לחודש שלאחריו. היה והקנס או שיעור משיעוריו לא ישולם במועד – תעמוד יתרת הקנס לתשלום מידי.</w:t>
      </w:r>
    </w:p>
    <w:p w14:paraId="0B973DFD" w14:textId="77777777" w:rsidR="006A09D8" w:rsidRDefault="006A09D8" w:rsidP="006A09D8">
      <w:pPr>
        <w:pStyle w:val="a9"/>
        <w:rPr>
          <w:rtl/>
        </w:rPr>
      </w:pPr>
    </w:p>
    <w:p w14:paraId="4431D7EB" w14:textId="77777777" w:rsidR="006A09D8" w:rsidRDefault="006A09D8" w:rsidP="006A09D8">
      <w:pPr>
        <w:pStyle w:val="1"/>
        <w:spacing w:after="240" w:line="360" w:lineRule="auto"/>
        <w:ind w:left="0" w:firstLine="360"/>
        <w:jc w:val="both"/>
        <w:rPr>
          <w:b/>
          <w:bCs/>
          <w:u w:val="single"/>
        </w:rPr>
      </w:pPr>
      <w:r>
        <w:rPr>
          <w:b/>
          <w:bCs/>
          <w:u w:val="single"/>
          <w:rtl/>
        </w:rPr>
        <w:t>בחלוף תקופת הערעור, ניתן להשמיד את המוצגים – הסמים</w:t>
      </w:r>
      <w:r>
        <w:rPr>
          <w:rFonts w:hint="cs"/>
          <w:b/>
          <w:bCs/>
          <w:u w:val="single"/>
          <w:rtl/>
        </w:rPr>
        <w:t xml:space="preserve"> והכלים.</w:t>
      </w:r>
    </w:p>
    <w:p w14:paraId="47353760" w14:textId="77777777" w:rsidR="006A09D8" w:rsidRDefault="006A09D8" w:rsidP="006A09D8">
      <w:pPr>
        <w:pStyle w:val="1"/>
        <w:spacing w:after="240" w:line="360" w:lineRule="auto"/>
        <w:ind w:left="0" w:firstLine="360"/>
        <w:jc w:val="both"/>
        <w:rPr>
          <w:b/>
          <w:bCs/>
          <w:u w:val="single"/>
          <w:rtl/>
        </w:rPr>
      </w:pPr>
      <w:r>
        <w:rPr>
          <w:b/>
          <w:bCs/>
          <w:u w:val="single"/>
          <w:rtl/>
        </w:rPr>
        <w:t>המזכירות תשלח עותק מגזר הדין לשירות המבחן וכן לממונה על עבודות השירות.</w:t>
      </w:r>
    </w:p>
    <w:p w14:paraId="5F9A3205" w14:textId="77777777" w:rsidR="006A09D8" w:rsidRDefault="006A09D8" w:rsidP="006A09D8">
      <w:pPr>
        <w:pStyle w:val="1"/>
        <w:spacing w:after="240" w:line="360" w:lineRule="auto"/>
        <w:ind w:left="0" w:firstLine="360"/>
        <w:jc w:val="both"/>
        <w:rPr>
          <w:rtl/>
        </w:rPr>
      </w:pPr>
      <w:r>
        <w:rPr>
          <w:b/>
          <w:bCs/>
          <w:u w:val="single"/>
          <w:rtl/>
        </w:rPr>
        <w:t>זכות ערעור בתוך 45 יום.</w:t>
      </w:r>
    </w:p>
    <w:p w14:paraId="397DC2FB" w14:textId="77777777" w:rsidR="006A09D8" w:rsidRPr="00356AE0" w:rsidRDefault="00356AE0" w:rsidP="006A09D8">
      <w:pPr>
        <w:rPr>
          <w:color w:val="FFFFFF"/>
          <w:sz w:val="2"/>
          <w:szCs w:val="2"/>
          <w:rtl/>
        </w:rPr>
      </w:pPr>
      <w:r w:rsidRPr="00356AE0">
        <w:rPr>
          <w:color w:val="FFFFFF"/>
          <w:sz w:val="2"/>
          <w:szCs w:val="2"/>
          <w:rtl/>
        </w:rPr>
        <w:t>5129371</w:t>
      </w:r>
    </w:p>
    <w:p w14:paraId="28ADF6DE" w14:textId="77777777" w:rsidR="006A09D8" w:rsidRDefault="00356AE0" w:rsidP="006A09D8">
      <w:pPr>
        <w:rPr>
          <w:rFonts w:cs="FrankRuehl"/>
          <w:sz w:val="28"/>
          <w:szCs w:val="28"/>
          <w:rtl/>
        </w:rPr>
      </w:pPr>
      <w:bookmarkStart w:id="9" w:name="Nitan"/>
      <w:r w:rsidRPr="00356AE0">
        <w:rPr>
          <w:rFonts w:ascii="Arial" w:hAnsi="Arial"/>
          <w:color w:val="FFFFFF"/>
          <w:sz w:val="2"/>
          <w:szCs w:val="2"/>
          <w:rtl/>
        </w:rPr>
        <w:t>54678313</w:t>
      </w:r>
      <w:r>
        <w:rPr>
          <w:rFonts w:ascii="Arial" w:hAnsi="Arial"/>
          <w:rtl/>
        </w:rPr>
        <w:t xml:space="preserve">ניתן היום,  כ"ו שבט תשפ"א, 08 פברואר 2021, במעמד הצדדים. </w:t>
      </w:r>
      <w:bookmarkEnd w:id="9"/>
    </w:p>
    <w:p w14:paraId="34E47AC4" w14:textId="77777777" w:rsidR="006A09D8" w:rsidRDefault="006A09D8" w:rsidP="00356AE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C467C0F" w14:textId="77777777" w:rsidR="006A09D8" w:rsidRDefault="006A09D8" w:rsidP="006A09D8">
      <w:pPr>
        <w:jc w:val="center"/>
        <w:rPr>
          <w:rFonts w:ascii="Arial" w:hAnsi="Arial" w:cs="FrankRuehl"/>
          <w:sz w:val="28"/>
          <w:szCs w:val="28"/>
          <w:rtl/>
        </w:rPr>
      </w:pPr>
    </w:p>
    <w:p w14:paraId="77121088" w14:textId="77777777" w:rsidR="006A09D8" w:rsidRDefault="006A09D8" w:rsidP="006A09D8">
      <w:pPr>
        <w:rPr>
          <w:rFonts w:cs="FrankRuehl"/>
          <w:sz w:val="28"/>
          <w:szCs w:val="28"/>
          <w:rtl/>
        </w:rPr>
      </w:pPr>
    </w:p>
    <w:p w14:paraId="0B111D62" w14:textId="77777777" w:rsidR="006A09D8" w:rsidRDefault="006A09D8" w:rsidP="006A09D8">
      <w:pPr>
        <w:pStyle w:val="a3"/>
        <w:jc w:val="center"/>
        <w:rPr>
          <w:rtl/>
        </w:rPr>
      </w:pPr>
    </w:p>
    <w:p w14:paraId="2AA0E257" w14:textId="77777777" w:rsidR="0011793D" w:rsidRPr="00356AE0" w:rsidRDefault="0011793D" w:rsidP="00356AE0">
      <w:pPr>
        <w:keepNext/>
        <w:rPr>
          <w:rFonts w:ascii="David" w:hAnsi="David"/>
          <w:color w:val="000000"/>
          <w:sz w:val="22"/>
          <w:szCs w:val="22"/>
          <w:rtl/>
        </w:rPr>
      </w:pPr>
    </w:p>
    <w:p w14:paraId="7917DDBF" w14:textId="77777777" w:rsidR="00356AE0" w:rsidRPr="00356AE0" w:rsidRDefault="00356AE0" w:rsidP="00356AE0">
      <w:pPr>
        <w:keepNext/>
        <w:rPr>
          <w:rFonts w:ascii="David" w:hAnsi="David"/>
          <w:color w:val="000000"/>
          <w:sz w:val="22"/>
          <w:szCs w:val="22"/>
          <w:rtl/>
        </w:rPr>
      </w:pPr>
      <w:r w:rsidRPr="00356AE0">
        <w:rPr>
          <w:rFonts w:ascii="David" w:hAnsi="David"/>
          <w:color w:val="000000"/>
          <w:sz w:val="22"/>
          <w:szCs w:val="22"/>
          <w:rtl/>
        </w:rPr>
        <w:t>יוסי טורס 54678313</w:t>
      </w:r>
    </w:p>
    <w:p w14:paraId="23A2E6CB" w14:textId="77777777" w:rsidR="00356AE0" w:rsidRDefault="00356AE0" w:rsidP="00356AE0">
      <w:pPr>
        <w:rPr>
          <w:rFonts w:hint="cs"/>
        </w:rPr>
      </w:pPr>
      <w:r w:rsidRPr="00356AE0">
        <w:rPr>
          <w:color w:val="000000"/>
          <w:rtl/>
        </w:rPr>
        <w:t>נוסח מסמך זה כפוף לשינויי ניסוח ועריכה</w:t>
      </w:r>
      <w:r w:rsidR="00BF6D63">
        <w:rPr>
          <w:rFonts w:hint="cs"/>
          <w:rtl/>
        </w:rPr>
        <w:t xml:space="preserve"> </w:t>
      </w:r>
    </w:p>
    <w:p w14:paraId="3B7CBDB5" w14:textId="77777777" w:rsidR="00356AE0" w:rsidRDefault="00356AE0" w:rsidP="00356AE0">
      <w:pPr>
        <w:rPr>
          <w:rtl/>
        </w:rPr>
      </w:pPr>
    </w:p>
    <w:p w14:paraId="3B8698EE" w14:textId="77777777" w:rsidR="00356AE0" w:rsidRDefault="00356AE0" w:rsidP="00356AE0">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35A5A393" w14:textId="77777777" w:rsidR="00356AE0" w:rsidRPr="00356AE0" w:rsidRDefault="00356AE0" w:rsidP="00356AE0">
      <w:pPr>
        <w:jc w:val="center"/>
        <w:rPr>
          <w:color w:val="0000FF"/>
          <w:u w:val="single"/>
        </w:rPr>
      </w:pPr>
    </w:p>
    <w:sectPr w:rsidR="00356AE0" w:rsidRPr="00356AE0" w:rsidSect="00356AE0">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528BE" w14:textId="77777777" w:rsidR="00521671" w:rsidRDefault="00521671" w:rsidP="00E30B8C">
      <w:r>
        <w:separator/>
      </w:r>
    </w:p>
  </w:endnote>
  <w:endnote w:type="continuationSeparator" w:id="0">
    <w:p w14:paraId="55C18988" w14:textId="77777777" w:rsidR="00521671" w:rsidRDefault="00521671" w:rsidP="00E3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04279" w14:textId="77777777" w:rsidR="00356AE0" w:rsidRDefault="00356AE0" w:rsidP="00356A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82E203" w14:textId="77777777" w:rsidR="00164DC4" w:rsidRPr="00356AE0" w:rsidRDefault="00356AE0" w:rsidP="00356A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F30F" w14:textId="77777777" w:rsidR="00356AE0" w:rsidRDefault="00356AE0" w:rsidP="00356A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7FEC">
      <w:rPr>
        <w:rFonts w:ascii="FrankRuehl" w:hAnsi="FrankRuehl" w:cs="FrankRuehl"/>
        <w:noProof/>
        <w:rtl/>
      </w:rPr>
      <w:t>1</w:t>
    </w:r>
    <w:r>
      <w:rPr>
        <w:rFonts w:ascii="FrankRuehl" w:hAnsi="FrankRuehl" w:cs="FrankRuehl"/>
        <w:rtl/>
      </w:rPr>
      <w:fldChar w:fldCharType="end"/>
    </w:r>
  </w:p>
  <w:p w14:paraId="643A72CB" w14:textId="77777777" w:rsidR="00164DC4" w:rsidRPr="00356AE0" w:rsidRDefault="00356AE0" w:rsidP="00356A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2A4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8BE6A" w14:textId="77777777" w:rsidR="00521671" w:rsidRDefault="00521671" w:rsidP="00E30B8C">
      <w:r>
        <w:separator/>
      </w:r>
    </w:p>
  </w:footnote>
  <w:footnote w:type="continuationSeparator" w:id="0">
    <w:p w14:paraId="783064CA" w14:textId="77777777" w:rsidR="00521671" w:rsidRDefault="00521671" w:rsidP="00E30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54BDF" w14:textId="77777777" w:rsidR="00356AE0" w:rsidRPr="00356AE0" w:rsidRDefault="00356AE0" w:rsidP="00356A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21284-10-19</w:t>
    </w:r>
    <w:r>
      <w:rPr>
        <w:rFonts w:ascii="David" w:hAnsi="David"/>
        <w:color w:val="000000"/>
        <w:sz w:val="22"/>
        <w:szCs w:val="22"/>
        <w:rtl/>
      </w:rPr>
      <w:tab/>
      <w:t xml:space="preserve"> מדינת ישראל נ' אלירן רייקוב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8A5F9" w14:textId="77777777" w:rsidR="00356AE0" w:rsidRPr="00356AE0" w:rsidRDefault="00356AE0" w:rsidP="00356A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21284-10-19</w:t>
    </w:r>
    <w:r>
      <w:rPr>
        <w:rFonts w:ascii="David" w:hAnsi="David"/>
        <w:color w:val="000000"/>
        <w:sz w:val="22"/>
        <w:szCs w:val="22"/>
        <w:rtl/>
      </w:rPr>
      <w:tab/>
      <w:t xml:space="preserve"> מדינת ישראל נ' אלירן רייקוב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3C7F"/>
    <w:multiLevelType w:val="hybridMultilevel"/>
    <w:tmpl w:val="3F3651D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26CF3"/>
    <w:multiLevelType w:val="hybridMultilevel"/>
    <w:tmpl w:val="0F28ADC6"/>
    <w:lvl w:ilvl="0" w:tplc="100A8AD6">
      <w:start w:val="1"/>
      <w:numFmt w:val="decimal"/>
      <w:lvlText w:val="%1."/>
      <w:lvlJc w:val="left"/>
      <w:pPr>
        <w:tabs>
          <w:tab w:val="num" w:pos="567"/>
        </w:tabs>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61948">
    <w:abstractNumId w:val="1"/>
  </w:num>
  <w:num w:numId="2" w16cid:durableId="113733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09D8"/>
    <w:rsid w:val="0011793D"/>
    <w:rsid w:val="00152504"/>
    <w:rsid w:val="00164DC4"/>
    <w:rsid w:val="003130D0"/>
    <w:rsid w:val="00356AE0"/>
    <w:rsid w:val="003A33AF"/>
    <w:rsid w:val="00521671"/>
    <w:rsid w:val="005D1F7E"/>
    <w:rsid w:val="006A09D8"/>
    <w:rsid w:val="008C1E01"/>
    <w:rsid w:val="00A05417"/>
    <w:rsid w:val="00A87277"/>
    <w:rsid w:val="00BF6D63"/>
    <w:rsid w:val="00C41DC2"/>
    <w:rsid w:val="00D47FEC"/>
    <w:rsid w:val="00E30B8C"/>
    <w:rsid w:val="00F402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13FF68"/>
  <w15:chartTrackingRefBased/>
  <w15:docId w15:val="{B1F3765B-55A6-43BE-80D9-67B22CF6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09D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A09D8"/>
    <w:pPr>
      <w:tabs>
        <w:tab w:val="center" w:pos="4153"/>
        <w:tab w:val="right" w:pos="8306"/>
      </w:tabs>
    </w:pPr>
  </w:style>
  <w:style w:type="character" w:customStyle="1" w:styleId="a4">
    <w:name w:val="כותרת עליונה תו"/>
    <w:link w:val="a3"/>
    <w:rsid w:val="006A09D8"/>
    <w:rPr>
      <w:rFonts w:ascii="Times New Roman" w:eastAsia="Times New Roman" w:hAnsi="Times New Roman" w:cs="David"/>
      <w:sz w:val="24"/>
      <w:szCs w:val="24"/>
    </w:rPr>
  </w:style>
  <w:style w:type="paragraph" w:styleId="a5">
    <w:name w:val="footer"/>
    <w:basedOn w:val="a"/>
    <w:link w:val="a6"/>
    <w:rsid w:val="006A09D8"/>
    <w:pPr>
      <w:tabs>
        <w:tab w:val="center" w:pos="4153"/>
        <w:tab w:val="right" w:pos="8306"/>
      </w:tabs>
    </w:pPr>
  </w:style>
  <w:style w:type="character" w:customStyle="1" w:styleId="a6">
    <w:name w:val="כותרת תחתונה תו"/>
    <w:link w:val="a5"/>
    <w:rsid w:val="006A09D8"/>
    <w:rPr>
      <w:rFonts w:ascii="Times New Roman" w:eastAsia="Times New Roman" w:hAnsi="Times New Roman" w:cs="David"/>
      <w:sz w:val="24"/>
      <w:szCs w:val="24"/>
    </w:rPr>
  </w:style>
  <w:style w:type="table" w:styleId="a7">
    <w:name w:val="Table Grid"/>
    <w:basedOn w:val="a1"/>
    <w:rsid w:val="006A09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09D8"/>
  </w:style>
  <w:style w:type="paragraph" w:styleId="a9">
    <w:name w:val="List Paragraph"/>
    <w:basedOn w:val="a"/>
    <w:qFormat/>
    <w:rsid w:val="006A09D8"/>
    <w:pPr>
      <w:ind w:left="720"/>
      <w:contextualSpacing/>
    </w:pPr>
  </w:style>
  <w:style w:type="character" w:styleId="Hyperlink">
    <w:name w:val="Hyperlink"/>
    <w:rsid w:val="006A09D8"/>
    <w:rPr>
      <w:color w:val="0000FF"/>
      <w:u w:val="single"/>
    </w:rPr>
  </w:style>
  <w:style w:type="paragraph" w:customStyle="1" w:styleId="1">
    <w:name w:val="פיסקת רשימה1"/>
    <w:basedOn w:val="a"/>
    <w:rsid w:val="006A0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7023776" TargetMode="External"/><Relationship Id="rId21" Type="http://schemas.openxmlformats.org/officeDocument/2006/relationships/hyperlink" Target="http://www.nevo.co.il/law/70301/29.a" TargetMode="External"/><Relationship Id="rId34" Type="http://schemas.openxmlformats.org/officeDocument/2006/relationships/hyperlink" Target="http://www.nevo.co.il/case/5726579" TargetMode="External"/><Relationship Id="rId42" Type="http://schemas.openxmlformats.org/officeDocument/2006/relationships/hyperlink" Target="http://www.nevo.co.il/case/5074126" TargetMode="External"/><Relationship Id="rId47" Type="http://schemas.openxmlformats.org/officeDocument/2006/relationships/hyperlink" Target="http://www.nevo.co.il/case/16927083" TargetMode="External"/><Relationship Id="rId50" Type="http://schemas.openxmlformats.org/officeDocument/2006/relationships/hyperlink" Target="http://www.nevo.co.il/case/10459128" TargetMode="External"/><Relationship Id="rId55" Type="http://schemas.openxmlformats.org/officeDocument/2006/relationships/hyperlink" Target="http://www.nevo.co.il/safrut/book/30035"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1553" TargetMode="External"/><Relationship Id="rId29" Type="http://schemas.openxmlformats.org/officeDocument/2006/relationships/hyperlink" Target="http://www.nevo.co.il/case/5988308"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3827604" TargetMode="External"/><Relationship Id="rId37" Type="http://schemas.openxmlformats.org/officeDocument/2006/relationships/hyperlink" Target="http://www.nevo.co.il/case/3892678" TargetMode="External"/><Relationship Id="rId40" Type="http://schemas.openxmlformats.org/officeDocument/2006/relationships/hyperlink" Target="http://www.nevo.co.il/case/17011278" TargetMode="External"/><Relationship Id="rId45" Type="http://schemas.openxmlformats.org/officeDocument/2006/relationships/hyperlink" Target="http://www.nevo.co.il/case/5642705" TargetMode="External"/><Relationship Id="rId53" Type="http://schemas.openxmlformats.org/officeDocument/2006/relationships/hyperlink" Target="http://www.nevo.co.il/case/11206360" TargetMode="External"/><Relationship Id="rId58" Type="http://schemas.openxmlformats.org/officeDocument/2006/relationships/hyperlink" Target="http://www.nevo.co.il/law/71553"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29.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1473042" TargetMode="External"/><Relationship Id="rId30" Type="http://schemas.openxmlformats.org/officeDocument/2006/relationships/hyperlink" Target="http://www.nevo.co.il/case/5605484" TargetMode="External"/><Relationship Id="rId35" Type="http://schemas.openxmlformats.org/officeDocument/2006/relationships/hyperlink" Target="http://www.nevo.co.il/case/21477472" TargetMode="External"/><Relationship Id="rId43" Type="http://schemas.openxmlformats.org/officeDocument/2006/relationships/hyperlink" Target="http://www.nevo.co.il/case/3606459" TargetMode="External"/><Relationship Id="rId48" Type="http://schemas.openxmlformats.org/officeDocument/2006/relationships/hyperlink" Target="http://www.nevo.co.il/law/70301/40d" TargetMode="External"/><Relationship Id="rId56" Type="http://schemas.openxmlformats.org/officeDocument/2006/relationships/hyperlink" Target="http://www.nevo.co.il/case/13055183" TargetMode="External"/><Relationship Id="rId64"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case/22938500"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1553/1"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21644133" TargetMode="External"/><Relationship Id="rId38" Type="http://schemas.openxmlformats.org/officeDocument/2006/relationships/hyperlink" Target="http://www.nevo.co.il/case/17011540" TargetMode="External"/><Relationship Id="rId46" Type="http://schemas.openxmlformats.org/officeDocument/2006/relationships/hyperlink" Target="http://www.nevo.co.il/case/20081335" TargetMode="External"/><Relationship Id="rId59" Type="http://schemas.openxmlformats.org/officeDocument/2006/relationships/hyperlink" Target="http://www.nevo.co.il/case/21561698" TargetMode="External"/><Relationship Id="rId67" Type="http://schemas.openxmlformats.org/officeDocument/2006/relationships/theme" Target="theme/theme1.xml"/><Relationship Id="rId20" Type="http://schemas.openxmlformats.org/officeDocument/2006/relationships/hyperlink" Target="http://www.nevo.co.il/law/4216/13;19.a" TargetMode="External"/><Relationship Id="rId41" Type="http://schemas.openxmlformats.org/officeDocument/2006/relationships/hyperlink" Target="http://www.nevo.co.il/case/4569822" TargetMode="External"/><Relationship Id="rId54" Type="http://schemas.openxmlformats.org/officeDocument/2006/relationships/hyperlink" Target="http://www.nevo.co.il/case/20111708"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law/4216/10" TargetMode="External"/><Relationship Id="rId28" Type="http://schemas.openxmlformats.org/officeDocument/2006/relationships/hyperlink" Target="http://www.nevo.co.il/case/6241434" TargetMode="External"/><Relationship Id="rId36" Type="http://schemas.openxmlformats.org/officeDocument/2006/relationships/hyperlink" Target="http://www.nevo.co.il/case/7012287"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1553/1"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22841413" TargetMode="External"/><Relationship Id="rId44" Type="http://schemas.openxmlformats.org/officeDocument/2006/relationships/hyperlink" Target="http://www.nevo.co.il/case/16989465" TargetMode="External"/><Relationship Id="rId52" Type="http://schemas.openxmlformats.org/officeDocument/2006/relationships/hyperlink" Target="http://www.nevo.co.il/case/20490021" TargetMode="External"/><Relationship Id="rId60" Type="http://schemas.openxmlformats.org/officeDocument/2006/relationships/hyperlink" Target="http://www.nevo.co.il/case/25727558"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b"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7.a.;7.b" TargetMode="External"/><Relationship Id="rId39" Type="http://schemas.openxmlformats.org/officeDocument/2006/relationships/hyperlink" Target="http://www.nevo.co.il/case/1701120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3568</Words>
  <Characters>17843</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21369</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3604598</vt:i4>
      </vt:variant>
      <vt:variant>
        <vt:i4>162</vt:i4>
      </vt:variant>
      <vt:variant>
        <vt:i4>0</vt:i4>
      </vt:variant>
      <vt:variant>
        <vt:i4>5</vt:i4>
      </vt:variant>
      <vt:variant>
        <vt:lpwstr>http://www.nevo.co.il/case/25727558</vt:lpwstr>
      </vt:variant>
      <vt:variant>
        <vt:lpwstr/>
      </vt:variant>
      <vt:variant>
        <vt:i4>4128885</vt:i4>
      </vt:variant>
      <vt:variant>
        <vt:i4>159</vt:i4>
      </vt:variant>
      <vt:variant>
        <vt:i4>0</vt:i4>
      </vt:variant>
      <vt:variant>
        <vt:i4>5</vt:i4>
      </vt:variant>
      <vt:variant>
        <vt:lpwstr>http://www.nevo.co.il/case/21561698</vt:lpwstr>
      </vt:variant>
      <vt:variant>
        <vt:lpwstr/>
      </vt:variant>
      <vt:variant>
        <vt:i4>8257634</vt:i4>
      </vt:variant>
      <vt:variant>
        <vt:i4>156</vt:i4>
      </vt:variant>
      <vt:variant>
        <vt:i4>0</vt:i4>
      </vt:variant>
      <vt:variant>
        <vt:i4>5</vt:i4>
      </vt:variant>
      <vt:variant>
        <vt:lpwstr>http://www.nevo.co.il/law/71553</vt:lpwstr>
      </vt:variant>
      <vt:variant>
        <vt:lpwstr/>
      </vt:variant>
      <vt:variant>
        <vt:i4>5308497</vt:i4>
      </vt:variant>
      <vt:variant>
        <vt:i4>153</vt:i4>
      </vt:variant>
      <vt:variant>
        <vt:i4>0</vt:i4>
      </vt:variant>
      <vt:variant>
        <vt:i4>5</vt:i4>
      </vt:variant>
      <vt:variant>
        <vt:lpwstr>http://www.nevo.co.il/law/71553/1</vt:lpwstr>
      </vt:variant>
      <vt:variant>
        <vt:lpwstr/>
      </vt:variant>
      <vt:variant>
        <vt:i4>3932275</vt:i4>
      </vt:variant>
      <vt:variant>
        <vt:i4>150</vt:i4>
      </vt:variant>
      <vt:variant>
        <vt:i4>0</vt:i4>
      </vt:variant>
      <vt:variant>
        <vt:i4>5</vt:i4>
      </vt:variant>
      <vt:variant>
        <vt:lpwstr>http://www.nevo.co.il/case/13055183</vt:lpwstr>
      </vt:variant>
      <vt:variant>
        <vt:lpwstr/>
      </vt:variant>
      <vt:variant>
        <vt:i4>7471155</vt:i4>
      </vt:variant>
      <vt:variant>
        <vt:i4>147</vt:i4>
      </vt:variant>
      <vt:variant>
        <vt:i4>0</vt:i4>
      </vt:variant>
      <vt:variant>
        <vt:i4>5</vt:i4>
      </vt:variant>
      <vt:variant>
        <vt:lpwstr>http://www.nevo.co.il/safrut/book/30035</vt:lpwstr>
      </vt:variant>
      <vt:variant>
        <vt:lpwstr/>
      </vt:variant>
      <vt:variant>
        <vt:i4>3276914</vt:i4>
      </vt:variant>
      <vt:variant>
        <vt:i4>144</vt:i4>
      </vt:variant>
      <vt:variant>
        <vt:i4>0</vt:i4>
      </vt:variant>
      <vt:variant>
        <vt:i4>5</vt:i4>
      </vt:variant>
      <vt:variant>
        <vt:lpwstr>http://www.nevo.co.il/case/20111708</vt:lpwstr>
      </vt:variant>
      <vt:variant>
        <vt:lpwstr/>
      </vt:variant>
      <vt:variant>
        <vt:i4>3342454</vt:i4>
      </vt:variant>
      <vt:variant>
        <vt:i4>141</vt:i4>
      </vt:variant>
      <vt:variant>
        <vt:i4>0</vt:i4>
      </vt:variant>
      <vt:variant>
        <vt:i4>5</vt:i4>
      </vt:variant>
      <vt:variant>
        <vt:lpwstr>http://www.nevo.co.il/case/11206360</vt:lpwstr>
      </vt:variant>
      <vt:variant>
        <vt:lpwstr/>
      </vt:variant>
      <vt:variant>
        <vt:i4>3407997</vt:i4>
      </vt:variant>
      <vt:variant>
        <vt:i4>138</vt:i4>
      </vt:variant>
      <vt:variant>
        <vt:i4>0</vt:i4>
      </vt:variant>
      <vt:variant>
        <vt:i4>5</vt:i4>
      </vt:variant>
      <vt:variant>
        <vt:lpwstr>http://www.nevo.co.il/case/20490021</vt:lpwstr>
      </vt:variant>
      <vt:variant>
        <vt:lpwstr/>
      </vt:variant>
      <vt:variant>
        <vt:i4>3342448</vt:i4>
      </vt:variant>
      <vt:variant>
        <vt:i4>135</vt:i4>
      </vt:variant>
      <vt:variant>
        <vt:i4>0</vt:i4>
      </vt:variant>
      <vt:variant>
        <vt:i4>5</vt:i4>
      </vt:variant>
      <vt:variant>
        <vt:lpwstr>http://www.nevo.co.il/case/22938500</vt:lpwstr>
      </vt:variant>
      <vt:variant>
        <vt:lpwstr/>
      </vt:variant>
      <vt:variant>
        <vt:i4>4063344</vt:i4>
      </vt:variant>
      <vt:variant>
        <vt:i4>132</vt:i4>
      </vt:variant>
      <vt:variant>
        <vt:i4>0</vt:i4>
      </vt:variant>
      <vt:variant>
        <vt:i4>5</vt:i4>
      </vt:variant>
      <vt:variant>
        <vt:lpwstr>http://www.nevo.co.il/case/10459128</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http://www.nevo.co.il/law/70301/40d</vt:lpwstr>
      </vt:variant>
      <vt:variant>
        <vt:lpwstr/>
      </vt:variant>
      <vt:variant>
        <vt:i4>3604592</vt:i4>
      </vt:variant>
      <vt:variant>
        <vt:i4>123</vt:i4>
      </vt:variant>
      <vt:variant>
        <vt:i4>0</vt:i4>
      </vt:variant>
      <vt:variant>
        <vt:i4>5</vt:i4>
      </vt:variant>
      <vt:variant>
        <vt:lpwstr>http://www.nevo.co.il/case/16927083</vt:lpwstr>
      </vt:variant>
      <vt:variant>
        <vt:lpwstr/>
      </vt:variant>
      <vt:variant>
        <vt:i4>3145855</vt:i4>
      </vt:variant>
      <vt:variant>
        <vt:i4>120</vt:i4>
      </vt:variant>
      <vt:variant>
        <vt:i4>0</vt:i4>
      </vt:variant>
      <vt:variant>
        <vt:i4>5</vt:i4>
      </vt:variant>
      <vt:variant>
        <vt:lpwstr>http://www.nevo.co.il/case/20081335</vt:lpwstr>
      </vt:variant>
      <vt:variant>
        <vt:lpwstr/>
      </vt:variant>
      <vt:variant>
        <vt:i4>3342448</vt:i4>
      </vt:variant>
      <vt:variant>
        <vt:i4>117</vt:i4>
      </vt:variant>
      <vt:variant>
        <vt:i4>0</vt:i4>
      </vt:variant>
      <vt:variant>
        <vt:i4>5</vt:i4>
      </vt:variant>
      <vt:variant>
        <vt:lpwstr>http://www.nevo.co.il/case/5642705</vt:lpwstr>
      </vt:variant>
      <vt:variant>
        <vt:lpwstr/>
      </vt:variant>
      <vt:variant>
        <vt:i4>3604606</vt:i4>
      </vt:variant>
      <vt:variant>
        <vt:i4>114</vt:i4>
      </vt:variant>
      <vt:variant>
        <vt:i4>0</vt:i4>
      </vt:variant>
      <vt:variant>
        <vt:i4>5</vt:i4>
      </vt:variant>
      <vt:variant>
        <vt:lpwstr>http://www.nevo.co.il/case/16989465</vt:lpwstr>
      </vt:variant>
      <vt:variant>
        <vt:lpwstr/>
      </vt:variant>
      <vt:variant>
        <vt:i4>4063345</vt:i4>
      </vt:variant>
      <vt:variant>
        <vt:i4>111</vt:i4>
      </vt:variant>
      <vt:variant>
        <vt:i4>0</vt:i4>
      </vt:variant>
      <vt:variant>
        <vt:i4>5</vt:i4>
      </vt:variant>
      <vt:variant>
        <vt:lpwstr>http://www.nevo.co.il/case/3606459</vt:lpwstr>
      </vt:variant>
      <vt:variant>
        <vt:lpwstr/>
      </vt:variant>
      <vt:variant>
        <vt:i4>3473522</vt:i4>
      </vt:variant>
      <vt:variant>
        <vt:i4>108</vt:i4>
      </vt:variant>
      <vt:variant>
        <vt:i4>0</vt:i4>
      </vt:variant>
      <vt:variant>
        <vt:i4>5</vt:i4>
      </vt:variant>
      <vt:variant>
        <vt:lpwstr>http://www.nevo.co.il/case/5074126</vt:lpwstr>
      </vt:variant>
      <vt:variant>
        <vt:lpwstr/>
      </vt:variant>
      <vt:variant>
        <vt:i4>3670138</vt:i4>
      </vt:variant>
      <vt:variant>
        <vt:i4>105</vt:i4>
      </vt:variant>
      <vt:variant>
        <vt:i4>0</vt:i4>
      </vt:variant>
      <vt:variant>
        <vt:i4>5</vt:i4>
      </vt:variant>
      <vt:variant>
        <vt:lpwstr>http://www.nevo.co.il/case/4569822</vt:lpwstr>
      </vt:variant>
      <vt:variant>
        <vt:lpwstr/>
      </vt:variant>
      <vt:variant>
        <vt:i4>3604592</vt:i4>
      </vt:variant>
      <vt:variant>
        <vt:i4>102</vt:i4>
      </vt:variant>
      <vt:variant>
        <vt:i4>0</vt:i4>
      </vt:variant>
      <vt:variant>
        <vt:i4>5</vt:i4>
      </vt:variant>
      <vt:variant>
        <vt:lpwstr>http://www.nevo.co.il/case/17011278</vt:lpwstr>
      </vt:variant>
      <vt:variant>
        <vt:lpwstr/>
      </vt:variant>
      <vt:variant>
        <vt:i4>3145840</vt:i4>
      </vt:variant>
      <vt:variant>
        <vt:i4>99</vt:i4>
      </vt:variant>
      <vt:variant>
        <vt:i4>0</vt:i4>
      </vt:variant>
      <vt:variant>
        <vt:i4>5</vt:i4>
      </vt:variant>
      <vt:variant>
        <vt:lpwstr>http://www.nevo.co.il/case/17011207</vt:lpwstr>
      </vt:variant>
      <vt:variant>
        <vt:lpwstr/>
      </vt:variant>
      <vt:variant>
        <vt:i4>3407991</vt:i4>
      </vt:variant>
      <vt:variant>
        <vt:i4>96</vt:i4>
      </vt:variant>
      <vt:variant>
        <vt:i4>0</vt:i4>
      </vt:variant>
      <vt:variant>
        <vt:i4>5</vt:i4>
      </vt:variant>
      <vt:variant>
        <vt:lpwstr>http://www.nevo.co.il/case/17011540</vt:lpwstr>
      </vt:variant>
      <vt:variant>
        <vt:lpwstr/>
      </vt:variant>
      <vt:variant>
        <vt:i4>3407993</vt:i4>
      </vt:variant>
      <vt:variant>
        <vt:i4>93</vt:i4>
      </vt:variant>
      <vt:variant>
        <vt:i4>0</vt:i4>
      </vt:variant>
      <vt:variant>
        <vt:i4>5</vt:i4>
      </vt:variant>
      <vt:variant>
        <vt:lpwstr>http://www.nevo.co.il/case/3892678</vt:lpwstr>
      </vt:variant>
      <vt:variant>
        <vt:lpwstr/>
      </vt:variant>
      <vt:variant>
        <vt:i4>3342462</vt:i4>
      </vt:variant>
      <vt:variant>
        <vt:i4>90</vt:i4>
      </vt:variant>
      <vt:variant>
        <vt:i4>0</vt:i4>
      </vt:variant>
      <vt:variant>
        <vt:i4>5</vt:i4>
      </vt:variant>
      <vt:variant>
        <vt:lpwstr>http://www.nevo.co.il/case/7012287</vt:lpwstr>
      </vt:variant>
      <vt:variant>
        <vt:lpwstr/>
      </vt:variant>
      <vt:variant>
        <vt:i4>3539062</vt:i4>
      </vt:variant>
      <vt:variant>
        <vt:i4>87</vt:i4>
      </vt:variant>
      <vt:variant>
        <vt:i4>0</vt:i4>
      </vt:variant>
      <vt:variant>
        <vt:i4>5</vt:i4>
      </vt:variant>
      <vt:variant>
        <vt:lpwstr>http://www.nevo.co.il/case/21477472</vt:lpwstr>
      </vt:variant>
      <vt:variant>
        <vt:lpwstr/>
      </vt:variant>
      <vt:variant>
        <vt:i4>3866738</vt:i4>
      </vt:variant>
      <vt:variant>
        <vt:i4>84</vt:i4>
      </vt:variant>
      <vt:variant>
        <vt:i4>0</vt:i4>
      </vt:variant>
      <vt:variant>
        <vt:i4>5</vt:i4>
      </vt:variant>
      <vt:variant>
        <vt:lpwstr>http://www.nevo.co.il/case/5726579</vt:lpwstr>
      </vt:variant>
      <vt:variant>
        <vt:lpwstr/>
      </vt:variant>
      <vt:variant>
        <vt:i4>3342448</vt:i4>
      </vt:variant>
      <vt:variant>
        <vt:i4>81</vt:i4>
      </vt:variant>
      <vt:variant>
        <vt:i4>0</vt:i4>
      </vt:variant>
      <vt:variant>
        <vt:i4>5</vt:i4>
      </vt:variant>
      <vt:variant>
        <vt:lpwstr>http://www.nevo.co.il/case/21644133</vt:lpwstr>
      </vt:variant>
      <vt:variant>
        <vt:lpwstr/>
      </vt:variant>
      <vt:variant>
        <vt:i4>3997811</vt:i4>
      </vt:variant>
      <vt:variant>
        <vt:i4>78</vt:i4>
      </vt:variant>
      <vt:variant>
        <vt:i4>0</vt:i4>
      </vt:variant>
      <vt:variant>
        <vt:i4>5</vt:i4>
      </vt:variant>
      <vt:variant>
        <vt:lpwstr>http://www.nevo.co.il/case/23827604</vt:lpwstr>
      </vt:variant>
      <vt:variant>
        <vt:lpwstr/>
      </vt:variant>
      <vt:variant>
        <vt:i4>3801206</vt:i4>
      </vt:variant>
      <vt:variant>
        <vt:i4>75</vt:i4>
      </vt:variant>
      <vt:variant>
        <vt:i4>0</vt:i4>
      </vt:variant>
      <vt:variant>
        <vt:i4>5</vt:i4>
      </vt:variant>
      <vt:variant>
        <vt:lpwstr>http://www.nevo.co.il/case/22841413</vt:lpwstr>
      </vt:variant>
      <vt:variant>
        <vt:lpwstr/>
      </vt:variant>
      <vt:variant>
        <vt:i4>3473535</vt:i4>
      </vt:variant>
      <vt:variant>
        <vt:i4>72</vt:i4>
      </vt:variant>
      <vt:variant>
        <vt:i4>0</vt:i4>
      </vt:variant>
      <vt:variant>
        <vt:i4>5</vt:i4>
      </vt:variant>
      <vt:variant>
        <vt:lpwstr>http://www.nevo.co.il/case/5605484</vt:lpwstr>
      </vt:variant>
      <vt:variant>
        <vt:lpwstr/>
      </vt:variant>
      <vt:variant>
        <vt:i4>3539061</vt:i4>
      </vt:variant>
      <vt:variant>
        <vt:i4>69</vt:i4>
      </vt:variant>
      <vt:variant>
        <vt:i4>0</vt:i4>
      </vt:variant>
      <vt:variant>
        <vt:i4>5</vt:i4>
      </vt:variant>
      <vt:variant>
        <vt:lpwstr>http://www.nevo.co.il/case/5988308</vt:lpwstr>
      </vt:variant>
      <vt:variant>
        <vt:lpwstr/>
      </vt:variant>
      <vt:variant>
        <vt:i4>3276916</vt:i4>
      </vt:variant>
      <vt:variant>
        <vt:i4>66</vt:i4>
      </vt:variant>
      <vt:variant>
        <vt:i4>0</vt:i4>
      </vt:variant>
      <vt:variant>
        <vt:i4>5</vt:i4>
      </vt:variant>
      <vt:variant>
        <vt:lpwstr>http://www.nevo.co.il/case/6241434</vt:lpwstr>
      </vt:variant>
      <vt:variant>
        <vt:lpwstr/>
      </vt:variant>
      <vt:variant>
        <vt:i4>3211378</vt:i4>
      </vt:variant>
      <vt:variant>
        <vt:i4>63</vt:i4>
      </vt:variant>
      <vt:variant>
        <vt:i4>0</vt:i4>
      </vt:variant>
      <vt:variant>
        <vt:i4>5</vt:i4>
      </vt:variant>
      <vt:variant>
        <vt:lpwstr>http://www.nevo.co.il/case/21473042</vt:lpwstr>
      </vt:variant>
      <vt:variant>
        <vt:lpwstr/>
      </vt:variant>
      <vt:variant>
        <vt:i4>3473526</vt:i4>
      </vt:variant>
      <vt:variant>
        <vt:i4>60</vt:i4>
      </vt:variant>
      <vt:variant>
        <vt:i4>0</vt:i4>
      </vt:variant>
      <vt:variant>
        <vt:i4>5</vt:i4>
      </vt:variant>
      <vt:variant>
        <vt:lpwstr>http://www.nevo.co.il/case/17023776</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5177418</vt:i4>
      </vt:variant>
      <vt:variant>
        <vt:i4>51</vt:i4>
      </vt:variant>
      <vt:variant>
        <vt:i4>0</vt:i4>
      </vt:variant>
      <vt:variant>
        <vt:i4>5</vt:i4>
      </vt:variant>
      <vt:variant>
        <vt:lpwstr>http://www.nevo.co.il/law/4216/10</vt:lpwstr>
      </vt:variant>
      <vt:variant>
        <vt:lpwstr/>
      </vt:variant>
      <vt:variant>
        <vt:i4>7995492</vt:i4>
      </vt:variant>
      <vt:variant>
        <vt:i4>48</vt:i4>
      </vt:variant>
      <vt:variant>
        <vt:i4>0</vt:i4>
      </vt:variant>
      <vt:variant>
        <vt:i4>5</vt:i4>
      </vt:variant>
      <vt:variant>
        <vt:lpwstr>http://www.nevo.co.il/law/70301</vt:lpwstr>
      </vt:variant>
      <vt:variant>
        <vt:lpwstr/>
      </vt:variant>
      <vt:variant>
        <vt:i4>852041</vt:i4>
      </vt:variant>
      <vt:variant>
        <vt:i4>45</vt:i4>
      </vt:variant>
      <vt:variant>
        <vt:i4>0</vt:i4>
      </vt:variant>
      <vt:variant>
        <vt:i4>5</vt:i4>
      </vt:variant>
      <vt:variant>
        <vt:lpwstr>http://www.nevo.co.il/law/70301/29.a</vt:lpwstr>
      </vt:variant>
      <vt:variant>
        <vt:lpwstr/>
      </vt:variant>
      <vt:variant>
        <vt:i4>2883686</vt:i4>
      </vt:variant>
      <vt:variant>
        <vt:i4>42</vt:i4>
      </vt:variant>
      <vt:variant>
        <vt:i4>0</vt:i4>
      </vt:variant>
      <vt:variant>
        <vt:i4>5</vt:i4>
      </vt:variant>
      <vt:variant>
        <vt:lpwstr>http://www.nevo.co.il/law/4216/13;19.a</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http://www.nevo.co.il/law/4216/7.a.;7.b</vt:lpwstr>
      </vt:variant>
      <vt:variant>
        <vt:lpwstr/>
      </vt:variant>
      <vt:variant>
        <vt:i4>5308497</vt:i4>
      </vt:variant>
      <vt:variant>
        <vt:i4>33</vt:i4>
      </vt:variant>
      <vt:variant>
        <vt:i4>0</vt:i4>
      </vt:variant>
      <vt:variant>
        <vt:i4>5</vt:i4>
      </vt:variant>
      <vt:variant>
        <vt:lpwstr>http://www.nevo.co.il/law/71553/1</vt:lpwstr>
      </vt:variant>
      <vt:variant>
        <vt:lpwstr/>
      </vt:variant>
      <vt:variant>
        <vt:i4>8257634</vt:i4>
      </vt:variant>
      <vt:variant>
        <vt:i4>30</vt:i4>
      </vt:variant>
      <vt:variant>
        <vt:i4>0</vt:i4>
      </vt:variant>
      <vt:variant>
        <vt:i4>5</vt:i4>
      </vt:variant>
      <vt:variant>
        <vt:lpwstr>http://www.nevo.co.il/law/71553</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852041</vt:i4>
      </vt:variant>
      <vt:variant>
        <vt:i4>24</vt:i4>
      </vt:variant>
      <vt:variant>
        <vt:i4>0</vt:i4>
      </vt:variant>
      <vt:variant>
        <vt:i4>5</vt:i4>
      </vt:variant>
      <vt:variant>
        <vt:lpwstr>http://www.nevo.co.il/law/70301/29.a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6357107</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2818148</vt:i4>
      </vt:variant>
      <vt:variant>
        <vt:i4>9</vt:i4>
      </vt:variant>
      <vt:variant>
        <vt:i4>0</vt:i4>
      </vt:variant>
      <vt:variant>
        <vt:i4>5</vt:i4>
      </vt:variant>
      <vt:variant>
        <vt:lpwstr>http://www.nevo.co.il/law/4216/7.b</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7471155</vt:i4>
      </vt:variant>
      <vt:variant>
        <vt:i4>0</vt:i4>
      </vt:variant>
      <vt:variant>
        <vt:i4>0</vt:i4>
      </vt:variant>
      <vt:variant>
        <vt:i4>5</vt:i4>
      </vt:variant>
      <vt:variant>
        <vt:lpwstr>http://www.nevo.co.il/safrut/book/30035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2025-04-23T00:19:00Z</dcterms:created>
  <dcterms:modified xsi:type="dcterms:W3CDTF">2025-04-23T00:19:00Z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21284</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אלירן רייקוב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20210208</vt:lpwstr>
  </property>
  <property fmtid="{D5CDD505-2E9C-101B-9397-08002B2CF9AE}" pid="13" name="TYPE_N_DATE">
    <vt:lpwstr>38020210208</vt:lpwstr>
  </property>
  <property fmtid="{D5CDD505-2E9C-101B-9397-08002B2CF9AE}" pid="14" name="WORDNUMPAGES">
    <vt:lpwstr>9</vt:lpwstr>
  </property>
  <property fmtid="{D5CDD505-2E9C-101B-9397-08002B2CF9AE}" pid="15" name="TYPE_ABS_DATE">
    <vt:lpwstr>380020210208</vt:lpwstr>
  </property>
  <property fmtid="{D5CDD505-2E9C-101B-9397-08002B2CF9AE}" pid="16" name="ISABSTRACT">
    <vt:lpwstr>Y</vt:lpwstr>
  </property>
  <property fmtid="{D5CDD505-2E9C-101B-9397-08002B2CF9AE}" pid="17" name="CASESLISTTMP1">
    <vt:lpwstr>13093721;17023776;21473042;6241434;5988308;5605484;22841413;23827604;21644133;5726579;21477472;7012287;3892678;17011540;17011207;17011278;4569822;5074126;3606459;16989465;5642705;20081335;16927083;10459128;22938500;20490021;11206360;20111708;13055183</vt:lpwstr>
  </property>
  <property fmtid="{D5CDD505-2E9C-101B-9397-08002B2CF9AE}" pid="18" name="CASESLISTTMP2">
    <vt:lpwstr>21561698;25727558</vt:lpwstr>
  </property>
  <property fmtid="{D5CDD505-2E9C-101B-9397-08002B2CF9AE}" pid="19" name="BOOKLISTTMP1">
    <vt:lpwstr>30035</vt:lpwstr>
  </property>
  <property fmtid="{D5CDD505-2E9C-101B-9397-08002B2CF9AE}" pid="20" name="LAWLISTTMP1">
    <vt:lpwstr>4216/007.a;007.b;013;019.a;010</vt:lpwstr>
  </property>
  <property fmtid="{D5CDD505-2E9C-101B-9397-08002B2CF9AE}" pid="21" name="LAWLISTTMP2">
    <vt:lpwstr>70301/029.a;040d</vt:lpwstr>
  </property>
  <property fmtid="{D5CDD505-2E9C-101B-9397-08002B2CF9AE}" pid="22" name="LAWLISTTMP3">
    <vt:lpwstr>71553/001</vt:lpwstr>
  </property>
</Properties>
</file>