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9E56C7" w:rsidRPr="00FF1136" w14:paraId="7F8E500B" w14:textId="77777777" w:rsidTr="004530CB">
        <w:trPr>
          <w:trHeight w:hRule="exact" w:val="418"/>
          <w:jc w:val="center"/>
        </w:trPr>
        <w:tc>
          <w:tcPr>
            <w:tcW w:w="8721" w:type="dxa"/>
            <w:gridSpan w:val="2"/>
          </w:tcPr>
          <w:p w14:paraId="511A7884" w14:textId="77777777" w:rsidR="009E56C7" w:rsidRPr="00FF1136" w:rsidRDefault="009E56C7" w:rsidP="0016705A">
            <w:pPr>
              <w:pStyle w:val="a3"/>
              <w:jc w:val="center"/>
              <w:rPr>
                <w:rFonts w:ascii="Tahoma" w:hAnsi="Tahoma" w:cs="Tahoma"/>
                <w:color w:val="000080"/>
                <w:rtl/>
              </w:rPr>
            </w:pPr>
            <w:bookmarkStart w:id="0" w:name="LastJudge"/>
            <w:r w:rsidRPr="00FF1136">
              <w:rPr>
                <w:rFonts w:ascii="Tahoma" w:hAnsi="Tahoma" w:cs="Tahoma"/>
                <w:b/>
                <w:bCs/>
                <w:color w:val="000080"/>
                <w:rtl/>
              </w:rPr>
              <w:t>בית משפט השלום בנצרת</w:t>
            </w:r>
          </w:p>
        </w:tc>
      </w:tr>
      <w:tr w:rsidR="009E56C7" w:rsidRPr="00FF1136" w14:paraId="6AF7E0A8" w14:textId="77777777" w:rsidTr="004530CB">
        <w:trPr>
          <w:trHeight w:val="337"/>
          <w:jc w:val="center"/>
        </w:trPr>
        <w:tc>
          <w:tcPr>
            <w:tcW w:w="5059" w:type="dxa"/>
          </w:tcPr>
          <w:p w14:paraId="11A1AC03" w14:textId="77777777" w:rsidR="009E56C7" w:rsidRPr="00FF1136" w:rsidRDefault="009E56C7" w:rsidP="0016705A">
            <w:pPr>
              <w:rPr>
                <w:rFonts w:ascii="David" w:hAnsi="David"/>
                <w:b/>
                <w:bCs/>
                <w:sz w:val="26"/>
                <w:szCs w:val="26"/>
                <w:rtl/>
              </w:rPr>
            </w:pPr>
            <w:r w:rsidRPr="00FF1136">
              <w:rPr>
                <w:rFonts w:ascii="David" w:hAnsi="David"/>
                <w:b/>
                <w:bCs/>
                <w:sz w:val="26"/>
                <w:szCs w:val="26"/>
                <w:rtl/>
              </w:rPr>
              <w:t>ת"פ 21322-10-19 מדינת ישראל נ' חוסיין(עציר)</w:t>
            </w:r>
          </w:p>
        </w:tc>
        <w:tc>
          <w:tcPr>
            <w:tcW w:w="3662" w:type="dxa"/>
          </w:tcPr>
          <w:p w14:paraId="0250A5DE" w14:textId="77777777" w:rsidR="009E56C7" w:rsidRPr="00FF1136" w:rsidRDefault="009E56C7" w:rsidP="0016705A">
            <w:pPr>
              <w:pStyle w:val="a3"/>
              <w:jc w:val="right"/>
              <w:rPr>
                <w:rFonts w:cs="FrankRuehl"/>
                <w:sz w:val="28"/>
                <w:szCs w:val="28"/>
                <w:rtl/>
              </w:rPr>
            </w:pPr>
          </w:p>
        </w:tc>
      </w:tr>
    </w:tbl>
    <w:p w14:paraId="427270EA" w14:textId="77777777" w:rsidR="009E56C7" w:rsidRPr="00FF1136" w:rsidRDefault="009E56C7" w:rsidP="009E56C7">
      <w:pPr>
        <w:pStyle w:val="a3"/>
        <w:rPr>
          <w:rtl/>
        </w:rPr>
      </w:pPr>
      <w:r w:rsidRPr="00FF1136">
        <w:rPr>
          <w:rFonts w:hint="cs"/>
          <w:rtl/>
        </w:rPr>
        <w:t xml:space="preserve"> </w:t>
      </w:r>
    </w:p>
    <w:p w14:paraId="3B62905C" w14:textId="77777777" w:rsidR="009E56C7" w:rsidRPr="00FF1136" w:rsidRDefault="009E56C7" w:rsidP="009E56C7">
      <w:pPr>
        <w:rPr>
          <w:rtl/>
        </w:rPr>
      </w:pPr>
    </w:p>
    <w:p w14:paraId="4F48DA9C" w14:textId="77777777" w:rsidR="009E56C7" w:rsidRPr="00FF1136" w:rsidRDefault="009E56C7" w:rsidP="009E56C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E56C7" w:rsidRPr="00FF1136" w14:paraId="01EE1500" w14:textId="77777777" w:rsidTr="009E56C7">
        <w:trPr>
          <w:trHeight w:val="295"/>
          <w:jc w:val="center"/>
        </w:trPr>
        <w:tc>
          <w:tcPr>
            <w:tcW w:w="923" w:type="dxa"/>
            <w:tcBorders>
              <w:top w:val="nil"/>
              <w:left w:val="nil"/>
              <w:bottom w:val="nil"/>
              <w:right w:val="nil"/>
            </w:tcBorders>
            <w:shd w:val="clear" w:color="auto" w:fill="auto"/>
          </w:tcPr>
          <w:p w14:paraId="38F76D90" w14:textId="77777777" w:rsidR="009E56C7" w:rsidRPr="00FF1136" w:rsidRDefault="009E56C7" w:rsidP="009E56C7">
            <w:pPr>
              <w:jc w:val="both"/>
              <w:rPr>
                <w:rFonts w:ascii="Arial" w:hAnsi="Arial" w:cs="FrankRuehl"/>
                <w:b/>
                <w:bCs/>
                <w:sz w:val="26"/>
                <w:szCs w:val="26"/>
              </w:rPr>
            </w:pPr>
            <w:r w:rsidRPr="00FF1136">
              <w:rPr>
                <w:rFonts w:ascii="Arial" w:hAnsi="Arial" w:cs="FrankRuehl" w:hint="cs"/>
                <w:b/>
                <w:bCs/>
                <w:sz w:val="26"/>
                <w:szCs w:val="26"/>
                <w:rtl/>
              </w:rPr>
              <w:t>ב</w:t>
            </w:r>
            <w:r w:rsidRPr="00FF1136">
              <w:rPr>
                <w:rFonts w:ascii="Arial" w:hAnsi="Arial" w:cs="FrankRuehl"/>
                <w:b/>
                <w:bCs/>
                <w:sz w:val="26"/>
                <w:szCs w:val="26"/>
                <w:rtl/>
              </w:rPr>
              <w:t xml:space="preserve">פני </w:t>
            </w:r>
          </w:p>
        </w:tc>
        <w:tc>
          <w:tcPr>
            <w:tcW w:w="7897" w:type="dxa"/>
            <w:gridSpan w:val="2"/>
            <w:tcBorders>
              <w:top w:val="nil"/>
              <w:left w:val="nil"/>
              <w:bottom w:val="nil"/>
              <w:right w:val="nil"/>
            </w:tcBorders>
            <w:shd w:val="clear" w:color="auto" w:fill="auto"/>
          </w:tcPr>
          <w:p w14:paraId="0732ED74" w14:textId="77777777" w:rsidR="009E56C7" w:rsidRPr="00FF1136" w:rsidRDefault="009E56C7" w:rsidP="0016705A">
            <w:pPr>
              <w:rPr>
                <w:rFonts w:ascii="Arial" w:hAnsi="Arial"/>
                <w:b/>
                <w:bCs/>
                <w:sz w:val="26"/>
                <w:szCs w:val="26"/>
                <w:rtl/>
              </w:rPr>
            </w:pPr>
            <w:r w:rsidRPr="00FF1136">
              <w:rPr>
                <w:rFonts w:ascii="Arial" w:hAnsi="Arial" w:hint="cs"/>
                <w:b/>
                <w:bCs/>
                <w:sz w:val="26"/>
                <w:szCs w:val="26"/>
                <w:rtl/>
              </w:rPr>
              <w:t>כבוד ה</w:t>
            </w:r>
            <w:r w:rsidRPr="00FF1136">
              <w:rPr>
                <w:rFonts w:ascii="Arial" w:hAnsi="Arial"/>
                <w:b/>
                <w:bCs/>
                <w:sz w:val="26"/>
                <w:szCs w:val="26"/>
                <w:rtl/>
              </w:rPr>
              <w:t>שופטת</w:t>
            </w:r>
            <w:r w:rsidRPr="00FF1136">
              <w:rPr>
                <w:rFonts w:ascii="Arial" w:hAnsi="Arial" w:hint="cs"/>
                <w:b/>
                <w:bCs/>
                <w:sz w:val="26"/>
                <w:szCs w:val="26"/>
                <w:rtl/>
              </w:rPr>
              <w:t xml:space="preserve">  </w:t>
            </w:r>
            <w:r w:rsidRPr="00FF1136">
              <w:rPr>
                <w:rFonts w:ascii="Arial" w:hAnsi="Arial"/>
                <w:b/>
                <w:bCs/>
                <w:sz w:val="26"/>
                <w:szCs w:val="26"/>
                <w:rtl/>
              </w:rPr>
              <w:t>רות שפילברג</w:t>
            </w:r>
            <w:r w:rsidRPr="00FF1136">
              <w:rPr>
                <w:rFonts w:ascii="Arial" w:hAnsi="Arial" w:hint="cs"/>
                <w:b/>
                <w:bCs/>
                <w:sz w:val="26"/>
                <w:szCs w:val="26"/>
                <w:rtl/>
              </w:rPr>
              <w:t>-</w:t>
            </w:r>
            <w:r w:rsidRPr="00FF1136">
              <w:rPr>
                <w:rFonts w:ascii="Arial" w:hAnsi="Arial"/>
                <w:b/>
                <w:bCs/>
                <w:sz w:val="26"/>
                <w:szCs w:val="26"/>
                <w:rtl/>
              </w:rPr>
              <w:t>כהן</w:t>
            </w:r>
          </w:p>
          <w:p w14:paraId="47CC4133" w14:textId="77777777" w:rsidR="009E56C7" w:rsidRPr="00FF1136" w:rsidRDefault="009E56C7" w:rsidP="009E56C7">
            <w:pPr>
              <w:jc w:val="both"/>
              <w:rPr>
                <w:rFonts w:ascii="Arial" w:hAnsi="Arial" w:cs="FrankRuehl"/>
                <w:b/>
                <w:bCs/>
                <w:sz w:val="26"/>
                <w:szCs w:val="26"/>
              </w:rPr>
            </w:pPr>
          </w:p>
        </w:tc>
      </w:tr>
      <w:tr w:rsidR="009E56C7" w:rsidRPr="00FF1136" w14:paraId="3B866E5F" w14:textId="77777777" w:rsidTr="009E56C7">
        <w:trPr>
          <w:trHeight w:val="355"/>
          <w:jc w:val="center"/>
        </w:trPr>
        <w:tc>
          <w:tcPr>
            <w:tcW w:w="923" w:type="dxa"/>
            <w:tcBorders>
              <w:top w:val="nil"/>
              <w:left w:val="nil"/>
              <w:bottom w:val="nil"/>
              <w:right w:val="nil"/>
            </w:tcBorders>
            <w:shd w:val="clear" w:color="auto" w:fill="auto"/>
          </w:tcPr>
          <w:p w14:paraId="25A861D1" w14:textId="77777777" w:rsidR="009E56C7" w:rsidRPr="00FF1136" w:rsidRDefault="009E56C7" w:rsidP="009E56C7">
            <w:pPr>
              <w:jc w:val="both"/>
              <w:rPr>
                <w:rFonts w:ascii="Arial" w:hAnsi="Arial" w:cs="FrankRuehl"/>
                <w:b/>
                <w:bCs/>
                <w:sz w:val="26"/>
                <w:szCs w:val="26"/>
              </w:rPr>
            </w:pPr>
            <w:bookmarkStart w:id="1" w:name="FirstAppellant"/>
            <w:r w:rsidRPr="00FF1136">
              <w:rPr>
                <w:rFonts w:ascii="Arial" w:hAnsi="Arial" w:cs="FrankRuehl" w:hint="cs"/>
                <w:b/>
                <w:bCs/>
                <w:sz w:val="26"/>
                <w:szCs w:val="26"/>
                <w:rtl/>
              </w:rPr>
              <w:t>בעניין:</w:t>
            </w:r>
          </w:p>
        </w:tc>
        <w:tc>
          <w:tcPr>
            <w:tcW w:w="4126" w:type="dxa"/>
            <w:tcBorders>
              <w:top w:val="nil"/>
              <w:left w:val="nil"/>
              <w:bottom w:val="nil"/>
              <w:right w:val="nil"/>
            </w:tcBorders>
            <w:shd w:val="clear" w:color="auto" w:fill="auto"/>
          </w:tcPr>
          <w:p w14:paraId="47BD46F9" w14:textId="77777777" w:rsidR="009E56C7" w:rsidRPr="00FF1136" w:rsidRDefault="009E56C7" w:rsidP="0016705A">
            <w:pPr>
              <w:rPr>
                <w:b/>
                <w:bCs/>
                <w:sz w:val="26"/>
                <w:szCs w:val="26"/>
              </w:rPr>
            </w:pPr>
            <w:r w:rsidRPr="00FF1136">
              <w:rPr>
                <w:rFonts w:ascii="Arial" w:hAnsi="Arial" w:cs="FrankRuehl"/>
                <w:b/>
                <w:bCs/>
                <w:sz w:val="26"/>
                <w:szCs w:val="26"/>
                <w:rtl/>
              </w:rPr>
              <w:t>מדינת ישראל</w:t>
            </w:r>
          </w:p>
        </w:tc>
        <w:tc>
          <w:tcPr>
            <w:tcW w:w="3771" w:type="dxa"/>
            <w:tcBorders>
              <w:top w:val="nil"/>
              <w:left w:val="nil"/>
              <w:bottom w:val="nil"/>
              <w:right w:val="nil"/>
            </w:tcBorders>
            <w:shd w:val="clear" w:color="auto" w:fill="auto"/>
          </w:tcPr>
          <w:p w14:paraId="4358AA34" w14:textId="77777777" w:rsidR="009E56C7" w:rsidRPr="00FF1136" w:rsidRDefault="009E56C7" w:rsidP="009E56C7">
            <w:pPr>
              <w:jc w:val="both"/>
              <w:rPr>
                <w:rFonts w:ascii="Arial" w:hAnsi="Arial" w:cs="FrankRuehl"/>
                <w:b/>
                <w:bCs/>
                <w:sz w:val="26"/>
                <w:szCs w:val="26"/>
              </w:rPr>
            </w:pPr>
          </w:p>
        </w:tc>
      </w:tr>
      <w:bookmarkEnd w:id="1"/>
      <w:tr w:rsidR="009E56C7" w:rsidRPr="00FF1136" w14:paraId="2D593A01" w14:textId="77777777" w:rsidTr="009E56C7">
        <w:trPr>
          <w:trHeight w:val="355"/>
          <w:jc w:val="center"/>
        </w:trPr>
        <w:tc>
          <w:tcPr>
            <w:tcW w:w="923" w:type="dxa"/>
            <w:tcBorders>
              <w:top w:val="nil"/>
              <w:left w:val="nil"/>
              <w:bottom w:val="nil"/>
              <w:right w:val="nil"/>
            </w:tcBorders>
            <w:shd w:val="clear" w:color="auto" w:fill="auto"/>
          </w:tcPr>
          <w:p w14:paraId="2F45186A" w14:textId="77777777" w:rsidR="009E56C7" w:rsidRPr="00FF1136" w:rsidRDefault="009E56C7" w:rsidP="009E56C7">
            <w:pPr>
              <w:jc w:val="both"/>
              <w:rPr>
                <w:rFonts w:ascii="Arial" w:hAnsi="Arial" w:cs="FrankRuehl"/>
                <w:b/>
                <w:bCs/>
                <w:sz w:val="26"/>
                <w:szCs w:val="26"/>
                <w:rtl/>
              </w:rPr>
            </w:pPr>
          </w:p>
        </w:tc>
        <w:tc>
          <w:tcPr>
            <w:tcW w:w="4126" w:type="dxa"/>
            <w:tcBorders>
              <w:top w:val="nil"/>
              <w:left w:val="nil"/>
              <w:bottom w:val="nil"/>
              <w:right w:val="nil"/>
            </w:tcBorders>
            <w:shd w:val="clear" w:color="auto" w:fill="auto"/>
          </w:tcPr>
          <w:p w14:paraId="08C6758D" w14:textId="77777777" w:rsidR="009E56C7" w:rsidRPr="00FF1136" w:rsidRDefault="009E56C7" w:rsidP="009E56C7">
            <w:pPr>
              <w:jc w:val="both"/>
              <w:rPr>
                <w:b/>
                <w:bCs/>
                <w:sz w:val="26"/>
                <w:szCs w:val="26"/>
                <w:rtl/>
              </w:rPr>
            </w:pPr>
          </w:p>
        </w:tc>
        <w:tc>
          <w:tcPr>
            <w:tcW w:w="3771" w:type="dxa"/>
            <w:tcBorders>
              <w:top w:val="nil"/>
              <w:left w:val="nil"/>
              <w:bottom w:val="nil"/>
              <w:right w:val="nil"/>
            </w:tcBorders>
            <w:shd w:val="clear" w:color="auto" w:fill="auto"/>
          </w:tcPr>
          <w:p w14:paraId="409849EF" w14:textId="77777777" w:rsidR="009E56C7" w:rsidRPr="00FF1136" w:rsidRDefault="009E56C7" w:rsidP="009E56C7">
            <w:pPr>
              <w:jc w:val="right"/>
              <w:rPr>
                <w:rFonts w:ascii="Arial" w:hAnsi="Arial" w:cs="FrankRuehl"/>
                <w:b/>
                <w:bCs/>
                <w:sz w:val="26"/>
                <w:szCs w:val="26"/>
                <w:rtl/>
              </w:rPr>
            </w:pPr>
            <w:r w:rsidRPr="00FF1136">
              <w:rPr>
                <w:rFonts w:ascii="Arial" w:hAnsi="Arial" w:cs="FrankRuehl" w:hint="cs"/>
                <w:b/>
                <w:bCs/>
                <w:sz w:val="26"/>
                <w:szCs w:val="26"/>
                <w:rtl/>
              </w:rPr>
              <w:t>ה</w:t>
            </w:r>
            <w:r w:rsidRPr="00FF1136">
              <w:rPr>
                <w:rFonts w:ascii="Arial" w:hAnsi="Arial" w:cs="FrankRuehl"/>
                <w:b/>
                <w:bCs/>
                <w:sz w:val="26"/>
                <w:szCs w:val="26"/>
                <w:rtl/>
              </w:rPr>
              <w:t>מאשימה</w:t>
            </w:r>
          </w:p>
        </w:tc>
      </w:tr>
      <w:tr w:rsidR="009E56C7" w:rsidRPr="00FF1136" w14:paraId="6E99FE8C" w14:textId="77777777" w:rsidTr="009E56C7">
        <w:trPr>
          <w:trHeight w:val="355"/>
          <w:jc w:val="center"/>
        </w:trPr>
        <w:tc>
          <w:tcPr>
            <w:tcW w:w="923" w:type="dxa"/>
            <w:tcBorders>
              <w:top w:val="nil"/>
              <w:left w:val="nil"/>
              <w:bottom w:val="nil"/>
              <w:right w:val="nil"/>
            </w:tcBorders>
            <w:shd w:val="clear" w:color="auto" w:fill="auto"/>
          </w:tcPr>
          <w:p w14:paraId="53130C95" w14:textId="77777777" w:rsidR="009E56C7" w:rsidRPr="00FF1136" w:rsidRDefault="009E56C7" w:rsidP="009E56C7">
            <w:pPr>
              <w:jc w:val="both"/>
              <w:rPr>
                <w:rFonts w:ascii="Arial" w:hAnsi="Arial" w:cs="FrankRuehl"/>
                <w:b/>
                <w:bCs/>
                <w:sz w:val="26"/>
                <w:szCs w:val="26"/>
                <w:rtl/>
              </w:rPr>
            </w:pPr>
          </w:p>
        </w:tc>
        <w:tc>
          <w:tcPr>
            <w:tcW w:w="7897" w:type="dxa"/>
            <w:gridSpan w:val="2"/>
            <w:tcBorders>
              <w:top w:val="nil"/>
              <w:left w:val="nil"/>
              <w:bottom w:val="nil"/>
              <w:right w:val="nil"/>
            </w:tcBorders>
            <w:shd w:val="clear" w:color="auto" w:fill="auto"/>
          </w:tcPr>
          <w:p w14:paraId="1CD69044" w14:textId="77777777" w:rsidR="009E56C7" w:rsidRPr="00FF1136" w:rsidRDefault="009E56C7" w:rsidP="009E56C7">
            <w:pPr>
              <w:jc w:val="center"/>
              <w:rPr>
                <w:rFonts w:ascii="Arial" w:hAnsi="Arial" w:cs="FrankRuehl"/>
                <w:b/>
                <w:bCs/>
                <w:sz w:val="26"/>
                <w:szCs w:val="26"/>
                <w:rtl/>
              </w:rPr>
            </w:pPr>
          </w:p>
          <w:p w14:paraId="6E6935E6" w14:textId="77777777" w:rsidR="009E56C7" w:rsidRPr="00FF1136" w:rsidRDefault="009E56C7" w:rsidP="009E56C7">
            <w:pPr>
              <w:jc w:val="center"/>
              <w:rPr>
                <w:rFonts w:ascii="Arial" w:hAnsi="Arial" w:cs="FrankRuehl"/>
                <w:b/>
                <w:bCs/>
                <w:sz w:val="26"/>
                <w:szCs w:val="26"/>
                <w:rtl/>
              </w:rPr>
            </w:pPr>
            <w:r w:rsidRPr="00FF1136">
              <w:rPr>
                <w:rFonts w:ascii="Arial" w:hAnsi="Arial" w:cs="FrankRuehl"/>
                <w:b/>
                <w:bCs/>
                <w:sz w:val="26"/>
                <w:szCs w:val="26"/>
                <w:rtl/>
              </w:rPr>
              <w:t>נגד</w:t>
            </w:r>
          </w:p>
          <w:p w14:paraId="5545B768" w14:textId="77777777" w:rsidR="009E56C7" w:rsidRPr="00FF1136" w:rsidRDefault="009E56C7" w:rsidP="009E56C7">
            <w:pPr>
              <w:jc w:val="both"/>
              <w:rPr>
                <w:rFonts w:ascii="Arial" w:hAnsi="Arial" w:cs="FrankRuehl"/>
                <w:b/>
                <w:bCs/>
                <w:sz w:val="26"/>
                <w:szCs w:val="26"/>
              </w:rPr>
            </w:pPr>
          </w:p>
        </w:tc>
      </w:tr>
      <w:tr w:rsidR="009E56C7" w:rsidRPr="00FF1136" w14:paraId="47E29BA9" w14:textId="77777777" w:rsidTr="009E56C7">
        <w:trPr>
          <w:trHeight w:val="355"/>
          <w:jc w:val="center"/>
        </w:trPr>
        <w:tc>
          <w:tcPr>
            <w:tcW w:w="923" w:type="dxa"/>
            <w:tcBorders>
              <w:top w:val="nil"/>
              <w:left w:val="nil"/>
              <w:bottom w:val="nil"/>
              <w:right w:val="nil"/>
            </w:tcBorders>
            <w:shd w:val="clear" w:color="auto" w:fill="auto"/>
          </w:tcPr>
          <w:p w14:paraId="24C74509" w14:textId="77777777" w:rsidR="009E56C7" w:rsidRPr="00FF1136" w:rsidRDefault="009E56C7" w:rsidP="0016705A">
            <w:pPr>
              <w:rPr>
                <w:rFonts w:ascii="Arial" w:hAnsi="Arial" w:cs="FrankRuehl"/>
                <w:b/>
                <w:bCs/>
                <w:sz w:val="26"/>
                <w:szCs w:val="26"/>
                <w:rtl/>
              </w:rPr>
            </w:pPr>
          </w:p>
        </w:tc>
        <w:tc>
          <w:tcPr>
            <w:tcW w:w="4126" w:type="dxa"/>
            <w:tcBorders>
              <w:top w:val="nil"/>
              <w:left w:val="nil"/>
              <w:bottom w:val="nil"/>
              <w:right w:val="nil"/>
            </w:tcBorders>
            <w:shd w:val="clear" w:color="auto" w:fill="auto"/>
          </w:tcPr>
          <w:p w14:paraId="0BB02DA2" w14:textId="77777777" w:rsidR="009E56C7" w:rsidRPr="00FF1136" w:rsidRDefault="009E56C7" w:rsidP="0016705A">
            <w:pPr>
              <w:rPr>
                <w:b/>
                <w:bCs/>
                <w:sz w:val="26"/>
                <w:szCs w:val="26"/>
                <w:rtl/>
              </w:rPr>
            </w:pPr>
            <w:r w:rsidRPr="00FF1136">
              <w:rPr>
                <w:rFonts w:ascii="Arial" w:hAnsi="Arial" w:cs="FrankRuehl"/>
                <w:b/>
                <w:bCs/>
                <w:sz w:val="26"/>
                <w:szCs w:val="26"/>
                <w:rtl/>
              </w:rPr>
              <w:t>רביע חוסיין</w:t>
            </w:r>
          </w:p>
        </w:tc>
        <w:tc>
          <w:tcPr>
            <w:tcW w:w="3771" w:type="dxa"/>
            <w:tcBorders>
              <w:top w:val="nil"/>
              <w:left w:val="nil"/>
              <w:bottom w:val="nil"/>
              <w:right w:val="nil"/>
            </w:tcBorders>
            <w:shd w:val="clear" w:color="auto" w:fill="auto"/>
          </w:tcPr>
          <w:p w14:paraId="00D35EA5" w14:textId="77777777" w:rsidR="009E56C7" w:rsidRPr="00FF1136" w:rsidRDefault="009E56C7" w:rsidP="009E56C7">
            <w:pPr>
              <w:jc w:val="right"/>
              <w:rPr>
                <w:rFonts w:ascii="Arial" w:hAnsi="Arial" w:cs="FrankRuehl"/>
                <w:b/>
                <w:bCs/>
                <w:sz w:val="26"/>
                <w:szCs w:val="26"/>
              </w:rPr>
            </w:pPr>
          </w:p>
        </w:tc>
      </w:tr>
      <w:tr w:rsidR="009E56C7" w:rsidRPr="00FF1136" w14:paraId="65B089EA" w14:textId="77777777" w:rsidTr="009E56C7">
        <w:trPr>
          <w:trHeight w:val="355"/>
          <w:jc w:val="center"/>
        </w:trPr>
        <w:tc>
          <w:tcPr>
            <w:tcW w:w="923" w:type="dxa"/>
            <w:tcBorders>
              <w:top w:val="nil"/>
              <w:left w:val="nil"/>
              <w:bottom w:val="nil"/>
              <w:right w:val="nil"/>
            </w:tcBorders>
            <w:shd w:val="clear" w:color="auto" w:fill="auto"/>
          </w:tcPr>
          <w:p w14:paraId="5B7A7351" w14:textId="77777777" w:rsidR="009E56C7" w:rsidRPr="00FF1136" w:rsidRDefault="009E56C7" w:rsidP="009E56C7">
            <w:pPr>
              <w:jc w:val="both"/>
              <w:rPr>
                <w:rFonts w:ascii="Arial" w:hAnsi="Arial" w:cs="FrankRuehl"/>
                <w:b/>
                <w:bCs/>
                <w:sz w:val="26"/>
                <w:szCs w:val="26"/>
                <w:rtl/>
              </w:rPr>
            </w:pPr>
          </w:p>
        </w:tc>
        <w:tc>
          <w:tcPr>
            <w:tcW w:w="4126" w:type="dxa"/>
            <w:tcBorders>
              <w:top w:val="nil"/>
              <w:left w:val="nil"/>
              <w:bottom w:val="nil"/>
              <w:right w:val="nil"/>
            </w:tcBorders>
            <w:shd w:val="clear" w:color="auto" w:fill="auto"/>
          </w:tcPr>
          <w:p w14:paraId="03A6D654" w14:textId="77777777" w:rsidR="009E56C7" w:rsidRPr="00FF1136" w:rsidRDefault="009E56C7" w:rsidP="009E56C7">
            <w:pPr>
              <w:jc w:val="both"/>
              <w:rPr>
                <w:b/>
                <w:bCs/>
                <w:sz w:val="26"/>
                <w:szCs w:val="26"/>
                <w:rtl/>
              </w:rPr>
            </w:pPr>
          </w:p>
        </w:tc>
        <w:tc>
          <w:tcPr>
            <w:tcW w:w="3771" w:type="dxa"/>
            <w:tcBorders>
              <w:top w:val="nil"/>
              <w:left w:val="nil"/>
              <w:bottom w:val="nil"/>
              <w:right w:val="nil"/>
            </w:tcBorders>
            <w:shd w:val="clear" w:color="auto" w:fill="auto"/>
          </w:tcPr>
          <w:p w14:paraId="3278F735" w14:textId="77777777" w:rsidR="009E56C7" w:rsidRPr="00FF1136" w:rsidRDefault="009E56C7" w:rsidP="009E56C7">
            <w:pPr>
              <w:jc w:val="right"/>
              <w:rPr>
                <w:rFonts w:ascii="Arial" w:hAnsi="Arial" w:cs="FrankRuehl"/>
                <w:b/>
                <w:bCs/>
                <w:sz w:val="26"/>
                <w:szCs w:val="26"/>
              </w:rPr>
            </w:pPr>
            <w:r w:rsidRPr="00FF1136">
              <w:rPr>
                <w:rFonts w:ascii="Arial" w:hAnsi="Arial" w:cs="FrankRuehl" w:hint="cs"/>
                <w:b/>
                <w:bCs/>
                <w:sz w:val="26"/>
                <w:szCs w:val="26"/>
                <w:rtl/>
              </w:rPr>
              <w:t>ה</w:t>
            </w:r>
            <w:r w:rsidRPr="00FF1136">
              <w:rPr>
                <w:rFonts w:ascii="Arial" w:hAnsi="Arial" w:cs="FrankRuehl"/>
                <w:b/>
                <w:bCs/>
                <w:sz w:val="26"/>
                <w:szCs w:val="26"/>
                <w:rtl/>
              </w:rPr>
              <w:t>נאש</w:t>
            </w:r>
            <w:r w:rsidRPr="00FF1136">
              <w:rPr>
                <w:rFonts w:ascii="Arial" w:hAnsi="Arial" w:cs="FrankRuehl" w:hint="cs"/>
                <w:b/>
                <w:bCs/>
                <w:sz w:val="26"/>
                <w:szCs w:val="26"/>
                <w:rtl/>
              </w:rPr>
              <w:t>ם</w:t>
            </w:r>
          </w:p>
        </w:tc>
      </w:tr>
    </w:tbl>
    <w:p w14:paraId="40A7B1CC" w14:textId="77777777" w:rsidR="004530CB" w:rsidRDefault="004530CB" w:rsidP="00FF1136">
      <w:pPr>
        <w:rPr>
          <w:rtl/>
        </w:rPr>
      </w:pPr>
    </w:p>
    <w:p w14:paraId="7C5CA623" w14:textId="77777777" w:rsidR="004530CB" w:rsidRPr="004530CB" w:rsidRDefault="004530CB" w:rsidP="004530CB">
      <w:pPr>
        <w:spacing w:after="120" w:line="240" w:lineRule="exact"/>
        <w:ind w:left="283" w:hanging="283"/>
        <w:jc w:val="both"/>
        <w:rPr>
          <w:rFonts w:ascii="FrankRuehl" w:hAnsi="FrankRuehl" w:cs="FrankRuehl"/>
          <w:rtl/>
        </w:rPr>
      </w:pPr>
    </w:p>
    <w:p w14:paraId="095E946A" w14:textId="77777777" w:rsidR="007854E5" w:rsidRDefault="007854E5" w:rsidP="007854E5">
      <w:pPr>
        <w:rPr>
          <w:rtl/>
        </w:rPr>
      </w:pPr>
      <w:bookmarkStart w:id="2" w:name="LawTable"/>
      <w:bookmarkEnd w:id="2"/>
    </w:p>
    <w:p w14:paraId="0C705830" w14:textId="77777777" w:rsidR="007854E5" w:rsidRPr="007854E5" w:rsidRDefault="007854E5" w:rsidP="007854E5">
      <w:pPr>
        <w:spacing w:before="120" w:after="120" w:line="240" w:lineRule="exact"/>
        <w:ind w:left="283" w:hanging="283"/>
        <w:jc w:val="both"/>
        <w:rPr>
          <w:rFonts w:ascii="FrankRuehl" w:hAnsi="FrankRuehl" w:cs="FrankRuehl"/>
          <w:rtl/>
        </w:rPr>
      </w:pPr>
    </w:p>
    <w:p w14:paraId="4CF3ED52" w14:textId="77777777" w:rsidR="007854E5" w:rsidRPr="007854E5" w:rsidRDefault="007854E5" w:rsidP="007854E5">
      <w:pPr>
        <w:spacing w:before="120" w:after="120" w:line="240" w:lineRule="exact"/>
        <w:ind w:left="283" w:hanging="283"/>
        <w:jc w:val="both"/>
        <w:rPr>
          <w:rFonts w:ascii="FrankRuehl" w:hAnsi="FrankRuehl" w:cs="FrankRuehl"/>
          <w:rtl/>
        </w:rPr>
      </w:pPr>
    </w:p>
    <w:p w14:paraId="44E4525B" w14:textId="77777777" w:rsidR="007854E5" w:rsidRPr="007854E5" w:rsidRDefault="007854E5" w:rsidP="007854E5">
      <w:pPr>
        <w:spacing w:before="120" w:after="120" w:line="240" w:lineRule="exact"/>
        <w:ind w:left="283" w:hanging="283"/>
        <w:jc w:val="both"/>
        <w:rPr>
          <w:rFonts w:ascii="FrankRuehl" w:hAnsi="FrankRuehl" w:cs="FrankRuehl"/>
          <w:rtl/>
        </w:rPr>
      </w:pPr>
      <w:r w:rsidRPr="007854E5">
        <w:rPr>
          <w:rFonts w:ascii="FrankRuehl" w:hAnsi="FrankRuehl" w:cs="FrankRuehl"/>
          <w:rtl/>
        </w:rPr>
        <w:t xml:space="preserve">חקיקה שאוזכרה: </w:t>
      </w:r>
    </w:p>
    <w:p w14:paraId="063858A9" w14:textId="77777777" w:rsidR="007854E5" w:rsidRPr="007854E5" w:rsidRDefault="007854E5" w:rsidP="007854E5">
      <w:pPr>
        <w:spacing w:before="120" w:after="120" w:line="240" w:lineRule="exact"/>
        <w:ind w:left="283" w:hanging="283"/>
        <w:jc w:val="both"/>
        <w:rPr>
          <w:rFonts w:ascii="FrankRuehl" w:hAnsi="FrankRuehl" w:cs="FrankRuehl"/>
          <w:rtl/>
        </w:rPr>
      </w:pPr>
      <w:hyperlink r:id="rId7" w:history="1">
        <w:r w:rsidRPr="007854E5">
          <w:rPr>
            <w:rFonts w:ascii="FrankRuehl" w:hAnsi="FrankRuehl" w:cs="FrankRuehl"/>
            <w:color w:val="0000FF"/>
            <w:rtl/>
          </w:rPr>
          <w:t>פקודת הסמים המסוכנים [נוסח חדש], תשל"ג-1973</w:t>
        </w:r>
      </w:hyperlink>
      <w:r w:rsidRPr="007854E5">
        <w:rPr>
          <w:rFonts w:ascii="FrankRuehl" w:hAnsi="FrankRuehl" w:cs="FrankRuehl"/>
          <w:rtl/>
        </w:rPr>
        <w:t xml:space="preserve">: סע'  </w:t>
      </w:r>
      <w:hyperlink r:id="rId8" w:history="1">
        <w:r w:rsidRPr="007854E5">
          <w:rPr>
            <w:rFonts w:ascii="FrankRuehl" w:hAnsi="FrankRuehl" w:cs="FrankRuehl"/>
            <w:color w:val="0000FF"/>
            <w:rtl/>
          </w:rPr>
          <w:t>7(א)(ג)</w:t>
        </w:r>
      </w:hyperlink>
      <w:r w:rsidRPr="007854E5">
        <w:rPr>
          <w:rFonts w:ascii="FrankRuehl" w:hAnsi="FrankRuehl" w:cs="FrankRuehl"/>
          <w:rtl/>
        </w:rPr>
        <w:t xml:space="preserve">, </w:t>
      </w:r>
      <w:hyperlink r:id="rId9" w:history="1">
        <w:r w:rsidRPr="007854E5">
          <w:rPr>
            <w:rFonts w:ascii="FrankRuehl" w:hAnsi="FrankRuehl" w:cs="FrankRuehl"/>
            <w:color w:val="0000FF"/>
            <w:rtl/>
          </w:rPr>
          <w:t>13</w:t>
        </w:r>
      </w:hyperlink>
      <w:r w:rsidRPr="007854E5">
        <w:rPr>
          <w:rFonts w:ascii="FrankRuehl" w:hAnsi="FrankRuehl" w:cs="FrankRuehl"/>
          <w:rtl/>
        </w:rPr>
        <w:t xml:space="preserve">, </w:t>
      </w:r>
      <w:hyperlink r:id="rId10" w:history="1">
        <w:r w:rsidRPr="007854E5">
          <w:rPr>
            <w:rFonts w:ascii="FrankRuehl" w:hAnsi="FrankRuehl" w:cs="FrankRuehl"/>
            <w:color w:val="0000FF"/>
            <w:rtl/>
          </w:rPr>
          <w:t>19</w:t>
        </w:r>
      </w:hyperlink>
    </w:p>
    <w:p w14:paraId="3AADF894" w14:textId="77777777" w:rsidR="007854E5" w:rsidRPr="007854E5" w:rsidRDefault="007854E5" w:rsidP="007854E5">
      <w:pPr>
        <w:spacing w:before="120" w:after="120" w:line="240" w:lineRule="exact"/>
        <w:ind w:left="283" w:hanging="283"/>
        <w:jc w:val="both"/>
        <w:rPr>
          <w:rFonts w:ascii="FrankRuehl" w:hAnsi="FrankRuehl" w:cs="FrankRuehl"/>
          <w:rtl/>
        </w:rPr>
      </w:pPr>
      <w:hyperlink r:id="rId11" w:history="1">
        <w:r w:rsidRPr="007854E5">
          <w:rPr>
            <w:rFonts w:ascii="FrankRuehl" w:hAnsi="FrankRuehl" w:cs="FrankRuehl"/>
            <w:color w:val="0000FF"/>
            <w:rtl/>
          </w:rPr>
          <w:t>חוק העונשין, תשל"ז-1977</w:t>
        </w:r>
      </w:hyperlink>
      <w:r w:rsidRPr="007854E5">
        <w:rPr>
          <w:rFonts w:ascii="FrankRuehl" w:hAnsi="FrankRuehl" w:cs="FrankRuehl"/>
          <w:rtl/>
        </w:rPr>
        <w:t xml:space="preserve">: סע'  </w:t>
      </w:r>
      <w:hyperlink r:id="rId12" w:history="1">
        <w:r w:rsidRPr="007854E5">
          <w:rPr>
            <w:rFonts w:ascii="FrankRuehl" w:hAnsi="FrankRuehl" w:cs="FrankRuehl"/>
            <w:color w:val="0000FF"/>
            <w:rtl/>
          </w:rPr>
          <w:t>29</w:t>
        </w:r>
      </w:hyperlink>
    </w:p>
    <w:p w14:paraId="3F260D8C" w14:textId="77777777" w:rsidR="007854E5" w:rsidRPr="007854E5" w:rsidRDefault="007854E5" w:rsidP="007854E5">
      <w:pPr>
        <w:spacing w:before="120" w:after="120" w:line="240" w:lineRule="exact"/>
        <w:ind w:left="283" w:hanging="283"/>
        <w:jc w:val="both"/>
        <w:rPr>
          <w:rFonts w:ascii="FrankRuehl" w:hAnsi="FrankRuehl" w:cs="FrankRuehl"/>
          <w:rtl/>
        </w:rPr>
      </w:pPr>
      <w:hyperlink r:id="rId13" w:history="1">
        <w:r w:rsidRPr="007854E5">
          <w:rPr>
            <w:rFonts w:ascii="FrankRuehl" w:hAnsi="FrankRuehl" w:cs="FrankRuehl"/>
            <w:color w:val="0000FF"/>
            <w:rtl/>
          </w:rPr>
          <w:t>פקודת התעבורה [נוסח חדש]</w:t>
        </w:r>
      </w:hyperlink>
      <w:r w:rsidRPr="007854E5">
        <w:rPr>
          <w:rFonts w:ascii="FrankRuehl" w:hAnsi="FrankRuehl" w:cs="FrankRuehl"/>
          <w:rtl/>
        </w:rPr>
        <w:t xml:space="preserve">: סע'  </w:t>
      </w:r>
      <w:hyperlink r:id="rId14" w:history="1">
        <w:r w:rsidRPr="007854E5">
          <w:rPr>
            <w:rFonts w:ascii="FrankRuehl" w:hAnsi="FrankRuehl" w:cs="FrankRuehl"/>
            <w:color w:val="0000FF"/>
            <w:rtl/>
          </w:rPr>
          <w:t>10א</w:t>
        </w:r>
      </w:hyperlink>
    </w:p>
    <w:p w14:paraId="31E28E26" w14:textId="77777777" w:rsidR="007854E5" w:rsidRPr="007854E5" w:rsidRDefault="007854E5" w:rsidP="007854E5">
      <w:pPr>
        <w:rPr>
          <w:rtl/>
        </w:rPr>
      </w:pPr>
      <w:bookmarkStart w:id="3" w:name="LawTable_End"/>
      <w:bookmarkEnd w:id="3"/>
    </w:p>
    <w:p w14:paraId="5B741CEC" w14:textId="77777777" w:rsidR="009E56C7" w:rsidRPr="00FF1136" w:rsidRDefault="009E56C7" w:rsidP="009E56C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E56C7" w14:paraId="00F20F0D" w14:textId="77777777" w:rsidTr="009E56C7">
        <w:trPr>
          <w:trHeight w:val="355"/>
          <w:jc w:val="center"/>
        </w:trPr>
        <w:tc>
          <w:tcPr>
            <w:tcW w:w="8820" w:type="dxa"/>
            <w:tcBorders>
              <w:top w:val="nil"/>
              <w:left w:val="nil"/>
              <w:bottom w:val="nil"/>
              <w:right w:val="nil"/>
            </w:tcBorders>
            <w:shd w:val="clear" w:color="auto" w:fill="auto"/>
          </w:tcPr>
          <w:p w14:paraId="108670C4" w14:textId="77777777" w:rsidR="00FF1136" w:rsidRPr="00FF1136" w:rsidRDefault="00FF1136" w:rsidP="00FF1136">
            <w:pPr>
              <w:jc w:val="center"/>
              <w:rPr>
                <w:rFonts w:ascii="Arial" w:hAnsi="Arial" w:cs="FrankRuehl"/>
                <w:b/>
                <w:bCs/>
                <w:sz w:val="32"/>
                <w:szCs w:val="32"/>
                <w:u w:val="single"/>
                <w:rtl/>
              </w:rPr>
            </w:pPr>
            <w:bookmarkStart w:id="4" w:name="PsakDin" w:colFirst="0" w:colLast="0"/>
            <w:bookmarkEnd w:id="0"/>
            <w:r w:rsidRPr="00FF1136">
              <w:rPr>
                <w:rFonts w:ascii="Arial" w:hAnsi="Arial" w:cs="FrankRuehl"/>
                <w:b/>
                <w:bCs/>
                <w:sz w:val="32"/>
                <w:szCs w:val="32"/>
                <w:u w:val="single"/>
                <w:rtl/>
              </w:rPr>
              <w:t>גזר-דין</w:t>
            </w:r>
          </w:p>
          <w:p w14:paraId="10A0B951" w14:textId="77777777" w:rsidR="009E56C7" w:rsidRPr="00FF1136" w:rsidRDefault="009E56C7" w:rsidP="00FF1136">
            <w:pPr>
              <w:jc w:val="center"/>
              <w:rPr>
                <w:rFonts w:ascii="Arial" w:hAnsi="Arial" w:cs="FrankRuehl"/>
                <w:bCs/>
                <w:sz w:val="32"/>
                <w:szCs w:val="32"/>
                <w:u w:val="single"/>
                <w:rtl/>
              </w:rPr>
            </w:pPr>
          </w:p>
        </w:tc>
      </w:tr>
      <w:bookmarkEnd w:id="4"/>
    </w:tbl>
    <w:p w14:paraId="61382928" w14:textId="77777777" w:rsidR="009E56C7" w:rsidRPr="00B05847" w:rsidRDefault="009E56C7" w:rsidP="009E56C7">
      <w:pPr>
        <w:spacing w:line="360" w:lineRule="auto"/>
        <w:rPr>
          <w:rtl/>
        </w:rPr>
      </w:pPr>
    </w:p>
    <w:p w14:paraId="428FCFA7" w14:textId="77777777" w:rsidR="009E56C7" w:rsidRDefault="009E56C7" w:rsidP="009E56C7">
      <w:pPr>
        <w:spacing w:line="360" w:lineRule="auto"/>
        <w:jc w:val="both"/>
        <w:rPr>
          <w:b/>
          <w:bCs/>
          <w:u w:val="single"/>
        </w:rPr>
      </w:pPr>
      <w:r>
        <w:rPr>
          <w:rFonts w:hint="cs"/>
          <w:b/>
          <w:bCs/>
          <w:u w:val="single"/>
          <w:rtl/>
        </w:rPr>
        <w:t>כתב אישום ורקע</w:t>
      </w:r>
    </w:p>
    <w:p w14:paraId="221E2318" w14:textId="77777777" w:rsidR="009E56C7" w:rsidRDefault="009E56C7" w:rsidP="009E56C7">
      <w:pPr>
        <w:spacing w:line="360" w:lineRule="auto"/>
        <w:jc w:val="both"/>
      </w:pPr>
    </w:p>
    <w:p w14:paraId="793518FF" w14:textId="77777777" w:rsidR="009E56C7" w:rsidRDefault="009E56C7" w:rsidP="009E56C7">
      <w:pPr>
        <w:spacing w:line="360" w:lineRule="auto"/>
        <w:ind w:left="720" w:hanging="720"/>
        <w:jc w:val="both"/>
      </w:pPr>
      <w:r>
        <w:rPr>
          <w:rFonts w:hint="cs"/>
          <w:rtl/>
        </w:rPr>
        <w:t>1.</w:t>
      </w:r>
      <w:r>
        <w:rPr>
          <w:rFonts w:hint="cs"/>
          <w:rtl/>
        </w:rPr>
        <w:tab/>
      </w:r>
      <w:bookmarkStart w:id="5" w:name="ABSTRACT_START"/>
      <w:bookmarkEnd w:id="5"/>
      <w:r>
        <w:rPr>
          <w:rFonts w:hint="cs"/>
          <w:rtl/>
        </w:rPr>
        <w:t xml:space="preserve">הנאשם הודה והורשע בכתב אישום מתוקן מיום 4.3.20, המייחס לו </w:t>
      </w:r>
      <w:r>
        <w:rPr>
          <w:rFonts w:hint="cs"/>
          <w:b/>
          <w:bCs/>
          <w:rtl/>
        </w:rPr>
        <w:t>שלוש עבירות של סחר בסם מסוכן בצוותא</w:t>
      </w:r>
      <w:r>
        <w:rPr>
          <w:rFonts w:hint="cs"/>
          <w:rtl/>
        </w:rPr>
        <w:t xml:space="preserve">, לפי סעיפים </w:t>
      </w:r>
      <w:hyperlink r:id="rId15" w:history="1">
        <w:r w:rsidR="004530CB" w:rsidRPr="004530CB">
          <w:rPr>
            <w:rStyle w:val="Hyperlink"/>
            <w:rtl/>
          </w:rPr>
          <w:t>13 ו-19</w:t>
        </w:r>
      </w:hyperlink>
      <w:r>
        <w:rPr>
          <w:rFonts w:hint="cs"/>
          <w:rtl/>
        </w:rPr>
        <w:t xml:space="preserve"> ל</w:t>
      </w:r>
      <w:hyperlink r:id="rId16" w:history="1">
        <w:r w:rsidR="00FF1136" w:rsidRPr="00FF1136">
          <w:rPr>
            <w:color w:val="0000FF"/>
            <w:u w:val="single"/>
            <w:rtl/>
          </w:rPr>
          <w:t>פקודת הסמים המסוכנים</w:t>
        </w:r>
      </w:hyperlink>
      <w:r>
        <w:rPr>
          <w:rFonts w:hint="cs"/>
          <w:rtl/>
        </w:rPr>
        <w:t xml:space="preserve"> (נוסח חדש), תשל"ג-1973 בצירוף </w:t>
      </w:r>
      <w:hyperlink r:id="rId17" w:history="1">
        <w:r w:rsidR="004530CB" w:rsidRPr="004530CB">
          <w:rPr>
            <w:rStyle w:val="Hyperlink"/>
            <w:rFonts w:hint="eastAsia"/>
            <w:rtl/>
          </w:rPr>
          <w:t>סעיף</w:t>
        </w:r>
        <w:r w:rsidR="004530CB" w:rsidRPr="004530CB">
          <w:rPr>
            <w:rStyle w:val="Hyperlink"/>
            <w:rtl/>
          </w:rPr>
          <w:t xml:space="preserve"> 29</w:t>
        </w:r>
      </w:hyperlink>
      <w:r>
        <w:rPr>
          <w:rFonts w:hint="cs"/>
          <w:rtl/>
        </w:rPr>
        <w:t xml:space="preserve"> ל</w:t>
      </w:r>
      <w:hyperlink r:id="rId18" w:history="1">
        <w:r w:rsidR="00FF1136" w:rsidRPr="00FF1136">
          <w:rPr>
            <w:color w:val="0000FF"/>
            <w:u w:val="single"/>
            <w:rtl/>
          </w:rPr>
          <w:t>חוק העונשין</w:t>
        </w:r>
      </w:hyperlink>
      <w:r>
        <w:rPr>
          <w:rFonts w:hint="cs"/>
          <w:rtl/>
        </w:rPr>
        <w:t xml:space="preserve">, תשל"ז- 1977, </w:t>
      </w:r>
      <w:r>
        <w:rPr>
          <w:rFonts w:hint="cs"/>
          <w:b/>
          <w:bCs/>
          <w:rtl/>
        </w:rPr>
        <w:t>עסקה אחרת בסם מסוכן</w:t>
      </w:r>
      <w:r>
        <w:rPr>
          <w:rFonts w:hint="cs"/>
          <w:rtl/>
        </w:rPr>
        <w:t xml:space="preserve">, לפי </w:t>
      </w:r>
      <w:hyperlink r:id="rId19" w:history="1">
        <w:r w:rsidR="004530CB" w:rsidRPr="004530CB">
          <w:rPr>
            <w:rStyle w:val="Hyperlink"/>
            <w:rFonts w:hint="eastAsia"/>
            <w:rtl/>
          </w:rPr>
          <w:t>סעיף</w:t>
        </w:r>
        <w:r w:rsidR="004530CB" w:rsidRPr="004530CB">
          <w:rPr>
            <w:rStyle w:val="Hyperlink"/>
            <w:rtl/>
          </w:rPr>
          <w:t xml:space="preserve"> 13</w:t>
        </w:r>
      </w:hyperlink>
      <w:r>
        <w:rPr>
          <w:rFonts w:hint="cs"/>
          <w:rtl/>
        </w:rPr>
        <w:t xml:space="preserve"> לפקודה, </w:t>
      </w:r>
      <w:r>
        <w:rPr>
          <w:rFonts w:hint="cs"/>
          <w:b/>
          <w:bCs/>
          <w:rtl/>
        </w:rPr>
        <w:t>החזקת סמים שלא לצריכה עצמית</w:t>
      </w:r>
      <w:r>
        <w:rPr>
          <w:rFonts w:hint="cs"/>
          <w:rtl/>
        </w:rPr>
        <w:t xml:space="preserve">, לפי </w:t>
      </w:r>
      <w:hyperlink r:id="rId20" w:history="1">
        <w:r w:rsidR="004530CB" w:rsidRPr="004530CB">
          <w:rPr>
            <w:rStyle w:val="Hyperlink"/>
            <w:rFonts w:hint="eastAsia"/>
            <w:rtl/>
          </w:rPr>
          <w:t>סעיף</w:t>
        </w:r>
        <w:r w:rsidR="004530CB" w:rsidRPr="004530CB">
          <w:rPr>
            <w:rStyle w:val="Hyperlink"/>
            <w:rtl/>
          </w:rPr>
          <w:t xml:space="preserve"> 7(א)(ג)</w:t>
        </w:r>
      </w:hyperlink>
      <w:r>
        <w:rPr>
          <w:rFonts w:hint="cs"/>
          <w:rtl/>
        </w:rPr>
        <w:t xml:space="preserve"> רישא לפקודה </w:t>
      </w:r>
      <w:r>
        <w:rPr>
          <w:rFonts w:hint="cs"/>
          <w:b/>
          <w:bCs/>
          <w:rtl/>
        </w:rPr>
        <w:t>ונהיגה ללא רישיון נהיגה</w:t>
      </w:r>
      <w:r>
        <w:rPr>
          <w:rFonts w:hint="cs"/>
          <w:rtl/>
        </w:rPr>
        <w:t xml:space="preserve">, לפי </w:t>
      </w:r>
      <w:hyperlink r:id="rId21" w:history="1">
        <w:r w:rsidR="004530CB" w:rsidRPr="004530CB">
          <w:rPr>
            <w:rStyle w:val="Hyperlink"/>
            <w:rFonts w:hint="eastAsia"/>
            <w:rtl/>
          </w:rPr>
          <w:t>סעיף</w:t>
        </w:r>
        <w:r w:rsidR="004530CB" w:rsidRPr="004530CB">
          <w:rPr>
            <w:rStyle w:val="Hyperlink"/>
            <w:rtl/>
          </w:rPr>
          <w:t xml:space="preserve"> 10א</w:t>
        </w:r>
      </w:hyperlink>
      <w:r>
        <w:rPr>
          <w:rFonts w:hint="cs"/>
          <w:rtl/>
        </w:rPr>
        <w:t xml:space="preserve"> ל</w:t>
      </w:r>
      <w:hyperlink r:id="rId22" w:history="1">
        <w:r w:rsidR="00FF1136" w:rsidRPr="00FF1136">
          <w:rPr>
            <w:color w:val="0000FF"/>
            <w:u w:val="single"/>
            <w:rtl/>
          </w:rPr>
          <w:t>פקודת התעבורה</w:t>
        </w:r>
      </w:hyperlink>
      <w:r>
        <w:rPr>
          <w:rFonts w:hint="cs"/>
          <w:rtl/>
        </w:rPr>
        <w:t xml:space="preserve"> [נוסח חדש], התשכ"א- 1961.</w:t>
      </w:r>
    </w:p>
    <w:p w14:paraId="050CE135" w14:textId="77777777" w:rsidR="009E56C7" w:rsidRDefault="009E56C7" w:rsidP="009E56C7">
      <w:pPr>
        <w:spacing w:line="360" w:lineRule="auto"/>
        <w:ind w:left="720"/>
        <w:jc w:val="both"/>
      </w:pPr>
      <w:bookmarkStart w:id="6" w:name="ABSTRACT_END"/>
      <w:bookmarkEnd w:id="6"/>
      <w:r>
        <w:rPr>
          <w:rFonts w:hint="cs"/>
          <w:b/>
          <w:bCs/>
          <w:rtl/>
        </w:rPr>
        <w:t>בהתאם לכתב האישום המתוק</w:t>
      </w:r>
      <w:r>
        <w:rPr>
          <w:rFonts w:hint="cs"/>
          <w:rtl/>
        </w:rPr>
        <w:t>ן, הנאשם ומר עבד אלרחמאן סלימאן (להלן: "</w:t>
      </w:r>
      <w:r>
        <w:rPr>
          <w:rFonts w:hint="cs"/>
          <w:b/>
          <w:bCs/>
          <w:rtl/>
        </w:rPr>
        <w:t>עבד</w:t>
      </w:r>
      <w:r>
        <w:rPr>
          <w:rFonts w:hint="cs"/>
          <w:rtl/>
        </w:rPr>
        <w:t xml:space="preserve">"), הנם חברים. במועדים הרלוונטיים לכתב האישום, החזיק הנאשם ברכב מסוג יונדאי כסוף, אך לא החזיק ברישיון נהיגה כדין, שעה שרישיונו עמד בתוקף עד ליום 15.7.18 ולא חודש. </w:t>
      </w:r>
    </w:p>
    <w:p w14:paraId="5A285763" w14:textId="77777777" w:rsidR="009E56C7" w:rsidRDefault="009E56C7" w:rsidP="009E56C7">
      <w:pPr>
        <w:spacing w:line="360" w:lineRule="auto"/>
        <w:ind w:left="720"/>
        <w:jc w:val="both"/>
        <w:rPr>
          <w:rtl/>
        </w:rPr>
      </w:pPr>
      <w:r>
        <w:rPr>
          <w:rFonts w:hint="cs"/>
          <w:rtl/>
        </w:rPr>
        <w:lastRenderedPageBreak/>
        <w:t xml:space="preserve">במועדים הרלוונטיים סחר הנאשם בסם מסוכן בצוותא עם עבד, באופן שעבד סיפק לנאשם 35 אצבעות חשיש ו-20 כדורי אקסטזי, חלקם מכר הנאשם לקונים בעבור 100 ₪ לאצבע ו-50 ₪ לכדור אקסטזי, כאשר הנאשם היה בסוף כל יום מקבל עבור מכירת הסמים 300 ₪ ואילו יתרת הסכום הייתה מועברת לעבד. מכירת הסמים הייתה מתבצעת באופן שבו הקונים היו מצלצלים לטלפון הנייד המבצעי שהוחזק באותה העת על-ידי הנאשם, ואשר נרכש וסופק לו על-ידי עבד, ומתאמים את ביצוע עסקת הסמים תוך שימוש במילות קוד שונות, ובהמשך נהגו להיפגש בטורעאן, מקום מגורי הנאשם, או בצומת הכניסה לבסיס שמשון, שם נהג הנאשם לספק לקונים את הסם ולקבל מהם את התמורה. </w:t>
      </w:r>
    </w:p>
    <w:p w14:paraId="58AD6674" w14:textId="77777777" w:rsidR="009E56C7" w:rsidRDefault="009E56C7" w:rsidP="009E56C7">
      <w:pPr>
        <w:spacing w:line="360" w:lineRule="auto"/>
        <w:ind w:left="720"/>
        <w:jc w:val="both"/>
        <w:rPr>
          <w:rtl/>
        </w:rPr>
      </w:pPr>
      <w:r>
        <w:rPr>
          <w:rFonts w:hint="cs"/>
          <w:rtl/>
        </w:rPr>
        <w:t xml:space="preserve">בתאריך 28.9.19, סמוך לשעה 13:00, עבד יצר קשר עם הנאשם דרך "פייסבוק" ואמר לו כי יעביר לו חשיש ואקסטזי, והנאשם ימכור את הסמים לקונים. בהמשך, נפגשו הנאשם ועבד סמוך למחצבה בטורעאן, וביחד נסעו השניים לחנות "מיקס פון" במשהד, שם רכש עבד עבור הנאשם את מכשיר הטלפון המבצעי הנ"ל. כשעה לאחר מכן, לאחר שהחזיר עבד את הנאשם לטורעאן, סיפק עבד לנאשם 25 אצבעות חשיש, ו-20 כדורי אקסטזי, אשר חלקם מכר הנאשם לקונים בין התאריכים 29.9.19 – 1.10/19. </w:t>
      </w:r>
    </w:p>
    <w:p w14:paraId="0F4042CA" w14:textId="77777777" w:rsidR="009E56C7" w:rsidRDefault="009E56C7" w:rsidP="009E56C7">
      <w:pPr>
        <w:spacing w:line="360" w:lineRule="auto"/>
        <w:ind w:left="720"/>
        <w:jc w:val="both"/>
        <w:rPr>
          <w:rtl/>
        </w:rPr>
      </w:pPr>
      <w:r>
        <w:rPr>
          <w:rFonts w:hint="cs"/>
          <w:rtl/>
        </w:rPr>
        <w:t xml:space="preserve">כמו כן, בתאריך 1.10.19, במהלך היום, סמוך לעסקו של עבד בטורעאן סיפק עבד לנאשם 10 אצבעות נוספות של חשיש על מנת שהנאשם ימכור אותם לקונים. הנאשם הגיע למקום המכירה כשהוא נוהג ברכב ללא רישיון. </w:t>
      </w:r>
    </w:p>
    <w:p w14:paraId="2F4F0046" w14:textId="77777777" w:rsidR="009E56C7" w:rsidRDefault="009E56C7" w:rsidP="009E56C7">
      <w:pPr>
        <w:spacing w:line="360" w:lineRule="auto"/>
        <w:ind w:left="720"/>
        <w:jc w:val="both"/>
        <w:rPr>
          <w:rtl/>
        </w:rPr>
      </w:pPr>
      <w:r>
        <w:rPr>
          <w:rFonts w:hint="cs"/>
          <w:rtl/>
        </w:rPr>
        <w:t>בתאריך 29.9.19 מכר הנאשם לנסאר, לאחר תיאום, חשיש תמורת 100 ₪.</w:t>
      </w:r>
    </w:p>
    <w:p w14:paraId="04CA3C73" w14:textId="77777777" w:rsidR="009E56C7" w:rsidRDefault="009E56C7" w:rsidP="009E56C7">
      <w:pPr>
        <w:spacing w:line="360" w:lineRule="auto"/>
        <w:ind w:left="720"/>
        <w:jc w:val="both"/>
        <w:rPr>
          <w:rtl/>
        </w:rPr>
      </w:pPr>
      <w:r>
        <w:rPr>
          <w:rFonts w:hint="cs"/>
          <w:rtl/>
        </w:rPr>
        <w:t>בתאריך 30.9.19 מכר הנאשם למוניר אצבע חשיש תמורת חוב קודם. הנאשם נהג ברכב ללא רישיון לצורך ההגעה למקום העסקה.</w:t>
      </w:r>
    </w:p>
    <w:p w14:paraId="5D7DB209" w14:textId="77777777" w:rsidR="009E56C7" w:rsidRDefault="009E56C7" w:rsidP="009E56C7">
      <w:pPr>
        <w:spacing w:line="360" w:lineRule="auto"/>
        <w:ind w:left="720"/>
        <w:jc w:val="both"/>
        <w:rPr>
          <w:rtl/>
        </w:rPr>
      </w:pPr>
      <w:r>
        <w:rPr>
          <w:rFonts w:hint="cs"/>
          <w:rtl/>
        </w:rPr>
        <w:t xml:space="preserve">בתאריך 1.10.19 מכר הנאשם אצבע חשיש למוחמד, והגיע למקום העסקה כשהוא נוהג ברכב ללא רישיון. </w:t>
      </w:r>
    </w:p>
    <w:p w14:paraId="3A23EE31" w14:textId="77777777" w:rsidR="009E56C7" w:rsidRDefault="009E56C7" w:rsidP="009E56C7">
      <w:pPr>
        <w:spacing w:line="360" w:lineRule="auto"/>
        <w:ind w:left="720"/>
        <w:jc w:val="both"/>
        <w:rPr>
          <w:rtl/>
        </w:rPr>
      </w:pPr>
      <w:r>
        <w:rPr>
          <w:rFonts w:hint="cs"/>
          <w:rtl/>
        </w:rPr>
        <w:t xml:space="preserve">בתאריך 1.10.19, סמוך ל-21:40, נתפס הנאשם כשהוא נוהג ללא רישיון ברכב היונדאי, וכשהוא מחזיק על גופו חשיש במשקל כולל של 73.34 נטו שלא לצריכתו העצמית, וכן מחזיק בחלציו ב-17 טבליות אקסטזי, אף הן שלא לצריכתו העצמית. </w:t>
      </w:r>
    </w:p>
    <w:p w14:paraId="0F75AF5C" w14:textId="77777777" w:rsidR="009E56C7" w:rsidRDefault="009E56C7" w:rsidP="009E56C7">
      <w:pPr>
        <w:spacing w:line="360" w:lineRule="auto"/>
        <w:ind w:left="720"/>
        <w:jc w:val="both"/>
        <w:rPr>
          <w:rtl/>
        </w:rPr>
      </w:pPr>
    </w:p>
    <w:p w14:paraId="30D522EE" w14:textId="77777777" w:rsidR="009E56C7" w:rsidRDefault="009E56C7" w:rsidP="009E56C7">
      <w:pPr>
        <w:spacing w:line="360" w:lineRule="auto"/>
        <w:ind w:left="720" w:hanging="720"/>
        <w:jc w:val="both"/>
        <w:rPr>
          <w:rtl/>
        </w:rPr>
      </w:pPr>
      <w:r>
        <w:rPr>
          <w:rFonts w:hint="cs"/>
          <w:rtl/>
        </w:rPr>
        <w:t>2.</w:t>
      </w:r>
      <w:r w:rsidR="00FF1136">
        <w:rPr>
          <w:rFonts w:hint="cs"/>
          <w:rtl/>
        </w:rPr>
        <w:t xml:space="preserve">        </w:t>
      </w:r>
      <w:r>
        <w:rPr>
          <w:rFonts w:hint="cs"/>
          <w:rtl/>
        </w:rPr>
        <w:t xml:space="preserve"> </w:t>
      </w:r>
      <w:r>
        <w:rPr>
          <w:rFonts w:hint="cs"/>
          <w:rtl/>
        </w:rPr>
        <w:tab/>
        <w:t>ביום 4.3.20 הציגו הצדדים את הסדר הטיעון לפיו הנאשם הודה בעובדות כתב האישום המתוקן, הורשע על סמך הודאתו בעבירות המיוחסות לו והופנה לקבלת תסקיר שירות המבחן, שלאחריו סוכם כי הצדדים יטענו לעונש באופן פתוח. המאשימה הבהירה כי המלצות התסקיר אינן מחייבות אותה וכי תעתור להטלת מאסר בפועל.</w:t>
      </w:r>
    </w:p>
    <w:p w14:paraId="7BA9DB60" w14:textId="77777777" w:rsidR="009E56C7" w:rsidRDefault="00FF1136" w:rsidP="009E56C7">
      <w:pPr>
        <w:spacing w:line="360" w:lineRule="auto"/>
        <w:ind w:left="720" w:hanging="720"/>
        <w:jc w:val="both"/>
        <w:rPr>
          <w:rtl/>
        </w:rPr>
      </w:pPr>
      <w:r>
        <w:rPr>
          <w:rFonts w:hint="cs"/>
          <w:rtl/>
        </w:rPr>
        <w:t xml:space="preserve">           </w:t>
      </w:r>
      <w:r w:rsidR="009E56C7">
        <w:rPr>
          <w:rFonts w:hint="cs"/>
          <w:rtl/>
        </w:rPr>
        <w:t xml:space="preserve"> </w:t>
      </w:r>
    </w:p>
    <w:p w14:paraId="3E51E6B0" w14:textId="77777777" w:rsidR="009E56C7" w:rsidRDefault="009E56C7" w:rsidP="009E56C7">
      <w:pPr>
        <w:spacing w:line="360" w:lineRule="auto"/>
        <w:jc w:val="both"/>
        <w:rPr>
          <w:b/>
          <w:bCs/>
          <w:u w:val="single"/>
          <w:rtl/>
        </w:rPr>
      </w:pPr>
      <w:r>
        <w:rPr>
          <w:rFonts w:hint="cs"/>
          <w:b/>
          <w:bCs/>
          <w:u w:val="single"/>
          <w:rtl/>
        </w:rPr>
        <w:t xml:space="preserve">תסקירי שרות המבחן </w:t>
      </w:r>
    </w:p>
    <w:p w14:paraId="670BCEAB" w14:textId="77777777" w:rsidR="009E56C7" w:rsidRDefault="009E56C7" w:rsidP="009E56C7">
      <w:pPr>
        <w:spacing w:line="360" w:lineRule="auto"/>
        <w:ind w:left="720" w:hanging="720"/>
        <w:jc w:val="both"/>
        <w:rPr>
          <w:rtl/>
        </w:rPr>
      </w:pPr>
      <w:r>
        <w:rPr>
          <w:rFonts w:hint="cs"/>
          <w:rtl/>
        </w:rPr>
        <w:t>3.</w:t>
      </w:r>
      <w:r w:rsidR="00FF1136">
        <w:rPr>
          <w:rFonts w:hint="cs"/>
          <w:rtl/>
        </w:rPr>
        <w:t xml:space="preserve">        </w:t>
      </w:r>
      <w:r>
        <w:rPr>
          <w:rFonts w:hint="cs"/>
          <w:rtl/>
        </w:rPr>
        <w:t xml:space="preserve"> </w:t>
      </w:r>
      <w:r>
        <w:rPr>
          <w:rFonts w:hint="cs"/>
          <w:rtl/>
        </w:rPr>
        <w:tab/>
        <w:t xml:space="preserve">תסקיר ראשון הוגש בעניינו של הנאשם בחודש </w:t>
      </w:r>
      <w:r>
        <w:rPr>
          <w:rFonts w:hint="cs"/>
          <w:b/>
          <w:bCs/>
          <w:rtl/>
        </w:rPr>
        <w:t>יוני 2020</w:t>
      </w:r>
      <w:r>
        <w:rPr>
          <w:rFonts w:hint="cs"/>
          <w:rtl/>
        </w:rPr>
        <w:t xml:space="preserve">. בתסקיר זה צוין כי הנאשם שולב בהליך טיפולי בתקופת שהותו של במעצר באיזוק ובהמשך במעצר בית ותחת צו פיקוח מעצרים, אך בשל תקופת החירום ונגיף הקורונה, נקטעה השתתפותו בקבוצה הטיפולית. </w:t>
      </w:r>
      <w:r>
        <w:rPr>
          <w:rFonts w:hint="cs"/>
          <w:rtl/>
        </w:rPr>
        <w:lastRenderedPageBreak/>
        <w:t>צוין בתסקיר כי הנאשם התמיד בהשתתפות בקבוצה, ושיתף פעולה. כן צוין כי ערך 4 בדיקות שתן שנמצאו נקיות משרידי סם.</w:t>
      </w:r>
    </w:p>
    <w:p w14:paraId="4B046311" w14:textId="77777777" w:rsidR="009E56C7" w:rsidRDefault="009E56C7" w:rsidP="009E56C7">
      <w:pPr>
        <w:spacing w:line="360" w:lineRule="auto"/>
        <w:ind w:left="720"/>
        <w:jc w:val="both"/>
        <w:rPr>
          <w:rtl/>
        </w:rPr>
      </w:pPr>
      <w:r>
        <w:rPr>
          <w:rFonts w:hint="cs"/>
          <w:rtl/>
        </w:rPr>
        <w:t xml:space="preserve">בהסכמת הצדדים, נדחה הדיון בהחלטתי מיום 24.6.20, והנאשם הופנה לשירות המבחן לקבלת תסקיר מסכם. </w:t>
      </w:r>
    </w:p>
    <w:p w14:paraId="02596111" w14:textId="77777777" w:rsidR="009E56C7" w:rsidRDefault="009E56C7" w:rsidP="009E56C7">
      <w:pPr>
        <w:spacing w:line="360" w:lineRule="auto"/>
        <w:ind w:left="720" w:hanging="720"/>
        <w:jc w:val="both"/>
        <w:rPr>
          <w:rtl/>
        </w:rPr>
      </w:pPr>
      <w:r>
        <w:rPr>
          <w:rFonts w:hint="cs"/>
          <w:rtl/>
        </w:rPr>
        <w:tab/>
        <w:t>ב-</w:t>
      </w:r>
      <w:r>
        <w:rPr>
          <w:rFonts w:hint="cs"/>
          <w:b/>
          <w:bCs/>
          <w:rtl/>
        </w:rPr>
        <w:t>13.8.20</w:t>
      </w:r>
      <w:r>
        <w:rPr>
          <w:rFonts w:hint="cs"/>
          <w:rtl/>
        </w:rPr>
        <w:t xml:space="preserve"> דיווח שירות המבחן כי נוכח החזרה ההדרגתית לשגרת העבודה, וחוסר בכוח אדם, לא יעלה בידו להגיש תסקיר משלים במועד וביקש דחייה נוספת של הדיון בעניינו של הנאשם. </w:t>
      </w:r>
    </w:p>
    <w:p w14:paraId="39ED6D24" w14:textId="77777777" w:rsidR="009E56C7" w:rsidRDefault="009E56C7" w:rsidP="009E56C7">
      <w:pPr>
        <w:spacing w:line="360" w:lineRule="auto"/>
        <w:ind w:left="720" w:hanging="720"/>
        <w:jc w:val="both"/>
        <w:rPr>
          <w:rtl/>
        </w:rPr>
      </w:pPr>
      <w:r>
        <w:rPr>
          <w:rFonts w:hint="cs"/>
          <w:rtl/>
        </w:rPr>
        <w:tab/>
        <w:t xml:space="preserve">בחודש </w:t>
      </w:r>
      <w:r>
        <w:rPr>
          <w:rFonts w:hint="cs"/>
          <w:b/>
          <w:bCs/>
          <w:rtl/>
        </w:rPr>
        <w:t>אוקטובר 2020</w:t>
      </w:r>
      <w:r>
        <w:rPr>
          <w:rFonts w:hint="cs"/>
          <w:rtl/>
        </w:rPr>
        <w:t xml:space="preserve"> הגיש שירות המבחן עדכון לפיו הנאשם התקשה להתייצב בפני שירות המבחן בתקופת הדחייה ולאחר שתואמה לו פגישה באזור מגוריו, חלה בקורונה ושהה בבידוד. לפיכך, התבקשה דחייה נוספת של הדיון בעניינו. </w:t>
      </w:r>
    </w:p>
    <w:p w14:paraId="6480DF1C" w14:textId="77777777" w:rsidR="009E56C7" w:rsidRDefault="009E56C7" w:rsidP="009E56C7">
      <w:pPr>
        <w:spacing w:line="360" w:lineRule="auto"/>
        <w:ind w:left="720" w:hanging="720"/>
        <w:jc w:val="both"/>
        <w:rPr>
          <w:rtl/>
        </w:rPr>
      </w:pPr>
      <w:r>
        <w:rPr>
          <w:rFonts w:hint="cs"/>
          <w:rtl/>
        </w:rPr>
        <w:tab/>
      </w:r>
      <w:r>
        <w:rPr>
          <w:rFonts w:hint="cs"/>
          <w:b/>
          <w:bCs/>
          <w:rtl/>
        </w:rPr>
        <w:t>באמצע ינואר 2021</w:t>
      </w:r>
      <w:r>
        <w:rPr>
          <w:rFonts w:hint="cs"/>
          <w:rtl/>
        </w:rPr>
        <w:t xml:space="preserve"> הגיש שירות המבחן תסקיר סופי בעניינו של הנאשם, בו התרשם </w:t>
      </w:r>
      <w:r>
        <w:rPr>
          <w:rFonts w:hint="cs"/>
          <w:b/>
          <w:bCs/>
          <w:rtl/>
        </w:rPr>
        <w:t>מקיומו של סיכון גבוה להישנות ביצוע עבירות בעתיד, מהעדר מוטיבציה לשיקום, ונמנע ממתן המלצה טיפולית בעניינו. הומלץ בתסקיר זה על הטלת מאסר לריצוי בעבודות שירות.</w:t>
      </w:r>
      <w:r>
        <w:rPr>
          <w:rFonts w:hint="cs"/>
          <w:rtl/>
        </w:rPr>
        <w:t xml:space="preserve"> לאחר קבלת תסקיר זה, ביום 4.2.21, טענו הצדדים לעונש. </w:t>
      </w:r>
    </w:p>
    <w:p w14:paraId="3EFC2EA2" w14:textId="77777777" w:rsidR="009E56C7" w:rsidRDefault="009E56C7" w:rsidP="009E56C7">
      <w:pPr>
        <w:spacing w:line="360" w:lineRule="auto"/>
        <w:ind w:left="720" w:hanging="720"/>
        <w:jc w:val="both"/>
        <w:rPr>
          <w:rtl/>
        </w:rPr>
      </w:pPr>
      <w:r>
        <w:rPr>
          <w:rFonts w:hint="cs"/>
          <w:rtl/>
        </w:rPr>
        <w:tab/>
      </w:r>
    </w:p>
    <w:p w14:paraId="6B95C12F" w14:textId="77777777" w:rsidR="009E56C7" w:rsidRDefault="009E56C7" w:rsidP="009E56C7">
      <w:pPr>
        <w:spacing w:line="360" w:lineRule="auto"/>
        <w:ind w:left="720" w:hanging="720"/>
        <w:jc w:val="both"/>
        <w:rPr>
          <w:rtl/>
        </w:rPr>
      </w:pPr>
      <w:r>
        <w:rPr>
          <w:rFonts w:hint="cs"/>
          <w:rtl/>
        </w:rPr>
        <w:t>4.</w:t>
      </w:r>
      <w:r>
        <w:rPr>
          <w:rFonts w:hint="cs"/>
          <w:rtl/>
        </w:rPr>
        <w:tab/>
        <w:t xml:space="preserve">בתסקיר מיום 14.1.21 צוין כי הנאשם בן 22, רווק, אשר טרם מעצרו עבד כעצמאי בחנות תיקונים לטלפונים. הנאשם אומץ בהיותו בן חודשיים וגדל במשפחתו כבן יחיד. אביו, בן 71, פנסיונר, ואמו, בת 69, עקרת בית. הנאשם תיאר יחסים חיוביים עם הוריו, אך לדבריו הם התקשו להציב לו גבולות ולחנכו. בהיותו בן 3 שיתפו אותו הוריו כי אינו ילדם הביולוגי. למרות גילו הצעיר הבין את משמעות הדבר, וחווה תחושות ניכור וחוסר שייכות. לדברי הנאשם, בהיותו נער חבר לחברה שולית. הנאשם סיים 12 שנות לימוד ללא בגרות בבית ספר תיכון טכנולוגי, אך בהתנהגותו חלה התדרדרות בתקופת הלימודים, הוא היה מעורב בבעיות משמעת והישגיו הלימודיים היו נמוכים. </w:t>
      </w:r>
    </w:p>
    <w:p w14:paraId="6B211B16" w14:textId="77777777" w:rsidR="009E56C7" w:rsidRDefault="009E56C7" w:rsidP="009E56C7">
      <w:pPr>
        <w:spacing w:line="360" w:lineRule="auto"/>
        <w:ind w:left="720" w:hanging="720"/>
        <w:jc w:val="both"/>
        <w:rPr>
          <w:rtl/>
        </w:rPr>
      </w:pPr>
      <w:r>
        <w:rPr>
          <w:rFonts w:hint="cs"/>
          <w:rtl/>
        </w:rPr>
        <w:tab/>
        <w:t xml:space="preserve">מגיל 20 עבד הנאשם בעבודות מזדמנות. במשך 7 חודשים עבד כעצמאי בחנות טלפונים אך נאלץ לסגור את העסק. </w:t>
      </w:r>
    </w:p>
    <w:p w14:paraId="7019144C" w14:textId="77777777" w:rsidR="009E56C7" w:rsidRDefault="009E56C7" w:rsidP="009E56C7">
      <w:pPr>
        <w:spacing w:line="360" w:lineRule="auto"/>
        <w:ind w:left="720" w:hanging="720"/>
        <w:jc w:val="both"/>
        <w:rPr>
          <w:rtl/>
        </w:rPr>
      </w:pPr>
      <w:r>
        <w:rPr>
          <w:rFonts w:hint="cs"/>
          <w:rtl/>
        </w:rPr>
        <w:tab/>
        <w:t xml:space="preserve">הנאשם דיווח על שימוש בקנאביס החל מגיל 18, שימוש יום יומי. בהגיעו לגיל 19 החל להשתמש גם באקסטזי, כפעמיים בחודש. הוא ניסה להיגמל בכוחות עצמו, אך לא הצליח בכך. כן נהג לשתות אלכוהול באופן תדיר, כארבע כוסות בירה ביום, לאחר שהפסיק את השימוש בסם בשל שילובו בפיקוח שירות המבחן. הנאשם דיווח כי כיום, הפסיק את השימוש באלכוהול וחזר לעשות שימוש בקנאביס, לדבריו, בתדירות נמוכה יותר. </w:t>
      </w:r>
    </w:p>
    <w:p w14:paraId="0D2CAAD0" w14:textId="77777777" w:rsidR="009E56C7" w:rsidRDefault="009E56C7" w:rsidP="009E56C7">
      <w:pPr>
        <w:spacing w:line="360" w:lineRule="auto"/>
        <w:ind w:left="720" w:hanging="720"/>
        <w:jc w:val="both"/>
        <w:rPr>
          <w:rtl/>
        </w:rPr>
      </w:pPr>
      <w:r>
        <w:rPr>
          <w:rFonts w:hint="cs"/>
          <w:rtl/>
        </w:rPr>
        <w:tab/>
        <w:t xml:space="preserve">אין לחובת הנאשם הרשעות קודמות. לדבריו ביצע את העבירות משום שהתפתה להפיק רווח כספי מהן.  </w:t>
      </w:r>
    </w:p>
    <w:p w14:paraId="05A1A324" w14:textId="77777777" w:rsidR="009E56C7" w:rsidRDefault="009E56C7" w:rsidP="009E56C7">
      <w:pPr>
        <w:spacing w:line="360" w:lineRule="auto"/>
        <w:ind w:left="720" w:hanging="720"/>
        <w:jc w:val="both"/>
        <w:rPr>
          <w:rtl/>
        </w:rPr>
      </w:pPr>
      <w:r>
        <w:rPr>
          <w:rFonts w:hint="cs"/>
          <w:rtl/>
        </w:rPr>
        <w:tab/>
        <w:t xml:space="preserve">שירות המבחן התרשם, בין היתר, כי לנאשם קושי להחזיק בניקיון מסמים לתקופה יציבה וממושכת, וכי גבולותיו הפנימיים רופפים, ולו קושי בוויסות דחפים. כן התרשם שירות המבחן כי לנאשם עמדות מקלות ביחס לחוק, קושי בהתבוננות פנימית ובנטילת אחריות מלאה וגישתו לעבירות מצמצמת. הנאשם לא זיהה נזקקות טיפולית לתהליך שינוי משמעותי וארוך טווח, והוא נעדר מוטבציה אמיתית. </w:t>
      </w:r>
      <w:r>
        <w:rPr>
          <w:rFonts w:hint="cs"/>
          <w:b/>
          <w:bCs/>
          <w:rtl/>
        </w:rPr>
        <w:t>לפיכך, העריך שירות המבחן את רמת הסיכון להישנות עבירות כגבוהה ונמנע ממתן המלצה טיפולית</w:t>
      </w:r>
      <w:r>
        <w:rPr>
          <w:rFonts w:hint="cs"/>
          <w:rtl/>
        </w:rPr>
        <w:t>.</w:t>
      </w:r>
    </w:p>
    <w:p w14:paraId="24FC4AAF" w14:textId="77777777" w:rsidR="009E56C7" w:rsidRDefault="009E56C7" w:rsidP="009E56C7">
      <w:pPr>
        <w:spacing w:line="360" w:lineRule="auto"/>
        <w:ind w:left="720" w:hanging="720"/>
        <w:jc w:val="both"/>
        <w:rPr>
          <w:rtl/>
        </w:rPr>
      </w:pPr>
    </w:p>
    <w:p w14:paraId="7DC9F4A9" w14:textId="77777777" w:rsidR="009E56C7" w:rsidRDefault="009E56C7" w:rsidP="009E56C7">
      <w:pPr>
        <w:spacing w:line="360" w:lineRule="auto"/>
        <w:jc w:val="both"/>
        <w:rPr>
          <w:b/>
          <w:bCs/>
          <w:u w:val="single"/>
          <w:rtl/>
        </w:rPr>
      </w:pPr>
      <w:r>
        <w:rPr>
          <w:rFonts w:hint="cs"/>
          <w:b/>
          <w:bCs/>
          <w:u w:val="single"/>
          <w:rtl/>
        </w:rPr>
        <w:t>טיעונים לעונש</w:t>
      </w:r>
    </w:p>
    <w:p w14:paraId="47BBF679" w14:textId="77777777" w:rsidR="009E56C7" w:rsidRDefault="009E56C7" w:rsidP="009E56C7">
      <w:pPr>
        <w:spacing w:line="360" w:lineRule="auto"/>
        <w:ind w:left="720" w:hanging="720"/>
        <w:jc w:val="both"/>
        <w:rPr>
          <w:rtl/>
        </w:rPr>
      </w:pPr>
      <w:r>
        <w:rPr>
          <w:rFonts w:hint="cs"/>
          <w:rtl/>
        </w:rPr>
        <w:t>5.</w:t>
      </w:r>
      <w:r w:rsidR="00FF1136">
        <w:rPr>
          <w:rFonts w:hint="cs"/>
          <w:rtl/>
        </w:rPr>
        <w:t xml:space="preserve">        </w:t>
      </w:r>
      <w:r>
        <w:rPr>
          <w:rFonts w:hint="cs"/>
          <w:rtl/>
        </w:rPr>
        <w:tab/>
        <w:t>ביום 4.2.21 התקיימה ישיבת הטיעונים לעונש. ב"כ המאשימה הגישה את טיעוניה לעונש בכתב, והשלימה אותם בעל-פה בפניי, וב"כ הנאשם טען בפניי.</w:t>
      </w:r>
    </w:p>
    <w:p w14:paraId="10EB5C32" w14:textId="77777777" w:rsidR="009E56C7" w:rsidRDefault="009E56C7" w:rsidP="009E56C7">
      <w:pPr>
        <w:spacing w:line="360" w:lineRule="auto"/>
        <w:jc w:val="both"/>
        <w:rPr>
          <w:rtl/>
        </w:rPr>
      </w:pPr>
    </w:p>
    <w:p w14:paraId="303CB4A5" w14:textId="77777777" w:rsidR="009E56C7" w:rsidRDefault="009E56C7" w:rsidP="009E56C7">
      <w:pPr>
        <w:spacing w:line="360" w:lineRule="auto"/>
        <w:ind w:firstLine="720"/>
        <w:jc w:val="both"/>
        <w:rPr>
          <w:b/>
          <w:bCs/>
          <w:u w:val="single"/>
          <w:rtl/>
        </w:rPr>
      </w:pPr>
      <w:r>
        <w:rPr>
          <w:rFonts w:hint="cs"/>
          <w:b/>
          <w:bCs/>
          <w:u w:val="single"/>
          <w:rtl/>
        </w:rPr>
        <w:t xml:space="preserve">טיעוני ב"כ המאשימה </w:t>
      </w:r>
    </w:p>
    <w:p w14:paraId="23EAE68D" w14:textId="77777777" w:rsidR="009E56C7" w:rsidRDefault="009E56C7" w:rsidP="009E56C7">
      <w:pPr>
        <w:spacing w:line="360" w:lineRule="auto"/>
        <w:ind w:left="720" w:hanging="720"/>
        <w:jc w:val="both"/>
        <w:rPr>
          <w:rtl/>
        </w:rPr>
      </w:pPr>
      <w:r>
        <w:rPr>
          <w:rFonts w:hint="cs"/>
          <w:rtl/>
        </w:rPr>
        <w:t>6.</w:t>
      </w:r>
      <w:r w:rsidR="00FF1136">
        <w:rPr>
          <w:rFonts w:hint="cs"/>
          <w:rtl/>
        </w:rPr>
        <w:t xml:space="preserve">        </w:t>
      </w:r>
      <w:r>
        <w:rPr>
          <w:rFonts w:hint="cs"/>
          <w:rtl/>
        </w:rPr>
        <w:t xml:space="preserve"> </w:t>
      </w:r>
      <w:r>
        <w:rPr>
          <w:rFonts w:hint="cs"/>
          <w:rtl/>
        </w:rPr>
        <w:tab/>
        <w:t xml:space="preserve">ב"כ המאשימה ביקשה לקבוע מתחם עונש הולם הנע בין 6 ובין 12 חודשי מאסר בפועל, לכל אחד מאירועי הסחר, ולקבוע מתחם עונש הולם הנע בין מאסר על-תנאי לעונש מאסר קצר שיכול וירוצה בעבודות שירות, לעבירת הנהיגה ללא רישיון, בצירוף עונש פסילה בפועל לתקופה שבין 8 ל-18 חודשים. היא ביקשה להטיל על הנאשם עונש מאסר בפועל ברף העליון של מתחמי הענישה, בצירוף מאסר על-תנאי ארוך ומרתיע, קנס כספי, פסילה בפועל ועל-תנאי, וכן להורות על חילוט רכב היונדאי, וסכום של 890 ₪ שנתפס ברשות הנאשם.  </w:t>
      </w:r>
    </w:p>
    <w:p w14:paraId="059B6314" w14:textId="77777777" w:rsidR="009E56C7" w:rsidRDefault="009E56C7" w:rsidP="009E56C7">
      <w:pPr>
        <w:spacing w:line="360" w:lineRule="auto"/>
        <w:ind w:left="720"/>
        <w:jc w:val="both"/>
        <w:rPr>
          <w:rtl/>
        </w:rPr>
      </w:pPr>
      <w:r>
        <w:rPr>
          <w:rFonts w:hint="cs"/>
          <w:rtl/>
        </w:rPr>
        <w:t xml:space="preserve">ב"כ המאשימה התייחסה לחומרתן של עבירות הסמים ולערכים המוגנים שנפגעו מביצוען וטענה כי מידת הפגיעה בערכים הינה משמעותית. נטען, כי יש לתת משקל לנסיבות ביצוע העבירות, ובהן הכמויות הגדולות של סם אותן החזיק הנאשם ובהן סחר, העובדה שעשה שימוש ברכב ונהג ללא רישיון באופן שיוצר סיכון למשתמשי הדרך, ובטלפון מבצעי, ולנזק שנגרם לציבור כתוצאה מהפצת הסמים. </w:t>
      </w:r>
    </w:p>
    <w:p w14:paraId="35349E0E" w14:textId="77777777" w:rsidR="009E56C7" w:rsidRDefault="009E56C7" w:rsidP="009E56C7">
      <w:pPr>
        <w:spacing w:line="360" w:lineRule="auto"/>
        <w:ind w:left="720"/>
        <w:jc w:val="both"/>
        <w:rPr>
          <w:rtl/>
        </w:rPr>
      </w:pPr>
      <w:r>
        <w:rPr>
          <w:rFonts w:hint="cs"/>
          <w:rtl/>
        </w:rPr>
        <w:t xml:space="preserve">באשר לנסיבות שאינן קשורות בביצוע העבירות נטען, כי לנאשם אמנם אין הרשעות קודמות בפלילים אולם לחובתו הרשעות תעבורה קודמות, והוא אף נשפט בעבר בעבירה של נהיגה ללא רישיון נהיגה. שירות המבחן נמנע ממתן המלצה טיפולית בעניינו, התרשם מקיומו של סיכון גבוה להישנות עבירות, מקושי בנטילת אחריות מלאה ומגישה מצמצמת לעבירות. לפיכך, אין שיקולים לסטייה ממתחם העונש ההולם בעניינו של הנאשם. ב"כ המאשימה סברה כי יש להטיל בנסיבות עונש מאסר מאחורי סורג ובריח, ולא לאמץ את המלצת שירות המבחן בדבר הטלת מאסר בעבודות שירות. ב"כ המאשימה ציינה כי שותפו של הנאשם לביצוע העבירות, עבד סלימאן, נדון לעונש של 9 חודשי מאסר בפועל, 8,000 ₪ קנס ועונשים נלווים ביום 8.3.20, בעבירות סיוע, כאשר אין לחובתו עבר פלילי. </w:t>
      </w:r>
    </w:p>
    <w:p w14:paraId="3EA043DF" w14:textId="77777777" w:rsidR="009E56C7" w:rsidRDefault="009E56C7" w:rsidP="009E56C7">
      <w:pPr>
        <w:spacing w:line="360" w:lineRule="auto"/>
        <w:jc w:val="both"/>
        <w:rPr>
          <w:rtl/>
        </w:rPr>
      </w:pPr>
    </w:p>
    <w:p w14:paraId="2558921D" w14:textId="77777777" w:rsidR="009E56C7" w:rsidRDefault="009E56C7" w:rsidP="009E56C7">
      <w:pPr>
        <w:spacing w:line="360" w:lineRule="auto"/>
        <w:ind w:firstLine="720"/>
        <w:jc w:val="both"/>
        <w:rPr>
          <w:b/>
          <w:bCs/>
          <w:u w:val="single"/>
          <w:rtl/>
        </w:rPr>
      </w:pPr>
      <w:r>
        <w:rPr>
          <w:rFonts w:hint="cs"/>
          <w:b/>
          <w:bCs/>
          <w:u w:val="single"/>
          <w:rtl/>
        </w:rPr>
        <w:t>טיעוני ב"כ הנאשם</w:t>
      </w:r>
    </w:p>
    <w:p w14:paraId="51EA1CAE" w14:textId="77777777" w:rsidR="009E56C7" w:rsidRDefault="009E56C7" w:rsidP="009E56C7">
      <w:pPr>
        <w:spacing w:line="360" w:lineRule="auto"/>
        <w:ind w:left="720" w:hanging="720"/>
        <w:jc w:val="both"/>
        <w:rPr>
          <w:rtl/>
        </w:rPr>
      </w:pPr>
      <w:r>
        <w:rPr>
          <w:rFonts w:hint="cs"/>
          <w:rtl/>
        </w:rPr>
        <w:t>7.</w:t>
      </w:r>
      <w:r w:rsidR="00FF1136">
        <w:rPr>
          <w:rFonts w:hint="cs"/>
          <w:rtl/>
        </w:rPr>
        <w:t xml:space="preserve">        </w:t>
      </w:r>
      <w:r>
        <w:rPr>
          <w:rFonts w:hint="cs"/>
          <w:rtl/>
        </w:rPr>
        <w:t xml:space="preserve"> </w:t>
      </w:r>
      <w:r>
        <w:rPr>
          <w:rFonts w:hint="cs"/>
          <w:rtl/>
        </w:rPr>
        <w:tab/>
        <w:t>ב"כ הנאשם טען כי מתחם העונש ההולם בנסיבות ביצוע העבירות נע בין מאסר לריצוי בעבודות שירות ובין 15 חודשי מאסר, וביקש להטיל על הנאשם עונש מאסר המצוי ברף התחתון של המתחם לו טען, לריצוי בעבודות שירות. ב"כ הנאשם טען</w:t>
      </w:r>
      <w:r w:rsidR="00FF1136">
        <w:rPr>
          <w:rFonts w:hint="cs"/>
          <w:rtl/>
        </w:rPr>
        <w:t xml:space="preserve"> </w:t>
      </w:r>
      <w:r>
        <w:rPr>
          <w:rFonts w:hint="cs"/>
          <w:rtl/>
        </w:rPr>
        <w:t xml:space="preserve">כי יש לתת משקל לנסיבותיו הייחודיות של הנאשם, צעיר אשר אומץ על-ידי הוריו והוא להם בן יחיד. הוריו בני 71 ו-69. נסיבות גדילתו השפיעו על תחושותיו, ובנעוריו התנהגותו התדרדרה והוא חבר לחברה שולית. הנאשם עבר תחילה בתחום הניקיון ולאחר מכן פתח עסק עצמאי לתיקון טלפונים, אך מצבו של העסק התדרדר והוא נאלץ לסגור אותו. שותפו לביצוע העבירות זיהה את המצוקה ממנה סבל הנאשם, ופיתה אותו למכור עבורו סמים אותם סיפק לו, בתמורה ל-300 ₪ ביום. השותף הוא שצייד אותו בטלפון המבצעי וסיפק לו את הסמים. כל עסקאות הסחר בוצעו בטווח של שלושה ימים בלבד, עד שהנאשם נתפס עם הסמים. הנאשם שיתף פעולה בחקירה, הודה במעשים והפליל את שותפו. שותפו היה "הרוח החיה" שמאחורי המעשים, והמרוויח העיקרי מן העסקאות שיצאו לפועל. באשר לעבירה של נהיגה ללא רישיון, נטען כי העבירה בוצעה לאחר שתוקף רישיון הנהיגה של הנאשם פקע, להבדיל ממקרה שבו נאשם מעולם לא הוציא רישיון נהיגה. </w:t>
      </w:r>
    </w:p>
    <w:p w14:paraId="1D5B1741" w14:textId="77777777" w:rsidR="009E56C7" w:rsidRDefault="009E56C7" w:rsidP="009E56C7">
      <w:pPr>
        <w:spacing w:line="360" w:lineRule="auto"/>
        <w:ind w:left="720" w:hanging="720"/>
        <w:jc w:val="both"/>
        <w:rPr>
          <w:rtl/>
        </w:rPr>
      </w:pPr>
      <w:r>
        <w:rPr>
          <w:rFonts w:hint="cs"/>
          <w:rtl/>
        </w:rPr>
        <w:tab/>
        <w:t xml:space="preserve">עוד טען ב"כ הנאשם כי במהלך ההליך הפלילי, הודה הנאשם בהזדמנות הראשונה, ושיתף פעולה עם שירות המבחן. לנאשם אין עבר פלילי. לנאשם ולמשפחתו נגרם נזק כלכלי ממשי עם מעצרו של הנאשם. הנאשם שהה תקופה של כחודשיים במעצר מאחורי סורג ובריח, אז הועבר למשך מספר חודשים למעצר באיזוק אלקטרוני, אשר הומר למעצר בית ביום 4.3.20. מאז, שוהה הנאשם במעצר בית עם חלון אוורור יומי. השבתו של הנאשם לכותלי הכלא עלולה לגרום לו להתדרדרות נוספת. </w:t>
      </w:r>
    </w:p>
    <w:p w14:paraId="4A97DC7F" w14:textId="77777777" w:rsidR="009E56C7" w:rsidRDefault="009E56C7" w:rsidP="009E56C7">
      <w:pPr>
        <w:spacing w:line="360" w:lineRule="auto"/>
        <w:ind w:left="720" w:hanging="720"/>
        <w:jc w:val="both"/>
        <w:rPr>
          <w:rtl/>
        </w:rPr>
      </w:pPr>
      <w:r>
        <w:rPr>
          <w:rFonts w:hint="cs"/>
          <w:rtl/>
        </w:rPr>
        <w:tab/>
        <w:t xml:space="preserve">ב"כ הנאשם ביקש מבית-המשפט להימנע מחילוט הרכב. </w:t>
      </w:r>
    </w:p>
    <w:p w14:paraId="3EF2E3B5" w14:textId="77777777" w:rsidR="009E56C7" w:rsidRDefault="009E56C7" w:rsidP="009E56C7">
      <w:pPr>
        <w:spacing w:line="360" w:lineRule="auto"/>
        <w:jc w:val="both"/>
        <w:rPr>
          <w:b/>
          <w:bCs/>
          <w:u w:val="single"/>
          <w:rtl/>
        </w:rPr>
      </w:pPr>
    </w:p>
    <w:p w14:paraId="07165BFE" w14:textId="77777777" w:rsidR="009E56C7" w:rsidRDefault="009E56C7" w:rsidP="009E56C7">
      <w:pPr>
        <w:spacing w:line="360" w:lineRule="auto"/>
        <w:ind w:firstLine="720"/>
        <w:jc w:val="both"/>
        <w:rPr>
          <w:b/>
          <w:bCs/>
          <w:u w:val="single"/>
          <w:rtl/>
        </w:rPr>
      </w:pPr>
      <w:r>
        <w:rPr>
          <w:rFonts w:hint="cs"/>
          <w:b/>
          <w:bCs/>
          <w:u w:val="single"/>
          <w:rtl/>
        </w:rPr>
        <w:t>דברי הנאשם</w:t>
      </w:r>
    </w:p>
    <w:p w14:paraId="7FD3CC74" w14:textId="77777777" w:rsidR="009E56C7" w:rsidRDefault="009E56C7" w:rsidP="009E56C7">
      <w:pPr>
        <w:spacing w:line="360" w:lineRule="auto"/>
        <w:jc w:val="both"/>
        <w:rPr>
          <w:rtl/>
        </w:rPr>
      </w:pPr>
      <w:r>
        <w:rPr>
          <w:rFonts w:hint="cs"/>
          <w:rtl/>
        </w:rPr>
        <w:t>8.</w:t>
      </w:r>
      <w:r w:rsidR="00FF1136">
        <w:rPr>
          <w:rFonts w:hint="cs"/>
          <w:rtl/>
        </w:rPr>
        <w:t xml:space="preserve">      </w:t>
      </w:r>
      <w:r>
        <w:rPr>
          <w:rFonts w:hint="cs"/>
          <w:rtl/>
        </w:rPr>
        <w:t xml:space="preserve"> </w:t>
      </w:r>
      <w:r>
        <w:rPr>
          <w:rFonts w:hint="cs"/>
          <w:rtl/>
        </w:rPr>
        <w:tab/>
        <w:t xml:space="preserve">הנאשם מסר כי הוא מצטער. </w:t>
      </w:r>
    </w:p>
    <w:p w14:paraId="7B576C48" w14:textId="77777777" w:rsidR="009E56C7" w:rsidRDefault="009E56C7" w:rsidP="009E56C7">
      <w:pPr>
        <w:spacing w:line="360" w:lineRule="auto"/>
        <w:jc w:val="both"/>
        <w:rPr>
          <w:b/>
          <w:bCs/>
          <w:u w:val="single"/>
          <w:rtl/>
        </w:rPr>
      </w:pPr>
    </w:p>
    <w:p w14:paraId="63E206F5" w14:textId="77777777" w:rsidR="009E56C7" w:rsidRDefault="009E56C7" w:rsidP="009E56C7">
      <w:pPr>
        <w:spacing w:line="360" w:lineRule="auto"/>
        <w:jc w:val="both"/>
        <w:rPr>
          <w:b/>
          <w:bCs/>
          <w:u w:val="single"/>
          <w:rtl/>
        </w:rPr>
      </w:pPr>
      <w:r>
        <w:rPr>
          <w:rFonts w:hint="cs"/>
          <w:b/>
          <w:bCs/>
          <w:u w:val="single"/>
          <w:rtl/>
        </w:rPr>
        <w:t>דיון והכרעה</w:t>
      </w:r>
    </w:p>
    <w:p w14:paraId="7131C822" w14:textId="77777777" w:rsidR="009E56C7" w:rsidRDefault="009E56C7" w:rsidP="009E56C7">
      <w:pPr>
        <w:spacing w:line="360" w:lineRule="auto"/>
        <w:jc w:val="both"/>
        <w:rPr>
          <w:b/>
          <w:bCs/>
          <w:u w:val="single"/>
          <w:rtl/>
        </w:rPr>
      </w:pPr>
    </w:p>
    <w:p w14:paraId="1DD7A61B" w14:textId="77777777" w:rsidR="009E56C7" w:rsidRDefault="009E56C7" w:rsidP="009E56C7">
      <w:pPr>
        <w:spacing w:line="360" w:lineRule="auto"/>
        <w:ind w:left="720" w:hanging="720"/>
        <w:jc w:val="both"/>
        <w:rPr>
          <w:rtl/>
        </w:rPr>
      </w:pPr>
      <w:r>
        <w:rPr>
          <w:rFonts w:hint="cs"/>
          <w:rtl/>
        </w:rPr>
        <w:t>9.</w:t>
      </w:r>
      <w:r>
        <w:rPr>
          <w:rFonts w:hint="cs"/>
          <w:rtl/>
        </w:rPr>
        <w:tab/>
        <w:t xml:space="preserve">סבורה אני כי יש להתייחס לכל המקרים המתוארים בכתב האישום המתוקן כאל מסכת עבריינית אחת, ולכלל העבירות שבו, כאל אירוע אחד, מרובה עובדות ונסיבות, ואקבע כאן לפיכך מתחם עונשי יחיד. שקלתי עמדת המאשימה לקבוע מתחמי ענישה הולמים נפרדים (אף שהמאשימה טענה למתחם זהה ביחס לכל אחד מאירועי הסחר, ולמתחם שונה לעניין העבירה של נהיגה ללא רישיון), אך סברתי כי כלל המקרים עוסקים בנסיבות דומות, בסחר בסם מסוג זהה, ללקוחות מזדמנים, בכמות קטנה ובתמורה זהה, </w:t>
      </w:r>
      <w:r>
        <w:rPr>
          <w:rFonts w:hint="cs"/>
          <w:b/>
          <w:bCs/>
          <w:rtl/>
        </w:rPr>
        <w:t>וכולם בוצעו בתוך תקופה קצרה ביותר של מספר ימים</w:t>
      </w:r>
      <w:r>
        <w:rPr>
          <w:rFonts w:hint="cs"/>
          <w:rtl/>
        </w:rPr>
        <w:t>. לפיכך מתבקשת ההתייחסות למסכת כולה כאל אירוע אחד.</w:t>
      </w:r>
    </w:p>
    <w:p w14:paraId="750C270F" w14:textId="77777777" w:rsidR="009E56C7" w:rsidRDefault="009E56C7" w:rsidP="009E56C7">
      <w:pPr>
        <w:spacing w:line="360" w:lineRule="auto"/>
        <w:jc w:val="both"/>
        <w:rPr>
          <w:rtl/>
        </w:rPr>
      </w:pPr>
    </w:p>
    <w:p w14:paraId="6E434EB3" w14:textId="77777777" w:rsidR="009E56C7" w:rsidRDefault="009E56C7" w:rsidP="009E56C7">
      <w:pPr>
        <w:spacing w:line="360" w:lineRule="auto"/>
        <w:jc w:val="both"/>
        <w:rPr>
          <w:b/>
          <w:bCs/>
          <w:u w:val="single"/>
          <w:rtl/>
        </w:rPr>
      </w:pPr>
      <w:r>
        <w:rPr>
          <w:rFonts w:hint="cs"/>
          <w:b/>
          <w:bCs/>
          <w:u w:val="single"/>
          <w:rtl/>
        </w:rPr>
        <w:t>מתחם העונש ההולם</w:t>
      </w:r>
    </w:p>
    <w:p w14:paraId="272F2ABB" w14:textId="77777777" w:rsidR="009E56C7" w:rsidRDefault="009E56C7" w:rsidP="009E56C7">
      <w:pPr>
        <w:spacing w:line="360" w:lineRule="auto"/>
        <w:jc w:val="both"/>
        <w:rPr>
          <w:b/>
          <w:bCs/>
          <w:u w:val="single"/>
          <w:rtl/>
        </w:rPr>
      </w:pPr>
    </w:p>
    <w:p w14:paraId="57870B98" w14:textId="77777777" w:rsidR="009E56C7" w:rsidRDefault="009E56C7" w:rsidP="009E56C7">
      <w:pPr>
        <w:spacing w:line="360" w:lineRule="auto"/>
        <w:ind w:firstLine="720"/>
        <w:jc w:val="both"/>
        <w:rPr>
          <w:b/>
          <w:bCs/>
          <w:u w:val="single"/>
          <w:rtl/>
        </w:rPr>
      </w:pPr>
      <w:r>
        <w:rPr>
          <w:rFonts w:hint="cs"/>
          <w:b/>
          <w:bCs/>
          <w:u w:val="single"/>
          <w:rtl/>
        </w:rPr>
        <w:t>הערכים החברתיים הנפגעים</w:t>
      </w:r>
    </w:p>
    <w:p w14:paraId="72D4A0E1" w14:textId="77777777" w:rsidR="009E56C7" w:rsidRDefault="009E56C7" w:rsidP="009E56C7">
      <w:pPr>
        <w:spacing w:line="360" w:lineRule="auto"/>
        <w:ind w:left="720" w:hanging="720"/>
        <w:jc w:val="both"/>
        <w:rPr>
          <w:rtl/>
        </w:rPr>
      </w:pPr>
      <w:r>
        <w:rPr>
          <w:rFonts w:hint="cs"/>
          <w:rtl/>
        </w:rPr>
        <w:t>10.</w:t>
      </w:r>
      <w:r w:rsidR="00FF1136">
        <w:rPr>
          <w:rFonts w:hint="cs"/>
          <w:rtl/>
        </w:rPr>
        <w:t xml:space="preserve">      </w:t>
      </w:r>
      <w:r>
        <w:rPr>
          <w:rFonts w:hint="cs"/>
          <w:rtl/>
        </w:rPr>
        <w:t xml:space="preserve"> </w:t>
      </w:r>
      <w:r>
        <w:rPr>
          <w:rFonts w:hint="cs"/>
          <w:rtl/>
        </w:rPr>
        <w:tab/>
        <w:t>עברייני הסמים מונעים מתוך שיקול כלכלי, תוך ניצול התמכרותם ותלותם של משתמשי הסם וצרכניו. הערכים החברתיים העומדים בבסיס מיגור תופעת הסמים הם בראש ובראשונה, שמירה על בריאות הציבור, ועם ערך זה, מוגנים גם</w:t>
      </w:r>
      <w:r w:rsidR="00FF1136">
        <w:rPr>
          <w:rFonts w:hint="cs"/>
          <w:rtl/>
        </w:rPr>
        <w:t xml:space="preserve"> </w:t>
      </w:r>
      <w:r>
        <w:rPr>
          <w:rFonts w:hint="cs"/>
          <w:rtl/>
        </w:rPr>
        <w:t xml:space="preserve"> ערכים חברתיים רחבים יותר שעניינם שמירה על רכוש הציבור, הסדר הציבורי, ורמת החיים, הנפגעת מעבירות סמים.</w:t>
      </w:r>
    </w:p>
    <w:p w14:paraId="622CCFB2" w14:textId="77777777" w:rsidR="009E56C7" w:rsidRDefault="009E56C7" w:rsidP="009E56C7">
      <w:pPr>
        <w:spacing w:line="360" w:lineRule="auto"/>
        <w:ind w:left="720"/>
        <w:jc w:val="both"/>
        <w:rPr>
          <w:rtl/>
        </w:rPr>
      </w:pPr>
      <w:r>
        <w:rPr>
          <w:rFonts w:hint="cs"/>
          <w:rtl/>
        </w:rPr>
        <w:t>קיומו של קשר הדוק בין עבריינות בתחום הסמים לעבירות רכוש והאלימות שמבוצעות על ידי המכורים לסמים למימון רכישת הסם, הוכח, וקיומו הנו מן הידועות.</w:t>
      </w:r>
    </w:p>
    <w:p w14:paraId="6C28D885" w14:textId="77777777" w:rsidR="009E56C7" w:rsidRDefault="009E56C7" w:rsidP="009E56C7">
      <w:pPr>
        <w:spacing w:line="360" w:lineRule="auto"/>
        <w:jc w:val="both"/>
        <w:rPr>
          <w:rtl/>
        </w:rPr>
      </w:pPr>
    </w:p>
    <w:p w14:paraId="760765FE" w14:textId="77777777" w:rsidR="009E56C7" w:rsidRDefault="009E56C7" w:rsidP="009E56C7">
      <w:pPr>
        <w:spacing w:line="360" w:lineRule="auto"/>
        <w:ind w:left="720" w:hanging="720"/>
        <w:jc w:val="both"/>
        <w:rPr>
          <w:rtl/>
        </w:rPr>
      </w:pPr>
      <w:r>
        <w:rPr>
          <w:rFonts w:hint="cs"/>
          <w:rtl/>
        </w:rPr>
        <w:t>11.</w:t>
      </w:r>
      <w:r w:rsidR="00FF1136">
        <w:rPr>
          <w:rFonts w:hint="cs"/>
          <w:rtl/>
        </w:rPr>
        <w:t xml:space="preserve">      </w:t>
      </w:r>
      <w:r>
        <w:rPr>
          <w:rFonts w:hint="cs"/>
          <w:rtl/>
        </w:rPr>
        <w:t xml:space="preserve"> </w:t>
      </w:r>
      <w:r>
        <w:rPr>
          <w:rFonts w:hint="cs"/>
          <w:rtl/>
        </w:rPr>
        <w:tab/>
        <w:t>בית המשפט העליון קבע לא אחת כי עבירות הסמים הן נגע שהתפשט בחברה וכי ישנו צורך בהול למגרו. ראו לעניין זה את הדברים שנאמרו בבית המשפט העליון מפי כב' השופט עמית ב</w:t>
      </w:r>
      <w:hyperlink r:id="rId23" w:history="1">
        <w:r w:rsidR="00FF1136" w:rsidRPr="00FF1136">
          <w:rPr>
            <w:color w:val="0000FF"/>
            <w:u w:val="single"/>
            <w:rtl/>
          </w:rPr>
          <w:t>ע"פ 3172/13</w:t>
        </w:r>
      </w:hyperlink>
      <w:r>
        <w:rPr>
          <w:rFonts w:hint="cs"/>
          <w:rtl/>
        </w:rPr>
        <w:t xml:space="preserve"> </w:t>
      </w:r>
      <w:r>
        <w:rPr>
          <w:rFonts w:hint="cs"/>
          <w:b/>
          <w:bCs/>
          <w:rtl/>
        </w:rPr>
        <w:t>עלא סואעד נגד מדינת ישראל</w:t>
      </w:r>
      <w:r>
        <w:rPr>
          <w:rFonts w:hint="cs"/>
          <w:rtl/>
        </w:rPr>
        <w:t xml:space="preserve"> (07.01.14):</w:t>
      </w:r>
    </w:p>
    <w:p w14:paraId="14E0AEE6" w14:textId="77777777" w:rsidR="009E56C7" w:rsidRDefault="009E56C7" w:rsidP="009E56C7">
      <w:pPr>
        <w:spacing w:line="360" w:lineRule="auto"/>
        <w:jc w:val="both"/>
        <w:rPr>
          <w:rtl/>
        </w:rPr>
      </w:pPr>
    </w:p>
    <w:p w14:paraId="0AA25725" w14:textId="77777777" w:rsidR="009E56C7" w:rsidRDefault="009E56C7" w:rsidP="009E56C7">
      <w:pPr>
        <w:spacing w:line="360" w:lineRule="auto"/>
        <w:ind w:left="1418" w:right="1418"/>
        <w:jc w:val="both"/>
        <w:rPr>
          <w:rtl/>
        </w:rPr>
      </w:pPr>
      <w:r>
        <w:rPr>
          <w:rFonts w:hint="cs"/>
          <w:rtl/>
        </w:rPr>
        <w:t>"</w:t>
      </w:r>
      <w:r>
        <w:rPr>
          <w:rFonts w:hint="cs"/>
          <w:b/>
          <w:bCs/>
          <w:rtl/>
        </w:rPr>
        <w:t>על פגיעתן הרבה של עבירות הסמים ועל תפקידו של בית המשפט במאבק בנגע הסמים לצד גורמים וגופים נוספים,</w:t>
      </w:r>
      <w:r w:rsidR="00FF1136">
        <w:rPr>
          <w:rFonts w:hint="cs"/>
          <w:b/>
          <w:bCs/>
          <w:rtl/>
        </w:rPr>
        <w:t xml:space="preserve"> </w:t>
      </w:r>
      <w:r>
        <w:rPr>
          <w:rFonts w:hint="cs"/>
          <w:b/>
          <w:bCs/>
          <w:rtl/>
        </w:rPr>
        <w:t xml:space="preserve">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r>
        <w:rPr>
          <w:rFonts w:hint="cs"/>
          <w:rtl/>
        </w:rPr>
        <w:t xml:space="preserve">" </w:t>
      </w:r>
    </w:p>
    <w:p w14:paraId="10F5D2A7" w14:textId="77777777" w:rsidR="009E56C7" w:rsidRDefault="009E56C7" w:rsidP="009E56C7">
      <w:pPr>
        <w:spacing w:line="360" w:lineRule="auto"/>
        <w:jc w:val="both"/>
        <w:rPr>
          <w:rtl/>
        </w:rPr>
      </w:pPr>
    </w:p>
    <w:p w14:paraId="419F0A96" w14:textId="77777777" w:rsidR="009E56C7" w:rsidRDefault="009E56C7" w:rsidP="009E56C7">
      <w:pPr>
        <w:spacing w:line="360" w:lineRule="auto"/>
        <w:ind w:left="720" w:hanging="720"/>
        <w:jc w:val="both"/>
        <w:rPr>
          <w:color w:val="222222"/>
          <w:rtl/>
        </w:rPr>
      </w:pPr>
      <w:r>
        <w:rPr>
          <w:rFonts w:hint="cs"/>
          <w:rtl/>
        </w:rPr>
        <w:t>12.</w:t>
      </w:r>
      <w:r>
        <w:rPr>
          <w:rFonts w:hint="cs"/>
          <w:rtl/>
        </w:rPr>
        <w:tab/>
      </w:r>
      <w:r>
        <w:rPr>
          <w:rFonts w:hint="cs"/>
          <w:color w:val="222222"/>
          <w:rtl/>
        </w:rPr>
        <w:t>העבירה של נהיגה ללא רישיון נהיגה, פוגעת בביטחונם של משתמשי הדרך ומסכנות את הציבור, ואף פוגעות באינטרס הציבורי שעניינו ציות לחוק. בתי משפט חזרו והדגישו בשורה ארוכה של פסקי דין את חומרתה של</w:t>
      </w:r>
      <w:r w:rsidR="00FF1136">
        <w:rPr>
          <w:rFonts w:hint="cs"/>
          <w:color w:val="222222"/>
          <w:rtl/>
        </w:rPr>
        <w:t xml:space="preserve"> </w:t>
      </w:r>
      <w:r>
        <w:rPr>
          <w:rFonts w:hint="cs"/>
          <w:color w:val="222222"/>
          <w:rtl/>
        </w:rPr>
        <w:t xml:space="preserve"> הנהיגה בידי בלתי מורשה,</w:t>
      </w:r>
      <w:r w:rsidR="00FF1136">
        <w:rPr>
          <w:rFonts w:hint="cs"/>
          <w:color w:val="222222"/>
          <w:rtl/>
        </w:rPr>
        <w:t xml:space="preserve"> </w:t>
      </w:r>
      <w:r>
        <w:rPr>
          <w:rFonts w:hint="cs"/>
          <w:color w:val="222222"/>
          <w:rtl/>
        </w:rPr>
        <w:t xml:space="preserve"> והצורך בהשתת</w:t>
      </w:r>
      <w:r w:rsidR="00FF1136">
        <w:rPr>
          <w:rFonts w:hint="cs"/>
          <w:color w:val="222222"/>
          <w:rtl/>
        </w:rPr>
        <w:t xml:space="preserve"> </w:t>
      </w:r>
      <w:r>
        <w:rPr>
          <w:rFonts w:hint="cs"/>
          <w:color w:val="222222"/>
          <w:rtl/>
        </w:rPr>
        <w:t xml:space="preserve"> ענישה מרתיעה</w:t>
      </w:r>
      <w:r w:rsidR="00FF1136">
        <w:rPr>
          <w:rFonts w:hint="cs"/>
          <w:color w:val="222222"/>
          <w:rtl/>
        </w:rPr>
        <w:t xml:space="preserve"> </w:t>
      </w:r>
      <w:r>
        <w:rPr>
          <w:rFonts w:hint="cs"/>
          <w:color w:val="222222"/>
          <w:rtl/>
        </w:rPr>
        <w:t xml:space="preserve"> על נהגים בלתי מורשים (ראו: </w:t>
      </w:r>
      <w:hyperlink r:id="rId24" w:history="1">
        <w:r w:rsidR="00FF1136" w:rsidRPr="00FF1136">
          <w:rPr>
            <w:color w:val="0000FF"/>
            <w:u w:val="single"/>
            <w:rtl/>
          </w:rPr>
          <w:t>רע"פ 4477/11</w:t>
        </w:r>
      </w:hyperlink>
      <w:r w:rsidR="00FF1136">
        <w:rPr>
          <w:rFonts w:hint="cs"/>
          <w:color w:val="222222"/>
          <w:rtl/>
        </w:rPr>
        <w:t xml:space="preserve"> </w:t>
      </w:r>
      <w:r>
        <w:rPr>
          <w:rFonts w:hint="cs"/>
          <w:b/>
          <w:bCs/>
          <w:color w:val="222222"/>
          <w:rtl/>
        </w:rPr>
        <w:t>אלי נחמן נ' מדינת ישראל</w:t>
      </w:r>
      <w:r w:rsidR="00FF1136">
        <w:rPr>
          <w:rFonts w:hint="cs"/>
          <w:color w:val="222222"/>
          <w:rtl/>
        </w:rPr>
        <w:t xml:space="preserve"> </w:t>
      </w:r>
      <w:r>
        <w:rPr>
          <w:rFonts w:hint="cs"/>
          <w:color w:val="222222"/>
          <w:rtl/>
        </w:rPr>
        <w:t xml:space="preserve">(16.6.11); </w:t>
      </w:r>
      <w:hyperlink r:id="rId25" w:history="1">
        <w:r w:rsidR="00FF1136" w:rsidRPr="00FF1136">
          <w:rPr>
            <w:color w:val="0000FF"/>
            <w:u w:val="single"/>
            <w:rtl/>
          </w:rPr>
          <w:t>רע"פ 3149/11</w:t>
        </w:r>
      </w:hyperlink>
      <w:r w:rsidR="00FF1136">
        <w:rPr>
          <w:rFonts w:hint="cs"/>
          <w:color w:val="222222"/>
          <w:rtl/>
        </w:rPr>
        <w:t xml:space="preserve"> </w:t>
      </w:r>
      <w:r>
        <w:rPr>
          <w:rFonts w:hint="cs"/>
          <w:b/>
          <w:bCs/>
          <w:color w:val="222222"/>
          <w:rtl/>
        </w:rPr>
        <w:t>בראנסי ראסם נ' מדינת ישראל</w:t>
      </w:r>
      <w:r w:rsidR="00FF1136">
        <w:rPr>
          <w:rFonts w:hint="cs"/>
          <w:color w:val="222222"/>
          <w:rtl/>
        </w:rPr>
        <w:t xml:space="preserve"> </w:t>
      </w:r>
      <w:r>
        <w:rPr>
          <w:rFonts w:hint="cs"/>
          <w:color w:val="222222"/>
          <w:rtl/>
        </w:rPr>
        <w:t xml:space="preserve">(15.5.11; </w:t>
      </w:r>
      <w:hyperlink r:id="rId26" w:history="1">
        <w:r w:rsidR="00FF1136" w:rsidRPr="00FF1136">
          <w:rPr>
            <w:color w:val="0000FF"/>
            <w:u w:val="single"/>
            <w:rtl/>
          </w:rPr>
          <w:t>רע"פ 2423/12</w:t>
        </w:r>
      </w:hyperlink>
      <w:r w:rsidR="00FF1136">
        <w:rPr>
          <w:rFonts w:hint="cs"/>
          <w:color w:val="222222"/>
          <w:rtl/>
        </w:rPr>
        <w:t xml:space="preserve"> </w:t>
      </w:r>
      <w:r>
        <w:rPr>
          <w:rFonts w:hint="cs"/>
          <w:b/>
          <w:bCs/>
          <w:color w:val="222222"/>
          <w:rtl/>
        </w:rPr>
        <w:t>שרון כהן נ' מדינת ישראל</w:t>
      </w:r>
      <w:r w:rsidR="00FF1136">
        <w:rPr>
          <w:rFonts w:hint="cs"/>
          <w:b/>
          <w:bCs/>
          <w:color w:val="222222"/>
          <w:rtl/>
        </w:rPr>
        <w:t xml:space="preserve"> </w:t>
      </w:r>
      <w:r>
        <w:rPr>
          <w:rFonts w:hint="cs"/>
          <w:color w:val="222222"/>
          <w:rtl/>
        </w:rPr>
        <w:t xml:space="preserve">(7.5.12); </w:t>
      </w:r>
      <w:hyperlink r:id="rId27" w:history="1">
        <w:r w:rsidR="00FF1136" w:rsidRPr="00FF1136">
          <w:rPr>
            <w:color w:val="0000FF"/>
            <w:u w:val="single"/>
            <w:rtl/>
          </w:rPr>
          <w:t>רע"פ 84/16</w:t>
        </w:r>
      </w:hyperlink>
      <w:r w:rsidR="00FF1136">
        <w:rPr>
          <w:rFonts w:hint="cs"/>
          <w:color w:val="222222"/>
          <w:rtl/>
        </w:rPr>
        <w:t xml:space="preserve"> </w:t>
      </w:r>
      <w:r>
        <w:rPr>
          <w:rFonts w:hint="cs"/>
          <w:b/>
          <w:bCs/>
          <w:color w:val="222222"/>
          <w:rtl/>
        </w:rPr>
        <w:t>יאסר בישר נ' מדינת ישראל</w:t>
      </w:r>
      <w:r w:rsidR="00FF1136">
        <w:rPr>
          <w:rFonts w:hint="cs"/>
          <w:color w:val="222222"/>
          <w:rtl/>
        </w:rPr>
        <w:t xml:space="preserve"> </w:t>
      </w:r>
      <w:r>
        <w:rPr>
          <w:rFonts w:hint="cs"/>
          <w:color w:val="222222"/>
          <w:rtl/>
        </w:rPr>
        <w:t>(2.2.16)).</w:t>
      </w:r>
    </w:p>
    <w:p w14:paraId="0D6605FF" w14:textId="77777777" w:rsidR="009E56C7" w:rsidRDefault="009E56C7" w:rsidP="009E56C7">
      <w:pPr>
        <w:spacing w:line="360" w:lineRule="auto"/>
        <w:ind w:left="720"/>
        <w:jc w:val="both"/>
        <w:rPr>
          <w:rtl/>
        </w:rPr>
      </w:pPr>
      <w:r>
        <w:rPr>
          <w:rFonts w:hint="cs"/>
          <w:color w:val="222222"/>
          <w:rtl/>
        </w:rPr>
        <w:t>בנהיגה ללא רישיון טמון אף סיכון</w:t>
      </w:r>
      <w:r w:rsidR="00FF1136">
        <w:rPr>
          <w:rFonts w:hint="cs"/>
          <w:color w:val="222222"/>
          <w:rtl/>
        </w:rPr>
        <w:t xml:space="preserve"> </w:t>
      </w:r>
      <w:r>
        <w:rPr>
          <w:rFonts w:hint="cs"/>
          <w:color w:val="222222"/>
          <w:rtl/>
        </w:rPr>
        <w:t xml:space="preserve"> לגרימת נזק כלכלי והערמת קשיים במימוש פיצויים בעקבות תאונות דרכים</w:t>
      </w:r>
      <w:r w:rsidR="00FF1136">
        <w:rPr>
          <w:rFonts w:hint="cs"/>
          <w:color w:val="222222"/>
          <w:rtl/>
        </w:rPr>
        <w:t xml:space="preserve"> </w:t>
      </w:r>
      <w:r>
        <w:rPr>
          <w:rFonts w:hint="cs"/>
          <w:color w:val="222222"/>
          <w:rtl/>
        </w:rPr>
        <w:t xml:space="preserve"> ככל שאלה יתרחשו עקב נהיגה בידי</w:t>
      </w:r>
      <w:r w:rsidR="00FF1136">
        <w:rPr>
          <w:rFonts w:hint="cs"/>
          <w:color w:val="222222"/>
          <w:rtl/>
        </w:rPr>
        <w:t xml:space="preserve"> </w:t>
      </w:r>
      <w:r>
        <w:rPr>
          <w:rFonts w:hint="cs"/>
          <w:color w:val="222222"/>
          <w:rtl/>
        </w:rPr>
        <w:t xml:space="preserve"> מי שאינו מורשה לכך (ראו </w:t>
      </w:r>
      <w:hyperlink r:id="rId28" w:history="1">
        <w:r w:rsidR="00FF1136" w:rsidRPr="00FF1136">
          <w:rPr>
            <w:color w:val="0000FF"/>
            <w:u w:val="single"/>
            <w:rtl/>
          </w:rPr>
          <w:t>רע"פ 665/11</w:t>
        </w:r>
      </w:hyperlink>
      <w:r w:rsidR="00FF1136">
        <w:rPr>
          <w:rFonts w:hint="cs"/>
          <w:color w:val="222222"/>
          <w:rtl/>
        </w:rPr>
        <w:t xml:space="preserve"> </w:t>
      </w:r>
      <w:r>
        <w:rPr>
          <w:rFonts w:hint="cs"/>
          <w:b/>
          <w:bCs/>
          <w:color w:val="222222"/>
          <w:rtl/>
        </w:rPr>
        <w:t>אבו עמאר נ' מדינת ישראל</w:t>
      </w:r>
      <w:r w:rsidR="00FF1136">
        <w:rPr>
          <w:rFonts w:hint="cs"/>
          <w:color w:val="222222"/>
          <w:rtl/>
        </w:rPr>
        <w:t xml:space="preserve"> </w:t>
      </w:r>
      <w:r>
        <w:rPr>
          <w:rFonts w:hint="cs"/>
          <w:color w:val="222222"/>
          <w:rtl/>
        </w:rPr>
        <w:t>(24.1.11)).</w:t>
      </w:r>
    </w:p>
    <w:p w14:paraId="1E00B186" w14:textId="77777777" w:rsidR="009E56C7" w:rsidRDefault="009E56C7" w:rsidP="009E56C7">
      <w:pPr>
        <w:spacing w:line="360" w:lineRule="auto"/>
        <w:jc w:val="both"/>
        <w:rPr>
          <w:rtl/>
        </w:rPr>
      </w:pPr>
    </w:p>
    <w:p w14:paraId="1BA729C3" w14:textId="77777777" w:rsidR="009E56C7" w:rsidRDefault="009E56C7" w:rsidP="009E56C7">
      <w:pPr>
        <w:spacing w:line="360" w:lineRule="auto"/>
        <w:ind w:firstLine="720"/>
        <w:jc w:val="both"/>
        <w:rPr>
          <w:b/>
          <w:bCs/>
          <w:u w:val="single"/>
          <w:rtl/>
        </w:rPr>
      </w:pPr>
      <w:r>
        <w:rPr>
          <w:rFonts w:hint="cs"/>
          <w:b/>
          <w:bCs/>
          <w:u w:val="single"/>
          <w:rtl/>
        </w:rPr>
        <w:t>נסיבות הקשורות בביצוע העבירות</w:t>
      </w:r>
    </w:p>
    <w:p w14:paraId="76F9EDA3" w14:textId="77777777" w:rsidR="009E56C7" w:rsidRDefault="009E56C7" w:rsidP="009E56C7">
      <w:pPr>
        <w:spacing w:line="360" w:lineRule="auto"/>
        <w:ind w:left="720" w:hanging="720"/>
        <w:jc w:val="both"/>
        <w:rPr>
          <w:rtl/>
        </w:rPr>
      </w:pPr>
      <w:r>
        <w:rPr>
          <w:rFonts w:hint="cs"/>
          <w:rtl/>
        </w:rPr>
        <w:t>13.</w:t>
      </w:r>
      <w:r w:rsidR="00FF1136">
        <w:rPr>
          <w:rFonts w:hint="cs"/>
          <w:rtl/>
        </w:rPr>
        <w:t xml:space="preserve">      </w:t>
      </w:r>
      <w:r>
        <w:rPr>
          <w:rFonts w:hint="cs"/>
          <w:rtl/>
        </w:rPr>
        <w:t xml:space="preserve"> </w:t>
      </w:r>
      <w:r>
        <w:rPr>
          <w:rFonts w:hint="cs"/>
          <w:rtl/>
        </w:rPr>
        <w:tab/>
        <w:t xml:space="preserve">הנאשם הורשע בשלוש עבירות של סחר בסם, בעבירה של עסקה אחרת בסם, בעבירה של החזקת סם שלא לצריכה עצמית ובעבירה של נהיגה ללא רישיון. </w:t>
      </w:r>
    </w:p>
    <w:p w14:paraId="6D1E7136" w14:textId="77777777" w:rsidR="009E56C7" w:rsidRDefault="009E56C7" w:rsidP="009E56C7">
      <w:pPr>
        <w:spacing w:line="360" w:lineRule="auto"/>
        <w:ind w:left="720"/>
        <w:jc w:val="both"/>
        <w:rPr>
          <w:rtl/>
        </w:rPr>
      </w:pPr>
      <w:r>
        <w:rPr>
          <w:rFonts w:hint="cs"/>
          <w:rtl/>
        </w:rPr>
        <w:t xml:space="preserve">שותפו של הנאשם לביצוע העבירות סיפק לו 35 אצבעות חשיש ו-20 כדורי אקסטזי, חלקם נמכרו ללקוחות בתקופה של מספר ימים לאחר מכן, ועד שנתפס הנאשם בידי המשטרה. </w:t>
      </w:r>
    </w:p>
    <w:p w14:paraId="43EA0D24" w14:textId="77777777" w:rsidR="009E56C7" w:rsidRDefault="009E56C7" w:rsidP="009E56C7">
      <w:pPr>
        <w:spacing w:line="360" w:lineRule="auto"/>
        <w:ind w:left="720"/>
        <w:jc w:val="both"/>
        <w:rPr>
          <w:rtl/>
        </w:rPr>
      </w:pPr>
      <w:r>
        <w:rPr>
          <w:rFonts w:hint="cs"/>
          <w:rtl/>
        </w:rPr>
        <w:t xml:space="preserve">הסמים נמכרו בתמורה של 100 ₪ לאצבע חשיש ו-50 ₪ לכדור אקסטזי. </w:t>
      </w:r>
    </w:p>
    <w:p w14:paraId="050706E8" w14:textId="77777777" w:rsidR="009E56C7" w:rsidRDefault="009E56C7" w:rsidP="009E56C7">
      <w:pPr>
        <w:spacing w:line="360" w:lineRule="auto"/>
        <w:ind w:left="720"/>
        <w:jc w:val="both"/>
        <w:rPr>
          <w:rtl/>
        </w:rPr>
      </w:pPr>
      <w:r>
        <w:rPr>
          <w:rFonts w:hint="cs"/>
          <w:rtl/>
        </w:rPr>
        <w:t xml:space="preserve">תמורת מכירת הסמים ללקוחות שונים, קיבל הנאשם סך 300 ₪ בכל יום, ואת יתרת רווחי הסמים העביר לידי שותפו. הנאשם סיפק סמים מסוג חשיש ואקסטזי ללקוחות באזור מגוריו, והחזיק בסמים אלה, במשך כחמישה ימים רצופים עד שנתפס.  </w:t>
      </w:r>
    </w:p>
    <w:p w14:paraId="79A0AA2D" w14:textId="77777777" w:rsidR="009E56C7" w:rsidRDefault="009E56C7" w:rsidP="009E56C7">
      <w:pPr>
        <w:spacing w:line="360" w:lineRule="auto"/>
        <w:ind w:left="720"/>
        <w:jc w:val="both"/>
        <w:rPr>
          <w:rtl/>
        </w:rPr>
      </w:pPr>
      <w:r>
        <w:rPr>
          <w:rFonts w:hint="cs"/>
          <w:rtl/>
        </w:rPr>
        <w:t xml:space="preserve">צרכני הסם הנם בגירים אשר יצרו קשר עם הנאשם באמצעות הטלפון הנייד אותו סיפק לו שותפו, ותיאמו עמו מקום מפגש למסירת הסם. </w:t>
      </w:r>
    </w:p>
    <w:p w14:paraId="23AD6D85" w14:textId="77777777" w:rsidR="009E56C7" w:rsidRDefault="009E56C7" w:rsidP="009E56C7">
      <w:pPr>
        <w:spacing w:line="360" w:lineRule="auto"/>
        <w:jc w:val="both"/>
        <w:rPr>
          <w:rtl/>
        </w:rPr>
      </w:pPr>
    </w:p>
    <w:p w14:paraId="4F4F53D1" w14:textId="77777777" w:rsidR="009E56C7" w:rsidRDefault="009E56C7" w:rsidP="009E56C7">
      <w:pPr>
        <w:spacing w:line="360" w:lineRule="auto"/>
        <w:ind w:left="720" w:hanging="720"/>
        <w:jc w:val="both"/>
        <w:rPr>
          <w:rtl/>
        </w:rPr>
      </w:pPr>
      <w:r>
        <w:rPr>
          <w:rFonts w:hint="cs"/>
          <w:rtl/>
        </w:rPr>
        <w:t>14.</w:t>
      </w:r>
      <w:r>
        <w:rPr>
          <w:rFonts w:hint="cs"/>
          <w:rtl/>
        </w:rPr>
        <w:tab/>
        <w:t>מדובר בעבירות הדורשות תכנון מוקדם, התארגנות ושימוש באמצעים, כמו גם חבירה לאחר, כשהנאשם הוא חלק חיוני במערך הפצת הסם. שימוש בסמים, ואפילו אלה המסווגים כקלים, עלול, כפי שנקבע בהחלטות ובפסקי דין רבים, לשבש את בריאותם ושגרת חייהם של הצרכנים, ליצור תלות והתמכרות, להביא להתדרדרות לשימוש בסמים קשים יותר, ולהשפיע באופן מובהק על תפקוד תעסוקתי, כלכלי וחברתי של המשתמשים, שהנם במקרים רבים צעירים בראשית דרכם.</w:t>
      </w:r>
    </w:p>
    <w:p w14:paraId="314F6439" w14:textId="77777777" w:rsidR="009E56C7" w:rsidRDefault="009E56C7" w:rsidP="009E56C7">
      <w:pPr>
        <w:spacing w:line="360" w:lineRule="auto"/>
        <w:ind w:left="720"/>
        <w:jc w:val="both"/>
        <w:rPr>
          <w:rtl/>
        </w:rPr>
      </w:pPr>
      <w:r>
        <w:rPr>
          <w:rFonts w:hint="cs"/>
          <w:rtl/>
        </w:rPr>
        <w:t>נקודת המוצא היא כי סחר בסמים מהווה פגיעה ממשית בערכים מוגנים של בריאות הציבור ושלומו הפיזי והנפשי, מפני הנזקים הישירים והעקיפים הנגרמים עקב השימוש בסמים.</w:t>
      </w:r>
    </w:p>
    <w:p w14:paraId="4DC4BCBE" w14:textId="77777777" w:rsidR="009E56C7" w:rsidRDefault="009E56C7" w:rsidP="009E56C7">
      <w:pPr>
        <w:spacing w:line="360" w:lineRule="auto"/>
        <w:ind w:left="720"/>
        <w:jc w:val="both"/>
        <w:rPr>
          <w:rtl/>
        </w:rPr>
      </w:pPr>
      <w:r>
        <w:rPr>
          <w:rFonts w:hint="cs"/>
          <w:rtl/>
        </w:rPr>
        <w:t>העבירות בוצעו על פני תקופה קצרה ביותר של מספר ימים.</w:t>
      </w:r>
    </w:p>
    <w:p w14:paraId="0F899D4B" w14:textId="77777777" w:rsidR="009E56C7" w:rsidRDefault="009E56C7" w:rsidP="009E56C7">
      <w:pPr>
        <w:spacing w:line="360" w:lineRule="auto"/>
        <w:ind w:left="720"/>
        <w:jc w:val="both"/>
        <w:rPr>
          <w:rtl/>
        </w:rPr>
      </w:pPr>
      <w:r>
        <w:rPr>
          <w:rFonts w:hint="cs"/>
          <w:rtl/>
        </w:rPr>
        <w:t xml:space="preserve">לשם ביצוע העבירות עשה הנאשם שימוש ברכבו, כאשר הוא נוהג בו ללא רישיון נהיגה, וכשהוא יוצר סיכון של ממש לבטיחות המשתמשים בדרך. הנאשם נהג ללא רישיון לאחר שרישיונו לא היה בתוקף, ולא חודש. </w:t>
      </w:r>
    </w:p>
    <w:p w14:paraId="2D63F8AD" w14:textId="77777777" w:rsidR="009E56C7" w:rsidRDefault="009E56C7" w:rsidP="009E56C7">
      <w:pPr>
        <w:spacing w:line="360" w:lineRule="auto"/>
        <w:ind w:left="720"/>
        <w:jc w:val="both"/>
        <w:rPr>
          <w:rtl/>
        </w:rPr>
      </w:pPr>
      <w:r>
        <w:rPr>
          <w:rFonts w:hint="cs"/>
          <w:rtl/>
        </w:rPr>
        <w:t xml:space="preserve">עת נתפס, נשא הנאשם ברשותו חשיש במשקל כולל של 73.34 נטו, וב-17 כדורי אקסטזי, שלא לצריכה עצמית, ואשר היה מיועדים להפצה לצרכני הסם. </w:t>
      </w:r>
    </w:p>
    <w:p w14:paraId="6F47C1B0" w14:textId="77777777" w:rsidR="009E56C7" w:rsidRDefault="009E56C7" w:rsidP="009E56C7">
      <w:pPr>
        <w:spacing w:line="360" w:lineRule="auto"/>
        <w:ind w:left="720"/>
        <w:jc w:val="both"/>
        <w:rPr>
          <w:rtl/>
        </w:rPr>
      </w:pPr>
      <w:r>
        <w:rPr>
          <w:rFonts w:hint="cs"/>
          <w:rtl/>
        </w:rPr>
        <w:t xml:space="preserve">הנאשם ציין בפני שירות המבחן כי נהג לעשות שימוש יום יומי בקנאביס, ושימוש חברתי באקסטזי, החל מגיל 18. </w:t>
      </w:r>
    </w:p>
    <w:p w14:paraId="2EDE69A9" w14:textId="77777777" w:rsidR="009E56C7" w:rsidRDefault="009E56C7" w:rsidP="009E56C7">
      <w:pPr>
        <w:spacing w:line="360" w:lineRule="auto"/>
        <w:ind w:left="720"/>
        <w:jc w:val="both"/>
        <w:rPr>
          <w:rtl/>
        </w:rPr>
      </w:pPr>
      <w:r>
        <w:rPr>
          <w:rFonts w:hint="cs"/>
          <w:rtl/>
        </w:rPr>
        <w:t xml:space="preserve">מדובר בסחר בסמים בהיקף מצומצם ובפגיעה בינונית, ושאיננה מהחריפות בערכים המוגנים. </w:t>
      </w:r>
    </w:p>
    <w:p w14:paraId="25884174" w14:textId="77777777" w:rsidR="009E56C7" w:rsidRDefault="009E56C7" w:rsidP="009E56C7">
      <w:pPr>
        <w:spacing w:line="360" w:lineRule="auto"/>
        <w:jc w:val="both"/>
        <w:rPr>
          <w:rtl/>
        </w:rPr>
      </w:pPr>
    </w:p>
    <w:p w14:paraId="7743B66F" w14:textId="77777777" w:rsidR="009E56C7" w:rsidRDefault="009E56C7" w:rsidP="009E56C7">
      <w:pPr>
        <w:spacing w:line="360" w:lineRule="auto"/>
        <w:ind w:left="720" w:hanging="720"/>
        <w:jc w:val="both"/>
        <w:rPr>
          <w:rtl/>
        </w:rPr>
      </w:pPr>
      <w:r>
        <w:rPr>
          <w:rFonts w:hint="cs"/>
          <w:rtl/>
        </w:rPr>
        <w:t>15.</w:t>
      </w:r>
      <w:r>
        <w:rPr>
          <w:rFonts w:hint="cs"/>
          <w:rtl/>
        </w:rPr>
        <w:tab/>
        <w:t>מקרא כתב האישום מלמד כי יש ממש בטענת ב"כ הנאשם על כך שהמעורב הנוסף, שותפו של הנאשם עבד, היה דומיננטי יחסית לנאשם, וכי חלקו של אותו אדם בעבירות, במדדים של יוזמה והיררכיה עבריינית, היה חלק גדול מזה של הנאשם. אמנם הנאשם היה הרוח החיה, ומי שהיה בפועל קובע עם הלקוחות ומבצע את העסקאות, ואולם עבד היה מי שסיפק לנאשם את הסמים, צייד אותו בטלפון "מבצעי", ואף היה מקבל לידיו את כספי הסמים, כשהוא מותיר בידי הנאשם תמורה קבועה של 300 ₪, כמעין עמלה או משכורת על פועלו בהפצת הסם. אמנם, התיק הפלילי נגד עבד הסתיים בהסדר טיעון, שכלל את תיקונו של כתב האישום לעבירת סיוע לסחר בסמים, אך כתב האישום כנגד הנאשם לא תוקן בהתאם, והאמור בו מבסס באופן מובהק את מעמדו המשני של הנאשם במזימה העבריינית לעומת אותו עבד. יצויין, ולכך אתייחס בהמשך, כי גם משפטו של עבד התקיים בפני, ובמשפט זה העיד הנאשם מטעם המאשימה טרם הוצג הסדר הטיעון. עדותו חיזקה את הרושם כי עבד היה הדומיננטי מבין השניים.</w:t>
      </w:r>
    </w:p>
    <w:p w14:paraId="7BBAC279" w14:textId="77777777" w:rsidR="009E56C7" w:rsidRDefault="009E56C7" w:rsidP="009E56C7">
      <w:pPr>
        <w:spacing w:line="360" w:lineRule="auto"/>
        <w:ind w:firstLine="720"/>
        <w:jc w:val="both"/>
        <w:rPr>
          <w:b/>
          <w:bCs/>
          <w:u w:val="single"/>
          <w:rtl/>
        </w:rPr>
      </w:pPr>
    </w:p>
    <w:p w14:paraId="46C3896D" w14:textId="77777777" w:rsidR="009E56C7" w:rsidRDefault="009E56C7" w:rsidP="009E56C7">
      <w:pPr>
        <w:spacing w:line="360" w:lineRule="auto"/>
        <w:ind w:firstLine="720"/>
        <w:jc w:val="both"/>
        <w:rPr>
          <w:b/>
          <w:bCs/>
          <w:u w:val="single"/>
          <w:rtl/>
        </w:rPr>
      </w:pPr>
      <w:r>
        <w:rPr>
          <w:rFonts w:hint="cs"/>
          <w:b/>
          <w:bCs/>
          <w:u w:val="single"/>
          <w:rtl/>
        </w:rPr>
        <w:t>מדיניות הענישה הנוהגת</w:t>
      </w:r>
    </w:p>
    <w:p w14:paraId="567C02F9" w14:textId="77777777" w:rsidR="009E56C7" w:rsidRDefault="009E56C7" w:rsidP="009E56C7">
      <w:pPr>
        <w:spacing w:line="360" w:lineRule="auto"/>
        <w:ind w:left="720" w:hanging="720"/>
        <w:jc w:val="both"/>
        <w:rPr>
          <w:rtl/>
        </w:rPr>
      </w:pPr>
      <w:r>
        <w:rPr>
          <w:rFonts w:hint="cs"/>
          <w:rtl/>
        </w:rPr>
        <w:t>16.</w:t>
      </w:r>
      <w:r w:rsidR="00FF1136">
        <w:rPr>
          <w:rFonts w:hint="cs"/>
          <w:rtl/>
        </w:rPr>
        <w:t xml:space="preserve">      </w:t>
      </w:r>
      <w:r>
        <w:rPr>
          <w:rFonts w:hint="cs"/>
          <w:rtl/>
        </w:rPr>
        <w:t xml:space="preserve"> </w:t>
      </w:r>
      <w:r>
        <w:rPr>
          <w:rFonts w:hint="cs"/>
          <w:rtl/>
        </w:rPr>
        <w:tab/>
        <w:t xml:space="preserve">ככלל, עבירת סחר בסמים מכתיבה מתחם עונשי הכולל מאסר. במקרים דומים שנדונו בפניי בשנים האחרונות, שעניינם סחר בסמים בהיקפים מצומצמים ובמקרים ספורים, קבעתי כי מתחם העונש נע בין שישה חודשי מאסר בעבודות שרות לכ-15 חודשי מאסר בפועל. </w:t>
      </w:r>
    </w:p>
    <w:p w14:paraId="6E8AE545" w14:textId="77777777" w:rsidR="009E56C7" w:rsidRDefault="00FF1136" w:rsidP="009E56C7">
      <w:pPr>
        <w:spacing w:line="360" w:lineRule="auto"/>
        <w:ind w:left="720" w:hanging="720"/>
        <w:jc w:val="both"/>
        <w:rPr>
          <w:rtl/>
        </w:rPr>
      </w:pPr>
      <w:r>
        <w:rPr>
          <w:rFonts w:hint="cs"/>
          <w:rtl/>
        </w:rPr>
        <w:t xml:space="preserve">      </w:t>
      </w:r>
      <w:r w:rsidR="009E56C7">
        <w:rPr>
          <w:rFonts w:hint="cs"/>
          <w:rtl/>
        </w:rPr>
        <w:t xml:space="preserve"> </w:t>
      </w:r>
      <w:r w:rsidR="009E56C7">
        <w:rPr>
          <w:rFonts w:hint="cs"/>
          <w:rtl/>
        </w:rPr>
        <w:tab/>
        <w:t xml:space="preserve">בחינת מדיניות הענישה מעלה קשת רחבה של עונשים החל ממאסר על תנאי וכלה במאסרים מאחורי סורג ובריח לתקופות קצרות כארוכות, תלוי בנסיבות כל מקרה ומקרה, בכמויות הסם, סוג הסם וכד'. </w:t>
      </w:r>
    </w:p>
    <w:p w14:paraId="618A6799" w14:textId="77777777" w:rsidR="009E56C7" w:rsidRDefault="00FF1136" w:rsidP="009E56C7">
      <w:pPr>
        <w:spacing w:line="360" w:lineRule="auto"/>
        <w:jc w:val="both"/>
        <w:rPr>
          <w:u w:val="single"/>
          <w:rtl/>
        </w:rPr>
      </w:pPr>
      <w:r>
        <w:rPr>
          <w:rFonts w:hint="cs"/>
          <w:rtl/>
        </w:rPr>
        <w:t xml:space="preserve">           </w:t>
      </w:r>
      <w:r w:rsidR="009E56C7">
        <w:rPr>
          <w:rFonts w:hint="cs"/>
          <w:rtl/>
        </w:rPr>
        <w:t xml:space="preserve"> </w:t>
      </w:r>
      <w:r w:rsidR="009E56C7">
        <w:rPr>
          <w:rFonts w:hint="cs"/>
          <w:u w:val="single"/>
          <w:rtl/>
        </w:rPr>
        <w:t>ב"כ המאשימה הפנתה, בין היתר, לפסקי-הדין הבאים:</w:t>
      </w:r>
    </w:p>
    <w:p w14:paraId="15B54934" w14:textId="77777777" w:rsidR="009E56C7" w:rsidRDefault="009E56C7" w:rsidP="009E56C7">
      <w:pPr>
        <w:spacing w:line="360" w:lineRule="auto"/>
        <w:ind w:left="1440" w:hanging="720"/>
        <w:contextualSpacing/>
        <w:jc w:val="both"/>
        <w:rPr>
          <w:rtl/>
        </w:rPr>
      </w:pPr>
      <w:r>
        <w:rPr>
          <w:rFonts w:hint="cs"/>
          <w:rtl/>
        </w:rPr>
        <w:t>א.</w:t>
      </w:r>
      <w:r w:rsidR="00FF1136">
        <w:rPr>
          <w:rFonts w:hint="cs"/>
          <w:rtl/>
        </w:rPr>
        <w:t xml:space="preserve">        </w:t>
      </w:r>
      <w:r>
        <w:rPr>
          <w:rFonts w:hint="cs"/>
          <w:rtl/>
        </w:rPr>
        <w:t xml:space="preserve"> </w:t>
      </w:r>
      <w:r>
        <w:rPr>
          <w:rFonts w:hint="cs"/>
          <w:rtl/>
        </w:rPr>
        <w:tab/>
      </w:r>
      <w:hyperlink r:id="rId29" w:history="1">
        <w:r w:rsidR="00FF1136" w:rsidRPr="00FF1136">
          <w:rPr>
            <w:color w:val="0000FF"/>
            <w:u w:val="single"/>
            <w:rtl/>
          </w:rPr>
          <w:t>רע"פ 126/15</w:t>
        </w:r>
      </w:hyperlink>
      <w:r>
        <w:rPr>
          <w:rFonts w:hint="cs"/>
          <w:rtl/>
        </w:rPr>
        <w:t xml:space="preserve"> </w:t>
      </w:r>
      <w:r>
        <w:rPr>
          <w:rFonts w:hint="cs"/>
          <w:b/>
          <w:bCs/>
          <w:rtl/>
        </w:rPr>
        <w:t>טל חביף נ' מדינת ישראל</w:t>
      </w:r>
      <w:r>
        <w:rPr>
          <w:rFonts w:hint="cs"/>
          <w:rtl/>
        </w:rPr>
        <w:t xml:space="preserve"> (13.1.15), שם אושר מתחם עונש הולם הנע בין 8 ל-18 חודשים בגין כל אירוע של מכירת סמים, שאף נקבע כמתחם מתון. דובר במבקש שסחר בקוקאין</w:t>
      </w:r>
      <w:r>
        <w:rPr>
          <w:rFonts w:hint="cs"/>
          <w:b/>
          <w:bCs/>
          <w:rtl/>
        </w:rPr>
        <w:t>,</w:t>
      </w:r>
      <w:r>
        <w:rPr>
          <w:rFonts w:hint="cs"/>
          <w:rtl/>
        </w:rPr>
        <w:t xml:space="preserve"> במספר הזדמנויות, לסוכן משטרתי. למבקש עבר פלילי מכביד וניסיונות גמילה מסמים בעבר לא צלחו. הוטלו עליו </w:t>
      </w:r>
      <w:r>
        <w:rPr>
          <w:rFonts w:hint="cs"/>
          <w:b/>
          <w:bCs/>
          <w:rtl/>
        </w:rPr>
        <w:t>16 חודשי מאסר בפועל, הופעל עונש מאסר על-תנאי, בן 4 חודשים, במצטבר, ורכיבי ענישה נוספים</w:t>
      </w:r>
      <w:r>
        <w:rPr>
          <w:rFonts w:hint="cs"/>
          <w:rtl/>
        </w:rPr>
        <w:t xml:space="preserve">. ערעורו לבית-המשפט המחוזי ובקשת רשות ערעור, נדחו. </w:t>
      </w:r>
    </w:p>
    <w:p w14:paraId="66C60397" w14:textId="77777777" w:rsidR="009E56C7" w:rsidRDefault="009E56C7" w:rsidP="009E56C7">
      <w:pPr>
        <w:spacing w:line="360" w:lineRule="auto"/>
        <w:ind w:left="1440" w:hanging="720"/>
        <w:jc w:val="both"/>
        <w:rPr>
          <w:rtl/>
        </w:rPr>
      </w:pPr>
    </w:p>
    <w:p w14:paraId="55849E6E" w14:textId="77777777" w:rsidR="009E56C7" w:rsidRDefault="009E56C7" w:rsidP="009E56C7">
      <w:pPr>
        <w:spacing w:line="360" w:lineRule="auto"/>
        <w:ind w:left="1440" w:hanging="720"/>
        <w:jc w:val="both"/>
        <w:rPr>
          <w:rtl/>
        </w:rPr>
      </w:pPr>
      <w:r>
        <w:rPr>
          <w:rFonts w:hint="cs"/>
          <w:rtl/>
        </w:rPr>
        <w:t>ב.</w:t>
      </w:r>
      <w:r w:rsidR="00FF1136">
        <w:rPr>
          <w:rFonts w:hint="cs"/>
          <w:rtl/>
        </w:rPr>
        <w:t xml:space="preserve">        </w:t>
      </w:r>
      <w:r>
        <w:rPr>
          <w:rFonts w:hint="cs"/>
          <w:rtl/>
        </w:rPr>
        <w:tab/>
      </w:r>
      <w:hyperlink r:id="rId30" w:history="1">
        <w:r w:rsidR="00FF1136" w:rsidRPr="00FF1136">
          <w:rPr>
            <w:color w:val="0000FF"/>
            <w:u w:val="single"/>
            <w:rtl/>
          </w:rPr>
          <w:t>רע"פ 7996/12</w:t>
        </w:r>
      </w:hyperlink>
      <w:r>
        <w:rPr>
          <w:rFonts w:hint="cs"/>
          <w:rtl/>
        </w:rPr>
        <w:t xml:space="preserve"> </w:t>
      </w:r>
      <w:r>
        <w:rPr>
          <w:rFonts w:hint="cs"/>
          <w:b/>
          <w:bCs/>
          <w:rtl/>
        </w:rPr>
        <w:t>אליהו יוסף נ' מדינת ישראל</w:t>
      </w:r>
      <w:r>
        <w:rPr>
          <w:rFonts w:hint="cs"/>
          <w:rtl/>
        </w:rPr>
        <w:t xml:space="preserve"> (23.1.13), אליו הפנה ב"כ המאשימה, שם המבקש, צעיר ללא עבר פלילי, הורשע בשלושה מקרי סחר בחשיש, ובהחזקה לצריכה עצמית של קוקאין, </w:t>
      </w:r>
      <w:r>
        <w:rPr>
          <w:rFonts w:hint="cs"/>
          <w:b/>
          <w:bCs/>
          <w:rtl/>
        </w:rPr>
        <w:t>ונגזרו עליו 21 חודשי מאסר בפועל</w:t>
      </w:r>
      <w:r>
        <w:rPr>
          <w:rFonts w:hint="cs"/>
          <w:rtl/>
        </w:rPr>
        <w:t>. ערעור ובקשת רשות ערעור נדחו.</w:t>
      </w:r>
      <w:r w:rsidR="00FF1136">
        <w:rPr>
          <w:rFonts w:hint="cs"/>
          <w:rtl/>
        </w:rPr>
        <w:t xml:space="preserve"> </w:t>
      </w:r>
    </w:p>
    <w:p w14:paraId="5BBED559" w14:textId="77777777" w:rsidR="009E56C7" w:rsidRDefault="009E56C7" w:rsidP="009E56C7">
      <w:pPr>
        <w:spacing w:line="360" w:lineRule="auto"/>
        <w:ind w:left="1440" w:hanging="720"/>
        <w:jc w:val="both"/>
        <w:rPr>
          <w:rtl/>
        </w:rPr>
      </w:pPr>
    </w:p>
    <w:p w14:paraId="430BAD0B" w14:textId="77777777" w:rsidR="009E56C7" w:rsidRDefault="009E56C7" w:rsidP="009E56C7">
      <w:pPr>
        <w:spacing w:line="360" w:lineRule="auto"/>
        <w:ind w:left="1440" w:hanging="720"/>
        <w:jc w:val="both"/>
        <w:rPr>
          <w:rtl/>
        </w:rPr>
      </w:pPr>
      <w:r>
        <w:rPr>
          <w:rFonts w:hint="cs"/>
          <w:rtl/>
        </w:rPr>
        <w:t>ג.</w:t>
      </w:r>
      <w:r>
        <w:rPr>
          <w:rFonts w:hint="cs"/>
          <w:rtl/>
        </w:rPr>
        <w:tab/>
      </w:r>
      <w:hyperlink r:id="rId31" w:history="1">
        <w:r w:rsidR="00FF1136" w:rsidRPr="00FF1136">
          <w:rPr>
            <w:color w:val="0000FF"/>
            <w:u w:val="single"/>
            <w:rtl/>
          </w:rPr>
          <w:t>ת"פ (ק"ש) 40639-10-17</w:t>
        </w:r>
      </w:hyperlink>
      <w:r>
        <w:rPr>
          <w:rFonts w:hint="cs"/>
          <w:rtl/>
        </w:rPr>
        <w:t xml:space="preserve"> </w:t>
      </w:r>
      <w:r>
        <w:rPr>
          <w:rFonts w:hint="cs"/>
          <w:b/>
          <w:bCs/>
          <w:rtl/>
        </w:rPr>
        <w:t>מדינת ישראל נגד מוחמד בובו</w:t>
      </w:r>
      <w:r>
        <w:rPr>
          <w:rFonts w:hint="cs"/>
          <w:rtl/>
        </w:rPr>
        <w:t xml:space="preserve"> (17.05.18), שניתן על-ידי הח"מ, ואליו הפנו הן ב"כ המאשימה והן ב"כ הנאשם, נמצא כי מתחם הענישה שראוי לאירוע מצומצם של סחר בסמים בטלגראס, ללא סממנים עברייניים מחמירים, נע בין </w:t>
      </w:r>
      <w:r>
        <w:rPr>
          <w:rFonts w:hint="cs"/>
          <w:b/>
          <w:bCs/>
          <w:rtl/>
        </w:rPr>
        <w:t>שישה ועד 15 חודשי מאסר</w:t>
      </w:r>
      <w:r>
        <w:rPr>
          <w:rFonts w:hint="cs"/>
          <w:rtl/>
        </w:rPr>
        <w:t xml:space="preserve">, וכי ניתן להטיל במקרים המתאימים עבודות שרות. אותו נאשם שם, צעיר ללא עבר פלילי, עם תסקיר חיובי, נדון </w:t>
      </w:r>
      <w:r>
        <w:rPr>
          <w:rFonts w:hint="cs"/>
          <w:b/>
          <w:bCs/>
          <w:rtl/>
        </w:rPr>
        <w:t>לשישה חודשי עבודות שרות</w:t>
      </w:r>
      <w:r>
        <w:rPr>
          <w:rFonts w:hint="cs"/>
          <w:rtl/>
        </w:rPr>
        <w:t>.</w:t>
      </w:r>
    </w:p>
    <w:p w14:paraId="31FA668C" w14:textId="77777777" w:rsidR="009E56C7" w:rsidRDefault="009E56C7" w:rsidP="009E56C7">
      <w:pPr>
        <w:spacing w:line="360" w:lineRule="auto"/>
        <w:ind w:left="1440" w:hanging="720"/>
        <w:jc w:val="both"/>
        <w:rPr>
          <w:rtl/>
        </w:rPr>
      </w:pPr>
    </w:p>
    <w:p w14:paraId="6E3CE3BF" w14:textId="77777777" w:rsidR="009E56C7" w:rsidRDefault="009E56C7" w:rsidP="009E56C7">
      <w:pPr>
        <w:spacing w:line="360" w:lineRule="auto"/>
        <w:ind w:left="1440" w:hanging="720"/>
        <w:jc w:val="both"/>
      </w:pPr>
      <w:r>
        <w:rPr>
          <w:rFonts w:hint="cs"/>
          <w:rtl/>
        </w:rPr>
        <w:t>ד.</w:t>
      </w:r>
      <w:r>
        <w:rPr>
          <w:rFonts w:hint="cs"/>
          <w:rtl/>
        </w:rPr>
        <w:tab/>
      </w:r>
      <w:hyperlink r:id="rId32" w:history="1">
        <w:r w:rsidR="00FF1136" w:rsidRPr="00FF1136">
          <w:rPr>
            <w:color w:val="0000FF"/>
            <w:u w:val="single"/>
            <w:rtl/>
          </w:rPr>
          <w:t>ע"פ (חיפה) 7319-08-12</w:t>
        </w:r>
      </w:hyperlink>
      <w:r>
        <w:rPr>
          <w:rFonts w:hint="cs"/>
          <w:rtl/>
        </w:rPr>
        <w:t xml:space="preserve"> </w:t>
      </w:r>
      <w:r>
        <w:rPr>
          <w:rFonts w:hint="cs"/>
          <w:b/>
          <w:bCs/>
          <w:rtl/>
        </w:rPr>
        <w:t xml:space="preserve">אבישי סבח נגד מדינת ישראל </w:t>
      </w:r>
      <w:r>
        <w:rPr>
          <w:rFonts w:hint="cs"/>
          <w:rtl/>
        </w:rPr>
        <w:t xml:space="preserve">(25.10.12), אליו הפנה ב"כ המאשימה, שם המערער הודה והורשע בשתי עבירות של סחר בסם מסוכן מסוג חשיש. </w:t>
      </w:r>
      <w:r>
        <w:rPr>
          <w:rFonts w:hint="cs"/>
          <w:b/>
          <w:bCs/>
          <w:rtl/>
        </w:rPr>
        <w:t>בית המשפט גזר עליו 18 חודשי מאסר לריצוי בפועל</w:t>
      </w:r>
      <w:r>
        <w:rPr>
          <w:rFonts w:hint="cs"/>
          <w:rtl/>
        </w:rPr>
        <w:t>. ערעורו לבית המשפט המחוזי נדחה.</w:t>
      </w:r>
    </w:p>
    <w:p w14:paraId="30F9FCE4" w14:textId="77777777" w:rsidR="009E56C7" w:rsidRDefault="009E56C7" w:rsidP="009E56C7">
      <w:pPr>
        <w:spacing w:line="360" w:lineRule="auto"/>
        <w:ind w:left="1440" w:hanging="720"/>
        <w:jc w:val="both"/>
        <w:rPr>
          <w:rtl/>
        </w:rPr>
      </w:pPr>
    </w:p>
    <w:p w14:paraId="01677CE4" w14:textId="77777777" w:rsidR="009E56C7" w:rsidRDefault="009E56C7" w:rsidP="009E56C7">
      <w:pPr>
        <w:spacing w:line="360" w:lineRule="auto"/>
        <w:ind w:left="1440" w:hanging="720"/>
        <w:jc w:val="both"/>
        <w:rPr>
          <w:rtl/>
        </w:rPr>
      </w:pPr>
      <w:r>
        <w:rPr>
          <w:rFonts w:hint="cs"/>
          <w:rtl/>
        </w:rPr>
        <w:t>ה.</w:t>
      </w:r>
      <w:r>
        <w:rPr>
          <w:rFonts w:hint="cs"/>
          <w:rtl/>
        </w:rPr>
        <w:tab/>
      </w:r>
      <w:hyperlink r:id="rId33" w:history="1">
        <w:r w:rsidR="00FF1136" w:rsidRPr="00FF1136">
          <w:rPr>
            <w:color w:val="0000FF"/>
            <w:u w:val="single"/>
            <w:rtl/>
          </w:rPr>
          <w:t>עפ"ג (ב"ש) 31724-10-13</w:t>
        </w:r>
      </w:hyperlink>
      <w:r w:rsidR="00FF1136">
        <w:rPr>
          <w:rFonts w:hint="cs"/>
          <w:color w:val="222222"/>
          <w:rtl/>
        </w:rPr>
        <w:t xml:space="preserve"> </w:t>
      </w:r>
      <w:r>
        <w:rPr>
          <w:rFonts w:hint="cs"/>
          <w:b/>
          <w:bCs/>
          <w:color w:val="222222"/>
          <w:rtl/>
        </w:rPr>
        <w:t>מלכם נ' מדינת ישראל</w:t>
      </w:r>
      <w:r w:rsidR="00FF1136">
        <w:rPr>
          <w:rFonts w:hint="cs"/>
          <w:color w:val="222222"/>
          <w:rtl/>
        </w:rPr>
        <w:t xml:space="preserve"> </w:t>
      </w:r>
      <w:r>
        <w:rPr>
          <w:rFonts w:hint="cs"/>
          <w:color w:val="222222"/>
          <w:rtl/>
        </w:rPr>
        <w:t>(8.1.14), גם אליו הפנה ב"כ המאשימה, המערער הורשע בארבע עבירות של סחר בסמים ובעבירה של החזקת סמים שלא לצריכה עצמית, לאחר שמכר לסוכן משטרתי חשיש בכמויות שונות. הוטלו עליו 32 חודשי מאסר בפועל, מאסרים מותנים, פסילת רישיון והתחייבות. זאת, לאחר שנקבע מתחם עונש הולם הנע בין 6 ל-18 חודשי מאסר, והוטלו 8 חודשים בגין כל אירוע סחר, שיצטברו זה לזה. בהתחשב בעברו הפלילי שאינו מכביד, קבע בית המשפט המחוזי כי בית-המשפט החמיר עם המערער, והעמיד את עונשו על</w:t>
      </w:r>
      <w:r w:rsidR="00FF1136">
        <w:rPr>
          <w:rFonts w:hint="cs"/>
          <w:color w:val="222222"/>
          <w:rtl/>
        </w:rPr>
        <w:t xml:space="preserve"> </w:t>
      </w:r>
      <w:r>
        <w:rPr>
          <w:rFonts w:hint="cs"/>
          <w:b/>
          <w:bCs/>
          <w:color w:val="222222"/>
          <w:rtl/>
        </w:rPr>
        <w:t>22 חודשי מאסר בפועל</w:t>
      </w:r>
      <w:r>
        <w:rPr>
          <w:rFonts w:hint="cs"/>
          <w:color w:val="222222"/>
          <w:rtl/>
        </w:rPr>
        <w:t>.</w:t>
      </w:r>
      <w:r w:rsidR="00FF1136">
        <w:rPr>
          <w:rFonts w:hint="cs"/>
          <w:color w:val="222222"/>
          <w:rtl/>
        </w:rPr>
        <w:t xml:space="preserve"> </w:t>
      </w:r>
    </w:p>
    <w:p w14:paraId="7A2EE3EF" w14:textId="77777777" w:rsidR="009E56C7" w:rsidRDefault="009E56C7" w:rsidP="009E56C7">
      <w:pPr>
        <w:spacing w:line="360" w:lineRule="auto"/>
        <w:ind w:left="1440" w:hanging="720"/>
        <w:jc w:val="both"/>
        <w:rPr>
          <w:rtl/>
        </w:rPr>
      </w:pPr>
    </w:p>
    <w:p w14:paraId="73EB2F00" w14:textId="77777777" w:rsidR="009E56C7" w:rsidRDefault="009E56C7" w:rsidP="009E56C7">
      <w:pPr>
        <w:spacing w:line="360" w:lineRule="auto"/>
        <w:ind w:left="1440" w:hanging="720"/>
        <w:jc w:val="both"/>
      </w:pPr>
      <w:r>
        <w:rPr>
          <w:rFonts w:hint="cs"/>
          <w:rtl/>
        </w:rPr>
        <w:t>ו.</w:t>
      </w:r>
      <w:r>
        <w:rPr>
          <w:rFonts w:hint="cs"/>
          <w:rtl/>
        </w:rPr>
        <w:tab/>
      </w:r>
      <w:hyperlink r:id="rId34" w:history="1">
        <w:r w:rsidR="00FF1136" w:rsidRPr="00FF1136">
          <w:rPr>
            <w:color w:val="0000FF"/>
            <w:u w:val="single"/>
            <w:rtl/>
          </w:rPr>
          <w:t>רע"פ 3627/13</w:t>
        </w:r>
      </w:hyperlink>
      <w:r>
        <w:rPr>
          <w:rFonts w:hint="cs"/>
          <w:rtl/>
        </w:rPr>
        <w:t xml:space="preserve"> </w:t>
      </w:r>
      <w:r>
        <w:rPr>
          <w:rFonts w:hint="cs"/>
          <w:b/>
          <w:bCs/>
          <w:rtl/>
        </w:rPr>
        <w:t>ארן שדה נגד מדינת ישראל (22.05.13)</w:t>
      </w:r>
      <w:r>
        <w:rPr>
          <w:rFonts w:hint="cs"/>
          <w:rtl/>
        </w:rPr>
        <w:t>, המבקש הורשע בבית המשפט השלום בשתי עבירות של סחר בסם מסוכן מסוג קנבוס, במשקל 0.87 ו- 1 גרם. למבקש עבר פלילי ולא שיתף פעולה עם שרות המבחן. בית המשפט השית עליו</w:t>
      </w:r>
      <w:r>
        <w:rPr>
          <w:rFonts w:hint="cs"/>
          <w:b/>
          <w:bCs/>
          <w:rtl/>
        </w:rPr>
        <w:t xml:space="preserve"> 7 חודשי מאסר בפועל</w:t>
      </w:r>
      <w:r>
        <w:rPr>
          <w:rFonts w:hint="cs"/>
          <w:rtl/>
        </w:rPr>
        <w:t>, מאסר על תנאי, קנס ופסילה.</w:t>
      </w:r>
    </w:p>
    <w:p w14:paraId="2076FD07" w14:textId="77777777" w:rsidR="009E56C7" w:rsidRDefault="009E56C7" w:rsidP="009E56C7">
      <w:pPr>
        <w:spacing w:line="360" w:lineRule="auto"/>
        <w:ind w:left="1440" w:hanging="720"/>
        <w:jc w:val="both"/>
        <w:rPr>
          <w:rtl/>
        </w:rPr>
      </w:pPr>
    </w:p>
    <w:p w14:paraId="0FD5A9EC" w14:textId="77777777" w:rsidR="009E56C7" w:rsidRDefault="009E56C7" w:rsidP="009E56C7">
      <w:pPr>
        <w:spacing w:line="360" w:lineRule="auto"/>
        <w:ind w:left="1440" w:hanging="720"/>
        <w:jc w:val="both"/>
        <w:rPr>
          <w:u w:val="single"/>
          <w:rtl/>
        </w:rPr>
      </w:pPr>
      <w:r>
        <w:rPr>
          <w:rFonts w:hint="cs"/>
          <w:u w:val="single"/>
          <w:rtl/>
        </w:rPr>
        <w:t>ב"כ הנאשם הפנה לפסקי-הדין הבאים:</w:t>
      </w:r>
    </w:p>
    <w:p w14:paraId="12E474F0" w14:textId="77777777" w:rsidR="009E56C7" w:rsidRDefault="00FF1136" w:rsidP="009E56C7">
      <w:pPr>
        <w:pStyle w:val="a9"/>
        <w:numPr>
          <w:ilvl w:val="0"/>
          <w:numId w:val="1"/>
        </w:numPr>
        <w:spacing w:line="360" w:lineRule="auto"/>
        <w:jc w:val="both"/>
        <w:rPr>
          <w:rFonts w:ascii="David" w:hAnsi="David" w:cs="David"/>
          <w:sz w:val="24"/>
          <w:szCs w:val="24"/>
          <w:rtl/>
        </w:rPr>
      </w:pPr>
      <w:hyperlink r:id="rId35" w:history="1">
        <w:r w:rsidRPr="00FF1136">
          <w:rPr>
            <w:rFonts w:ascii="David" w:hAnsi="David" w:cs="David"/>
            <w:color w:val="0000FF"/>
            <w:sz w:val="24"/>
            <w:szCs w:val="24"/>
            <w:u w:val="single"/>
            <w:rtl/>
          </w:rPr>
          <w:t>ת"פ (ק"ש) 39343-03-18</w:t>
        </w:r>
      </w:hyperlink>
      <w:r w:rsidR="009E56C7">
        <w:rPr>
          <w:rFonts w:ascii="David" w:hAnsi="David" w:cs="David"/>
          <w:sz w:val="24"/>
          <w:szCs w:val="24"/>
          <w:rtl/>
        </w:rPr>
        <w:t xml:space="preserve"> </w:t>
      </w:r>
      <w:r w:rsidR="009E56C7">
        <w:rPr>
          <w:rFonts w:ascii="David" w:hAnsi="David" w:cs="David"/>
          <w:b/>
          <w:bCs/>
          <w:sz w:val="24"/>
          <w:szCs w:val="24"/>
          <w:rtl/>
        </w:rPr>
        <w:t>מדינת ישראל נ' תרשיחאני</w:t>
      </w:r>
      <w:r w:rsidR="009E56C7">
        <w:rPr>
          <w:rFonts w:ascii="David" w:hAnsi="David" w:cs="David"/>
          <w:sz w:val="24"/>
          <w:szCs w:val="24"/>
          <w:rtl/>
        </w:rPr>
        <w:t xml:space="preserve"> (2.1.20, בעניינו של נאשם 2) – שנדון בפניי, שם הנאשם 2 הורשע בעבירות רבות של סחר בקנאביס, וניסיון סחר בקנאביס, באמצעות אפליקציית ה"טלגראס", בכמויות של בין 5 ל-10 גרם. קבעתי, כי בהתחשב בריבוי המקרים, ובתקופה הקצרה על פניה בוצעו העבירות, ינוע מתחם העונש ההולם בין </w:t>
      </w:r>
      <w:r w:rsidR="009E56C7">
        <w:rPr>
          <w:rFonts w:ascii="David" w:hAnsi="David" w:cs="David"/>
          <w:b/>
          <w:bCs/>
          <w:sz w:val="24"/>
          <w:szCs w:val="24"/>
          <w:rtl/>
        </w:rPr>
        <w:t>תשעה חודשי מאסר</w:t>
      </w:r>
      <w:r w:rsidR="009E56C7">
        <w:rPr>
          <w:rFonts w:ascii="David" w:hAnsi="David" w:cs="David"/>
          <w:sz w:val="24"/>
          <w:szCs w:val="24"/>
          <w:rtl/>
        </w:rPr>
        <w:t xml:space="preserve"> </w:t>
      </w:r>
      <w:r w:rsidR="009E56C7">
        <w:rPr>
          <w:rFonts w:ascii="David" w:hAnsi="David" w:cs="David"/>
          <w:b/>
          <w:bCs/>
          <w:sz w:val="24"/>
          <w:szCs w:val="24"/>
          <w:rtl/>
        </w:rPr>
        <w:t>שיכול וירוצו בעבודות שירות ובין 26 חודשי מאסר בפועל</w:t>
      </w:r>
      <w:r w:rsidR="009E56C7">
        <w:rPr>
          <w:rFonts w:ascii="David" w:hAnsi="David" w:cs="David"/>
          <w:sz w:val="24"/>
          <w:szCs w:val="24"/>
          <w:rtl/>
        </w:rPr>
        <w:t xml:space="preserve">, והעמדתי את עונשו של הנאשם 2, צעיר ללא עבר פלילי, על </w:t>
      </w:r>
      <w:r w:rsidR="009E56C7">
        <w:rPr>
          <w:rFonts w:ascii="David" w:hAnsi="David" w:cs="David"/>
          <w:b/>
          <w:bCs/>
          <w:sz w:val="24"/>
          <w:szCs w:val="24"/>
          <w:rtl/>
        </w:rPr>
        <w:t>9 חודשי מאסר בעבודות שירות בצירוף צו מבחן ועונשים נלויים</w:t>
      </w:r>
      <w:r w:rsidR="009E56C7">
        <w:rPr>
          <w:rFonts w:ascii="David" w:hAnsi="David" w:cs="David"/>
          <w:sz w:val="24"/>
          <w:szCs w:val="24"/>
          <w:rtl/>
        </w:rPr>
        <w:t xml:space="preserve">.  </w:t>
      </w:r>
    </w:p>
    <w:p w14:paraId="6166E97C" w14:textId="77777777" w:rsidR="009E56C7" w:rsidRDefault="009E56C7" w:rsidP="009E56C7">
      <w:pPr>
        <w:pStyle w:val="a9"/>
        <w:spacing w:line="360" w:lineRule="auto"/>
        <w:ind w:left="1410"/>
        <w:jc w:val="both"/>
        <w:rPr>
          <w:rFonts w:ascii="David" w:hAnsi="David" w:cs="David"/>
          <w:sz w:val="24"/>
          <w:szCs w:val="24"/>
          <w:rtl/>
        </w:rPr>
      </w:pPr>
    </w:p>
    <w:p w14:paraId="44183322" w14:textId="77777777" w:rsidR="009E56C7" w:rsidRDefault="00FF1136" w:rsidP="009E56C7">
      <w:pPr>
        <w:pStyle w:val="a9"/>
        <w:numPr>
          <w:ilvl w:val="0"/>
          <w:numId w:val="1"/>
        </w:numPr>
        <w:spacing w:line="360" w:lineRule="auto"/>
        <w:jc w:val="both"/>
        <w:rPr>
          <w:rFonts w:ascii="David" w:hAnsi="David" w:cs="David"/>
          <w:sz w:val="24"/>
          <w:szCs w:val="24"/>
        </w:rPr>
      </w:pPr>
      <w:hyperlink r:id="rId36" w:history="1">
        <w:r w:rsidRPr="00FF1136">
          <w:rPr>
            <w:rFonts w:ascii="David" w:eastAsia="Times New Roman" w:hAnsi="David" w:cs="David"/>
            <w:color w:val="0000FF"/>
            <w:sz w:val="24"/>
            <w:szCs w:val="24"/>
            <w:u w:val="single"/>
            <w:rtl/>
          </w:rPr>
          <w:t>ת"פ (ק"ש) 61223-01-19</w:t>
        </w:r>
      </w:hyperlink>
      <w:r>
        <w:rPr>
          <w:rFonts w:ascii="David" w:eastAsia="Times New Roman" w:hAnsi="David" w:cs="David"/>
          <w:color w:val="222222"/>
          <w:sz w:val="24"/>
          <w:szCs w:val="24"/>
          <w:rtl/>
        </w:rPr>
        <w:t xml:space="preserve"> </w:t>
      </w:r>
      <w:r w:rsidR="009E56C7">
        <w:rPr>
          <w:rFonts w:ascii="David" w:eastAsia="Times New Roman" w:hAnsi="David" w:cs="David"/>
          <w:b/>
          <w:bCs/>
          <w:color w:val="222222"/>
          <w:sz w:val="24"/>
          <w:szCs w:val="24"/>
          <w:rtl/>
        </w:rPr>
        <w:t>מדינת ישראל נ' קיאנוסבקי</w:t>
      </w:r>
      <w:r>
        <w:rPr>
          <w:rFonts w:ascii="David" w:eastAsia="Times New Roman" w:hAnsi="David" w:cs="David"/>
          <w:color w:val="222222"/>
          <w:sz w:val="24"/>
          <w:szCs w:val="24"/>
          <w:rtl/>
        </w:rPr>
        <w:t xml:space="preserve"> </w:t>
      </w:r>
      <w:r w:rsidR="009E56C7">
        <w:rPr>
          <w:rFonts w:ascii="David" w:eastAsia="Times New Roman" w:hAnsi="David" w:cs="David"/>
          <w:color w:val="222222"/>
          <w:sz w:val="24"/>
          <w:szCs w:val="24"/>
          <w:rtl/>
        </w:rPr>
        <w:t>(26.5.19), שם דובר בנאשם שסחר וסיפק סמים בהזדמנויות רבות, וכן החזיק בגראס שלא לצריכתו העצמית, נקבע</w:t>
      </w:r>
      <w:r>
        <w:rPr>
          <w:rFonts w:ascii="David" w:eastAsia="Times New Roman" w:hAnsi="David" w:cs="David"/>
          <w:color w:val="222222"/>
          <w:sz w:val="24"/>
          <w:szCs w:val="24"/>
          <w:rtl/>
        </w:rPr>
        <w:t xml:space="preserve"> </w:t>
      </w:r>
      <w:r w:rsidR="009E56C7">
        <w:rPr>
          <w:rFonts w:ascii="David" w:eastAsia="Times New Roman" w:hAnsi="David" w:cs="David"/>
          <w:b/>
          <w:bCs/>
          <w:color w:val="222222"/>
          <w:sz w:val="24"/>
          <w:szCs w:val="24"/>
          <w:rtl/>
        </w:rPr>
        <w:t>מתחם עונש הולם הנע בין מספר חודשי מאסר לריצוי בעבודות שירות ובין 17 חודשי מאסר בפועל, ונגזרו 7 חודשי מאסר בפועל</w:t>
      </w:r>
      <w:r w:rsidR="009E56C7">
        <w:rPr>
          <w:rFonts w:ascii="David" w:eastAsia="Times New Roman" w:hAnsi="David" w:cs="David"/>
          <w:color w:val="222222"/>
          <w:sz w:val="24"/>
          <w:szCs w:val="24"/>
          <w:rtl/>
        </w:rPr>
        <w:t>.</w:t>
      </w:r>
    </w:p>
    <w:p w14:paraId="6F6E6735" w14:textId="77777777" w:rsidR="009E56C7" w:rsidRDefault="009E56C7" w:rsidP="009E56C7">
      <w:pPr>
        <w:pStyle w:val="a9"/>
        <w:rPr>
          <w:rFonts w:ascii="David" w:hAnsi="David" w:cs="David"/>
          <w:sz w:val="24"/>
          <w:szCs w:val="24"/>
          <w:rtl/>
        </w:rPr>
      </w:pPr>
    </w:p>
    <w:p w14:paraId="797A3D82" w14:textId="77777777" w:rsidR="009E56C7" w:rsidRDefault="009E56C7" w:rsidP="009E56C7">
      <w:pPr>
        <w:pStyle w:val="a9"/>
        <w:rPr>
          <w:rFonts w:ascii="David" w:hAnsi="David" w:cs="David"/>
          <w:sz w:val="24"/>
          <w:szCs w:val="24"/>
        </w:rPr>
      </w:pPr>
    </w:p>
    <w:p w14:paraId="61969BBC" w14:textId="77777777" w:rsidR="009E56C7" w:rsidRDefault="00FF1136" w:rsidP="009E56C7">
      <w:pPr>
        <w:pStyle w:val="a9"/>
        <w:numPr>
          <w:ilvl w:val="0"/>
          <w:numId w:val="1"/>
        </w:numPr>
        <w:spacing w:line="360" w:lineRule="auto"/>
        <w:jc w:val="both"/>
        <w:rPr>
          <w:rFonts w:ascii="David" w:hAnsi="David" w:cs="David"/>
          <w:sz w:val="24"/>
          <w:szCs w:val="24"/>
          <w:rtl/>
        </w:rPr>
      </w:pPr>
      <w:hyperlink r:id="rId37" w:history="1">
        <w:r w:rsidRPr="00FF1136">
          <w:rPr>
            <w:rFonts w:ascii="David" w:hAnsi="David" w:cs="David"/>
            <w:color w:val="0000FF"/>
            <w:sz w:val="24"/>
            <w:szCs w:val="24"/>
            <w:u w:val="single"/>
            <w:rtl/>
          </w:rPr>
          <w:t>רע"פ 6401/18</w:t>
        </w:r>
      </w:hyperlink>
      <w:r w:rsidR="009E56C7">
        <w:rPr>
          <w:rFonts w:ascii="David" w:hAnsi="David" w:cs="David"/>
          <w:sz w:val="24"/>
          <w:szCs w:val="24"/>
          <w:rtl/>
        </w:rPr>
        <w:t xml:space="preserve"> </w:t>
      </w:r>
      <w:r w:rsidR="009E56C7">
        <w:rPr>
          <w:rFonts w:ascii="David" w:hAnsi="David" w:cs="David"/>
          <w:b/>
          <w:bCs/>
          <w:sz w:val="24"/>
          <w:szCs w:val="24"/>
          <w:rtl/>
        </w:rPr>
        <w:t>אביעד ספיר נגד מדינת ישראל</w:t>
      </w:r>
      <w:r w:rsidR="009E56C7">
        <w:rPr>
          <w:rFonts w:ascii="David" w:hAnsi="David" w:cs="David"/>
          <w:sz w:val="24"/>
          <w:szCs w:val="24"/>
          <w:rtl/>
        </w:rPr>
        <w:t xml:space="preserve"> (17.09.18) – בו המבקש הודה והורשע בכתב אישום מתוקן בכך שסחר בסמים לאחר שתיאם מראש עם הקונים את המכירה, באמצעות מסרונים, וקבע מקום מפגש. בית המשפט השלום גזר עליו </w:t>
      </w:r>
      <w:r w:rsidR="009E56C7">
        <w:rPr>
          <w:rFonts w:ascii="David" w:hAnsi="David" w:cs="David"/>
          <w:b/>
          <w:bCs/>
          <w:sz w:val="24"/>
          <w:szCs w:val="24"/>
          <w:rtl/>
        </w:rPr>
        <w:t>12 חודשי מאסר בפועל</w:t>
      </w:r>
      <w:r w:rsidR="009E56C7">
        <w:rPr>
          <w:rFonts w:ascii="David" w:hAnsi="David" w:cs="David"/>
          <w:sz w:val="24"/>
          <w:szCs w:val="24"/>
          <w:rtl/>
        </w:rPr>
        <w:t xml:space="preserve"> לאחר שסטה לקולא ממתחם העונש ההולם שקבע, בין 16 – 36 חודשי מאסר בפועל. ערעור ובקשת רשות ערעור נדחו.</w:t>
      </w:r>
    </w:p>
    <w:p w14:paraId="69E170B5" w14:textId="77777777" w:rsidR="009E56C7" w:rsidRDefault="009E56C7" w:rsidP="009E56C7">
      <w:pPr>
        <w:pStyle w:val="a9"/>
        <w:rPr>
          <w:rFonts w:ascii="David" w:hAnsi="David" w:cs="David"/>
          <w:sz w:val="24"/>
          <w:szCs w:val="24"/>
          <w:rtl/>
        </w:rPr>
      </w:pPr>
    </w:p>
    <w:p w14:paraId="08ADC1CC" w14:textId="77777777" w:rsidR="009E56C7" w:rsidRDefault="00FF1136" w:rsidP="009E56C7">
      <w:pPr>
        <w:pStyle w:val="a9"/>
        <w:numPr>
          <w:ilvl w:val="0"/>
          <w:numId w:val="1"/>
        </w:numPr>
        <w:spacing w:line="360" w:lineRule="auto"/>
        <w:jc w:val="both"/>
        <w:rPr>
          <w:rFonts w:ascii="David" w:hAnsi="David" w:cs="David"/>
          <w:sz w:val="24"/>
          <w:szCs w:val="24"/>
        </w:rPr>
      </w:pPr>
      <w:hyperlink r:id="rId38" w:history="1">
        <w:r w:rsidRPr="00FF1136">
          <w:rPr>
            <w:rFonts w:ascii="David" w:eastAsia="Times New Roman" w:hAnsi="David" w:cs="David"/>
            <w:color w:val="0000FF"/>
            <w:sz w:val="24"/>
            <w:szCs w:val="24"/>
            <w:u w:val="single"/>
            <w:rtl/>
          </w:rPr>
          <w:t>ת"פ (ק"ש) 26602-06-18</w:t>
        </w:r>
      </w:hyperlink>
      <w:r>
        <w:rPr>
          <w:rFonts w:ascii="David" w:eastAsia="Times New Roman" w:hAnsi="David" w:cs="David"/>
          <w:color w:val="222222"/>
          <w:sz w:val="24"/>
          <w:szCs w:val="24"/>
          <w:rtl/>
        </w:rPr>
        <w:t xml:space="preserve"> </w:t>
      </w:r>
      <w:r w:rsidR="009E56C7">
        <w:rPr>
          <w:rFonts w:ascii="David" w:eastAsia="Times New Roman" w:hAnsi="David" w:cs="David"/>
          <w:b/>
          <w:bCs/>
          <w:color w:val="222222"/>
          <w:sz w:val="24"/>
          <w:szCs w:val="24"/>
          <w:rtl/>
        </w:rPr>
        <w:t>מדינת ישראל נ' חתחות</w:t>
      </w:r>
      <w:r>
        <w:rPr>
          <w:rFonts w:ascii="David" w:eastAsia="Times New Roman" w:hAnsi="David" w:cs="David"/>
          <w:color w:val="222222"/>
          <w:sz w:val="24"/>
          <w:szCs w:val="24"/>
          <w:rtl/>
        </w:rPr>
        <w:t xml:space="preserve"> </w:t>
      </w:r>
      <w:r w:rsidR="009E56C7">
        <w:rPr>
          <w:rFonts w:ascii="David" w:eastAsia="Times New Roman" w:hAnsi="David" w:cs="David"/>
          <w:color w:val="222222"/>
          <w:sz w:val="24"/>
          <w:szCs w:val="24"/>
          <w:rtl/>
        </w:rPr>
        <w:t>(24.10.19) – בעבירות סחר בסם באמצעות אפליקציית הטלגראס הוטלו, נקבע כי הרף העליון של מתחם העונש ההולם עומד על 18 חודשי מאסר בפועל, והוטלו</w:t>
      </w:r>
      <w:r>
        <w:rPr>
          <w:rFonts w:ascii="David" w:eastAsia="Times New Roman" w:hAnsi="David" w:cs="David"/>
          <w:b/>
          <w:bCs/>
          <w:color w:val="222222"/>
          <w:sz w:val="24"/>
          <w:szCs w:val="24"/>
          <w:rtl/>
        </w:rPr>
        <w:t xml:space="preserve"> </w:t>
      </w:r>
      <w:r w:rsidR="009E56C7">
        <w:rPr>
          <w:rFonts w:ascii="David" w:eastAsia="Times New Roman" w:hAnsi="David" w:cs="David"/>
          <w:b/>
          <w:bCs/>
          <w:color w:val="222222"/>
          <w:sz w:val="24"/>
          <w:szCs w:val="24"/>
          <w:rtl/>
        </w:rPr>
        <w:t>5 חודשי מאסר לריצוי בעבודות שירות, ועונשים נלווים, על נאשם נעדר עבר פלילי</w:t>
      </w:r>
      <w:r w:rsidR="009E56C7">
        <w:rPr>
          <w:rFonts w:ascii="David" w:eastAsia="Times New Roman" w:hAnsi="David" w:cs="David"/>
          <w:color w:val="222222"/>
          <w:sz w:val="24"/>
          <w:szCs w:val="24"/>
          <w:rtl/>
        </w:rPr>
        <w:t>.</w:t>
      </w:r>
    </w:p>
    <w:p w14:paraId="0CF0741F" w14:textId="77777777" w:rsidR="009E56C7" w:rsidRDefault="009E56C7" w:rsidP="009E56C7">
      <w:pPr>
        <w:spacing w:line="360" w:lineRule="auto"/>
        <w:jc w:val="both"/>
        <w:rPr>
          <w:rFonts w:ascii="David" w:hAnsi="David"/>
          <w:rtl/>
        </w:rPr>
      </w:pPr>
    </w:p>
    <w:p w14:paraId="7FA387E6" w14:textId="77777777" w:rsidR="009E56C7" w:rsidRDefault="009E56C7" w:rsidP="009E56C7">
      <w:pPr>
        <w:spacing w:line="360" w:lineRule="auto"/>
        <w:ind w:left="720" w:hanging="720"/>
        <w:jc w:val="both"/>
      </w:pPr>
      <w:r>
        <w:rPr>
          <w:rFonts w:hint="cs"/>
          <w:rtl/>
        </w:rPr>
        <w:t>17.</w:t>
      </w:r>
      <w:r>
        <w:rPr>
          <w:rFonts w:hint="cs"/>
          <w:rtl/>
        </w:rPr>
        <w:tab/>
        <w:t xml:space="preserve">במקרה דנן יש לתת ביטוי גם להרשעת הנאשם בעבירה של </w:t>
      </w:r>
      <w:r>
        <w:rPr>
          <w:rFonts w:hint="cs"/>
          <w:b/>
          <w:bCs/>
          <w:rtl/>
        </w:rPr>
        <w:t>נהיגה ללא רישיון</w:t>
      </w:r>
      <w:r>
        <w:rPr>
          <w:rFonts w:hint="cs"/>
          <w:rtl/>
        </w:rPr>
        <w:t xml:space="preserve">, עבירה בה הוטלה ענישה מגוונת, הכוללת בדרך כלל עונשי פסילה משמעותיים, בפועל ועל-תנאי, וקנסות כספיים, ולעיתים בצירוף רכיב של מאסר בפועל או על-תנאי, בתלוי בנסיבות ביצוע העבירות, ובנסיבות המבצעים. </w:t>
      </w:r>
    </w:p>
    <w:p w14:paraId="3FA17D10" w14:textId="77777777" w:rsidR="009E56C7" w:rsidRDefault="009E56C7" w:rsidP="009E56C7">
      <w:pPr>
        <w:spacing w:line="360" w:lineRule="auto"/>
        <w:jc w:val="both"/>
        <w:rPr>
          <w:u w:val="single"/>
          <w:rtl/>
        </w:rPr>
      </w:pPr>
      <w:r>
        <w:rPr>
          <w:rFonts w:hint="cs"/>
          <w:rtl/>
        </w:rPr>
        <w:tab/>
      </w:r>
      <w:r>
        <w:rPr>
          <w:rFonts w:hint="cs"/>
          <w:u w:val="single"/>
          <w:rtl/>
        </w:rPr>
        <w:t>ב"כ המאשימה הפנתה למספר פסקי-דין:</w:t>
      </w:r>
    </w:p>
    <w:p w14:paraId="3147A80E" w14:textId="77777777" w:rsidR="009E56C7" w:rsidRDefault="009E56C7" w:rsidP="009E56C7">
      <w:pPr>
        <w:spacing w:line="360" w:lineRule="auto"/>
        <w:ind w:left="1440" w:hanging="720"/>
        <w:jc w:val="both"/>
        <w:rPr>
          <w:rtl/>
        </w:rPr>
      </w:pPr>
      <w:r>
        <w:rPr>
          <w:rFonts w:hint="cs"/>
          <w:rtl/>
        </w:rPr>
        <w:t>א.</w:t>
      </w:r>
      <w:r>
        <w:rPr>
          <w:rFonts w:hint="cs"/>
          <w:rtl/>
        </w:rPr>
        <w:tab/>
      </w:r>
      <w:hyperlink r:id="rId39" w:history="1">
        <w:r w:rsidR="00FF1136" w:rsidRPr="00FF1136">
          <w:rPr>
            <w:color w:val="0000FF"/>
            <w:u w:val="single"/>
            <w:rtl/>
          </w:rPr>
          <w:t>פ"ל 10279-01-14</w:t>
        </w:r>
      </w:hyperlink>
      <w:r>
        <w:rPr>
          <w:rFonts w:hint="cs"/>
          <w:rtl/>
        </w:rPr>
        <w:t xml:space="preserve"> </w:t>
      </w:r>
      <w:r>
        <w:rPr>
          <w:rFonts w:hint="cs"/>
          <w:b/>
          <w:bCs/>
          <w:rtl/>
        </w:rPr>
        <w:t xml:space="preserve">מדינת ישראל נ' שיריזיאן </w:t>
      </w:r>
      <w:r>
        <w:rPr>
          <w:rFonts w:hint="cs"/>
          <w:rtl/>
        </w:rPr>
        <w:t xml:space="preserve">(4.5.15) – על הנאשם שהורשע בעבירות של נהיגה ללא רישיון ונהיגה ללא ביטוח, הוטלו </w:t>
      </w:r>
      <w:r>
        <w:rPr>
          <w:rFonts w:hint="cs"/>
          <w:b/>
          <w:bCs/>
          <w:rtl/>
        </w:rPr>
        <w:t>צו מבחן, צו של"צ, מאסר על-תנאי, 28 חודשי פסילת רישיון וקנס כספי</w:t>
      </w:r>
      <w:r>
        <w:rPr>
          <w:rFonts w:hint="cs"/>
          <w:rtl/>
        </w:rPr>
        <w:t>.</w:t>
      </w:r>
    </w:p>
    <w:p w14:paraId="2506E160" w14:textId="77777777" w:rsidR="009E56C7" w:rsidRDefault="009E56C7" w:rsidP="009E56C7">
      <w:pPr>
        <w:spacing w:line="360" w:lineRule="auto"/>
        <w:ind w:left="1440" w:hanging="720"/>
        <w:jc w:val="both"/>
        <w:rPr>
          <w:rtl/>
        </w:rPr>
      </w:pPr>
    </w:p>
    <w:p w14:paraId="1400F3DF" w14:textId="77777777" w:rsidR="009E56C7" w:rsidRDefault="009E56C7" w:rsidP="009E56C7">
      <w:pPr>
        <w:spacing w:line="360" w:lineRule="auto"/>
        <w:ind w:left="1440" w:hanging="720"/>
        <w:jc w:val="both"/>
        <w:rPr>
          <w:rtl/>
        </w:rPr>
      </w:pPr>
      <w:r>
        <w:rPr>
          <w:rFonts w:hint="cs"/>
          <w:rtl/>
        </w:rPr>
        <w:t>ב.</w:t>
      </w:r>
      <w:r>
        <w:rPr>
          <w:rFonts w:hint="cs"/>
          <w:rtl/>
        </w:rPr>
        <w:tab/>
      </w:r>
      <w:hyperlink r:id="rId40" w:history="1">
        <w:r w:rsidR="00FF1136" w:rsidRPr="00FF1136">
          <w:rPr>
            <w:color w:val="0000FF"/>
            <w:u w:val="single"/>
            <w:rtl/>
          </w:rPr>
          <w:t>פל"א 1086-02-15</w:t>
        </w:r>
      </w:hyperlink>
      <w:r>
        <w:rPr>
          <w:rFonts w:hint="cs"/>
          <w:rtl/>
        </w:rPr>
        <w:t xml:space="preserve"> </w:t>
      </w:r>
      <w:r>
        <w:rPr>
          <w:rFonts w:hint="cs"/>
          <w:b/>
          <w:bCs/>
          <w:rtl/>
        </w:rPr>
        <w:t xml:space="preserve">מדינת ישראל נ' ביטון </w:t>
      </w:r>
      <w:r>
        <w:rPr>
          <w:rFonts w:hint="cs"/>
          <w:rtl/>
        </w:rPr>
        <w:t xml:space="preserve">(1.4.15) – הנאשם הורשע בנהיגה בידי בלתי מורשה ובנהיגה ללא ביטוח, והוטלו עליו </w:t>
      </w:r>
      <w:r>
        <w:rPr>
          <w:rFonts w:hint="cs"/>
          <w:b/>
          <w:bCs/>
          <w:rtl/>
        </w:rPr>
        <w:t>3 חודשי מאסר בפועל, מאסר על-תנאי ו-10 חודשי פסילת רישיון</w:t>
      </w:r>
      <w:r>
        <w:rPr>
          <w:rFonts w:hint="cs"/>
          <w:rtl/>
        </w:rPr>
        <w:t xml:space="preserve">. </w:t>
      </w:r>
    </w:p>
    <w:p w14:paraId="03987D3E" w14:textId="77777777" w:rsidR="009E56C7" w:rsidRDefault="009E56C7" w:rsidP="009E56C7">
      <w:pPr>
        <w:spacing w:line="360" w:lineRule="auto"/>
        <w:ind w:left="1440" w:hanging="720"/>
        <w:jc w:val="both"/>
        <w:rPr>
          <w:rtl/>
        </w:rPr>
      </w:pPr>
    </w:p>
    <w:p w14:paraId="0C097517" w14:textId="77777777" w:rsidR="009E56C7" w:rsidRDefault="009E56C7" w:rsidP="009E56C7">
      <w:pPr>
        <w:spacing w:line="360" w:lineRule="auto"/>
        <w:ind w:left="1440" w:hanging="720"/>
        <w:jc w:val="both"/>
        <w:rPr>
          <w:rtl/>
        </w:rPr>
      </w:pPr>
      <w:r>
        <w:rPr>
          <w:rFonts w:hint="cs"/>
          <w:rtl/>
        </w:rPr>
        <w:t>ג.</w:t>
      </w:r>
      <w:r>
        <w:rPr>
          <w:rFonts w:hint="cs"/>
          <w:rtl/>
        </w:rPr>
        <w:tab/>
      </w:r>
      <w:hyperlink r:id="rId41" w:history="1">
        <w:r w:rsidR="00FF1136" w:rsidRPr="00FF1136">
          <w:rPr>
            <w:color w:val="0000FF"/>
            <w:u w:val="single"/>
            <w:rtl/>
          </w:rPr>
          <w:t>תת"ע (פ"ת) 4014-12-11</w:t>
        </w:r>
      </w:hyperlink>
      <w:r>
        <w:rPr>
          <w:rFonts w:hint="cs"/>
          <w:rtl/>
        </w:rPr>
        <w:t xml:space="preserve"> </w:t>
      </w:r>
      <w:r>
        <w:rPr>
          <w:rFonts w:hint="cs"/>
          <w:b/>
          <w:bCs/>
          <w:rtl/>
        </w:rPr>
        <w:t>מדינת ישראל נ' חאג' יחיא</w:t>
      </w:r>
      <w:r>
        <w:rPr>
          <w:rFonts w:hint="cs"/>
          <w:rtl/>
        </w:rPr>
        <w:t xml:space="preserve"> (14.6.12) שם הוטלו </w:t>
      </w:r>
      <w:r>
        <w:rPr>
          <w:rFonts w:hint="cs"/>
          <w:b/>
          <w:bCs/>
          <w:rtl/>
        </w:rPr>
        <w:t>6 חודשי מאסר על-תנאי ו-12 חודשי פסילה בפועל</w:t>
      </w:r>
      <w:r>
        <w:rPr>
          <w:rFonts w:hint="cs"/>
          <w:rtl/>
        </w:rPr>
        <w:t>, על נאשם בעבירות של נהיגה בלתי מורשית ואי ציות להוראת שוטר לעצור.</w:t>
      </w:r>
    </w:p>
    <w:p w14:paraId="61DDA45B" w14:textId="77777777" w:rsidR="009E56C7" w:rsidRDefault="009E56C7" w:rsidP="009E56C7">
      <w:pPr>
        <w:spacing w:line="360" w:lineRule="auto"/>
        <w:ind w:left="1440" w:hanging="720"/>
        <w:jc w:val="both"/>
        <w:rPr>
          <w:rtl/>
        </w:rPr>
      </w:pPr>
    </w:p>
    <w:p w14:paraId="0EF72F52" w14:textId="77777777" w:rsidR="009E56C7" w:rsidRDefault="009E56C7" w:rsidP="009E56C7">
      <w:pPr>
        <w:spacing w:line="360" w:lineRule="auto"/>
        <w:ind w:left="1440" w:hanging="720"/>
        <w:jc w:val="both"/>
        <w:rPr>
          <w:rtl/>
        </w:rPr>
      </w:pPr>
      <w:r>
        <w:rPr>
          <w:rFonts w:hint="cs"/>
          <w:rtl/>
        </w:rPr>
        <w:t>ד.</w:t>
      </w:r>
      <w:r>
        <w:rPr>
          <w:rFonts w:hint="cs"/>
          <w:rtl/>
        </w:rPr>
        <w:tab/>
      </w:r>
      <w:hyperlink r:id="rId42" w:history="1">
        <w:r w:rsidR="00FF1136" w:rsidRPr="00FF1136">
          <w:rPr>
            <w:color w:val="0000FF"/>
            <w:u w:val="single"/>
            <w:rtl/>
          </w:rPr>
          <w:t>תת"ע (פ"ת) 5615-07-14</w:t>
        </w:r>
      </w:hyperlink>
      <w:r>
        <w:rPr>
          <w:rFonts w:hint="cs"/>
          <w:rtl/>
        </w:rPr>
        <w:t xml:space="preserve"> </w:t>
      </w:r>
      <w:r>
        <w:rPr>
          <w:rFonts w:hint="cs"/>
          <w:b/>
          <w:bCs/>
          <w:rtl/>
        </w:rPr>
        <w:t>מדינת ישראל נ' ברג</w:t>
      </w:r>
      <w:r>
        <w:rPr>
          <w:rFonts w:hint="cs"/>
          <w:rtl/>
        </w:rPr>
        <w:t xml:space="preserve"> (28.4.15) הנאשם הורשע בנהיגה ללא רישיון וללא רישיון רכב, ובנהיגה ללא ביטוח, לאחר שרישיון הנהיגה ורישיון הרכב שלו פקעו מזה מספר שנים. </w:t>
      </w:r>
      <w:r>
        <w:rPr>
          <w:rFonts w:hint="cs"/>
          <w:b/>
          <w:bCs/>
          <w:rtl/>
        </w:rPr>
        <w:t>הוטלו 24 חודשי פסילה בפועל ופסילה על-תנאי</w:t>
      </w:r>
      <w:r>
        <w:rPr>
          <w:rFonts w:hint="cs"/>
          <w:rtl/>
        </w:rPr>
        <w:t xml:space="preserve">. </w:t>
      </w:r>
    </w:p>
    <w:p w14:paraId="3BDF24B9" w14:textId="77777777" w:rsidR="009E56C7" w:rsidRDefault="009E56C7" w:rsidP="009E56C7">
      <w:pPr>
        <w:spacing w:line="360" w:lineRule="auto"/>
        <w:jc w:val="both"/>
        <w:rPr>
          <w:rtl/>
        </w:rPr>
      </w:pPr>
      <w:r>
        <w:rPr>
          <w:rFonts w:hint="cs"/>
          <w:rtl/>
        </w:rPr>
        <w:tab/>
      </w:r>
    </w:p>
    <w:p w14:paraId="7A908F11" w14:textId="77777777" w:rsidR="009E56C7" w:rsidRDefault="009E56C7" w:rsidP="009E56C7">
      <w:pPr>
        <w:spacing w:line="360" w:lineRule="auto"/>
        <w:ind w:left="720" w:hanging="720"/>
        <w:jc w:val="both"/>
        <w:rPr>
          <w:rtl/>
        </w:rPr>
      </w:pPr>
      <w:r>
        <w:rPr>
          <w:rFonts w:hint="cs"/>
          <w:rtl/>
        </w:rPr>
        <w:t>18.</w:t>
      </w:r>
      <w:r w:rsidR="00FF1136">
        <w:rPr>
          <w:rFonts w:hint="cs"/>
          <w:rtl/>
        </w:rPr>
        <w:t xml:space="preserve">      </w:t>
      </w:r>
      <w:r>
        <w:rPr>
          <w:rFonts w:hint="cs"/>
          <w:rtl/>
        </w:rPr>
        <w:t xml:space="preserve"> </w:t>
      </w:r>
      <w:r>
        <w:rPr>
          <w:rFonts w:hint="cs"/>
          <w:rtl/>
        </w:rPr>
        <w:tab/>
        <w:t xml:space="preserve">כפי שקבעתי במקרים דומים שעסקו בסחר בסמים, הגעתי למסקנה כי בפרשות שאינן מהחמורות של סחר בסמים, שבהם בוצעה עסקה בודדת או עסקאות בודדות, נעדרי סממנים מחמירים נוספים, יתחיל מתחם הענישה מעונש של עבודות שרות לתקופה המקסימלית האפשרית (טרם תיקון החוק) – שישה חודשים. קביעה זו תאפשר להימנע ממאסר בפועל לגבי נאשמים שזו מעידתם הראשונה, ושלא נגועים בפליליות מובהקת מעבר להרשעתם הקונקרטית, גם ללא סטייה ממתחם העונש לשם שיקום. </w:t>
      </w:r>
    </w:p>
    <w:p w14:paraId="16CD726B" w14:textId="77777777" w:rsidR="009E56C7" w:rsidRDefault="009E56C7" w:rsidP="009E56C7">
      <w:pPr>
        <w:spacing w:line="360" w:lineRule="auto"/>
        <w:ind w:left="720"/>
        <w:jc w:val="both"/>
        <w:rPr>
          <w:rtl/>
        </w:rPr>
      </w:pPr>
      <w:r>
        <w:rPr>
          <w:rFonts w:hint="cs"/>
          <w:rtl/>
        </w:rPr>
        <w:t>יובהר כי במקרים חמורים יותר יתחיל מתחם הענישה ממאסר בפועל ממש.</w:t>
      </w:r>
    </w:p>
    <w:p w14:paraId="62AB346E" w14:textId="77777777" w:rsidR="009E56C7" w:rsidRDefault="009E56C7" w:rsidP="009E56C7">
      <w:pPr>
        <w:spacing w:line="360" w:lineRule="auto"/>
        <w:ind w:firstLine="720"/>
        <w:jc w:val="both"/>
        <w:rPr>
          <w:rtl/>
        </w:rPr>
      </w:pPr>
      <w:r>
        <w:rPr>
          <w:rFonts w:hint="cs"/>
          <w:rtl/>
        </w:rPr>
        <w:t>הגבול העליון של מתחם הענישה יהיה מאסר משמעותי בפועל.</w:t>
      </w:r>
    </w:p>
    <w:p w14:paraId="5D075DB0" w14:textId="77777777" w:rsidR="009E56C7" w:rsidRDefault="009E56C7" w:rsidP="009E56C7">
      <w:pPr>
        <w:spacing w:line="360" w:lineRule="auto"/>
        <w:ind w:left="720" w:firstLine="15"/>
        <w:jc w:val="both"/>
        <w:rPr>
          <w:rtl/>
        </w:rPr>
      </w:pPr>
      <w:r>
        <w:rPr>
          <w:rFonts w:hint="cs"/>
          <w:rtl/>
        </w:rPr>
        <w:t>במקרה דנן מדובר, כאמור, בשלוש עסקאות של סחר בחשיש בכמות קטנה, בעסקה אחרת בחשיש, ובהחזקה שלא לצריכה עצמית של אקסטזי וחשיש, ובתמורה לכ-50- 100 ₪ בכל עסקה, אשר בוצעו כולן בתוך תקופה מצומצמת ביותר של כשלושה ימים, ובנהיגה ללא רשיון, ולפיכך מתחם הענישה יתחיל בשמונה חודשי מאסר הניתנים לריצוי בעבודות שרות.</w:t>
      </w:r>
    </w:p>
    <w:p w14:paraId="7EA22132" w14:textId="77777777" w:rsidR="009E56C7" w:rsidRDefault="009E56C7" w:rsidP="009E56C7">
      <w:pPr>
        <w:spacing w:line="360" w:lineRule="auto"/>
        <w:jc w:val="both"/>
        <w:rPr>
          <w:rtl/>
        </w:rPr>
      </w:pPr>
    </w:p>
    <w:p w14:paraId="2CE06976" w14:textId="77777777" w:rsidR="009E56C7" w:rsidRDefault="009E56C7" w:rsidP="009E56C7">
      <w:pPr>
        <w:spacing w:line="360" w:lineRule="auto"/>
        <w:ind w:left="720" w:hanging="720"/>
        <w:jc w:val="both"/>
        <w:rPr>
          <w:rtl/>
        </w:rPr>
      </w:pPr>
      <w:r>
        <w:rPr>
          <w:rFonts w:hint="cs"/>
          <w:rtl/>
        </w:rPr>
        <w:t>19.</w:t>
      </w:r>
      <w:r w:rsidR="00FF1136">
        <w:rPr>
          <w:rFonts w:hint="cs"/>
          <w:rtl/>
        </w:rPr>
        <w:t xml:space="preserve">      </w:t>
      </w:r>
      <w:r>
        <w:rPr>
          <w:rFonts w:hint="cs"/>
          <w:rtl/>
        </w:rPr>
        <w:t xml:space="preserve"> לאור כל האמור לעיל, מצאתי כי מתחם העונש ההולם הנע בין 8 חודשי מאסר בפועל לריצוי בדרך של עבודות שרות ועד 17 חודשי מאסר לריצוי בפועל הולם אף הוא את נסיבות ביצוע העבירות בעניין דנן.</w:t>
      </w:r>
    </w:p>
    <w:p w14:paraId="383A95BB" w14:textId="77777777" w:rsidR="009E56C7" w:rsidRDefault="009E56C7" w:rsidP="009E56C7">
      <w:pPr>
        <w:spacing w:line="360" w:lineRule="auto"/>
        <w:jc w:val="both"/>
        <w:rPr>
          <w:b/>
          <w:bCs/>
          <w:u w:val="single"/>
          <w:rtl/>
        </w:rPr>
      </w:pPr>
    </w:p>
    <w:p w14:paraId="3A8EF3D0" w14:textId="77777777" w:rsidR="009E56C7" w:rsidRDefault="009E56C7" w:rsidP="009E56C7">
      <w:pPr>
        <w:spacing w:line="360" w:lineRule="auto"/>
        <w:jc w:val="both"/>
        <w:rPr>
          <w:b/>
          <w:bCs/>
          <w:u w:val="single"/>
          <w:rtl/>
        </w:rPr>
      </w:pPr>
    </w:p>
    <w:p w14:paraId="192C33FA" w14:textId="77777777" w:rsidR="009E56C7" w:rsidRDefault="009E56C7" w:rsidP="009E56C7">
      <w:pPr>
        <w:spacing w:line="360" w:lineRule="auto"/>
        <w:jc w:val="both"/>
        <w:rPr>
          <w:b/>
          <w:bCs/>
          <w:u w:val="single"/>
          <w:rtl/>
        </w:rPr>
      </w:pPr>
      <w:r>
        <w:rPr>
          <w:rFonts w:hint="cs"/>
          <w:b/>
          <w:bCs/>
          <w:u w:val="single"/>
          <w:rtl/>
        </w:rPr>
        <w:t>גזירת עונשו של הנאשם בתוך מתחם העונש ההולם</w:t>
      </w:r>
    </w:p>
    <w:p w14:paraId="4FD2C740" w14:textId="77777777" w:rsidR="009E56C7" w:rsidRDefault="009E56C7" w:rsidP="009E56C7">
      <w:pPr>
        <w:spacing w:line="360" w:lineRule="auto"/>
        <w:ind w:left="720" w:hanging="720"/>
        <w:jc w:val="both"/>
        <w:rPr>
          <w:rtl/>
        </w:rPr>
      </w:pPr>
      <w:r>
        <w:rPr>
          <w:rFonts w:hint="cs"/>
          <w:rtl/>
        </w:rPr>
        <w:t>20.</w:t>
      </w:r>
      <w:r w:rsidR="00FF1136">
        <w:rPr>
          <w:rFonts w:hint="cs"/>
          <w:rtl/>
        </w:rPr>
        <w:t xml:space="preserve">      </w:t>
      </w:r>
      <w:r>
        <w:rPr>
          <w:rFonts w:hint="cs"/>
          <w:rtl/>
        </w:rPr>
        <w:t xml:space="preserve"> </w:t>
      </w:r>
      <w:r>
        <w:rPr>
          <w:rFonts w:hint="cs"/>
          <w:rtl/>
        </w:rPr>
        <w:tab/>
        <w:t>הנאשם צעיר בן 22, הודה במיוחס לו בכתב האישום בהזדמנות הראשונה, נטל אחריות ובכך חסך מזמנו של בית המשפט.</w:t>
      </w:r>
    </w:p>
    <w:p w14:paraId="6432BC63" w14:textId="77777777" w:rsidR="009E56C7" w:rsidRDefault="009E56C7" w:rsidP="009E56C7">
      <w:pPr>
        <w:spacing w:line="360" w:lineRule="auto"/>
        <w:ind w:left="720"/>
        <w:jc w:val="both"/>
        <w:rPr>
          <w:rtl/>
        </w:rPr>
      </w:pPr>
      <w:r>
        <w:rPr>
          <w:rFonts w:hint="cs"/>
          <w:rtl/>
        </w:rPr>
        <w:t xml:space="preserve">אין לחובת הנאשם הרשעות קודמות. חרף גילו הצעיר צבר הנאשם 10 הרשעות תעבורה קודמות, בהן גם בעבירה של נהיגה ללא רישיון. </w:t>
      </w:r>
    </w:p>
    <w:p w14:paraId="09720F83" w14:textId="77777777" w:rsidR="009E56C7" w:rsidRDefault="009E56C7" w:rsidP="009E56C7">
      <w:pPr>
        <w:spacing w:line="360" w:lineRule="auto"/>
        <w:ind w:left="720"/>
        <w:jc w:val="both"/>
        <w:rPr>
          <w:rtl/>
        </w:rPr>
      </w:pPr>
      <w:r>
        <w:rPr>
          <w:rFonts w:hint="cs"/>
          <w:rtl/>
        </w:rPr>
        <w:t xml:space="preserve">הנאשם הביע צער על מעשיו, בפני שירות המבחן ובפני בית-המשפט. </w:t>
      </w:r>
    </w:p>
    <w:p w14:paraId="77C9DD7E" w14:textId="77777777" w:rsidR="009E56C7" w:rsidRDefault="009E56C7" w:rsidP="009E56C7">
      <w:pPr>
        <w:spacing w:line="360" w:lineRule="auto"/>
        <w:ind w:left="720"/>
        <w:jc w:val="both"/>
        <w:rPr>
          <w:rtl/>
        </w:rPr>
      </w:pPr>
      <w:r>
        <w:rPr>
          <w:rFonts w:hint="cs"/>
          <w:rtl/>
        </w:rPr>
        <w:t xml:space="preserve">הנאשם ציין בפני שירות המבחן כי עבד לתקופה של מספר חודשים כעצמאי בתחום הסלולר, ופתח עסק לתיקון מכשירי טלפון, אולם נאלץ לסגור את עסקו. </w:t>
      </w:r>
    </w:p>
    <w:p w14:paraId="164320DD" w14:textId="77777777" w:rsidR="009E56C7" w:rsidRDefault="009E56C7" w:rsidP="009E56C7">
      <w:pPr>
        <w:spacing w:line="360" w:lineRule="auto"/>
        <w:ind w:left="720"/>
        <w:jc w:val="both"/>
        <w:rPr>
          <w:rtl/>
        </w:rPr>
      </w:pPr>
      <w:r>
        <w:rPr>
          <w:rFonts w:hint="cs"/>
          <w:rtl/>
        </w:rPr>
        <w:t xml:space="preserve">הנאשם הנו בן יחיד להוריו המצויים בשנות ה-70 לחייהם. הנאשם אומץ בהיותו תינוק על-ידם, ומודעותו לעניין זה מגיל צעיר השליכה על התפתחותו והתבגרותו, אשר התאפיינה, בין היתר, בחבירה לחברה שולית ובשימוש בסמים. </w:t>
      </w:r>
    </w:p>
    <w:p w14:paraId="28507BF4" w14:textId="77777777" w:rsidR="009E56C7" w:rsidRDefault="009E56C7" w:rsidP="009E56C7">
      <w:pPr>
        <w:spacing w:line="360" w:lineRule="auto"/>
        <w:ind w:left="720"/>
        <w:jc w:val="both"/>
        <w:rPr>
          <w:rtl/>
        </w:rPr>
      </w:pPr>
      <w:r>
        <w:rPr>
          <w:rFonts w:hint="cs"/>
          <w:rtl/>
        </w:rPr>
        <w:t>הנאשם ציין בפני שירות המבחן כי מגיל צעיר נהג לעשות שימוש בקנאביס ואף באקסטזי. בתקופת היותו נתון תחת צו פיקוח מעצרים בשירות המבחן, נגמל משימוש בקנאביס, ועבר לעשות שימוש תדיר באלכוהול, ומסר מספר בדיקות שתן שנמצאו נקיות מסמים. אולם, לאחר תום הצו שיתף את שירות המבחן כי שב להשתמש בקנאביס.</w:t>
      </w:r>
    </w:p>
    <w:p w14:paraId="32B005ED" w14:textId="77777777" w:rsidR="009E56C7" w:rsidRDefault="009E56C7" w:rsidP="009E56C7">
      <w:pPr>
        <w:spacing w:line="360" w:lineRule="auto"/>
        <w:ind w:left="720"/>
        <w:jc w:val="both"/>
        <w:rPr>
          <w:rtl/>
        </w:rPr>
      </w:pPr>
      <w:r>
        <w:rPr>
          <w:rFonts w:hint="cs"/>
          <w:rtl/>
        </w:rPr>
        <w:t xml:space="preserve">הנאשם שהה </w:t>
      </w:r>
      <w:r>
        <w:rPr>
          <w:rFonts w:hint="cs"/>
          <w:b/>
          <w:bCs/>
          <w:rtl/>
        </w:rPr>
        <w:t>תקופה של כחודשיים במעצר</w:t>
      </w:r>
      <w:r>
        <w:rPr>
          <w:rFonts w:hint="cs"/>
          <w:rtl/>
        </w:rPr>
        <w:t xml:space="preserve"> מאחורי סורג ובריח, ובשלב מסוים עבר למעצר באיזוק אלקטרוני. עם הודאתו בעבירות הומר מעצרו למעצר בית בפיקוח משמורנים ותחת צו פיקוח מעצרים. בתסקירו צוין כי השתתפותו בקבוצה טיפולית נקטעה בשל תקופת החירום ונגיף הקורונה. בסופו של דבר התרשם שירות המבחן מהעדר מוטיבציה מצד הנאשם לשיקום ולשינוי, מסיכון גבוה להישנות ביצוע עבירות בעתיד, והומלץ על הטלת מאסר לריצוי בעבודות שירות, ללא רכיב טיפולי.</w:t>
      </w:r>
    </w:p>
    <w:p w14:paraId="25E0171D" w14:textId="77777777" w:rsidR="009E56C7" w:rsidRDefault="009E56C7" w:rsidP="009E56C7">
      <w:pPr>
        <w:spacing w:line="360" w:lineRule="auto"/>
        <w:ind w:left="720"/>
        <w:jc w:val="both"/>
        <w:rPr>
          <w:rtl/>
        </w:rPr>
      </w:pPr>
    </w:p>
    <w:p w14:paraId="20E367FD" w14:textId="77777777" w:rsidR="009E56C7" w:rsidRDefault="009E56C7" w:rsidP="009E56C7">
      <w:pPr>
        <w:spacing w:line="360" w:lineRule="auto"/>
        <w:ind w:left="720" w:hanging="720"/>
        <w:jc w:val="both"/>
        <w:rPr>
          <w:rtl/>
        </w:rPr>
      </w:pPr>
      <w:r>
        <w:rPr>
          <w:rFonts w:hint="cs"/>
          <w:rtl/>
        </w:rPr>
        <w:t>21.</w:t>
      </w:r>
      <w:r w:rsidR="00FF1136">
        <w:rPr>
          <w:rFonts w:hint="cs"/>
          <w:rtl/>
        </w:rPr>
        <w:t xml:space="preserve">      </w:t>
      </w:r>
      <w:r>
        <w:rPr>
          <w:rFonts w:hint="cs"/>
          <w:rtl/>
        </w:rPr>
        <w:t xml:space="preserve"> </w:t>
      </w:r>
      <w:r>
        <w:rPr>
          <w:rFonts w:hint="cs"/>
          <w:rtl/>
        </w:rPr>
        <w:tab/>
        <w:t>החלטתי כי נכון לאמץ במקרה זה את המלצת שרות המבחן. בבואי לגזור את עונשו של הנאשם ראיתי לנגד עיני הן את גילו הצעיר, נסיבות חייו המורכבות, מצבו התעסוקתי, והעדר הרשעות קודמות, מחד. מאידך עומדים היעדר ההמלצה החיובית מצד שירות המבחן וחוסר יכולתו של הנאשם להתמיד, לאורך זמן, בנתיב של שיקום. על שותפו של הנאשם לביצוע העבירות, עבד,  אף הוא ללא עבר פלילי, שהורשע בעבירות סיוע לסחר בסם, הוטלו 9 חודשי מאסר בפועל, 8,000 ₪ ומאסר על-תנאי. אותו עבד היה עצור עד תום ההליכים, ומשפטו התנהל תוך כדי מעצר, עד שהסתיים בהסדר טיעון. בטרם ניתן נגד עבד גזר הדין, העיד הנאשם נגדו, לגבי תוכן מפליל במסר בחקירותיו במשטרה. כפי שציין הסנגור, הנאשם שיתף פעולה באופן מלא בחקירתו וספק אם אילולא עדותו היה אותו עבד עומד לדין.  המאשימה טוענת כי על הנאשם כאן יש להטיל עונש מאסר מאחורי סורג ובריח, וזאת על אף ההתרשמות הברורה כי בנסיבות העניין דנן, הנאשם לא היה "הרוח החיה" מאחורי המעשים, אלא שהוא סחר וסיפק בסמים ועזרת אמצעים שסיפק לו שותפו. יש  לזקוף לזכות הנאשם את שיתוף הפעולה שלו בחקירה ואת הודאתו, ואת הפללת שותפו.</w:t>
      </w:r>
    </w:p>
    <w:p w14:paraId="4F190E14" w14:textId="77777777" w:rsidR="009E56C7" w:rsidRDefault="009E56C7" w:rsidP="009E56C7">
      <w:pPr>
        <w:spacing w:line="360" w:lineRule="auto"/>
        <w:ind w:left="720" w:hanging="720"/>
        <w:jc w:val="both"/>
        <w:rPr>
          <w:rtl/>
        </w:rPr>
      </w:pPr>
      <w:r>
        <w:rPr>
          <w:rFonts w:hint="cs"/>
          <w:rtl/>
        </w:rPr>
        <w:tab/>
        <w:t xml:space="preserve">מצאתי כי עקרון אחידות הענישה שולל את עמדת המאשימה, המבקשת לגזור על הנאשם עונש חמור בהרבה מזה שנגזר על עבד בהסדר טיעון. </w:t>
      </w:r>
    </w:p>
    <w:p w14:paraId="0F3E05D0" w14:textId="77777777" w:rsidR="009E56C7" w:rsidRDefault="009E56C7" w:rsidP="009E56C7">
      <w:pPr>
        <w:spacing w:line="360" w:lineRule="auto"/>
        <w:ind w:left="720" w:hanging="720"/>
        <w:jc w:val="both"/>
        <w:rPr>
          <w:rtl/>
        </w:rPr>
      </w:pPr>
      <w:r>
        <w:rPr>
          <w:rFonts w:hint="cs"/>
          <w:rtl/>
        </w:rPr>
        <w:tab/>
        <w:t xml:space="preserve">בנסיבות אלה, מצאתי, כי ראוי להעמיד את עונשו של הנאשם בחלקו התחתון של מתחם העונש ההולם אותו קבעתי, ולהטיל עליו עונש מאסר לריצוי בעבודות שירות, בהתאם לחוות-דעת חיובית שהתקבלה בעניינו מן הממונה על עבודות שירות. </w:t>
      </w:r>
    </w:p>
    <w:p w14:paraId="5971A94B" w14:textId="77777777" w:rsidR="009E56C7" w:rsidRDefault="009E56C7" w:rsidP="009E56C7">
      <w:pPr>
        <w:spacing w:line="360" w:lineRule="auto"/>
        <w:ind w:left="720" w:hanging="720"/>
        <w:jc w:val="both"/>
        <w:rPr>
          <w:rtl/>
        </w:rPr>
      </w:pPr>
    </w:p>
    <w:p w14:paraId="78788CF1" w14:textId="77777777" w:rsidR="009E56C7" w:rsidRDefault="009E56C7" w:rsidP="009E56C7">
      <w:pPr>
        <w:spacing w:line="360" w:lineRule="auto"/>
        <w:ind w:left="720" w:hanging="720"/>
        <w:jc w:val="both"/>
        <w:rPr>
          <w:rtl/>
        </w:rPr>
      </w:pPr>
      <w:r>
        <w:rPr>
          <w:rFonts w:hint="cs"/>
          <w:rtl/>
        </w:rPr>
        <w:t>22.</w:t>
      </w:r>
      <w:r>
        <w:rPr>
          <w:rFonts w:hint="cs"/>
          <w:rtl/>
        </w:rPr>
        <w:tab/>
        <w:t xml:space="preserve">לא מצאתי מקום להיעתר לעתירת המאשימה לחילוט הרכב, וזאת בשל מצבו הכלכלי והתעסוקתי של הנאשם, וחלף זאת אורה על הטלת קנס כספי. </w:t>
      </w:r>
    </w:p>
    <w:p w14:paraId="43C3EC91" w14:textId="77777777" w:rsidR="009E56C7" w:rsidRDefault="009E56C7" w:rsidP="009E56C7">
      <w:pPr>
        <w:spacing w:line="360" w:lineRule="auto"/>
        <w:jc w:val="both"/>
        <w:rPr>
          <w:b/>
          <w:bCs/>
          <w:u w:val="single"/>
          <w:rtl/>
        </w:rPr>
      </w:pPr>
    </w:p>
    <w:p w14:paraId="4E57499F" w14:textId="77777777" w:rsidR="009E56C7" w:rsidRDefault="009E56C7" w:rsidP="009E56C7">
      <w:pPr>
        <w:spacing w:line="360" w:lineRule="auto"/>
        <w:jc w:val="both"/>
        <w:rPr>
          <w:b/>
          <w:bCs/>
          <w:u w:val="single"/>
          <w:rtl/>
        </w:rPr>
      </w:pPr>
      <w:r>
        <w:rPr>
          <w:rFonts w:hint="cs"/>
          <w:b/>
          <w:bCs/>
          <w:u w:val="single"/>
          <w:rtl/>
        </w:rPr>
        <w:t>סוף דבר</w:t>
      </w:r>
    </w:p>
    <w:p w14:paraId="05B03587" w14:textId="77777777" w:rsidR="009E56C7" w:rsidRDefault="009E56C7" w:rsidP="009E56C7">
      <w:pPr>
        <w:spacing w:line="360" w:lineRule="auto"/>
        <w:jc w:val="both"/>
        <w:rPr>
          <w:rtl/>
        </w:rPr>
      </w:pPr>
      <w:r>
        <w:rPr>
          <w:rFonts w:hint="cs"/>
          <w:rtl/>
        </w:rPr>
        <w:t>23.</w:t>
      </w:r>
      <w:r w:rsidR="00FF1136">
        <w:rPr>
          <w:rFonts w:hint="cs"/>
          <w:rtl/>
        </w:rPr>
        <w:t xml:space="preserve">      </w:t>
      </w:r>
      <w:r>
        <w:rPr>
          <w:rFonts w:hint="cs"/>
          <w:rtl/>
        </w:rPr>
        <w:t xml:space="preserve"> נוכח כל האמור לעיל, אני גוזרת את עונשו של הנאשם כדלקמן:</w:t>
      </w:r>
    </w:p>
    <w:p w14:paraId="54022A93" w14:textId="77777777" w:rsidR="009E56C7" w:rsidRDefault="009E56C7" w:rsidP="009E56C7">
      <w:pPr>
        <w:spacing w:line="360" w:lineRule="auto"/>
        <w:jc w:val="both"/>
        <w:rPr>
          <w:rtl/>
        </w:rPr>
      </w:pPr>
    </w:p>
    <w:p w14:paraId="72281B85" w14:textId="77777777" w:rsidR="009E56C7" w:rsidRDefault="009E56C7" w:rsidP="009E56C7">
      <w:pPr>
        <w:spacing w:line="360" w:lineRule="auto"/>
        <w:ind w:firstLine="720"/>
        <w:jc w:val="both"/>
        <w:rPr>
          <w:rtl/>
        </w:rPr>
      </w:pPr>
      <w:r>
        <w:rPr>
          <w:rFonts w:hint="cs"/>
          <w:rtl/>
        </w:rPr>
        <w:t>א.</w:t>
      </w:r>
      <w:r w:rsidR="00FF1136">
        <w:rPr>
          <w:rFonts w:hint="cs"/>
          <w:rtl/>
        </w:rPr>
        <w:t xml:space="preserve">        </w:t>
      </w:r>
      <w:r>
        <w:rPr>
          <w:rFonts w:hint="cs"/>
          <w:rtl/>
        </w:rPr>
        <w:t xml:space="preserve"> שמונה חודשי מאסר בפועל לריצוי בדרך של עבודות שרות.</w:t>
      </w:r>
    </w:p>
    <w:p w14:paraId="07B4C085" w14:textId="77777777" w:rsidR="009E56C7" w:rsidRDefault="009E56C7" w:rsidP="009E56C7">
      <w:pPr>
        <w:spacing w:line="360" w:lineRule="auto"/>
        <w:ind w:left="1440"/>
        <w:jc w:val="both"/>
        <w:rPr>
          <w:rtl/>
        </w:rPr>
      </w:pPr>
      <w:r>
        <w:rPr>
          <w:rFonts w:hint="cs"/>
          <w:rtl/>
        </w:rPr>
        <w:t>הנאשם יבצע את עבודות השרות בעמותת "שווים", רח' המלאכה 240, טבריה. הנאשם יועסק חמישה ימים בשבוע, על-פי טווח השעות המתאפשר בחוק.</w:t>
      </w:r>
    </w:p>
    <w:p w14:paraId="3C4A63E4" w14:textId="77777777" w:rsidR="009E56C7" w:rsidRDefault="009E56C7" w:rsidP="009E56C7">
      <w:pPr>
        <w:spacing w:line="360" w:lineRule="auto"/>
        <w:ind w:left="1440"/>
        <w:jc w:val="both"/>
        <w:rPr>
          <w:rtl/>
        </w:rPr>
      </w:pPr>
      <w:r>
        <w:rPr>
          <w:rFonts w:hint="cs"/>
          <w:rtl/>
        </w:rPr>
        <w:t>לשם תחילת ריצוי עבודות השירות, יתייצב הנאשם ביום 26.4.21 בשעה 8:00, במפקדת הממונה על עבודות שירות גוש צפון.</w:t>
      </w:r>
    </w:p>
    <w:p w14:paraId="0CE6F6CD" w14:textId="77777777" w:rsidR="009E56C7" w:rsidRDefault="009E56C7" w:rsidP="009E56C7">
      <w:pPr>
        <w:spacing w:line="360" w:lineRule="auto"/>
        <w:ind w:left="1440"/>
        <w:jc w:val="both"/>
        <w:rPr>
          <w:rtl/>
        </w:rPr>
      </w:pPr>
    </w:p>
    <w:p w14:paraId="1396C934" w14:textId="77777777" w:rsidR="009E56C7" w:rsidRDefault="009E56C7" w:rsidP="009E56C7">
      <w:pPr>
        <w:spacing w:after="120" w:line="360" w:lineRule="auto"/>
        <w:ind w:left="1440"/>
        <w:jc w:val="both"/>
        <w:rPr>
          <w:rtl/>
        </w:rPr>
      </w:pPr>
      <w:r>
        <w:rPr>
          <w:rFonts w:hint="cs"/>
          <w:rtl/>
        </w:rPr>
        <w:t>הובהר לנאשם כי מדובר בתנאי העסקה קפדניים וכל חריגה מכללים אלו, שימוש בסמים או באלכוהול, היעדרות או התנהגות בלתי תקינה - יש בה כדי להפסיק את עבודות השירות, וריצוי יתרת העונש במאסר בפועל מאחורי סורג ובריח.</w:t>
      </w:r>
    </w:p>
    <w:p w14:paraId="1AB1823F" w14:textId="77777777" w:rsidR="009E56C7" w:rsidRDefault="009E56C7" w:rsidP="009E56C7">
      <w:pPr>
        <w:spacing w:line="360" w:lineRule="auto"/>
        <w:jc w:val="both"/>
        <w:rPr>
          <w:rtl/>
        </w:rPr>
      </w:pPr>
    </w:p>
    <w:p w14:paraId="26DE60C3" w14:textId="77777777" w:rsidR="009E56C7" w:rsidRDefault="009E56C7" w:rsidP="009E56C7">
      <w:pPr>
        <w:spacing w:line="360" w:lineRule="auto"/>
        <w:ind w:left="1440" w:hanging="720"/>
        <w:jc w:val="both"/>
        <w:rPr>
          <w:rtl/>
        </w:rPr>
      </w:pPr>
      <w:r>
        <w:rPr>
          <w:rFonts w:hint="cs"/>
          <w:rtl/>
        </w:rPr>
        <w:t>ב.</w:t>
      </w:r>
      <w:r w:rsidR="00FF1136">
        <w:rPr>
          <w:rFonts w:hint="cs"/>
          <w:rtl/>
        </w:rPr>
        <w:t xml:space="preserve">        </w:t>
      </w:r>
      <w:r>
        <w:rPr>
          <w:rFonts w:hint="cs"/>
          <w:rtl/>
        </w:rPr>
        <w:t xml:space="preserve"> ארבעה חודשי מאסר על תנאי, והתנאי הוא שהנאשם לא יעבור במהלך תקופה של שלוש שנים מיום שחרורו כל עבירה לפי </w:t>
      </w:r>
      <w:hyperlink r:id="rId43" w:history="1">
        <w:r w:rsidR="00FF1136" w:rsidRPr="00FF1136">
          <w:rPr>
            <w:color w:val="0000FF"/>
            <w:u w:val="single"/>
            <w:rtl/>
          </w:rPr>
          <w:t>פקודת הסמים המסוכנים</w:t>
        </w:r>
      </w:hyperlink>
      <w:r>
        <w:rPr>
          <w:rFonts w:hint="cs"/>
          <w:rtl/>
        </w:rPr>
        <w:t xml:space="preserve"> שאיננה לצריכה עצמית.</w:t>
      </w:r>
    </w:p>
    <w:p w14:paraId="3C32E352" w14:textId="77777777" w:rsidR="009E56C7" w:rsidRDefault="009E56C7" w:rsidP="009E56C7">
      <w:pPr>
        <w:spacing w:line="360" w:lineRule="auto"/>
        <w:jc w:val="both"/>
        <w:rPr>
          <w:rtl/>
        </w:rPr>
      </w:pPr>
    </w:p>
    <w:p w14:paraId="07478966" w14:textId="77777777" w:rsidR="009E56C7" w:rsidRDefault="009E56C7" w:rsidP="009E56C7">
      <w:pPr>
        <w:spacing w:line="360" w:lineRule="auto"/>
        <w:ind w:left="1440" w:hanging="720"/>
        <w:jc w:val="both"/>
        <w:rPr>
          <w:rtl/>
        </w:rPr>
      </w:pPr>
      <w:r>
        <w:rPr>
          <w:rFonts w:hint="cs"/>
          <w:rtl/>
        </w:rPr>
        <w:t>ג.</w:t>
      </w:r>
      <w:r w:rsidR="00FF1136">
        <w:rPr>
          <w:rFonts w:hint="cs"/>
          <w:rtl/>
        </w:rPr>
        <w:t xml:space="preserve">         </w:t>
      </w:r>
      <w:r>
        <w:rPr>
          <w:rFonts w:hint="cs"/>
          <w:rtl/>
        </w:rPr>
        <w:t xml:space="preserve"> פסילה מלקבל ו/או להחזיק רישיון נהיגה בפועל, וזאת לתקופה של עשרה חודשים. הובהר לנאשם כי עליו להפקיד רישיון נהיגה או תצהיר כדין לשם תחילת מרוץ הפסילה. </w:t>
      </w:r>
    </w:p>
    <w:p w14:paraId="5E6EC1E7" w14:textId="77777777" w:rsidR="009E56C7" w:rsidRDefault="009E56C7" w:rsidP="009E56C7">
      <w:pPr>
        <w:spacing w:line="360" w:lineRule="auto"/>
        <w:ind w:left="1440" w:hanging="720"/>
        <w:jc w:val="both"/>
        <w:rPr>
          <w:rtl/>
        </w:rPr>
      </w:pPr>
    </w:p>
    <w:p w14:paraId="5A11AF6E" w14:textId="77777777" w:rsidR="009E56C7" w:rsidRDefault="009E56C7" w:rsidP="009E56C7">
      <w:pPr>
        <w:spacing w:line="360" w:lineRule="auto"/>
        <w:ind w:left="1440" w:hanging="720"/>
        <w:jc w:val="both"/>
        <w:rPr>
          <w:rtl/>
        </w:rPr>
      </w:pPr>
      <w:r>
        <w:rPr>
          <w:rFonts w:hint="cs"/>
          <w:rtl/>
        </w:rPr>
        <w:tab/>
        <w:t xml:space="preserve">הנאשם הצהיר במעמד גזר הדין, כי אין לו רישיון נהיגה תקף והצהרתו תשמש לתחילת מרוץ ימי הפסילה מהיום. </w:t>
      </w:r>
    </w:p>
    <w:p w14:paraId="7383FA1B" w14:textId="77777777" w:rsidR="009E56C7" w:rsidRDefault="009E56C7" w:rsidP="009E56C7">
      <w:pPr>
        <w:spacing w:line="360" w:lineRule="auto"/>
        <w:ind w:firstLine="720"/>
        <w:jc w:val="both"/>
        <w:rPr>
          <w:rtl/>
        </w:rPr>
      </w:pPr>
    </w:p>
    <w:p w14:paraId="291ED446" w14:textId="77777777" w:rsidR="009E56C7" w:rsidRDefault="009E56C7" w:rsidP="009E56C7">
      <w:pPr>
        <w:spacing w:line="360" w:lineRule="auto"/>
        <w:ind w:left="1440" w:hanging="720"/>
        <w:jc w:val="both"/>
        <w:rPr>
          <w:rtl/>
        </w:rPr>
      </w:pPr>
      <w:r>
        <w:rPr>
          <w:rFonts w:hint="cs"/>
          <w:rtl/>
        </w:rPr>
        <w:t>ד.</w:t>
      </w:r>
      <w:r>
        <w:rPr>
          <w:rFonts w:hint="cs"/>
          <w:rtl/>
        </w:rPr>
        <w:tab/>
        <w:t xml:space="preserve">קנס על סך 4,000 ₪ או 20 ימי מאסר תמורתו. סכום הקנס ישולם בקיזוז מתוך הפקדה במזומן שהופקדה בתיק המ"ת המקביל. יתרת הסכום תוחזר לנאשם – וכל זאת בכפוף להוראות כל דין ועיקול. </w:t>
      </w:r>
    </w:p>
    <w:p w14:paraId="1EC23BA7" w14:textId="77777777" w:rsidR="009E56C7" w:rsidRDefault="009E56C7" w:rsidP="009E56C7">
      <w:pPr>
        <w:spacing w:line="360" w:lineRule="auto"/>
        <w:jc w:val="both"/>
        <w:rPr>
          <w:rtl/>
        </w:rPr>
      </w:pPr>
    </w:p>
    <w:p w14:paraId="1C772E51" w14:textId="77777777" w:rsidR="009E56C7" w:rsidRDefault="009E56C7" w:rsidP="009E56C7">
      <w:pPr>
        <w:spacing w:line="360" w:lineRule="auto"/>
        <w:jc w:val="both"/>
        <w:rPr>
          <w:rtl/>
        </w:rPr>
      </w:pPr>
      <w:r>
        <w:rPr>
          <w:rFonts w:hint="cs"/>
          <w:rtl/>
        </w:rPr>
        <w:t>אני מורה על חילוט הסך של 890 ₪ שנתפס במזומן ברשות הנאשם, לטובת הקרן על פי פקודת הסמים.</w:t>
      </w:r>
    </w:p>
    <w:p w14:paraId="23389931" w14:textId="77777777" w:rsidR="009E56C7" w:rsidRDefault="009E56C7" w:rsidP="009E56C7">
      <w:pPr>
        <w:spacing w:line="360" w:lineRule="auto"/>
        <w:jc w:val="both"/>
        <w:rPr>
          <w:rtl/>
        </w:rPr>
      </w:pPr>
      <w:r>
        <w:rPr>
          <w:rFonts w:hint="cs"/>
          <w:rtl/>
        </w:rPr>
        <w:t xml:space="preserve">המוצגים סמים – להשמדה. רכב אשר קבעתי כי לא יחולט, יוחזר לנאשם. מכשירי טלפון יוחזרו לבעליהם. </w:t>
      </w:r>
    </w:p>
    <w:p w14:paraId="4D59B661" w14:textId="77777777" w:rsidR="009E56C7" w:rsidRDefault="009E56C7" w:rsidP="009E56C7">
      <w:pPr>
        <w:pStyle w:val="David"/>
        <w:rPr>
          <w:rtl/>
        </w:rPr>
      </w:pPr>
    </w:p>
    <w:p w14:paraId="05B68F51" w14:textId="77777777" w:rsidR="009E56C7" w:rsidRPr="00B05847" w:rsidRDefault="009E56C7" w:rsidP="009E56C7">
      <w:pPr>
        <w:rPr>
          <w:rtl/>
        </w:rPr>
      </w:pPr>
      <w:r>
        <w:rPr>
          <w:b/>
          <w:bCs/>
          <w:u w:val="single"/>
          <w:rtl/>
        </w:rPr>
        <w:t>זכות ערעור תוך 45 יום</w:t>
      </w:r>
      <w:r>
        <w:rPr>
          <w:b/>
          <w:bCs/>
          <w:rtl/>
        </w:rPr>
        <w:t>.</w:t>
      </w:r>
    </w:p>
    <w:p w14:paraId="47A4D55E" w14:textId="77777777" w:rsidR="009E56C7" w:rsidRPr="00B05847" w:rsidRDefault="009E56C7" w:rsidP="009E56C7">
      <w:pPr>
        <w:spacing w:line="360" w:lineRule="auto"/>
        <w:rPr>
          <w:rtl/>
        </w:rPr>
      </w:pPr>
    </w:p>
    <w:p w14:paraId="199A40CE" w14:textId="77777777" w:rsidR="009E56C7" w:rsidRPr="00FF1136" w:rsidRDefault="00FF1136" w:rsidP="009E56C7">
      <w:pPr>
        <w:spacing w:line="360" w:lineRule="auto"/>
        <w:rPr>
          <w:color w:val="FFFFFF"/>
          <w:sz w:val="2"/>
          <w:szCs w:val="2"/>
          <w:rtl/>
        </w:rPr>
      </w:pPr>
      <w:r w:rsidRPr="00FF1136">
        <w:rPr>
          <w:color w:val="FFFFFF"/>
          <w:sz w:val="2"/>
          <w:szCs w:val="2"/>
          <w:rtl/>
        </w:rPr>
        <w:t>5129371</w:t>
      </w:r>
    </w:p>
    <w:p w14:paraId="4DB4E784" w14:textId="77777777" w:rsidR="009E56C7" w:rsidRDefault="00FF1136" w:rsidP="009E56C7">
      <w:pPr>
        <w:spacing w:line="360" w:lineRule="auto"/>
        <w:rPr>
          <w:rFonts w:cs="FrankRuehl"/>
          <w:sz w:val="28"/>
          <w:szCs w:val="28"/>
          <w:rtl/>
        </w:rPr>
      </w:pPr>
      <w:bookmarkStart w:id="7" w:name="Nitan"/>
      <w:r w:rsidRPr="00FF1136">
        <w:rPr>
          <w:rFonts w:ascii="Arial" w:hAnsi="Arial"/>
          <w:color w:val="FFFFFF"/>
          <w:sz w:val="2"/>
          <w:szCs w:val="2"/>
          <w:rtl/>
        </w:rPr>
        <w:t>54678313</w:t>
      </w:r>
      <w:r>
        <w:rPr>
          <w:rFonts w:ascii="Arial" w:hAnsi="Arial"/>
          <w:rtl/>
        </w:rPr>
        <w:t xml:space="preserve">ניתן היום,  י"א ניסן תשפ"א, 24 מרץ 2021, במעמד הצדדים. </w:t>
      </w:r>
      <w:bookmarkEnd w:id="7"/>
    </w:p>
    <w:p w14:paraId="30229423" w14:textId="77777777" w:rsidR="009E56C7" w:rsidRDefault="009E56C7" w:rsidP="00FF1136">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999CCBF" w14:textId="77777777" w:rsidR="009E56C7" w:rsidRDefault="009E56C7" w:rsidP="009E56C7">
      <w:pPr>
        <w:spacing w:line="360" w:lineRule="auto"/>
        <w:jc w:val="center"/>
        <w:rPr>
          <w:rFonts w:ascii="Arial" w:hAnsi="Arial" w:cs="FrankRuehl"/>
          <w:sz w:val="28"/>
          <w:szCs w:val="28"/>
          <w:rtl/>
        </w:rPr>
      </w:pPr>
    </w:p>
    <w:p w14:paraId="5C50808B" w14:textId="77777777" w:rsidR="009E56C7" w:rsidRDefault="009E56C7" w:rsidP="009E56C7">
      <w:pPr>
        <w:rPr>
          <w:rFonts w:cs="FrankRuehl"/>
          <w:sz w:val="28"/>
          <w:szCs w:val="28"/>
          <w:rtl/>
        </w:rPr>
      </w:pPr>
    </w:p>
    <w:p w14:paraId="17604770" w14:textId="77777777" w:rsidR="009E56C7" w:rsidRDefault="009E56C7" w:rsidP="009E56C7">
      <w:pPr>
        <w:pStyle w:val="a3"/>
        <w:jc w:val="center"/>
        <w:rPr>
          <w:rtl/>
        </w:rPr>
      </w:pPr>
    </w:p>
    <w:p w14:paraId="63A15F97" w14:textId="77777777" w:rsidR="00FD7633" w:rsidRPr="00FF1136" w:rsidRDefault="00FD7633" w:rsidP="00FF1136">
      <w:pPr>
        <w:keepNext/>
        <w:rPr>
          <w:rFonts w:ascii="David" w:hAnsi="David"/>
          <w:color w:val="000000"/>
          <w:sz w:val="22"/>
          <w:szCs w:val="22"/>
          <w:rtl/>
        </w:rPr>
      </w:pPr>
    </w:p>
    <w:p w14:paraId="40DCFDC5" w14:textId="77777777" w:rsidR="00FF1136" w:rsidRPr="00FF1136" w:rsidRDefault="00FF1136" w:rsidP="00FF1136">
      <w:pPr>
        <w:keepNext/>
        <w:rPr>
          <w:rFonts w:ascii="David" w:hAnsi="David"/>
          <w:color w:val="000000"/>
          <w:sz w:val="22"/>
          <w:szCs w:val="22"/>
          <w:rtl/>
        </w:rPr>
      </w:pPr>
      <w:r w:rsidRPr="00FF1136">
        <w:rPr>
          <w:rFonts w:ascii="David" w:hAnsi="David"/>
          <w:color w:val="000000"/>
          <w:sz w:val="22"/>
          <w:szCs w:val="22"/>
          <w:rtl/>
        </w:rPr>
        <w:t>רות שפילברג כהן 54678313</w:t>
      </w:r>
    </w:p>
    <w:p w14:paraId="79004734" w14:textId="77777777" w:rsidR="00FF1136" w:rsidRDefault="00FF1136" w:rsidP="00FF1136">
      <w:pPr>
        <w:rPr>
          <w:rFonts w:hint="cs"/>
        </w:rPr>
      </w:pPr>
      <w:r w:rsidRPr="00FF1136">
        <w:rPr>
          <w:color w:val="000000"/>
          <w:rtl/>
        </w:rPr>
        <w:t>נוסח מסמך זה כפוף לשינויי ניסוח ועריכה</w:t>
      </w:r>
      <w:r w:rsidR="007A5A72">
        <w:rPr>
          <w:rFonts w:hint="cs"/>
          <w:rtl/>
        </w:rPr>
        <w:t xml:space="preserve"> </w:t>
      </w:r>
    </w:p>
    <w:p w14:paraId="1AB89186" w14:textId="77777777" w:rsidR="00FF1136" w:rsidRDefault="00FF1136" w:rsidP="00FF1136">
      <w:pPr>
        <w:rPr>
          <w:rtl/>
        </w:rPr>
      </w:pPr>
    </w:p>
    <w:p w14:paraId="35B3906E" w14:textId="77777777" w:rsidR="00FF1136" w:rsidRDefault="00FF1136" w:rsidP="00FF1136">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44B8A221" w14:textId="77777777" w:rsidR="00FF1136" w:rsidRPr="00FF1136" w:rsidRDefault="00FF1136" w:rsidP="00FF1136">
      <w:pPr>
        <w:jc w:val="center"/>
        <w:rPr>
          <w:color w:val="0000FF"/>
          <w:u w:val="single"/>
        </w:rPr>
      </w:pPr>
    </w:p>
    <w:sectPr w:rsidR="00FF1136" w:rsidRPr="00FF1136" w:rsidSect="00FF1136">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A01B2" w14:textId="77777777" w:rsidR="009246C4" w:rsidRDefault="009246C4" w:rsidP="00142D6A">
      <w:r>
        <w:separator/>
      </w:r>
    </w:p>
  </w:endnote>
  <w:endnote w:type="continuationSeparator" w:id="0">
    <w:p w14:paraId="3F8D0642" w14:textId="77777777" w:rsidR="009246C4" w:rsidRDefault="009246C4" w:rsidP="00142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83C39" w14:textId="77777777" w:rsidR="00FF1136" w:rsidRDefault="00FF1136" w:rsidP="00FF113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BDB241C" w14:textId="77777777" w:rsidR="0016705A" w:rsidRPr="00FF1136" w:rsidRDefault="00FF1136" w:rsidP="00FF113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05CF1" w14:textId="77777777" w:rsidR="00FF1136" w:rsidRDefault="00FF1136" w:rsidP="00FF113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456D6">
      <w:rPr>
        <w:rFonts w:ascii="FrankRuehl" w:hAnsi="FrankRuehl" w:cs="FrankRuehl"/>
        <w:noProof/>
        <w:rtl/>
      </w:rPr>
      <w:t>1</w:t>
    </w:r>
    <w:r>
      <w:rPr>
        <w:rFonts w:ascii="FrankRuehl" w:hAnsi="FrankRuehl" w:cs="FrankRuehl"/>
        <w:rtl/>
      </w:rPr>
      <w:fldChar w:fldCharType="end"/>
    </w:r>
  </w:p>
  <w:p w14:paraId="0F4A8CAE" w14:textId="77777777" w:rsidR="0016705A" w:rsidRPr="00FF1136" w:rsidRDefault="00FF1136" w:rsidP="00FF113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180C0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FCF30" w14:textId="77777777" w:rsidR="009246C4" w:rsidRDefault="009246C4" w:rsidP="00142D6A">
      <w:r>
        <w:separator/>
      </w:r>
    </w:p>
  </w:footnote>
  <w:footnote w:type="continuationSeparator" w:id="0">
    <w:p w14:paraId="191FECFC" w14:textId="77777777" w:rsidR="009246C4" w:rsidRDefault="009246C4" w:rsidP="00142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4D99E" w14:textId="77777777" w:rsidR="00FF1136" w:rsidRPr="00FF1136" w:rsidRDefault="00FF1136" w:rsidP="00FF113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21322-10-19</w:t>
    </w:r>
    <w:r>
      <w:rPr>
        <w:rFonts w:ascii="David" w:hAnsi="David"/>
        <w:color w:val="000000"/>
        <w:sz w:val="22"/>
        <w:szCs w:val="22"/>
        <w:rtl/>
      </w:rPr>
      <w:tab/>
      <w:t xml:space="preserve"> מדינת ישראל נ' רביע חוסיין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95A96" w14:textId="77777777" w:rsidR="00FF1136" w:rsidRPr="00FF1136" w:rsidRDefault="00FF1136" w:rsidP="00FF113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21322-10-19</w:t>
    </w:r>
    <w:r>
      <w:rPr>
        <w:rFonts w:ascii="David" w:hAnsi="David"/>
        <w:color w:val="000000"/>
        <w:sz w:val="22"/>
        <w:szCs w:val="22"/>
        <w:rtl/>
      </w:rPr>
      <w:tab/>
      <w:t xml:space="preserve"> מדינת ישראל נ' רביע חוסיין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A442B"/>
    <w:multiLevelType w:val="hybridMultilevel"/>
    <w:tmpl w:val="F35EE230"/>
    <w:lvl w:ilvl="0" w:tplc="3B6632BE">
      <w:start w:val="1"/>
      <w:numFmt w:val="hebrew1"/>
      <w:lvlText w:val="%1."/>
      <w:lvlJc w:val="left"/>
      <w:pPr>
        <w:ind w:left="1410" w:hanging="690"/>
      </w:pPr>
    </w:lvl>
    <w:lvl w:ilvl="1" w:tplc="0D7E1B0C">
      <w:start w:val="1"/>
      <w:numFmt w:val="lowerLetter"/>
      <w:lvlText w:val="%2."/>
      <w:lvlJc w:val="left"/>
      <w:pPr>
        <w:ind w:left="1800" w:hanging="360"/>
      </w:pPr>
    </w:lvl>
    <w:lvl w:ilvl="2" w:tplc="FA821546">
      <w:start w:val="1"/>
      <w:numFmt w:val="lowerRoman"/>
      <w:lvlText w:val="%3."/>
      <w:lvlJc w:val="right"/>
      <w:pPr>
        <w:ind w:left="2520" w:hanging="180"/>
      </w:pPr>
    </w:lvl>
    <w:lvl w:ilvl="3" w:tplc="5F1AF46C">
      <w:start w:val="1"/>
      <w:numFmt w:val="decimal"/>
      <w:lvlText w:val="%4."/>
      <w:lvlJc w:val="left"/>
      <w:pPr>
        <w:ind w:left="3240" w:hanging="360"/>
      </w:pPr>
    </w:lvl>
    <w:lvl w:ilvl="4" w:tplc="62468E7A">
      <w:start w:val="1"/>
      <w:numFmt w:val="lowerLetter"/>
      <w:lvlText w:val="%5."/>
      <w:lvlJc w:val="left"/>
      <w:pPr>
        <w:ind w:left="3960" w:hanging="360"/>
      </w:pPr>
    </w:lvl>
    <w:lvl w:ilvl="5" w:tplc="5B1CB674">
      <w:start w:val="1"/>
      <w:numFmt w:val="lowerRoman"/>
      <w:lvlText w:val="%6."/>
      <w:lvlJc w:val="right"/>
      <w:pPr>
        <w:ind w:left="4680" w:hanging="180"/>
      </w:pPr>
    </w:lvl>
    <w:lvl w:ilvl="6" w:tplc="03CC051E">
      <w:start w:val="1"/>
      <w:numFmt w:val="decimal"/>
      <w:lvlText w:val="%7."/>
      <w:lvlJc w:val="left"/>
      <w:pPr>
        <w:ind w:left="5400" w:hanging="360"/>
      </w:pPr>
    </w:lvl>
    <w:lvl w:ilvl="7" w:tplc="93C6AABE">
      <w:start w:val="1"/>
      <w:numFmt w:val="lowerLetter"/>
      <w:lvlText w:val="%8."/>
      <w:lvlJc w:val="left"/>
      <w:pPr>
        <w:ind w:left="6120" w:hanging="360"/>
      </w:pPr>
    </w:lvl>
    <w:lvl w:ilvl="8" w:tplc="A6D00248">
      <w:start w:val="1"/>
      <w:numFmt w:val="lowerRoman"/>
      <w:lvlText w:val="%9."/>
      <w:lvlJc w:val="right"/>
      <w:pPr>
        <w:ind w:left="6840" w:hanging="180"/>
      </w:pPr>
    </w:lvl>
  </w:abstractNum>
  <w:num w:numId="1" w16cid:durableId="12933197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E56C7"/>
    <w:rsid w:val="00142D6A"/>
    <w:rsid w:val="0016705A"/>
    <w:rsid w:val="001B5A3B"/>
    <w:rsid w:val="002A33B4"/>
    <w:rsid w:val="004530CB"/>
    <w:rsid w:val="007456D6"/>
    <w:rsid w:val="007854E5"/>
    <w:rsid w:val="007A5A72"/>
    <w:rsid w:val="009246C4"/>
    <w:rsid w:val="009600F0"/>
    <w:rsid w:val="009E56C7"/>
    <w:rsid w:val="00A2181F"/>
    <w:rsid w:val="00C278D0"/>
    <w:rsid w:val="00C54CFF"/>
    <w:rsid w:val="00FD7633"/>
    <w:rsid w:val="00FF11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8B18C4"/>
  <w15:chartTrackingRefBased/>
  <w15:docId w15:val="{201BCB5C-9B2C-43A9-9F9A-DA75FBDD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E56C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E56C7"/>
    <w:pPr>
      <w:tabs>
        <w:tab w:val="center" w:pos="4153"/>
        <w:tab w:val="right" w:pos="8306"/>
      </w:tabs>
    </w:pPr>
  </w:style>
  <w:style w:type="character" w:customStyle="1" w:styleId="a4">
    <w:name w:val="כותרת עליונה תו"/>
    <w:link w:val="a3"/>
    <w:rsid w:val="009E56C7"/>
    <w:rPr>
      <w:rFonts w:ascii="Times New Roman" w:eastAsia="Times New Roman" w:hAnsi="Times New Roman" w:cs="David"/>
      <w:sz w:val="24"/>
      <w:szCs w:val="24"/>
    </w:rPr>
  </w:style>
  <w:style w:type="paragraph" w:styleId="a5">
    <w:name w:val="footer"/>
    <w:basedOn w:val="a"/>
    <w:link w:val="a6"/>
    <w:rsid w:val="009E56C7"/>
    <w:pPr>
      <w:tabs>
        <w:tab w:val="center" w:pos="4153"/>
        <w:tab w:val="right" w:pos="8306"/>
      </w:tabs>
    </w:pPr>
  </w:style>
  <w:style w:type="character" w:customStyle="1" w:styleId="a6">
    <w:name w:val="כותרת תחתונה תו"/>
    <w:link w:val="a5"/>
    <w:rsid w:val="009E56C7"/>
    <w:rPr>
      <w:rFonts w:ascii="Times New Roman" w:eastAsia="Times New Roman" w:hAnsi="Times New Roman" w:cs="David"/>
      <w:sz w:val="24"/>
      <w:szCs w:val="24"/>
    </w:rPr>
  </w:style>
  <w:style w:type="table" w:styleId="a7">
    <w:name w:val="Table Grid"/>
    <w:basedOn w:val="a1"/>
    <w:rsid w:val="009E56C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E56C7"/>
  </w:style>
  <w:style w:type="paragraph" w:styleId="a9">
    <w:name w:val="List Paragraph"/>
    <w:basedOn w:val="a"/>
    <w:qFormat/>
    <w:rsid w:val="009E56C7"/>
    <w:pPr>
      <w:spacing w:after="160" w:line="254" w:lineRule="auto"/>
      <w:ind w:left="720"/>
      <w:contextualSpacing/>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a"/>
    <w:rsid w:val="009E56C7"/>
    <w:pPr>
      <w:spacing w:line="360" w:lineRule="auto"/>
      <w:jc w:val="both"/>
    </w:pPr>
  </w:style>
  <w:style w:type="character" w:styleId="Hyperlink">
    <w:name w:val="Hyperlink"/>
    <w:rsid w:val="00FF11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580584" TargetMode="External"/><Relationship Id="rId39" Type="http://schemas.openxmlformats.org/officeDocument/2006/relationships/hyperlink" Target="http://www.nevo.co.il/case/11359589" TargetMode="External"/><Relationship Id="rId21" Type="http://schemas.openxmlformats.org/officeDocument/2006/relationships/hyperlink" Target="http://www.nevo.co.il/law/5227/10a" TargetMode="External"/><Relationship Id="rId34" Type="http://schemas.openxmlformats.org/officeDocument/2006/relationships/hyperlink" Target="http://www.nevo.co.il/case/7012287" TargetMode="External"/><Relationship Id="rId42" Type="http://schemas.openxmlformats.org/officeDocument/2006/relationships/hyperlink" Target="http://www.nevo.co.il/case/17078753"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18793360"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5959755" TargetMode="External"/><Relationship Id="rId32" Type="http://schemas.openxmlformats.org/officeDocument/2006/relationships/hyperlink" Target="http://www.nevo.co.il/case/3892678" TargetMode="External"/><Relationship Id="rId37" Type="http://schemas.openxmlformats.org/officeDocument/2006/relationships/hyperlink" Target="http://www.nevo.co.il/case/24975541" TargetMode="External"/><Relationship Id="rId40" Type="http://schemas.openxmlformats.org/officeDocument/2006/relationships/hyperlink" Target="http://www.nevo.co.il/case/20090028"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13;19" TargetMode="External"/><Relationship Id="rId23" Type="http://schemas.openxmlformats.org/officeDocument/2006/relationships/hyperlink" Target="http://www.nevo.co.il/case/6987521" TargetMode="External"/><Relationship Id="rId28" Type="http://schemas.openxmlformats.org/officeDocument/2006/relationships/hyperlink" Target="http://www.nevo.co.il/case/5717163" TargetMode="External"/><Relationship Id="rId36" Type="http://schemas.openxmlformats.org/officeDocument/2006/relationships/hyperlink" Target="http://www.nevo.co.il/case/25367828" TargetMode="External"/><Relationship Id="rId49" Type="http://schemas.openxmlformats.org/officeDocument/2006/relationships/fontTable" Target="fontTable.xml"/><Relationship Id="rId10" Type="http://schemas.openxmlformats.org/officeDocument/2006/relationships/hyperlink" Target="http://www.nevo.co.il/law/4216/19" TargetMode="External"/><Relationship Id="rId19" Type="http://schemas.openxmlformats.org/officeDocument/2006/relationships/hyperlink" Target="http://www.nevo.co.il/law/4216/13" TargetMode="External"/><Relationship Id="rId31" Type="http://schemas.openxmlformats.org/officeDocument/2006/relationships/hyperlink" Target="http://www.nevo.co.il/case/23360870"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5227/10a" TargetMode="External"/><Relationship Id="rId22" Type="http://schemas.openxmlformats.org/officeDocument/2006/relationships/hyperlink" Target="http://www.nevo.co.il/law/5227" TargetMode="External"/><Relationship Id="rId27" Type="http://schemas.openxmlformats.org/officeDocument/2006/relationships/hyperlink" Target="http://www.nevo.co.il/case/20934153" TargetMode="External"/><Relationship Id="rId30" Type="http://schemas.openxmlformats.org/officeDocument/2006/relationships/hyperlink" Target="http://www.nevo.co.il/case/5605484" TargetMode="External"/><Relationship Id="rId35" Type="http://schemas.openxmlformats.org/officeDocument/2006/relationships/hyperlink" Target="http://www.nevo.co.il/case/23799303"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7.a.c" TargetMode="External"/><Relationship Id="rId3" Type="http://schemas.openxmlformats.org/officeDocument/2006/relationships/settings" Target="settings.xml"/><Relationship Id="rId12" Type="http://schemas.openxmlformats.org/officeDocument/2006/relationships/hyperlink" Target="http://www.nevo.co.il/law/70301/29" TargetMode="External"/><Relationship Id="rId17" Type="http://schemas.openxmlformats.org/officeDocument/2006/relationships/hyperlink" Target="http://www.nevo.co.il/law/70301/29" TargetMode="External"/><Relationship Id="rId25" Type="http://schemas.openxmlformats.org/officeDocument/2006/relationships/hyperlink" Target="http://www.nevo.co.il/case/5878467" TargetMode="External"/><Relationship Id="rId33" Type="http://schemas.openxmlformats.org/officeDocument/2006/relationships/hyperlink" Target="http://www.nevo.co.il/case/8441178" TargetMode="External"/><Relationship Id="rId38" Type="http://schemas.openxmlformats.org/officeDocument/2006/relationships/hyperlink" Target="http://www.nevo.co.il/case/24295693" TargetMode="External"/><Relationship Id="rId46" Type="http://schemas.openxmlformats.org/officeDocument/2006/relationships/header" Target="header2.xml"/><Relationship Id="rId20" Type="http://schemas.openxmlformats.org/officeDocument/2006/relationships/hyperlink" Target="http://www.nevo.co.il/law/4216/7.a.c" TargetMode="External"/><Relationship Id="rId41" Type="http://schemas.openxmlformats.org/officeDocument/2006/relationships/hyperlink" Target="http://www.nevo.co.il/case/6465218"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4395</Words>
  <Characters>21977</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26320</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8257637</vt:i4>
      </vt:variant>
      <vt:variant>
        <vt:i4>108</vt:i4>
      </vt:variant>
      <vt:variant>
        <vt:i4>0</vt:i4>
      </vt:variant>
      <vt:variant>
        <vt:i4>5</vt:i4>
      </vt:variant>
      <vt:variant>
        <vt:lpwstr>http://www.nevo.co.il/law/4216</vt:lpwstr>
      </vt:variant>
      <vt:variant>
        <vt:lpwstr/>
      </vt:variant>
      <vt:variant>
        <vt:i4>3932275</vt:i4>
      </vt:variant>
      <vt:variant>
        <vt:i4>105</vt:i4>
      </vt:variant>
      <vt:variant>
        <vt:i4>0</vt:i4>
      </vt:variant>
      <vt:variant>
        <vt:i4>5</vt:i4>
      </vt:variant>
      <vt:variant>
        <vt:lpwstr>http://www.nevo.co.il/case/17078753</vt:lpwstr>
      </vt:variant>
      <vt:variant>
        <vt:lpwstr/>
      </vt:variant>
      <vt:variant>
        <vt:i4>3801204</vt:i4>
      </vt:variant>
      <vt:variant>
        <vt:i4>102</vt:i4>
      </vt:variant>
      <vt:variant>
        <vt:i4>0</vt:i4>
      </vt:variant>
      <vt:variant>
        <vt:i4>5</vt:i4>
      </vt:variant>
      <vt:variant>
        <vt:lpwstr>http://www.nevo.co.il/case/6465218</vt:lpwstr>
      </vt:variant>
      <vt:variant>
        <vt:lpwstr/>
      </vt:variant>
      <vt:variant>
        <vt:i4>3145853</vt:i4>
      </vt:variant>
      <vt:variant>
        <vt:i4>99</vt:i4>
      </vt:variant>
      <vt:variant>
        <vt:i4>0</vt:i4>
      </vt:variant>
      <vt:variant>
        <vt:i4>5</vt:i4>
      </vt:variant>
      <vt:variant>
        <vt:lpwstr>http://www.nevo.co.il/case/20090028</vt:lpwstr>
      </vt:variant>
      <vt:variant>
        <vt:lpwstr/>
      </vt:variant>
      <vt:variant>
        <vt:i4>3342453</vt:i4>
      </vt:variant>
      <vt:variant>
        <vt:i4>96</vt:i4>
      </vt:variant>
      <vt:variant>
        <vt:i4>0</vt:i4>
      </vt:variant>
      <vt:variant>
        <vt:i4>5</vt:i4>
      </vt:variant>
      <vt:variant>
        <vt:lpwstr>http://www.nevo.co.il/case/11359589</vt:lpwstr>
      </vt:variant>
      <vt:variant>
        <vt:lpwstr/>
      </vt:variant>
      <vt:variant>
        <vt:i4>3932287</vt:i4>
      </vt:variant>
      <vt:variant>
        <vt:i4>93</vt:i4>
      </vt:variant>
      <vt:variant>
        <vt:i4>0</vt:i4>
      </vt:variant>
      <vt:variant>
        <vt:i4>5</vt:i4>
      </vt:variant>
      <vt:variant>
        <vt:lpwstr>http://www.nevo.co.il/case/24295693</vt:lpwstr>
      </vt:variant>
      <vt:variant>
        <vt:lpwstr/>
      </vt:variant>
      <vt:variant>
        <vt:i4>3801202</vt:i4>
      </vt:variant>
      <vt:variant>
        <vt:i4>90</vt:i4>
      </vt:variant>
      <vt:variant>
        <vt:i4>0</vt:i4>
      </vt:variant>
      <vt:variant>
        <vt:i4>5</vt:i4>
      </vt:variant>
      <vt:variant>
        <vt:lpwstr>http://www.nevo.co.il/case/24975541</vt:lpwstr>
      </vt:variant>
      <vt:variant>
        <vt:lpwstr/>
      </vt:variant>
      <vt:variant>
        <vt:i4>3407999</vt:i4>
      </vt:variant>
      <vt:variant>
        <vt:i4>87</vt:i4>
      </vt:variant>
      <vt:variant>
        <vt:i4>0</vt:i4>
      </vt:variant>
      <vt:variant>
        <vt:i4>5</vt:i4>
      </vt:variant>
      <vt:variant>
        <vt:lpwstr>http://www.nevo.co.il/case/25367828</vt:lpwstr>
      </vt:variant>
      <vt:variant>
        <vt:lpwstr/>
      </vt:variant>
      <vt:variant>
        <vt:i4>3932285</vt:i4>
      </vt:variant>
      <vt:variant>
        <vt:i4>84</vt:i4>
      </vt:variant>
      <vt:variant>
        <vt:i4>0</vt:i4>
      </vt:variant>
      <vt:variant>
        <vt:i4>5</vt:i4>
      </vt:variant>
      <vt:variant>
        <vt:lpwstr>http://www.nevo.co.il/case/23799303</vt:lpwstr>
      </vt:variant>
      <vt:variant>
        <vt:lpwstr/>
      </vt:variant>
      <vt:variant>
        <vt:i4>3342462</vt:i4>
      </vt:variant>
      <vt:variant>
        <vt:i4>81</vt:i4>
      </vt:variant>
      <vt:variant>
        <vt:i4>0</vt:i4>
      </vt:variant>
      <vt:variant>
        <vt:i4>5</vt:i4>
      </vt:variant>
      <vt:variant>
        <vt:lpwstr>http://www.nevo.co.il/case/7012287</vt:lpwstr>
      </vt:variant>
      <vt:variant>
        <vt:lpwstr/>
      </vt:variant>
      <vt:variant>
        <vt:i4>3473526</vt:i4>
      </vt:variant>
      <vt:variant>
        <vt:i4>78</vt:i4>
      </vt:variant>
      <vt:variant>
        <vt:i4>0</vt:i4>
      </vt:variant>
      <vt:variant>
        <vt:i4>5</vt:i4>
      </vt:variant>
      <vt:variant>
        <vt:lpwstr>http://www.nevo.co.il/case/8441178</vt:lpwstr>
      </vt:variant>
      <vt:variant>
        <vt:lpwstr/>
      </vt:variant>
      <vt:variant>
        <vt:i4>3407993</vt:i4>
      </vt:variant>
      <vt:variant>
        <vt:i4>75</vt:i4>
      </vt:variant>
      <vt:variant>
        <vt:i4>0</vt:i4>
      </vt:variant>
      <vt:variant>
        <vt:i4>5</vt:i4>
      </vt:variant>
      <vt:variant>
        <vt:lpwstr>http://www.nevo.co.il/case/3892678</vt:lpwstr>
      </vt:variant>
      <vt:variant>
        <vt:lpwstr/>
      </vt:variant>
      <vt:variant>
        <vt:i4>3539065</vt:i4>
      </vt:variant>
      <vt:variant>
        <vt:i4>72</vt:i4>
      </vt:variant>
      <vt:variant>
        <vt:i4>0</vt:i4>
      </vt:variant>
      <vt:variant>
        <vt:i4>5</vt:i4>
      </vt:variant>
      <vt:variant>
        <vt:lpwstr>http://www.nevo.co.il/case/23360870</vt:lpwstr>
      </vt:variant>
      <vt:variant>
        <vt:lpwstr/>
      </vt:variant>
      <vt:variant>
        <vt:i4>3473535</vt:i4>
      </vt:variant>
      <vt:variant>
        <vt:i4>69</vt:i4>
      </vt:variant>
      <vt:variant>
        <vt:i4>0</vt:i4>
      </vt:variant>
      <vt:variant>
        <vt:i4>5</vt:i4>
      </vt:variant>
      <vt:variant>
        <vt:lpwstr>http://www.nevo.co.il/case/5605484</vt:lpwstr>
      </vt:variant>
      <vt:variant>
        <vt:lpwstr/>
      </vt:variant>
      <vt:variant>
        <vt:i4>3342454</vt:i4>
      </vt:variant>
      <vt:variant>
        <vt:i4>66</vt:i4>
      </vt:variant>
      <vt:variant>
        <vt:i4>0</vt:i4>
      </vt:variant>
      <vt:variant>
        <vt:i4>5</vt:i4>
      </vt:variant>
      <vt:variant>
        <vt:lpwstr>http://www.nevo.co.il/case/18793360</vt:lpwstr>
      </vt:variant>
      <vt:variant>
        <vt:lpwstr/>
      </vt:variant>
      <vt:variant>
        <vt:i4>3539058</vt:i4>
      </vt:variant>
      <vt:variant>
        <vt:i4>63</vt:i4>
      </vt:variant>
      <vt:variant>
        <vt:i4>0</vt:i4>
      </vt:variant>
      <vt:variant>
        <vt:i4>5</vt:i4>
      </vt:variant>
      <vt:variant>
        <vt:lpwstr>http://www.nevo.co.il/case/5717163</vt:lpwstr>
      </vt:variant>
      <vt:variant>
        <vt:lpwstr/>
      </vt:variant>
      <vt:variant>
        <vt:i4>3801206</vt:i4>
      </vt:variant>
      <vt:variant>
        <vt:i4>60</vt:i4>
      </vt:variant>
      <vt:variant>
        <vt:i4>0</vt:i4>
      </vt:variant>
      <vt:variant>
        <vt:i4>5</vt:i4>
      </vt:variant>
      <vt:variant>
        <vt:lpwstr>http://www.nevo.co.il/case/20934153</vt:lpwstr>
      </vt:variant>
      <vt:variant>
        <vt:lpwstr/>
      </vt:variant>
      <vt:variant>
        <vt:i4>3932281</vt:i4>
      </vt:variant>
      <vt:variant>
        <vt:i4>57</vt:i4>
      </vt:variant>
      <vt:variant>
        <vt:i4>0</vt:i4>
      </vt:variant>
      <vt:variant>
        <vt:i4>5</vt:i4>
      </vt:variant>
      <vt:variant>
        <vt:lpwstr>http://www.nevo.co.il/case/5580584</vt:lpwstr>
      </vt:variant>
      <vt:variant>
        <vt:lpwstr/>
      </vt:variant>
      <vt:variant>
        <vt:i4>3211378</vt:i4>
      </vt:variant>
      <vt:variant>
        <vt:i4>54</vt:i4>
      </vt:variant>
      <vt:variant>
        <vt:i4>0</vt:i4>
      </vt:variant>
      <vt:variant>
        <vt:i4>5</vt:i4>
      </vt:variant>
      <vt:variant>
        <vt:lpwstr>http://www.nevo.co.il/case/5878467</vt:lpwstr>
      </vt:variant>
      <vt:variant>
        <vt:lpwstr/>
      </vt:variant>
      <vt:variant>
        <vt:i4>3276913</vt:i4>
      </vt:variant>
      <vt:variant>
        <vt:i4>51</vt:i4>
      </vt:variant>
      <vt:variant>
        <vt:i4>0</vt:i4>
      </vt:variant>
      <vt:variant>
        <vt:i4>5</vt:i4>
      </vt:variant>
      <vt:variant>
        <vt:lpwstr>http://www.nevo.co.il/case/5959755</vt:lpwstr>
      </vt:variant>
      <vt:variant>
        <vt:lpwstr/>
      </vt:variant>
      <vt:variant>
        <vt:i4>3801208</vt:i4>
      </vt:variant>
      <vt:variant>
        <vt:i4>48</vt:i4>
      </vt:variant>
      <vt:variant>
        <vt:i4>0</vt:i4>
      </vt:variant>
      <vt:variant>
        <vt:i4>5</vt:i4>
      </vt:variant>
      <vt:variant>
        <vt:lpwstr>http://www.nevo.co.il/case/6987521</vt:lpwstr>
      </vt:variant>
      <vt:variant>
        <vt:lpwstr/>
      </vt:variant>
      <vt:variant>
        <vt:i4>8323175</vt:i4>
      </vt:variant>
      <vt:variant>
        <vt:i4>45</vt:i4>
      </vt:variant>
      <vt:variant>
        <vt:i4>0</vt:i4>
      </vt:variant>
      <vt:variant>
        <vt:i4>5</vt:i4>
      </vt:variant>
      <vt:variant>
        <vt:lpwstr>http://www.nevo.co.il/law/5227</vt:lpwstr>
      </vt:variant>
      <vt:variant>
        <vt:lpwstr/>
      </vt:variant>
      <vt:variant>
        <vt:i4>3080312</vt:i4>
      </vt:variant>
      <vt:variant>
        <vt:i4>42</vt:i4>
      </vt:variant>
      <vt:variant>
        <vt:i4>0</vt:i4>
      </vt:variant>
      <vt:variant>
        <vt:i4>5</vt:i4>
      </vt:variant>
      <vt:variant>
        <vt:lpwstr>http://www.nevo.co.il/law/5227/10a</vt:lpwstr>
      </vt:variant>
      <vt:variant>
        <vt:lpwstr/>
      </vt:variant>
      <vt:variant>
        <vt:i4>4915274</vt:i4>
      </vt:variant>
      <vt:variant>
        <vt:i4>39</vt:i4>
      </vt:variant>
      <vt:variant>
        <vt:i4>0</vt:i4>
      </vt:variant>
      <vt:variant>
        <vt:i4>5</vt:i4>
      </vt:variant>
      <vt:variant>
        <vt:lpwstr>http://www.nevo.co.il/law/4216/7.a.c</vt:lpwstr>
      </vt:variant>
      <vt:variant>
        <vt:lpwstr/>
      </vt:variant>
      <vt:variant>
        <vt:i4>5177418</vt:i4>
      </vt:variant>
      <vt:variant>
        <vt:i4>36</vt:i4>
      </vt:variant>
      <vt:variant>
        <vt:i4>0</vt:i4>
      </vt:variant>
      <vt:variant>
        <vt:i4>5</vt:i4>
      </vt:variant>
      <vt:variant>
        <vt:lpwstr>http://www.nevo.co.il/law/4216/13</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8257637</vt:i4>
      </vt:variant>
      <vt:variant>
        <vt:i4>27</vt:i4>
      </vt:variant>
      <vt:variant>
        <vt:i4>0</vt:i4>
      </vt:variant>
      <vt:variant>
        <vt:i4>5</vt:i4>
      </vt:variant>
      <vt:variant>
        <vt:lpwstr>http://www.nevo.co.il/law/4216</vt:lpwstr>
      </vt:variant>
      <vt:variant>
        <vt:lpwstr/>
      </vt:variant>
      <vt:variant>
        <vt:i4>5046344</vt:i4>
      </vt:variant>
      <vt:variant>
        <vt:i4>24</vt:i4>
      </vt:variant>
      <vt:variant>
        <vt:i4>0</vt:i4>
      </vt:variant>
      <vt:variant>
        <vt:i4>5</vt:i4>
      </vt:variant>
      <vt:variant>
        <vt:lpwstr>http://www.nevo.co.il/law/4216/13;19</vt:lpwstr>
      </vt:variant>
      <vt:variant>
        <vt:lpwstr/>
      </vt:variant>
      <vt:variant>
        <vt:i4>3080312</vt:i4>
      </vt:variant>
      <vt:variant>
        <vt:i4>21</vt:i4>
      </vt:variant>
      <vt:variant>
        <vt:i4>0</vt:i4>
      </vt:variant>
      <vt:variant>
        <vt:i4>5</vt:i4>
      </vt:variant>
      <vt:variant>
        <vt:lpwstr>http://www.nevo.co.il/law/5227/10a</vt:lpwstr>
      </vt:variant>
      <vt:variant>
        <vt:lpwstr/>
      </vt:variant>
      <vt:variant>
        <vt:i4>8323175</vt:i4>
      </vt:variant>
      <vt:variant>
        <vt:i4>18</vt:i4>
      </vt:variant>
      <vt:variant>
        <vt:i4>0</vt:i4>
      </vt:variant>
      <vt:variant>
        <vt:i4>5</vt:i4>
      </vt:variant>
      <vt:variant>
        <vt:lpwstr>http://www.nevo.co.il/law/5227</vt:lpwstr>
      </vt:variant>
      <vt:variant>
        <vt:lpwstr/>
      </vt:variant>
      <vt:variant>
        <vt:i4>7077991</vt:i4>
      </vt:variant>
      <vt:variant>
        <vt:i4>15</vt:i4>
      </vt:variant>
      <vt:variant>
        <vt:i4>0</vt:i4>
      </vt:variant>
      <vt:variant>
        <vt:i4>5</vt:i4>
      </vt:variant>
      <vt:variant>
        <vt:lpwstr>http://www.nevo.co.il/law/70301/29</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http://www.nevo.co.il/law/4216/19</vt:lpwstr>
      </vt:variant>
      <vt:variant>
        <vt:lpwstr/>
      </vt:variant>
      <vt:variant>
        <vt:i4>5177418</vt:i4>
      </vt:variant>
      <vt:variant>
        <vt:i4>6</vt:i4>
      </vt:variant>
      <vt:variant>
        <vt:i4>0</vt:i4>
      </vt:variant>
      <vt:variant>
        <vt:i4>5</vt:i4>
      </vt:variant>
      <vt:variant>
        <vt:lpwstr>http://www.nevo.co.il/law/4216/13</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2025-04-23T00:19:00Z</dcterms:created>
  <dcterms:modified xsi:type="dcterms:W3CDTF">2025-04-23T00:19:00Z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21322</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רביע חוסיין</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20210324</vt:lpwstr>
  </property>
  <property fmtid="{D5CDD505-2E9C-101B-9397-08002B2CF9AE}" pid="13" name="TYPE_N_DATE">
    <vt:lpwstr>38020210324</vt:lpwstr>
  </property>
  <property fmtid="{D5CDD505-2E9C-101B-9397-08002B2CF9AE}" pid="14" name="WORDNUMPAGES">
    <vt:lpwstr>13</vt:lpwstr>
  </property>
  <property fmtid="{D5CDD505-2E9C-101B-9397-08002B2CF9AE}" pid="15" name="TYPE_ABS_DATE">
    <vt:lpwstr>380020210324</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6987521;5959755;5878467;5580584;20934153;5717163;18793360;5605484;23360870;3892678;8441178;7012287;23799303;25367828;24975541;24295693;11359589;20090028;6465218;17078753</vt:lpwstr>
  </property>
  <property fmtid="{D5CDD505-2E9C-101B-9397-08002B2CF9AE}" pid="36" name="LAWLISTTMP1">
    <vt:lpwstr>4216/013:2;019;007.a.c</vt:lpwstr>
  </property>
  <property fmtid="{D5CDD505-2E9C-101B-9397-08002B2CF9AE}" pid="37" name="LAWLISTTMP2">
    <vt:lpwstr>70301/029</vt:lpwstr>
  </property>
  <property fmtid="{D5CDD505-2E9C-101B-9397-08002B2CF9AE}" pid="38" name="LAWLISTTMP3">
    <vt:lpwstr>5227/010a</vt:lpwstr>
  </property>
</Properties>
</file>