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5469"/>
        <w:gridCol w:w="279"/>
        <w:gridCol w:w="2558"/>
      </w:tblGrid>
      <w:tr w:rsidR="00960BC5" w:rsidRPr="00455A01" w14:paraId="0BFEEC0D" w14:textId="77777777" w:rsidTr="002E57CC">
        <w:trPr>
          <w:trHeight w:val="709"/>
          <w:jc w:val="center"/>
        </w:trPr>
        <w:tc>
          <w:tcPr>
            <w:tcW w:w="8306" w:type="dxa"/>
            <w:gridSpan w:val="3"/>
          </w:tcPr>
          <w:p w14:paraId="407BA683" w14:textId="77777777" w:rsidR="00960BC5" w:rsidRPr="00455A01" w:rsidRDefault="00960BC5" w:rsidP="002E57CC">
            <w:pPr>
              <w:pStyle w:val="a3"/>
              <w:jc w:val="center"/>
              <w:rPr>
                <w:b/>
                <w:bCs/>
                <w:noProof w:val="0"/>
                <w:color w:val="000080"/>
                <w:sz w:val="28"/>
                <w:szCs w:val="28"/>
              </w:rPr>
            </w:pPr>
            <w:bookmarkStart w:id="0" w:name="LastJudge"/>
            <w:r w:rsidRPr="00455A01">
              <w:rPr>
                <w:rFonts w:hint="cs"/>
                <w:b/>
                <w:bCs/>
                <w:color w:val="000080"/>
                <w:sz w:val="28"/>
                <w:szCs w:val="28"/>
                <w:rtl/>
              </w:rPr>
              <w:t xml:space="preserve">בית משפט השלום באשקלון </w:t>
            </w:r>
          </w:p>
          <w:p w14:paraId="62AFC3FF" w14:textId="77777777" w:rsidR="00960BC5" w:rsidRPr="00455A01" w:rsidRDefault="00960BC5" w:rsidP="002E57CC">
            <w:pPr>
              <w:pStyle w:val="a3"/>
              <w:jc w:val="center"/>
              <w:rPr>
                <w:b/>
                <w:bCs/>
                <w:color w:val="000080"/>
                <w:sz w:val="32"/>
                <w:szCs w:val="32"/>
                <w:rtl/>
              </w:rPr>
            </w:pPr>
            <w:r w:rsidRPr="00455A01">
              <w:rPr>
                <w:rFonts w:hint="cs"/>
                <w:b/>
                <w:bCs/>
                <w:color w:val="000080"/>
                <w:sz w:val="28"/>
                <w:szCs w:val="28"/>
                <w:rtl/>
              </w:rPr>
              <w:t>בשבתו כבית משפט השלום בקריית גת</w:t>
            </w:r>
          </w:p>
        </w:tc>
      </w:tr>
      <w:tr w:rsidR="00960BC5" w:rsidRPr="00455A01" w14:paraId="2C767D05" w14:textId="77777777" w:rsidTr="002E57CC">
        <w:trPr>
          <w:trHeight w:val="429"/>
          <w:jc w:val="center"/>
        </w:trPr>
        <w:tc>
          <w:tcPr>
            <w:tcW w:w="5469" w:type="dxa"/>
          </w:tcPr>
          <w:p w14:paraId="4DB25D1A" w14:textId="77777777" w:rsidR="00960BC5" w:rsidRPr="00455A01" w:rsidRDefault="00960BC5" w:rsidP="002E57CC">
            <w:pPr>
              <w:rPr>
                <w:b/>
                <w:bCs/>
                <w:sz w:val="26"/>
                <w:szCs w:val="26"/>
                <w:rtl/>
              </w:rPr>
            </w:pPr>
            <w:r w:rsidRPr="00455A01">
              <w:rPr>
                <w:rFonts w:hint="cs"/>
                <w:b/>
                <w:bCs/>
                <w:sz w:val="26"/>
                <w:szCs w:val="26"/>
                <w:rtl/>
              </w:rPr>
              <w:t>ת"פ</w:t>
            </w:r>
            <w:r w:rsidRPr="00455A01">
              <w:rPr>
                <w:rFonts w:hint="cs"/>
                <w:b/>
                <w:bCs/>
                <w:sz w:val="28"/>
                <w:szCs w:val="28"/>
                <w:rtl/>
              </w:rPr>
              <w:t xml:space="preserve">  </w:t>
            </w:r>
            <w:r w:rsidRPr="00455A01">
              <w:rPr>
                <w:rFonts w:hint="cs"/>
                <w:b/>
                <w:bCs/>
                <w:sz w:val="26"/>
                <w:szCs w:val="26"/>
                <w:rtl/>
              </w:rPr>
              <w:t>31827-10-19</w:t>
            </w:r>
            <w:r w:rsidRPr="00455A01">
              <w:rPr>
                <w:rFonts w:hint="cs"/>
                <w:b/>
                <w:bCs/>
                <w:sz w:val="28"/>
                <w:szCs w:val="28"/>
                <w:rtl/>
              </w:rPr>
              <w:t xml:space="preserve"> </w:t>
            </w:r>
            <w:r w:rsidRPr="00455A01">
              <w:rPr>
                <w:rFonts w:hint="cs"/>
                <w:b/>
                <w:bCs/>
                <w:sz w:val="26"/>
                <w:szCs w:val="26"/>
                <w:rtl/>
              </w:rPr>
              <w:t>מדינת ישראל נ' גרשי</w:t>
            </w:r>
          </w:p>
          <w:p w14:paraId="4EAA98FE" w14:textId="77777777" w:rsidR="00960BC5" w:rsidRPr="00455A01" w:rsidRDefault="00960BC5" w:rsidP="002E57CC">
            <w:pPr>
              <w:rPr>
                <w:b/>
                <w:bCs/>
                <w:sz w:val="26"/>
                <w:szCs w:val="26"/>
                <w:rtl/>
              </w:rPr>
            </w:pPr>
            <w:r w:rsidRPr="00455A01">
              <w:rPr>
                <w:rFonts w:hint="cs"/>
                <w:b/>
                <w:bCs/>
                <w:sz w:val="26"/>
                <w:szCs w:val="26"/>
                <w:rtl/>
              </w:rPr>
              <w:t>ת"פ</w:t>
            </w:r>
            <w:r w:rsidRPr="00455A01">
              <w:rPr>
                <w:rFonts w:hint="cs"/>
                <w:b/>
                <w:bCs/>
                <w:sz w:val="28"/>
                <w:szCs w:val="28"/>
                <w:rtl/>
              </w:rPr>
              <w:t xml:space="preserve">  </w:t>
            </w:r>
            <w:r w:rsidRPr="00455A01">
              <w:rPr>
                <w:rFonts w:hint="cs"/>
                <w:b/>
                <w:bCs/>
                <w:sz w:val="26"/>
                <w:szCs w:val="26"/>
                <w:rtl/>
              </w:rPr>
              <w:t>52031-01-21</w:t>
            </w:r>
            <w:r w:rsidRPr="00455A01">
              <w:rPr>
                <w:rFonts w:hint="cs"/>
                <w:b/>
                <w:bCs/>
                <w:sz w:val="28"/>
                <w:szCs w:val="28"/>
                <w:rtl/>
              </w:rPr>
              <w:t xml:space="preserve"> </w:t>
            </w:r>
            <w:r w:rsidRPr="00455A01">
              <w:rPr>
                <w:rFonts w:hint="cs"/>
                <w:b/>
                <w:bCs/>
                <w:sz w:val="26"/>
                <w:szCs w:val="26"/>
                <w:rtl/>
              </w:rPr>
              <w:t>מדינת ישראל נ' גרשי</w:t>
            </w:r>
          </w:p>
          <w:p w14:paraId="01BC2D5B" w14:textId="77777777" w:rsidR="00960BC5" w:rsidRPr="00455A01" w:rsidRDefault="00960BC5" w:rsidP="002E57CC">
            <w:pPr>
              <w:rPr>
                <w:b/>
                <w:bCs/>
                <w:sz w:val="26"/>
                <w:szCs w:val="26"/>
                <w:rtl/>
              </w:rPr>
            </w:pPr>
            <w:r w:rsidRPr="00455A01">
              <w:rPr>
                <w:rFonts w:hint="cs"/>
                <w:b/>
                <w:bCs/>
                <w:sz w:val="26"/>
                <w:szCs w:val="26"/>
                <w:rtl/>
              </w:rPr>
              <w:t xml:space="preserve">ת"פ  24512-01-21 מדינת ישראל נ' גרשי </w:t>
            </w:r>
          </w:p>
          <w:p w14:paraId="2B24B0CF" w14:textId="77777777" w:rsidR="00960BC5" w:rsidRPr="00455A01" w:rsidRDefault="00960BC5" w:rsidP="002E57CC">
            <w:pPr>
              <w:rPr>
                <w:b/>
                <w:bCs/>
                <w:sz w:val="28"/>
                <w:szCs w:val="28"/>
                <w:rtl/>
              </w:rPr>
            </w:pPr>
            <w:r w:rsidRPr="00455A01">
              <w:rPr>
                <w:rFonts w:hint="cs"/>
                <w:b/>
                <w:bCs/>
                <w:sz w:val="26"/>
                <w:szCs w:val="26"/>
                <w:rtl/>
              </w:rPr>
              <w:t>ת"פ</w:t>
            </w:r>
            <w:r w:rsidRPr="00455A01">
              <w:rPr>
                <w:rFonts w:hint="cs"/>
                <w:b/>
                <w:bCs/>
                <w:sz w:val="28"/>
                <w:szCs w:val="28"/>
                <w:rtl/>
              </w:rPr>
              <w:t xml:space="preserve">  </w:t>
            </w:r>
            <w:r w:rsidRPr="00455A01">
              <w:rPr>
                <w:rFonts w:hint="cs"/>
                <w:b/>
                <w:bCs/>
                <w:sz w:val="26"/>
                <w:szCs w:val="26"/>
                <w:rtl/>
              </w:rPr>
              <w:t>28856-08-22</w:t>
            </w:r>
            <w:r w:rsidRPr="00455A01">
              <w:rPr>
                <w:rFonts w:hint="cs"/>
                <w:b/>
                <w:bCs/>
                <w:sz w:val="28"/>
                <w:szCs w:val="28"/>
                <w:rtl/>
              </w:rPr>
              <w:t xml:space="preserve"> </w:t>
            </w:r>
            <w:r w:rsidRPr="00455A01">
              <w:rPr>
                <w:rFonts w:hint="cs"/>
                <w:b/>
                <w:bCs/>
                <w:sz w:val="26"/>
                <w:szCs w:val="26"/>
                <w:rtl/>
              </w:rPr>
              <w:t>מדינת ישראל נ' גרשי</w:t>
            </w:r>
          </w:p>
        </w:tc>
        <w:tc>
          <w:tcPr>
            <w:tcW w:w="279" w:type="dxa"/>
          </w:tcPr>
          <w:p w14:paraId="399FCA3F" w14:textId="77777777" w:rsidR="00960BC5" w:rsidRPr="00455A01" w:rsidRDefault="00960BC5" w:rsidP="002E57CC">
            <w:pPr>
              <w:pStyle w:val="a3"/>
              <w:jc w:val="right"/>
              <w:rPr>
                <w:b/>
                <w:bCs/>
                <w:sz w:val="28"/>
                <w:szCs w:val="28"/>
                <w:rtl/>
              </w:rPr>
            </w:pPr>
          </w:p>
        </w:tc>
        <w:tc>
          <w:tcPr>
            <w:tcW w:w="2558" w:type="dxa"/>
          </w:tcPr>
          <w:p w14:paraId="421EA396" w14:textId="77777777" w:rsidR="00960BC5" w:rsidRPr="00455A01" w:rsidRDefault="00960BC5" w:rsidP="002E57CC">
            <w:pPr>
              <w:pStyle w:val="a3"/>
              <w:tabs>
                <w:tab w:val="clear" w:pos="4153"/>
              </w:tabs>
              <w:jc w:val="right"/>
              <w:rPr>
                <w:b/>
                <w:bCs/>
                <w:sz w:val="28"/>
                <w:szCs w:val="28"/>
                <w:rtl/>
              </w:rPr>
            </w:pPr>
          </w:p>
        </w:tc>
      </w:tr>
    </w:tbl>
    <w:p w14:paraId="58A70640" w14:textId="77777777" w:rsidR="00960BC5" w:rsidRPr="00455A01" w:rsidRDefault="00960BC5" w:rsidP="00960BC5">
      <w:pPr>
        <w:rPr>
          <w:rtl/>
        </w:rPr>
      </w:pPr>
    </w:p>
    <w:tbl>
      <w:tblPr>
        <w:bidiVisual/>
        <w:tblW w:w="8416" w:type="dxa"/>
        <w:tblInd w:w="-28" w:type="dxa"/>
        <w:tblLook w:val="01E0" w:firstRow="1" w:lastRow="1" w:firstColumn="1" w:lastColumn="1" w:noHBand="0" w:noVBand="0"/>
      </w:tblPr>
      <w:tblGrid>
        <w:gridCol w:w="1896"/>
        <w:gridCol w:w="6520"/>
      </w:tblGrid>
      <w:tr w:rsidR="00960BC5" w:rsidRPr="00455A01" w14:paraId="59E77391" w14:textId="77777777" w:rsidTr="00960BC5">
        <w:tc>
          <w:tcPr>
            <w:tcW w:w="8416" w:type="dxa"/>
            <w:gridSpan w:val="2"/>
            <w:shd w:val="clear" w:color="auto" w:fill="auto"/>
          </w:tcPr>
          <w:p w14:paraId="1AA7B280" w14:textId="77777777" w:rsidR="00960BC5" w:rsidRPr="00455A01" w:rsidRDefault="00960BC5" w:rsidP="00960BC5">
            <w:pPr>
              <w:spacing w:line="276" w:lineRule="auto"/>
              <w:rPr>
                <w:rFonts w:ascii="David" w:hAnsi="David"/>
                <w:b/>
                <w:bCs/>
                <w:noProof w:val="0"/>
                <w:sz w:val="28"/>
                <w:szCs w:val="28"/>
              </w:rPr>
            </w:pPr>
            <w:r w:rsidRPr="00455A01">
              <w:rPr>
                <w:rFonts w:ascii="David" w:hAnsi="David"/>
                <w:b/>
                <w:bCs/>
                <w:sz w:val="26"/>
                <w:szCs w:val="26"/>
                <w:rtl/>
              </w:rPr>
              <w:t>לפני כב' השופטת זהר דולב להמן</w:t>
            </w:r>
          </w:p>
          <w:p w14:paraId="2E778589" w14:textId="77777777" w:rsidR="00960BC5" w:rsidRPr="00455A01" w:rsidRDefault="00960BC5" w:rsidP="00960BC5">
            <w:pPr>
              <w:spacing w:line="276" w:lineRule="auto"/>
              <w:jc w:val="right"/>
              <w:rPr>
                <w:rFonts w:ascii="David" w:hAnsi="David"/>
                <w:b/>
                <w:bCs/>
                <w:noProof w:val="0"/>
                <w:sz w:val="28"/>
                <w:szCs w:val="28"/>
              </w:rPr>
            </w:pPr>
          </w:p>
          <w:p w14:paraId="3A4A929D" w14:textId="77777777" w:rsidR="00960BC5" w:rsidRPr="00455A01" w:rsidRDefault="00960BC5" w:rsidP="00960BC5">
            <w:pPr>
              <w:jc w:val="right"/>
              <w:rPr>
                <w:rFonts w:ascii="David" w:hAnsi="David"/>
                <w:b/>
                <w:bCs/>
                <w:sz w:val="2"/>
                <w:szCs w:val="2"/>
                <w:rtl/>
              </w:rPr>
            </w:pPr>
          </w:p>
        </w:tc>
      </w:tr>
      <w:tr w:rsidR="00960BC5" w:rsidRPr="00455A01" w14:paraId="6F244660" w14:textId="77777777" w:rsidTr="00960BC5">
        <w:tc>
          <w:tcPr>
            <w:tcW w:w="1896" w:type="dxa"/>
            <w:shd w:val="clear" w:color="auto" w:fill="auto"/>
          </w:tcPr>
          <w:p w14:paraId="1F49560C" w14:textId="77777777" w:rsidR="00960BC5" w:rsidRPr="00455A01" w:rsidRDefault="00960BC5" w:rsidP="002E57CC">
            <w:pPr>
              <w:rPr>
                <w:b/>
                <w:bCs/>
                <w:sz w:val="28"/>
                <w:szCs w:val="28"/>
              </w:rPr>
            </w:pPr>
            <w:bookmarkStart w:id="1" w:name="FirstAppellant"/>
            <w:bookmarkStart w:id="2" w:name="FirstLawyer"/>
            <w:r w:rsidRPr="00455A01">
              <w:rPr>
                <w:b/>
                <w:bCs/>
                <w:sz w:val="28"/>
                <w:szCs w:val="28"/>
                <w:rtl/>
              </w:rPr>
              <w:t xml:space="preserve"> </w:t>
            </w:r>
            <w:r w:rsidRPr="00455A01">
              <w:rPr>
                <w:b/>
                <w:bCs/>
                <w:sz w:val="26"/>
                <w:szCs w:val="26"/>
                <w:rtl/>
              </w:rPr>
              <w:t>המאשימה</w:t>
            </w:r>
          </w:p>
        </w:tc>
        <w:tc>
          <w:tcPr>
            <w:tcW w:w="6520" w:type="dxa"/>
            <w:shd w:val="clear" w:color="auto" w:fill="auto"/>
          </w:tcPr>
          <w:p w14:paraId="5B76D210" w14:textId="77777777" w:rsidR="00960BC5" w:rsidRPr="00455A01" w:rsidRDefault="00960BC5" w:rsidP="002E57CC">
            <w:pPr>
              <w:rPr>
                <w:rFonts w:ascii="David" w:hAnsi="David"/>
                <w:rtl/>
              </w:rPr>
            </w:pPr>
            <w:r w:rsidRPr="00455A01">
              <w:rPr>
                <w:rFonts w:ascii="David" w:hAnsi="David"/>
                <w:b/>
                <w:bCs/>
                <w:rtl/>
              </w:rPr>
              <w:t xml:space="preserve"> מדינת ישראל </w:t>
            </w:r>
          </w:p>
          <w:p w14:paraId="7865A97E" w14:textId="77777777" w:rsidR="00960BC5" w:rsidRPr="00455A01" w:rsidRDefault="00960BC5" w:rsidP="002E57CC">
            <w:pPr>
              <w:rPr>
                <w:rFonts w:ascii="David" w:hAnsi="David"/>
                <w:rtl/>
              </w:rPr>
            </w:pPr>
            <w:r w:rsidRPr="00455A01">
              <w:rPr>
                <w:rFonts w:ascii="David" w:hAnsi="David"/>
                <w:rtl/>
              </w:rPr>
              <w:t xml:space="preserve"> ע"י ב"כ עוה"ד רעות בונה ז'ורנו ועוה"ד הילה מלול</w:t>
            </w:r>
          </w:p>
        </w:tc>
      </w:tr>
      <w:bookmarkEnd w:id="1"/>
      <w:bookmarkEnd w:id="2"/>
      <w:tr w:rsidR="00960BC5" w:rsidRPr="00455A01" w14:paraId="0E4C2FB4" w14:textId="77777777" w:rsidTr="00960BC5">
        <w:tc>
          <w:tcPr>
            <w:tcW w:w="8415" w:type="dxa"/>
            <w:gridSpan w:val="2"/>
            <w:shd w:val="clear" w:color="auto" w:fill="auto"/>
          </w:tcPr>
          <w:p w14:paraId="5DACB79A" w14:textId="77777777" w:rsidR="00960BC5" w:rsidRPr="00455A01" w:rsidRDefault="00960BC5" w:rsidP="00960BC5">
            <w:pPr>
              <w:jc w:val="center"/>
              <w:rPr>
                <w:rFonts w:ascii="Arial" w:hAnsi="Arial"/>
                <w:b/>
                <w:bCs/>
                <w:sz w:val="14"/>
                <w:szCs w:val="14"/>
                <w:rtl/>
              </w:rPr>
            </w:pPr>
          </w:p>
          <w:p w14:paraId="460C69FC" w14:textId="77777777" w:rsidR="00960BC5" w:rsidRPr="00455A01" w:rsidRDefault="00960BC5" w:rsidP="00960BC5">
            <w:pPr>
              <w:jc w:val="center"/>
              <w:rPr>
                <w:rFonts w:ascii="Arial" w:hAnsi="Arial"/>
                <w:b/>
                <w:bCs/>
                <w:sz w:val="28"/>
                <w:szCs w:val="28"/>
                <w:rtl/>
              </w:rPr>
            </w:pPr>
          </w:p>
          <w:p w14:paraId="654AB69F" w14:textId="77777777" w:rsidR="00960BC5" w:rsidRPr="00455A01" w:rsidRDefault="00960BC5" w:rsidP="00960BC5">
            <w:pPr>
              <w:jc w:val="center"/>
              <w:rPr>
                <w:rFonts w:ascii="Arial" w:hAnsi="Arial"/>
                <w:b/>
                <w:bCs/>
                <w:sz w:val="28"/>
                <w:szCs w:val="28"/>
                <w:rtl/>
              </w:rPr>
            </w:pPr>
            <w:r w:rsidRPr="00455A01">
              <w:rPr>
                <w:rFonts w:ascii="Arial" w:hAnsi="Arial"/>
                <w:b/>
                <w:bCs/>
                <w:sz w:val="28"/>
                <w:szCs w:val="28"/>
                <w:rtl/>
              </w:rPr>
              <w:t>נ ג ד</w:t>
            </w:r>
          </w:p>
          <w:p w14:paraId="7E4CD5F0" w14:textId="77777777" w:rsidR="00960BC5" w:rsidRPr="00455A01" w:rsidRDefault="00960BC5" w:rsidP="00960BC5">
            <w:pPr>
              <w:jc w:val="center"/>
              <w:rPr>
                <w:rFonts w:ascii="Arial" w:hAnsi="Arial"/>
                <w:b/>
                <w:bCs/>
                <w:sz w:val="28"/>
                <w:szCs w:val="28"/>
                <w:rtl/>
              </w:rPr>
            </w:pPr>
          </w:p>
          <w:p w14:paraId="64B852C5" w14:textId="77777777" w:rsidR="00960BC5" w:rsidRPr="00455A01" w:rsidRDefault="00960BC5" w:rsidP="00960BC5">
            <w:pPr>
              <w:jc w:val="right"/>
              <w:rPr>
                <w:rFonts w:ascii="Arial" w:hAnsi="Arial"/>
                <w:b/>
                <w:bCs/>
                <w:sz w:val="6"/>
                <w:szCs w:val="6"/>
                <w:rtl/>
              </w:rPr>
            </w:pPr>
          </w:p>
        </w:tc>
      </w:tr>
      <w:tr w:rsidR="00960BC5" w:rsidRPr="00455A01" w14:paraId="3EF19F9A" w14:textId="77777777" w:rsidTr="00960BC5">
        <w:trPr>
          <w:trHeight w:val="593"/>
        </w:trPr>
        <w:tc>
          <w:tcPr>
            <w:tcW w:w="1896" w:type="dxa"/>
            <w:shd w:val="clear" w:color="auto" w:fill="auto"/>
          </w:tcPr>
          <w:p w14:paraId="1BCEC198" w14:textId="77777777" w:rsidR="00960BC5" w:rsidRPr="00455A01" w:rsidRDefault="00960BC5" w:rsidP="002E57CC">
            <w:pPr>
              <w:rPr>
                <w:b/>
                <w:bCs/>
                <w:sz w:val="28"/>
                <w:szCs w:val="28"/>
                <w:rtl/>
              </w:rPr>
            </w:pPr>
            <w:r w:rsidRPr="00455A01">
              <w:rPr>
                <w:b/>
                <w:bCs/>
                <w:sz w:val="28"/>
                <w:szCs w:val="28"/>
                <w:rtl/>
              </w:rPr>
              <w:t xml:space="preserve"> </w:t>
            </w:r>
            <w:r w:rsidRPr="00455A01">
              <w:rPr>
                <w:b/>
                <w:bCs/>
                <w:sz w:val="26"/>
                <w:szCs w:val="26"/>
                <w:rtl/>
              </w:rPr>
              <w:t>הנאשם</w:t>
            </w:r>
          </w:p>
        </w:tc>
        <w:tc>
          <w:tcPr>
            <w:tcW w:w="6520" w:type="dxa"/>
            <w:shd w:val="clear" w:color="auto" w:fill="auto"/>
          </w:tcPr>
          <w:p w14:paraId="65E59658" w14:textId="77777777" w:rsidR="00960BC5" w:rsidRPr="00455A01" w:rsidRDefault="00960BC5" w:rsidP="002E57CC">
            <w:pPr>
              <w:rPr>
                <w:rFonts w:cs="Times New Roman"/>
                <w:szCs w:val="26"/>
                <w:rtl/>
              </w:rPr>
            </w:pPr>
            <w:r w:rsidRPr="00455A01">
              <w:rPr>
                <w:rFonts w:ascii="David" w:hAnsi="David"/>
                <w:b/>
                <w:bCs/>
                <w:sz w:val="26"/>
                <w:szCs w:val="26"/>
                <w:rtl/>
              </w:rPr>
              <w:t>נתנאל גרשי</w:t>
            </w:r>
            <w:r w:rsidRPr="00455A01">
              <w:rPr>
                <w:b/>
                <w:bCs/>
                <w:sz w:val="28"/>
                <w:szCs w:val="28"/>
                <w:rtl/>
              </w:rPr>
              <w:t xml:space="preserve"> </w:t>
            </w:r>
          </w:p>
          <w:p w14:paraId="33C59BAA" w14:textId="77777777" w:rsidR="00960BC5" w:rsidRPr="00455A01" w:rsidRDefault="00960BC5" w:rsidP="002E57CC">
            <w:pPr>
              <w:rPr>
                <w:rFonts w:ascii="David" w:hAnsi="David"/>
                <w:szCs w:val="26"/>
              </w:rPr>
            </w:pPr>
            <w:r w:rsidRPr="00455A01">
              <w:rPr>
                <w:rtl/>
              </w:rPr>
              <w:t xml:space="preserve">ע"י ב"כ עוה"ד אסף שלם </w:t>
            </w:r>
          </w:p>
        </w:tc>
      </w:tr>
    </w:tbl>
    <w:p w14:paraId="56849E6D" w14:textId="77777777" w:rsidR="00455A01" w:rsidRPr="00455A01" w:rsidRDefault="00455A01" w:rsidP="00455A01">
      <w:pPr>
        <w:spacing w:before="120" w:after="120" w:line="240" w:lineRule="exact"/>
        <w:ind w:left="283" w:hanging="283"/>
        <w:jc w:val="both"/>
        <w:rPr>
          <w:rFonts w:ascii="FrankRuehl" w:hAnsi="FrankRuehl" w:cs="FrankRuehl"/>
          <w:noProof w:val="0"/>
          <w:rtl/>
        </w:rPr>
      </w:pPr>
    </w:p>
    <w:p w14:paraId="38BEA061" w14:textId="77777777" w:rsidR="00455A01" w:rsidRPr="00455A01" w:rsidRDefault="00455A01" w:rsidP="00455A01">
      <w:pPr>
        <w:spacing w:line="360" w:lineRule="auto"/>
        <w:jc w:val="both"/>
        <w:rPr>
          <w:rFonts w:ascii="Arial" w:hAnsi="Arial"/>
          <w:noProof w:val="0"/>
          <w:rtl/>
        </w:rPr>
      </w:pPr>
    </w:p>
    <w:p w14:paraId="041B687B" w14:textId="77777777" w:rsidR="00C275D8" w:rsidRPr="00C275D8" w:rsidRDefault="00C275D8" w:rsidP="00C275D8">
      <w:pPr>
        <w:spacing w:before="120" w:after="120" w:line="240" w:lineRule="exact"/>
        <w:ind w:left="283" w:hanging="283"/>
        <w:jc w:val="both"/>
        <w:rPr>
          <w:rFonts w:ascii="FrankRuehl" w:hAnsi="FrankRuehl" w:cs="FrankRuehl"/>
          <w:noProof w:val="0"/>
          <w:rtl/>
        </w:rPr>
      </w:pPr>
    </w:p>
    <w:p w14:paraId="2A83F5DA" w14:textId="77777777" w:rsidR="0049122D" w:rsidRPr="0049122D" w:rsidRDefault="0049122D" w:rsidP="0049122D">
      <w:pPr>
        <w:spacing w:before="120" w:after="120" w:line="240" w:lineRule="exact"/>
        <w:ind w:left="283" w:hanging="283"/>
        <w:jc w:val="both"/>
        <w:rPr>
          <w:rFonts w:ascii="FrankRuehl" w:hAnsi="FrankRuehl" w:cs="FrankRuehl"/>
          <w:noProof w:val="0"/>
          <w:rtl/>
        </w:rPr>
      </w:pPr>
    </w:p>
    <w:p w14:paraId="237B6465" w14:textId="77777777" w:rsidR="001A04E4" w:rsidRDefault="001A04E4" w:rsidP="001A04E4">
      <w:pPr>
        <w:spacing w:line="360" w:lineRule="auto"/>
        <w:jc w:val="both"/>
        <w:rPr>
          <w:rFonts w:ascii="Arial" w:hAnsi="Arial"/>
          <w:noProof w:val="0"/>
          <w:rtl/>
        </w:rPr>
      </w:pPr>
      <w:bookmarkStart w:id="3" w:name="LawTable"/>
      <w:bookmarkEnd w:id="3"/>
    </w:p>
    <w:p w14:paraId="4FC73302" w14:textId="77777777" w:rsidR="001A04E4" w:rsidRPr="001A04E4" w:rsidRDefault="001A04E4" w:rsidP="001A04E4">
      <w:pPr>
        <w:spacing w:before="120" w:after="120" w:line="240" w:lineRule="exact"/>
        <w:ind w:left="283" w:hanging="283"/>
        <w:jc w:val="both"/>
        <w:rPr>
          <w:rFonts w:ascii="FrankRuehl" w:hAnsi="FrankRuehl" w:cs="FrankRuehl"/>
          <w:noProof w:val="0"/>
          <w:rtl/>
        </w:rPr>
      </w:pPr>
    </w:p>
    <w:p w14:paraId="27FCB609" w14:textId="77777777" w:rsidR="001A04E4" w:rsidRPr="001A04E4" w:rsidRDefault="001A04E4" w:rsidP="001A04E4">
      <w:pPr>
        <w:spacing w:before="120" w:after="120" w:line="240" w:lineRule="exact"/>
        <w:ind w:left="283" w:hanging="283"/>
        <w:jc w:val="both"/>
        <w:rPr>
          <w:rFonts w:ascii="FrankRuehl" w:hAnsi="FrankRuehl" w:cs="FrankRuehl"/>
          <w:noProof w:val="0"/>
          <w:rtl/>
        </w:rPr>
      </w:pPr>
    </w:p>
    <w:p w14:paraId="24E036BC" w14:textId="77777777" w:rsidR="001A04E4" w:rsidRPr="001A04E4" w:rsidRDefault="001A04E4" w:rsidP="001A04E4">
      <w:pPr>
        <w:spacing w:before="120" w:after="120" w:line="240" w:lineRule="exact"/>
        <w:ind w:left="283" w:hanging="283"/>
        <w:jc w:val="both"/>
        <w:rPr>
          <w:rFonts w:ascii="FrankRuehl" w:hAnsi="FrankRuehl" w:cs="FrankRuehl"/>
          <w:noProof w:val="0"/>
          <w:rtl/>
        </w:rPr>
      </w:pPr>
      <w:r w:rsidRPr="001A04E4">
        <w:rPr>
          <w:rFonts w:ascii="FrankRuehl" w:hAnsi="FrankRuehl" w:cs="FrankRuehl"/>
          <w:noProof w:val="0"/>
          <w:rtl/>
        </w:rPr>
        <w:t xml:space="preserve">חקיקה שאוזכרה: </w:t>
      </w:r>
    </w:p>
    <w:p w14:paraId="48A09E5E" w14:textId="77777777" w:rsidR="001A04E4" w:rsidRPr="001A04E4" w:rsidRDefault="001A04E4" w:rsidP="001A04E4">
      <w:pPr>
        <w:spacing w:before="120" w:after="120" w:line="240" w:lineRule="exact"/>
        <w:ind w:left="283" w:hanging="283"/>
        <w:jc w:val="both"/>
        <w:rPr>
          <w:rFonts w:ascii="FrankRuehl" w:hAnsi="FrankRuehl" w:cs="FrankRuehl"/>
          <w:noProof w:val="0"/>
          <w:rtl/>
        </w:rPr>
      </w:pPr>
      <w:hyperlink r:id="rId7" w:history="1">
        <w:r w:rsidRPr="001A04E4">
          <w:rPr>
            <w:rFonts w:ascii="FrankRuehl" w:hAnsi="FrankRuehl" w:cs="FrankRuehl"/>
            <w:noProof w:val="0"/>
            <w:color w:val="0000FF"/>
            <w:rtl/>
          </w:rPr>
          <w:t>פקודת הסמים המסוכנים [נוסח חדש], תשל"ג-1973</w:t>
        </w:r>
      </w:hyperlink>
      <w:r w:rsidRPr="001A04E4">
        <w:rPr>
          <w:rFonts w:ascii="FrankRuehl" w:hAnsi="FrankRuehl" w:cs="FrankRuehl"/>
          <w:noProof w:val="0"/>
          <w:rtl/>
        </w:rPr>
        <w:t xml:space="preserve">: סע'  </w:t>
      </w:r>
      <w:hyperlink r:id="rId8" w:history="1">
        <w:r w:rsidRPr="001A04E4">
          <w:rPr>
            <w:rFonts w:ascii="FrankRuehl" w:hAnsi="FrankRuehl" w:cs="FrankRuehl"/>
            <w:noProof w:val="0"/>
            <w:color w:val="0000FF"/>
            <w:rtl/>
          </w:rPr>
          <w:t>7(א)</w:t>
        </w:r>
      </w:hyperlink>
      <w:r w:rsidRPr="001A04E4">
        <w:rPr>
          <w:rFonts w:ascii="FrankRuehl" w:hAnsi="FrankRuehl" w:cs="FrankRuehl"/>
          <w:noProof w:val="0"/>
          <w:rtl/>
        </w:rPr>
        <w:t xml:space="preserve">, </w:t>
      </w:r>
      <w:hyperlink r:id="rId9" w:history="1">
        <w:r w:rsidRPr="001A04E4">
          <w:rPr>
            <w:rFonts w:ascii="FrankRuehl" w:hAnsi="FrankRuehl" w:cs="FrankRuehl"/>
            <w:noProof w:val="0"/>
            <w:color w:val="0000FF"/>
            <w:rtl/>
          </w:rPr>
          <w:t>7(ג)</w:t>
        </w:r>
      </w:hyperlink>
      <w:r w:rsidRPr="001A04E4">
        <w:rPr>
          <w:rFonts w:ascii="FrankRuehl" w:hAnsi="FrankRuehl" w:cs="FrankRuehl"/>
          <w:noProof w:val="0"/>
          <w:rtl/>
        </w:rPr>
        <w:t xml:space="preserve">, </w:t>
      </w:r>
      <w:hyperlink r:id="rId10" w:history="1">
        <w:r w:rsidRPr="001A04E4">
          <w:rPr>
            <w:rFonts w:ascii="FrankRuehl" w:hAnsi="FrankRuehl" w:cs="FrankRuehl"/>
            <w:noProof w:val="0"/>
            <w:color w:val="0000FF"/>
            <w:rtl/>
          </w:rPr>
          <w:t>37א</w:t>
        </w:r>
      </w:hyperlink>
    </w:p>
    <w:p w14:paraId="54E84E58" w14:textId="77777777" w:rsidR="001A04E4" w:rsidRPr="001A04E4" w:rsidRDefault="001A04E4" w:rsidP="001A04E4">
      <w:pPr>
        <w:spacing w:before="120" w:after="120" w:line="240" w:lineRule="exact"/>
        <w:ind w:left="283" w:hanging="283"/>
        <w:jc w:val="both"/>
        <w:rPr>
          <w:rFonts w:ascii="FrankRuehl" w:hAnsi="FrankRuehl" w:cs="FrankRuehl"/>
          <w:noProof w:val="0"/>
          <w:rtl/>
        </w:rPr>
      </w:pPr>
      <w:hyperlink r:id="rId11" w:history="1">
        <w:r w:rsidRPr="001A04E4">
          <w:rPr>
            <w:rFonts w:ascii="FrankRuehl" w:hAnsi="FrankRuehl" w:cs="FrankRuehl"/>
            <w:noProof w:val="0"/>
            <w:color w:val="0000FF"/>
            <w:rtl/>
          </w:rPr>
          <w:t>חוק העונשין, תשל"ז-1977</w:t>
        </w:r>
      </w:hyperlink>
      <w:r w:rsidRPr="001A04E4">
        <w:rPr>
          <w:rFonts w:ascii="FrankRuehl" w:hAnsi="FrankRuehl" w:cs="FrankRuehl"/>
          <w:noProof w:val="0"/>
          <w:rtl/>
        </w:rPr>
        <w:t xml:space="preserve">: סע'  </w:t>
      </w:r>
      <w:hyperlink r:id="rId12" w:history="1">
        <w:r w:rsidRPr="001A04E4">
          <w:rPr>
            <w:rFonts w:ascii="FrankRuehl" w:hAnsi="FrankRuehl" w:cs="FrankRuehl"/>
            <w:noProof w:val="0"/>
            <w:color w:val="0000FF"/>
            <w:rtl/>
          </w:rPr>
          <w:t>40ג(א)</w:t>
        </w:r>
      </w:hyperlink>
      <w:r w:rsidRPr="001A04E4">
        <w:rPr>
          <w:rFonts w:ascii="FrankRuehl" w:hAnsi="FrankRuehl" w:cs="FrankRuehl"/>
          <w:noProof w:val="0"/>
          <w:rtl/>
        </w:rPr>
        <w:t xml:space="preserve">, </w:t>
      </w:r>
      <w:hyperlink r:id="rId13" w:history="1">
        <w:r w:rsidRPr="001A04E4">
          <w:rPr>
            <w:rFonts w:ascii="FrankRuehl" w:hAnsi="FrankRuehl" w:cs="FrankRuehl"/>
            <w:noProof w:val="0"/>
            <w:color w:val="0000FF"/>
            <w:rtl/>
          </w:rPr>
          <w:t>40ג(ב)</w:t>
        </w:r>
      </w:hyperlink>
      <w:r w:rsidRPr="001A04E4">
        <w:rPr>
          <w:rFonts w:ascii="FrankRuehl" w:hAnsi="FrankRuehl" w:cs="FrankRuehl"/>
          <w:noProof w:val="0"/>
          <w:rtl/>
        </w:rPr>
        <w:t xml:space="preserve">, </w:t>
      </w:r>
      <w:hyperlink r:id="rId14" w:history="1">
        <w:r w:rsidRPr="001A04E4">
          <w:rPr>
            <w:rFonts w:ascii="FrankRuehl" w:hAnsi="FrankRuehl" w:cs="FrankRuehl"/>
            <w:noProof w:val="0"/>
            <w:color w:val="0000FF"/>
            <w:rtl/>
          </w:rPr>
          <w:t>40ד</w:t>
        </w:r>
      </w:hyperlink>
      <w:r w:rsidRPr="001A04E4">
        <w:rPr>
          <w:rFonts w:ascii="FrankRuehl" w:hAnsi="FrankRuehl" w:cs="FrankRuehl"/>
          <w:noProof w:val="0"/>
          <w:rtl/>
        </w:rPr>
        <w:t xml:space="preserve">, </w:t>
      </w:r>
      <w:hyperlink r:id="rId15" w:history="1">
        <w:r w:rsidRPr="001A04E4">
          <w:rPr>
            <w:rFonts w:ascii="FrankRuehl" w:hAnsi="FrankRuehl" w:cs="FrankRuehl"/>
            <w:noProof w:val="0"/>
            <w:color w:val="0000FF"/>
            <w:rtl/>
          </w:rPr>
          <w:t>40ה</w:t>
        </w:r>
      </w:hyperlink>
      <w:r w:rsidRPr="001A04E4">
        <w:rPr>
          <w:rFonts w:ascii="FrankRuehl" w:hAnsi="FrankRuehl" w:cs="FrankRuehl"/>
          <w:noProof w:val="0"/>
          <w:rtl/>
        </w:rPr>
        <w:t xml:space="preserve">, </w:t>
      </w:r>
      <w:hyperlink r:id="rId16" w:history="1">
        <w:r w:rsidRPr="001A04E4">
          <w:rPr>
            <w:rFonts w:ascii="FrankRuehl" w:hAnsi="FrankRuehl" w:cs="FrankRuehl"/>
            <w:noProof w:val="0"/>
            <w:color w:val="0000FF"/>
            <w:rtl/>
          </w:rPr>
          <w:t>40ו</w:t>
        </w:r>
      </w:hyperlink>
      <w:r w:rsidRPr="001A04E4">
        <w:rPr>
          <w:rFonts w:ascii="FrankRuehl" w:hAnsi="FrankRuehl" w:cs="FrankRuehl"/>
          <w:noProof w:val="0"/>
          <w:rtl/>
        </w:rPr>
        <w:t xml:space="preserve">, </w:t>
      </w:r>
      <w:hyperlink r:id="rId17" w:history="1">
        <w:r w:rsidRPr="001A04E4">
          <w:rPr>
            <w:rFonts w:ascii="FrankRuehl" w:hAnsi="FrankRuehl" w:cs="FrankRuehl"/>
            <w:noProof w:val="0"/>
            <w:color w:val="0000FF"/>
            <w:rtl/>
          </w:rPr>
          <w:t>40ז</w:t>
        </w:r>
      </w:hyperlink>
      <w:r w:rsidRPr="001A04E4">
        <w:rPr>
          <w:rFonts w:ascii="FrankRuehl" w:hAnsi="FrankRuehl" w:cs="FrankRuehl"/>
          <w:noProof w:val="0"/>
          <w:rtl/>
        </w:rPr>
        <w:t xml:space="preserve">, </w:t>
      </w:r>
      <w:hyperlink r:id="rId18" w:history="1">
        <w:r w:rsidRPr="001A04E4">
          <w:rPr>
            <w:rFonts w:ascii="FrankRuehl" w:hAnsi="FrankRuehl" w:cs="FrankRuehl"/>
            <w:noProof w:val="0"/>
            <w:color w:val="0000FF"/>
            <w:rtl/>
          </w:rPr>
          <w:t>40ח</w:t>
        </w:r>
      </w:hyperlink>
      <w:r w:rsidRPr="001A04E4">
        <w:rPr>
          <w:rFonts w:ascii="FrankRuehl" w:hAnsi="FrankRuehl" w:cs="FrankRuehl"/>
          <w:noProof w:val="0"/>
          <w:rtl/>
        </w:rPr>
        <w:t xml:space="preserve">, </w:t>
      </w:r>
      <w:hyperlink r:id="rId19" w:history="1">
        <w:r w:rsidRPr="001A04E4">
          <w:rPr>
            <w:rFonts w:ascii="FrankRuehl" w:hAnsi="FrankRuehl" w:cs="FrankRuehl"/>
            <w:noProof w:val="0"/>
            <w:color w:val="0000FF"/>
            <w:rtl/>
          </w:rPr>
          <w:t>216א(1)</w:t>
        </w:r>
      </w:hyperlink>
      <w:r w:rsidRPr="001A04E4">
        <w:rPr>
          <w:rFonts w:ascii="FrankRuehl" w:hAnsi="FrankRuehl" w:cs="FrankRuehl"/>
          <w:noProof w:val="0"/>
          <w:rtl/>
        </w:rPr>
        <w:t xml:space="preserve">, </w:t>
      </w:r>
      <w:hyperlink r:id="rId20" w:history="1">
        <w:r w:rsidRPr="001A04E4">
          <w:rPr>
            <w:rFonts w:ascii="FrankRuehl" w:hAnsi="FrankRuehl" w:cs="FrankRuehl"/>
            <w:noProof w:val="0"/>
            <w:color w:val="0000FF"/>
            <w:rtl/>
          </w:rPr>
          <w:t>40יא</w:t>
        </w:r>
      </w:hyperlink>
      <w:r w:rsidRPr="001A04E4">
        <w:rPr>
          <w:rFonts w:ascii="FrankRuehl" w:hAnsi="FrankRuehl" w:cs="FrankRuehl"/>
          <w:noProof w:val="0"/>
          <w:rtl/>
        </w:rPr>
        <w:t xml:space="preserve">, </w:t>
      </w:r>
      <w:hyperlink r:id="rId21" w:history="1">
        <w:r w:rsidRPr="001A04E4">
          <w:rPr>
            <w:rFonts w:ascii="FrankRuehl" w:hAnsi="FrankRuehl" w:cs="FrankRuehl"/>
            <w:noProof w:val="0"/>
            <w:color w:val="0000FF"/>
            <w:rtl/>
          </w:rPr>
          <w:t>40יט</w:t>
        </w:r>
      </w:hyperlink>
    </w:p>
    <w:p w14:paraId="6F1269C5" w14:textId="77777777" w:rsidR="001A04E4" w:rsidRPr="001A04E4" w:rsidRDefault="001A04E4" w:rsidP="001A04E4">
      <w:pPr>
        <w:spacing w:line="360" w:lineRule="auto"/>
        <w:jc w:val="both"/>
        <w:rPr>
          <w:rFonts w:ascii="Arial" w:hAnsi="Arial"/>
          <w:noProof w:val="0"/>
          <w:rtl/>
        </w:rPr>
      </w:pPr>
      <w:bookmarkStart w:id="4" w:name="LawTable_End"/>
      <w:bookmarkEnd w:id="4"/>
    </w:p>
    <w:p w14:paraId="3070A8AC" w14:textId="77777777" w:rsidR="00960BC5" w:rsidRPr="0049122D" w:rsidRDefault="00960BC5" w:rsidP="0049122D">
      <w:pPr>
        <w:spacing w:line="360" w:lineRule="auto"/>
        <w:jc w:val="both"/>
        <w:rPr>
          <w:rFonts w:ascii="Arial" w:hAnsi="Arial"/>
          <w:noProof w:val="0"/>
          <w:rtl/>
        </w:rPr>
      </w:pPr>
    </w:p>
    <w:tbl>
      <w:tblPr>
        <w:bidiVisual/>
        <w:tblW w:w="8370" w:type="dxa"/>
        <w:jc w:val="center"/>
        <w:tblLook w:val="01E0" w:firstRow="1" w:lastRow="1" w:firstColumn="1" w:lastColumn="1" w:noHBand="0" w:noVBand="0"/>
      </w:tblPr>
      <w:tblGrid>
        <w:gridCol w:w="8370"/>
      </w:tblGrid>
      <w:tr w:rsidR="00960BC5" w14:paraId="5C171DCF" w14:textId="77777777" w:rsidTr="00960BC5">
        <w:trPr>
          <w:trHeight w:val="624"/>
          <w:jc w:val="center"/>
        </w:trPr>
        <w:tc>
          <w:tcPr>
            <w:tcW w:w="8370" w:type="dxa"/>
            <w:shd w:val="clear" w:color="auto" w:fill="auto"/>
            <w:vAlign w:val="center"/>
          </w:tcPr>
          <w:p w14:paraId="6D039CEF" w14:textId="77777777" w:rsidR="00455A01" w:rsidRPr="00455A01" w:rsidRDefault="00455A01" w:rsidP="00455A01">
            <w:pPr>
              <w:bidi w:val="0"/>
              <w:jc w:val="center"/>
              <w:rPr>
                <w:rFonts w:ascii="Arial" w:hAnsi="Arial"/>
                <w:b/>
                <w:bCs/>
                <w:noProof w:val="0"/>
                <w:sz w:val="32"/>
                <w:szCs w:val="32"/>
                <w:u w:val="single"/>
                <w:rtl/>
              </w:rPr>
            </w:pPr>
            <w:bookmarkStart w:id="5" w:name="PsakDin" w:colFirst="0" w:colLast="0"/>
            <w:bookmarkEnd w:id="0"/>
            <w:r w:rsidRPr="00455A01">
              <w:rPr>
                <w:rFonts w:ascii="Arial" w:hAnsi="Arial"/>
                <w:b/>
                <w:bCs/>
                <w:noProof w:val="0"/>
                <w:sz w:val="32"/>
                <w:szCs w:val="32"/>
                <w:u w:val="single"/>
                <w:rtl/>
              </w:rPr>
              <w:t>גזר דין</w:t>
            </w:r>
          </w:p>
          <w:p w14:paraId="3EA85D7B" w14:textId="77777777" w:rsidR="00960BC5" w:rsidRPr="00455A01" w:rsidRDefault="00960BC5" w:rsidP="00455A01">
            <w:pPr>
              <w:bidi w:val="0"/>
              <w:jc w:val="center"/>
              <w:rPr>
                <w:rFonts w:ascii="Arial" w:hAnsi="Arial"/>
                <w:b/>
                <w:bCs/>
                <w:noProof w:val="0"/>
                <w:sz w:val="32"/>
                <w:szCs w:val="32"/>
                <w:u w:val="single"/>
              </w:rPr>
            </w:pPr>
          </w:p>
        </w:tc>
      </w:tr>
      <w:bookmarkEnd w:id="5"/>
    </w:tbl>
    <w:p w14:paraId="7DDF7E23" w14:textId="77777777" w:rsidR="00960BC5" w:rsidRDefault="00960BC5" w:rsidP="00960BC5">
      <w:pPr>
        <w:spacing w:line="360" w:lineRule="auto"/>
        <w:jc w:val="both"/>
        <w:rPr>
          <w:rFonts w:ascii="Arial" w:hAnsi="Arial"/>
          <w:noProof w:val="0"/>
        </w:rPr>
      </w:pPr>
    </w:p>
    <w:p w14:paraId="01F71328" w14:textId="77777777" w:rsidR="00960BC5" w:rsidRDefault="00960BC5" w:rsidP="00960BC5">
      <w:pPr>
        <w:widowControl w:val="0"/>
        <w:spacing w:line="360" w:lineRule="auto"/>
        <w:jc w:val="both"/>
        <w:rPr>
          <w:rFonts w:ascii="David" w:hAnsi="David"/>
          <w:b/>
          <w:bCs/>
          <w:sz w:val="26"/>
          <w:szCs w:val="26"/>
        </w:rPr>
      </w:pPr>
      <w:bookmarkStart w:id="6" w:name="ABSTRACT_START"/>
      <w:bookmarkEnd w:id="6"/>
      <w:r>
        <w:rPr>
          <w:rFonts w:ascii="David" w:hAnsi="David"/>
          <w:b/>
          <w:bCs/>
          <w:sz w:val="26"/>
          <w:szCs w:val="26"/>
          <w:rtl/>
        </w:rPr>
        <w:t>כתבי האישום, הסדר הטיעון, הכרע</w:t>
      </w:r>
      <w:r>
        <w:rPr>
          <w:rFonts w:ascii="David" w:hAnsi="David" w:hint="cs"/>
          <w:b/>
          <w:bCs/>
          <w:sz w:val="26"/>
          <w:szCs w:val="26"/>
          <w:rtl/>
        </w:rPr>
        <w:t>ו</w:t>
      </w:r>
      <w:r>
        <w:rPr>
          <w:rFonts w:ascii="David" w:hAnsi="David"/>
          <w:b/>
          <w:bCs/>
          <w:sz w:val="26"/>
          <w:szCs w:val="26"/>
          <w:rtl/>
        </w:rPr>
        <w:t>ת הדין והשתלשלות ההליך</w:t>
      </w:r>
    </w:p>
    <w:p w14:paraId="7EA6A48B" w14:textId="77777777" w:rsidR="00960BC5" w:rsidRDefault="00960BC5" w:rsidP="00960BC5">
      <w:pPr>
        <w:pStyle w:val="aa"/>
        <w:widowControl w:val="0"/>
        <w:numPr>
          <w:ilvl w:val="0"/>
          <w:numId w:val="1"/>
        </w:numPr>
        <w:spacing w:line="360" w:lineRule="auto"/>
        <w:ind w:left="360"/>
        <w:jc w:val="both"/>
        <w:rPr>
          <w:sz w:val="24"/>
          <w:rtl/>
        </w:rPr>
      </w:pPr>
      <w:r>
        <w:rPr>
          <w:rFonts w:hint="cs"/>
          <w:sz w:val="24"/>
          <w:rtl/>
        </w:rPr>
        <w:t>ב-4 התיקים שבכותרת ניתנו 2 הכרעות דין ב-2 מועדים בפני מותבים שונים. הכרעת הדין הראשונה נתנה ב-6.12.20, לאחר שהנאשם הודה בעובדות כתב האישום המתוקן ב-</w:t>
      </w:r>
      <w:hyperlink r:id="rId22" w:history="1">
        <w:r w:rsidR="00455A01" w:rsidRPr="00455A01">
          <w:rPr>
            <w:color w:val="0000FF"/>
            <w:sz w:val="24"/>
            <w:u w:val="single"/>
            <w:rtl/>
          </w:rPr>
          <w:t>ת"פ 31827-10-19</w:t>
        </w:r>
      </w:hyperlink>
      <w:r>
        <w:rPr>
          <w:rFonts w:hint="cs"/>
          <w:sz w:val="24"/>
          <w:rtl/>
        </w:rPr>
        <w:t xml:space="preserve"> (להלן: </w:t>
      </w:r>
      <w:r>
        <w:rPr>
          <w:rFonts w:hint="cs"/>
          <w:b/>
          <w:bCs/>
          <w:sz w:val="24"/>
          <w:rtl/>
        </w:rPr>
        <w:t>התיק העיקרי</w:t>
      </w:r>
      <w:r>
        <w:rPr>
          <w:rFonts w:hint="cs"/>
          <w:sz w:val="24"/>
          <w:rtl/>
        </w:rPr>
        <w:t>) בפני כב' הש' טל לחיאני שהם והורשע ב-</w:t>
      </w:r>
      <w:r>
        <w:rPr>
          <w:rFonts w:hint="cs"/>
          <w:b/>
          <w:bCs/>
          <w:sz w:val="24"/>
          <w:rtl/>
        </w:rPr>
        <w:t>החזקת סמים שלא לצריכה עצמית</w:t>
      </w:r>
      <w:r>
        <w:rPr>
          <w:rFonts w:hint="cs"/>
          <w:sz w:val="24"/>
          <w:rtl/>
        </w:rPr>
        <w:t xml:space="preserve">, עבירה לפי </w:t>
      </w:r>
      <w:hyperlink r:id="rId23" w:history="1">
        <w:r w:rsidR="00C275D8" w:rsidRPr="00C275D8">
          <w:rPr>
            <w:rStyle w:val="Hyperlink"/>
            <w:rFonts w:hint="eastAsia"/>
            <w:sz w:val="24"/>
            <w:rtl/>
          </w:rPr>
          <w:t>סעיפים</w:t>
        </w:r>
        <w:r w:rsidR="00C275D8" w:rsidRPr="00C275D8">
          <w:rPr>
            <w:rStyle w:val="Hyperlink"/>
            <w:sz w:val="24"/>
            <w:rtl/>
          </w:rPr>
          <w:t xml:space="preserve"> 7(א)</w:t>
        </w:r>
      </w:hyperlink>
      <w:r>
        <w:rPr>
          <w:rFonts w:hint="cs"/>
          <w:sz w:val="24"/>
          <w:rtl/>
        </w:rPr>
        <w:t xml:space="preserve"> ו-</w:t>
      </w:r>
      <w:hyperlink r:id="rId24" w:history="1">
        <w:r w:rsidR="00C275D8" w:rsidRPr="00C275D8">
          <w:rPr>
            <w:rStyle w:val="Hyperlink"/>
            <w:sz w:val="24"/>
            <w:rtl/>
          </w:rPr>
          <w:t>7(ג)</w:t>
        </w:r>
      </w:hyperlink>
      <w:r>
        <w:rPr>
          <w:rFonts w:hint="cs"/>
          <w:sz w:val="24"/>
          <w:rtl/>
        </w:rPr>
        <w:t xml:space="preserve"> רישא ל-</w:t>
      </w:r>
      <w:hyperlink r:id="rId25" w:history="1">
        <w:r w:rsidR="00455A01" w:rsidRPr="00455A01">
          <w:rPr>
            <w:rFonts w:ascii="Miriam" w:hAnsi="Miriam" w:cs="Miriam"/>
            <w:b/>
            <w:bCs/>
            <w:color w:val="0000FF"/>
            <w:szCs w:val="22"/>
            <w:u w:val="single"/>
            <w:rtl/>
          </w:rPr>
          <w:t>פקודת הסמים המסוכנים</w:t>
        </w:r>
      </w:hyperlink>
      <w:r>
        <w:rPr>
          <w:rFonts w:ascii="Miriam" w:hAnsi="Miriam" w:cs="Miriam"/>
          <w:b/>
          <w:bCs/>
          <w:szCs w:val="22"/>
          <w:rtl/>
        </w:rPr>
        <w:t xml:space="preserve"> [נוסח חדש]</w:t>
      </w:r>
      <w:r>
        <w:rPr>
          <w:rFonts w:hint="cs"/>
          <w:sz w:val="24"/>
          <w:rtl/>
        </w:rPr>
        <w:t xml:space="preserve">, התשל"ג–1973 (להלן: </w:t>
      </w:r>
      <w:r>
        <w:rPr>
          <w:rFonts w:ascii="Miriam" w:hAnsi="Miriam" w:cs="Miriam"/>
          <w:b/>
          <w:bCs/>
          <w:szCs w:val="22"/>
          <w:rtl/>
        </w:rPr>
        <w:t>פקודת הסמים</w:t>
      </w:r>
      <w:r>
        <w:rPr>
          <w:rFonts w:hint="cs"/>
          <w:sz w:val="24"/>
          <w:rtl/>
        </w:rPr>
        <w:t xml:space="preserve">). לאחר הרשעתו הופנה הנאשם לשירות המבחן לעריכת תסקיר בעניינו. הדיונים נדחו מעת לעת מסיבות שונות, לרבות חילופי מספר מותבים, עד שהתיק הועבר לשמיעה לפניי. </w:t>
      </w:r>
    </w:p>
    <w:p w14:paraId="5A035F7C" w14:textId="77777777" w:rsidR="00960BC5" w:rsidRDefault="00960BC5" w:rsidP="00960BC5">
      <w:pPr>
        <w:pStyle w:val="aa"/>
        <w:widowControl w:val="0"/>
        <w:spacing w:line="360" w:lineRule="auto"/>
        <w:ind w:left="360"/>
        <w:jc w:val="both"/>
        <w:rPr>
          <w:sz w:val="24"/>
        </w:rPr>
      </w:pPr>
      <w:bookmarkStart w:id="7" w:name="ABSTRACT_END"/>
      <w:bookmarkEnd w:id="7"/>
    </w:p>
    <w:p w14:paraId="4E72F3AF" w14:textId="77777777" w:rsidR="00960BC5" w:rsidRDefault="00960BC5" w:rsidP="00960BC5">
      <w:pPr>
        <w:pStyle w:val="aa"/>
        <w:widowControl w:val="0"/>
        <w:numPr>
          <w:ilvl w:val="0"/>
          <w:numId w:val="1"/>
        </w:numPr>
        <w:spacing w:line="360" w:lineRule="auto"/>
        <w:ind w:left="360"/>
        <w:jc w:val="both"/>
        <w:rPr>
          <w:sz w:val="24"/>
        </w:rPr>
      </w:pPr>
      <w:r>
        <w:rPr>
          <w:rFonts w:hint="cs"/>
          <w:sz w:val="24"/>
          <w:rtl/>
        </w:rPr>
        <w:lastRenderedPageBreak/>
        <w:t xml:space="preserve">הכרעת הדין השניה ניתנה ב-2.4.23, אף היא בהסדר טיעון, במסגרתו צורפו לתיק העיקרי 3 תיקים, שגם בהם הוגשו כתבי אישום מתוקנים, הנאשם הודה בעובדותיהם והורשע </w:t>
      </w:r>
      <w:r>
        <w:rPr>
          <w:rFonts w:hint="cs"/>
          <w:rtl/>
        </w:rPr>
        <w:t>ב-</w:t>
      </w:r>
      <w:r>
        <w:rPr>
          <w:rFonts w:hint="cs"/>
          <w:b/>
          <w:bCs/>
          <w:rtl/>
        </w:rPr>
        <w:t>התנהגות פרועה במקום ציבורי</w:t>
      </w:r>
      <w:r>
        <w:rPr>
          <w:rFonts w:hint="cs"/>
          <w:rtl/>
        </w:rPr>
        <w:t xml:space="preserve">, עבירה לפי </w:t>
      </w:r>
      <w:hyperlink r:id="rId26" w:history="1">
        <w:r w:rsidR="00C275D8" w:rsidRPr="00C275D8">
          <w:rPr>
            <w:rStyle w:val="Hyperlink"/>
            <w:rFonts w:hint="eastAsia"/>
            <w:rtl/>
          </w:rPr>
          <w:t>סעיף</w:t>
        </w:r>
        <w:r w:rsidR="00C275D8" w:rsidRPr="00C275D8">
          <w:rPr>
            <w:rStyle w:val="Hyperlink"/>
            <w:rtl/>
          </w:rPr>
          <w:t xml:space="preserve"> 216א(1)</w:t>
        </w:r>
      </w:hyperlink>
      <w:r>
        <w:rPr>
          <w:rFonts w:hint="cs"/>
          <w:rtl/>
        </w:rPr>
        <w:t xml:space="preserve"> ל-</w:t>
      </w:r>
      <w:hyperlink r:id="rId27" w:history="1">
        <w:r w:rsidR="00455A01" w:rsidRPr="00455A01">
          <w:rPr>
            <w:rFonts w:ascii="Miriam" w:hAnsi="Miriam" w:cs="Miriam"/>
            <w:b/>
            <w:bCs/>
            <w:color w:val="0000FF"/>
            <w:sz w:val="18"/>
            <w:szCs w:val="22"/>
            <w:u w:val="single"/>
            <w:rtl/>
          </w:rPr>
          <w:t>חוק העונשין</w:t>
        </w:r>
      </w:hyperlink>
      <w:r>
        <w:rPr>
          <w:rFonts w:hint="cs"/>
          <w:rtl/>
        </w:rPr>
        <w:t xml:space="preserve">, התשל"ז–1977 (להלן: </w:t>
      </w:r>
      <w:r>
        <w:rPr>
          <w:rFonts w:ascii="Miriam" w:hAnsi="Miriam" w:cs="Miriam"/>
          <w:b/>
          <w:bCs/>
          <w:sz w:val="18"/>
          <w:szCs w:val="22"/>
          <w:rtl/>
        </w:rPr>
        <w:t>חוק העונשין</w:t>
      </w:r>
      <w:r>
        <w:rPr>
          <w:rFonts w:hint="cs"/>
          <w:rtl/>
        </w:rPr>
        <w:t xml:space="preserve">) וב-2 עבירות </w:t>
      </w:r>
      <w:r>
        <w:rPr>
          <w:rFonts w:hint="cs"/>
          <w:b/>
          <w:bCs/>
          <w:rtl/>
        </w:rPr>
        <w:t>החזקת סם לצריכה עצמית</w:t>
      </w:r>
      <w:r>
        <w:rPr>
          <w:rFonts w:hint="cs"/>
          <w:rtl/>
        </w:rPr>
        <w:t xml:space="preserve">, לפי </w:t>
      </w:r>
      <w:hyperlink r:id="rId28" w:history="1">
        <w:r w:rsidR="00C275D8" w:rsidRPr="00C275D8">
          <w:rPr>
            <w:rStyle w:val="Hyperlink"/>
            <w:rFonts w:hint="eastAsia"/>
            <w:rtl/>
          </w:rPr>
          <w:t>סעיפים</w:t>
        </w:r>
        <w:r w:rsidR="00C275D8" w:rsidRPr="00C275D8">
          <w:rPr>
            <w:rStyle w:val="Hyperlink"/>
            <w:rtl/>
          </w:rPr>
          <w:t xml:space="preserve"> 7(א)</w:t>
        </w:r>
      </w:hyperlink>
      <w:r>
        <w:rPr>
          <w:rFonts w:hint="cs"/>
          <w:rtl/>
        </w:rPr>
        <w:t xml:space="preserve"> ו-</w:t>
      </w:r>
      <w:hyperlink r:id="rId29" w:history="1">
        <w:r w:rsidR="00C275D8" w:rsidRPr="00C275D8">
          <w:rPr>
            <w:rStyle w:val="Hyperlink"/>
            <w:rtl/>
          </w:rPr>
          <w:t>7(ג)</w:t>
        </w:r>
      </w:hyperlink>
      <w:r>
        <w:rPr>
          <w:rFonts w:hint="cs"/>
          <w:rtl/>
        </w:rPr>
        <w:t xml:space="preserve"> סיפא ל-</w:t>
      </w:r>
      <w:r>
        <w:rPr>
          <w:rFonts w:ascii="Miriam" w:hAnsi="Miriam" w:cs="Miriam"/>
          <w:b/>
          <w:bCs/>
          <w:sz w:val="18"/>
          <w:szCs w:val="22"/>
          <w:rtl/>
        </w:rPr>
        <w:t>פקודת הסמים</w:t>
      </w:r>
      <w:r>
        <w:rPr>
          <w:rFonts w:hint="cs"/>
          <w:rtl/>
        </w:rPr>
        <w:t>.</w:t>
      </w:r>
    </w:p>
    <w:p w14:paraId="2AFB6009" w14:textId="77777777" w:rsidR="00960BC5" w:rsidRDefault="00960BC5" w:rsidP="00960BC5">
      <w:pPr>
        <w:pStyle w:val="aa"/>
        <w:spacing w:line="360" w:lineRule="auto"/>
        <w:rPr>
          <w:sz w:val="24"/>
        </w:rPr>
      </w:pPr>
    </w:p>
    <w:p w14:paraId="089FFC7C" w14:textId="77777777" w:rsidR="00960BC5" w:rsidRDefault="00960BC5" w:rsidP="00960BC5">
      <w:pPr>
        <w:pStyle w:val="aa"/>
        <w:widowControl w:val="0"/>
        <w:numPr>
          <w:ilvl w:val="0"/>
          <w:numId w:val="1"/>
        </w:numPr>
        <w:spacing w:line="360" w:lineRule="auto"/>
        <w:ind w:left="360"/>
        <w:jc w:val="both"/>
        <w:rPr>
          <w:sz w:val="24"/>
          <w:rtl/>
        </w:rPr>
      </w:pPr>
      <w:r>
        <w:rPr>
          <w:rFonts w:hint="cs"/>
          <w:sz w:val="24"/>
          <w:rtl/>
        </w:rPr>
        <w:t>ב-4 כתבי האישום המתוקנים מתוארים 4 האירועים הבאים לפי הסדר הכרונולוגי:</w:t>
      </w:r>
    </w:p>
    <w:p w14:paraId="7CA5D1E6" w14:textId="77777777" w:rsidR="00960BC5" w:rsidRDefault="00960BC5" w:rsidP="00960BC5">
      <w:pPr>
        <w:pStyle w:val="aa"/>
        <w:rPr>
          <w:sz w:val="24"/>
        </w:rPr>
      </w:pPr>
    </w:p>
    <w:p w14:paraId="00724EE2" w14:textId="77777777" w:rsidR="00960BC5" w:rsidRDefault="00960BC5" w:rsidP="00960BC5">
      <w:pPr>
        <w:pStyle w:val="aa"/>
        <w:widowControl w:val="0"/>
        <w:numPr>
          <w:ilvl w:val="1"/>
          <w:numId w:val="1"/>
        </w:numPr>
        <w:spacing w:line="360" w:lineRule="auto"/>
        <w:ind w:left="720"/>
        <w:jc w:val="both"/>
        <w:rPr>
          <w:sz w:val="24"/>
          <w:rtl/>
        </w:rPr>
      </w:pPr>
      <w:r>
        <w:rPr>
          <w:rFonts w:hint="cs"/>
          <w:sz w:val="24"/>
          <w:u w:val="single"/>
          <w:rtl/>
        </w:rPr>
        <w:t>בתיק העיקרי</w:t>
      </w:r>
      <w:r>
        <w:rPr>
          <w:rFonts w:hint="cs"/>
          <w:sz w:val="24"/>
          <w:rtl/>
        </w:rPr>
        <w:t xml:space="preserve"> – ב-16.9.18 נתפסו בבית הנאשם, ברח' טרומפלדור 22 באשדוד (להלן: </w:t>
      </w:r>
      <w:r>
        <w:rPr>
          <w:rFonts w:hint="cs"/>
          <w:b/>
          <w:bCs/>
          <w:sz w:val="24"/>
          <w:rtl/>
        </w:rPr>
        <w:t>הבית</w:t>
      </w:r>
      <w:r>
        <w:rPr>
          <w:rFonts w:hint="cs"/>
          <w:sz w:val="24"/>
          <w:rtl/>
        </w:rPr>
        <w:t xml:space="preserve">), במקומות שונים בבית (בארון מעל המקרר, בארון הבגדים, בשקית מעל המקרר ובמגירה בחדר השינה) 49.1793 גרם נטו קנבוס (להלן: </w:t>
      </w:r>
      <w:r>
        <w:rPr>
          <w:rFonts w:hint="cs"/>
          <w:b/>
          <w:bCs/>
          <w:sz w:val="24"/>
          <w:rtl/>
        </w:rPr>
        <w:t>האירוע הראשון</w:t>
      </w:r>
      <w:r>
        <w:rPr>
          <w:rFonts w:hint="cs"/>
          <w:sz w:val="24"/>
          <w:rtl/>
        </w:rPr>
        <w:t xml:space="preserve">). אקדים את המאוחר ואציין כי הנאשם הודה בביצוע עבירת החזקת סמים שלא לשימוש עצמי עוד ביום 6.12.20, בפני כב' הש' טל לחיאני שהם. בפני שירות המבחן טען כי הסמים הוחזרו לשימושו העצמי, אך הוא לא מעוניין לנהל הוכחות בנושא זה ומבקש לסיים את כל ההליכים התלויים ועומדים נגדו, כדי לשקם את חייו ולפנות לדרך חדשה. משכך, ובהינתן כי לא הוגשה בקשה לחזרה מהודיה, אין בשינוי זה כדי להשפיע על הרשעתו ואף לא על מתן המשקל להודאתו ולחרטה שהביע על מעשיו, הכל כפי שיבואר בהמשך.  </w:t>
      </w:r>
    </w:p>
    <w:p w14:paraId="3C48DDFD" w14:textId="77777777" w:rsidR="00960BC5" w:rsidRDefault="00960BC5" w:rsidP="00960BC5">
      <w:pPr>
        <w:pStyle w:val="aa"/>
        <w:widowControl w:val="0"/>
        <w:jc w:val="both"/>
        <w:rPr>
          <w:sz w:val="24"/>
        </w:rPr>
      </w:pPr>
    </w:p>
    <w:p w14:paraId="5278FAFE" w14:textId="77777777" w:rsidR="00960BC5" w:rsidRDefault="00455A01" w:rsidP="00960BC5">
      <w:pPr>
        <w:pStyle w:val="aa"/>
        <w:widowControl w:val="0"/>
        <w:numPr>
          <w:ilvl w:val="1"/>
          <w:numId w:val="1"/>
        </w:numPr>
        <w:spacing w:line="360" w:lineRule="auto"/>
        <w:ind w:left="720"/>
        <w:jc w:val="both"/>
        <w:rPr>
          <w:sz w:val="24"/>
        </w:rPr>
      </w:pPr>
      <w:hyperlink r:id="rId30" w:history="1">
        <w:r w:rsidRPr="00455A01">
          <w:rPr>
            <w:color w:val="0000FF"/>
            <w:sz w:val="24"/>
            <w:u w:val="single"/>
            <w:rtl/>
          </w:rPr>
          <w:t>ת"פ 52031-01-21</w:t>
        </w:r>
      </w:hyperlink>
      <w:r w:rsidR="00960BC5">
        <w:rPr>
          <w:rFonts w:hint="cs"/>
          <w:sz w:val="24"/>
          <w:rtl/>
        </w:rPr>
        <w:t xml:space="preserve"> – ב-5.2.19, בשעה 3:18, הגיע הנאשם לרח' שבי ציון באשדוד (להלן: </w:t>
      </w:r>
      <w:r w:rsidR="00960BC5">
        <w:rPr>
          <w:rFonts w:hint="cs"/>
          <w:b/>
          <w:bCs/>
          <w:sz w:val="24"/>
          <w:rtl/>
        </w:rPr>
        <w:t>המקום</w:t>
      </w:r>
      <w:r w:rsidR="00960BC5">
        <w:rPr>
          <w:rFonts w:hint="cs"/>
          <w:sz w:val="24"/>
          <w:rtl/>
        </w:rPr>
        <w:t xml:space="preserve">) יחד עם קטין יליד שנת 2001 (להלן: </w:t>
      </w:r>
      <w:r w:rsidR="00960BC5">
        <w:rPr>
          <w:rFonts w:hint="cs"/>
          <w:b/>
          <w:bCs/>
          <w:sz w:val="24"/>
          <w:rtl/>
        </w:rPr>
        <w:t>הקטין</w:t>
      </w:r>
      <w:r w:rsidR="00960BC5">
        <w:rPr>
          <w:rFonts w:hint="cs"/>
          <w:sz w:val="24"/>
          <w:rtl/>
        </w:rPr>
        <w:t xml:space="preserve">). במקום ישבו טקליט גברהב (להלן: </w:t>
      </w:r>
      <w:r w:rsidR="00960BC5">
        <w:rPr>
          <w:rFonts w:hint="cs"/>
          <w:b/>
          <w:bCs/>
          <w:sz w:val="24"/>
          <w:rtl/>
        </w:rPr>
        <w:t>טקליט</w:t>
      </w:r>
      <w:r w:rsidR="00960BC5">
        <w:rPr>
          <w:rFonts w:hint="cs"/>
          <w:sz w:val="24"/>
          <w:rtl/>
        </w:rPr>
        <w:t xml:space="preserve">) וחברו מבראטו אברלה (להלן: </w:t>
      </w:r>
      <w:r w:rsidR="00960BC5">
        <w:rPr>
          <w:rFonts w:hint="cs"/>
          <w:b/>
          <w:bCs/>
          <w:sz w:val="24"/>
          <w:rtl/>
        </w:rPr>
        <w:t>מבראטו</w:t>
      </w:r>
      <w:r w:rsidR="00960BC5">
        <w:rPr>
          <w:rFonts w:hint="cs"/>
          <w:sz w:val="24"/>
          <w:rtl/>
        </w:rPr>
        <w:t xml:space="preserve">). טקליט, המכיר את הקטין פנה אל הקטין ודרש לשלומו. בשלב זה הנאשם השליך אבן על כניסה לבית עסק (להלן: </w:t>
      </w:r>
      <w:r w:rsidR="00960BC5">
        <w:rPr>
          <w:rFonts w:hint="cs"/>
          <w:b/>
          <w:bCs/>
          <w:sz w:val="24"/>
          <w:rtl/>
        </w:rPr>
        <w:t>האירוע השני</w:t>
      </w:r>
      <w:r w:rsidR="00960BC5">
        <w:rPr>
          <w:rFonts w:hint="cs"/>
          <w:sz w:val="24"/>
          <w:rtl/>
        </w:rPr>
        <w:t xml:space="preserve">). גם כאן אקדים את המאוחר ואציין כי הנאשם הודה בעובדות כתב אישום זה בדיון ב-2.4.23. בפני שירות המבחן טען אמנם כי לא זרק אבן, אולם הודה בכך שהתיז גז פלפל שהיה ברשותו. הודאה זו עונה לדרישות יסודות עבירת </w:t>
      </w:r>
      <w:r w:rsidR="00960BC5">
        <w:rPr>
          <w:rFonts w:hint="cs"/>
          <w:rtl/>
        </w:rPr>
        <w:t xml:space="preserve">התנהגות פרועה במקום ציבורי ואף </w:t>
      </w:r>
      <w:r w:rsidR="00960BC5">
        <w:rPr>
          <w:rFonts w:hint="cs"/>
          <w:sz w:val="24"/>
          <w:rtl/>
        </w:rPr>
        <w:t xml:space="preserve">עונה על דרישות יסודות עבירה חמורה יותר, כך שאין בשינוי זה כדי להשפיע על הרשעתו בעבירה ואף לא על מתן המשקל להודאתו ולחרטה שהביע על מעשיו, כפי שיפורט בהמשך. </w:t>
      </w:r>
    </w:p>
    <w:p w14:paraId="0641BD8A" w14:textId="77777777" w:rsidR="00960BC5" w:rsidRDefault="00960BC5" w:rsidP="00960BC5">
      <w:pPr>
        <w:pStyle w:val="aa"/>
        <w:rPr>
          <w:sz w:val="24"/>
        </w:rPr>
      </w:pPr>
    </w:p>
    <w:p w14:paraId="231113C0" w14:textId="77777777" w:rsidR="00960BC5" w:rsidRDefault="00455A01" w:rsidP="00960BC5">
      <w:pPr>
        <w:pStyle w:val="aa"/>
        <w:widowControl w:val="0"/>
        <w:numPr>
          <w:ilvl w:val="1"/>
          <w:numId w:val="1"/>
        </w:numPr>
        <w:spacing w:line="360" w:lineRule="auto"/>
        <w:ind w:left="720"/>
        <w:jc w:val="both"/>
        <w:rPr>
          <w:sz w:val="24"/>
          <w:rtl/>
        </w:rPr>
      </w:pPr>
      <w:hyperlink r:id="rId31" w:history="1">
        <w:r w:rsidRPr="00455A01">
          <w:rPr>
            <w:color w:val="0000FF"/>
            <w:sz w:val="24"/>
            <w:u w:val="single"/>
            <w:rtl/>
          </w:rPr>
          <w:t>ת"פ 24512-01-21</w:t>
        </w:r>
      </w:hyperlink>
      <w:r w:rsidR="00960BC5">
        <w:rPr>
          <w:rFonts w:hint="cs"/>
          <w:sz w:val="24"/>
          <w:rtl/>
        </w:rPr>
        <w:t xml:space="preserve"> – ב-26.10.19, בשעה 3:30 או בסמוך לכך, החזיק הנאשם על גופו 14.63 גרם קנבוס, לצריכתו העצמית  (להלן: </w:t>
      </w:r>
      <w:r w:rsidR="00960BC5">
        <w:rPr>
          <w:rFonts w:hint="cs"/>
          <w:b/>
          <w:bCs/>
          <w:sz w:val="24"/>
          <w:rtl/>
        </w:rPr>
        <w:t>האירוע השלישי</w:t>
      </w:r>
      <w:r w:rsidR="00960BC5">
        <w:rPr>
          <w:rFonts w:hint="cs"/>
          <w:sz w:val="24"/>
          <w:rtl/>
        </w:rPr>
        <w:t>).</w:t>
      </w:r>
    </w:p>
    <w:p w14:paraId="612F8490" w14:textId="77777777" w:rsidR="00960BC5" w:rsidRDefault="00960BC5" w:rsidP="00960BC5">
      <w:pPr>
        <w:pStyle w:val="aa"/>
        <w:rPr>
          <w:sz w:val="24"/>
        </w:rPr>
      </w:pPr>
    </w:p>
    <w:p w14:paraId="76FD8404" w14:textId="77777777" w:rsidR="00960BC5" w:rsidRDefault="00455A01" w:rsidP="00960BC5">
      <w:pPr>
        <w:pStyle w:val="aa"/>
        <w:widowControl w:val="0"/>
        <w:numPr>
          <w:ilvl w:val="1"/>
          <w:numId w:val="1"/>
        </w:numPr>
        <w:spacing w:line="360" w:lineRule="auto"/>
        <w:ind w:left="720"/>
        <w:jc w:val="both"/>
        <w:rPr>
          <w:sz w:val="24"/>
          <w:rtl/>
        </w:rPr>
      </w:pPr>
      <w:hyperlink r:id="rId32" w:history="1">
        <w:r w:rsidRPr="00455A01">
          <w:rPr>
            <w:color w:val="0000FF"/>
            <w:sz w:val="24"/>
            <w:u w:val="single"/>
            <w:rtl/>
          </w:rPr>
          <w:t>ת"פ 28856-08-22</w:t>
        </w:r>
      </w:hyperlink>
      <w:r w:rsidR="00960BC5">
        <w:rPr>
          <w:rFonts w:hint="cs"/>
          <w:sz w:val="24"/>
          <w:rtl/>
        </w:rPr>
        <w:t xml:space="preserve"> – ב-10.10.21, בשעה 18:40 או בסמוך לכך, החזיק הנאשם בצמוד לדלת הכניסה לדירה ברח' יצחק שדה 7 באשדוד, 60.49 גרם נטו קנבוס לצריכתו העצמית (להלן: </w:t>
      </w:r>
      <w:r w:rsidR="00960BC5">
        <w:rPr>
          <w:rFonts w:hint="cs"/>
          <w:b/>
          <w:bCs/>
          <w:sz w:val="24"/>
          <w:rtl/>
        </w:rPr>
        <w:t>האירוע הרביעי</w:t>
      </w:r>
      <w:r w:rsidR="00960BC5">
        <w:rPr>
          <w:rFonts w:hint="cs"/>
          <w:sz w:val="24"/>
          <w:rtl/>
        </w:rPr>
        <w:t>).</w:t>
      </w:r>
    </w:p>
    <w:p w14:paraId="76BE8962" w14:textId="77777777" w:rsidR="00960BC5" w:rsidRDefault="00960BC5" w:rsidP="00960BC5">
      <w:pPr>
        <w:pStyle w:val="aa"/>
        <w:spacing w:line="360" w:lineRule="auto"/>
        <w:rPr>
          <w:sz w:val="24"/>
        </w:rPr>
      </w:pPr>
    </w:p>
    <w:p w14:paraId="06A95F3A" w14:textId="77777777" w:rsidR="00960BC5" w:rsidRDefault="00960BC5" w:rsidP="00960BC5">
      <w:pPr>
        <w:pStyle w:val="aa"/>
        <w:widowControl w:val="0"/>
        <w:numPr>
          <w:ilvl w:val="0"/>
          <w:numId w:val="1"/>
        </w:numPr>
        <w:spacing w:line="360" w:lineRule="auto"/>
        <w:ind w:left="357" w:hanging="357"/>
        <w:jc w:val="both"/>
        <w:rPr>
          <w:sz w:val="24"/>
          <w:rtl/>
        </w:rPr>
      </w:pPr>
      <w:r>
        <w:rPr>
          <w:rFonts w:hint="cs"/>
          <w:sz w:val="24"/>
          <w:rtl/>
        </w:rPr>
        <w:t xml:space="preserve">ב-2.4.23, לאחר הצגת הסדר טיעון השני נשמעו טיעונים הצדדים לעונש, תוך התייחסות הצדדים לשאלת שיתוף הפעולה של הנאשם עם שירות המבחן. בתסקיר מ-1.3.21 צוין כי הנאשם לא התייצב לפגישה, וכשהתייצב – עשה זאת ללא תיאום מראש. בתסקיר מ-12.7.21, צוין כי הנאשם לא הביע נכונות לשתף פעולה. בנוסף הוגשה </w:t>
      </w:r>
      <w:r w:rsidRPr="00960BC5">
        <w:rPr>
          <w:rFonts w:ascii="Calibri" w:hAnsi="Calibri" w:hint="cs"/>
          <w:rtl/>
          <w:lang w:eastAsia="en-US"/>
        </w:rPr>
        <w:t xml:space="preserve">חוות דעת של מר סמי גבאי, קרימינולוג שיקומי. </w:t>
      </w:r>
      <w:r>
        <w:rPr>
          <w:rFonts w:hint="cs"/>
          <w:sz w:val="24"/>
          <w:rtl/>
        </w:rPr>
        <w:t xml:space="preserve">לאחר ששמעתי דברי הנאשם, שביקש הזדמנות נוספת לשתף פעולה עם </w:t>
      </w:r>
      <w:r>
        <w:rPr>
          <w:rFonts w:hint="cs"/>
          <w:sz w:val="24"/>
          <w:rtl/>
        </w:rPr>
        <w:lastRenderedPageBreak/>
        <w:t>הליך טיפולי – הופנה הנאשם שוב לשירות המבחן ובמקביל הופנה לקבלת חוות דעת הממונה על עבודות השירות. בתסקיר מ-13.7.23 עלה כי הנאשם התקשה לדבר בעקביות על עצמו ועל אודות העבירות שביצע ושירות המבחן בא בהמלצה להשית על הנאשם מאסר שירוצה בעבודות שירות. מועד דיון השלמת הטיעונים לעונש נדחה מעת לעת מסיבות שונות, לרבות בשל מצב החירום ולבסוף הדיון התקיים ב-22.1.24, הכל כפי שיפורט בהמשך.</w:t>
      </w:r>
    </w:p>
    <w:p w14:paraId="2AB6F9D5" w14:textId="77777777" w:rsidR="00960BC5" w:rsidRDefault="00960BC5" w:rsidP="00960BC5">
      <w:pPr>
        <w:widowControl w:val="0"/>
        <w:spacing w:line="360" w:lineRule="auto"/>
        <w:jc w:val="both"/>
        <w:rPr>
          <w:rFonts w:ascii="David" w:hAnsi="David"/>
          <w:b/>
          <w:bCs/>
          <w:sz w:val="26"/>
          <w:szCs w:val="26"/>
        </w:rPr>
      </w:pPr>
    </w:p>
    <w:p w14:paraId="489B17FA" w14:textId="77777777" w:rsidR="00960BC5" w:rsidRDefault="00960BC5" w:rsidP="00960BC5">
      <w:pPr>
        <w:widowControl w:val="0"/>
        <w:spacing w:line="360" w:lineRule="auto"/>
        <w:jc w:val="both"/>
        <w:rPr>
          <w:rFonts w:ascii="David" w:hAnsi="David"/>
          <w:b/>
          <w:bCs/>
          <w:sz w:val="26"/>
          <w:szCs w:val="26"/>
          <w:rtl/>
        </w:rPr>
      </w:pPr>
      <w:r>
        <w:rPr>
          <w:rFonts w:ascii="David" w:hAnsi="David"/>
          <w:b/>
          <w:bCs/>
          <w:sz w:val="26"/>
          <w:szCs w:val="26"/>
          <w:rtl/>
        </w:rPr>
        <w:t>קביעת מתח</w:t>
      </w:r>
      <w:r>
        <w:rPr>
          <w:rFonts w:ascii="David" w:hAnsi="David" w:hint="cs"/>
          <w:b/>
          <w:bCs/>
          <w:sz w:val="26"/>
          <w:szCs w:val="26"/>
          <w:rtl/>
        </w:rPr>
        <w:t>מי</w:t>
      </w:r>
      <w:r>
        <w:rPr>
          <w:rFonts w:ascii="David" w:hAnsi="David"/>
          <w:b/>
          <w:bCs/>
          <w:sz w:val="26"/>
          <w:szCs w:val="26"/>
          <w:rtl/>
        </w:rPr>
        <w:t xml:space="preserve"> העונש ההול</w:t>
      </w:r>
      <w:r>
        <w:rPr>
          <w:rFonts w:ascii="David" w:hAnsi="David" w:hint="cs"/>
          <w:b/>
          <w:bCs/>
          <w:sz w:val="26"/>
          <w:szCs w:val="26"/>
          <w:rtl/>
        </w:rPr>
        <w:t>מי</w:t>
      </w:r>
      <w:r>
        <w:rPr>
          <w:rFonts w:ascii="David" w:hAnsi="David"/>
          <w:b/>
          <w:bCs/>
          <w:sz w:val="26"/>
          <w:szCs w:val="26"/>
          <w:rtl/>
        </w:rPr>
        <w:t>ם</w:t>
      </w:r>
    </w:p>
    <w:p w14:paraId="00F3A31F" w14:textId="77777777" w:rsidR="00960BC5" w:rsidRDefault="00960BC5" w:rsidP="00960BC5">
      <w:pPr>
        <w:pStyle w:val="aa"/>
        <w:widowControl w:val="0"/>
        <w:numPr>
          <w:ilvl w:val="0"/>
          <w:numId w:val="1"/>
        </w:numPr>
        <w:spacing w:line="360" w:lineRule="auto"/>
        <w:ind w:left="357" w:hanging="357"/>
        <w:jc w:val="both"/>
        <w:rPr>
          <w:sz w:val="24"/>
        </w:rPr>
      </w:pPr>
      <w:r>
        <w:rPr>
          <w:rFonts w:hint="cs"/>
          <w:sz w:val="24"/>
          <w:rtl/>
        </w:rPr>
        <w:t>הנאשם הורשע בארבע עבירות. בהתאם להוראת תיקון 113 ל-</w:t>
      </w:r>
      <w:hyperlink r:id="rId33" w:history="1">
        <w:r w:rsidR="00455A01" w:rsidRPr="00455A01">
          <w:rPr>
            <w:rFonts w:ascii="Miriam" w:hAnsi="Miriam" w:cs="Miriam"/>
            <w:b/>
            <w:bCs/>
            <w:color w:val="0000FF"/>
            <w:szCs w:val="22"/>
            <w:u w:val="single"/>
            <w:rtl/>
          </w:rPr>
          <w:t>חוק העונשין</w:t>
        </w:r>
      </w:hyperlink>
      <w:r>
        <w:rPr>
          <w:rFonts w:hint="cs"/>
          <w:sz w:val="24"/>
          <w:rtl/>
        </w:rPr>
        <w:t xml:space="preserve"> ול-"</w:t>
      </w:r>
      <w:r>
        <w:rPr>
          <w:rFonts w:hint="cs"/>
          <w:b/>
          <w:bCs/>
          <w:sz w:val="24"/>
          <w:rtl/>
        </w:rPr>
        <w:t>מבחן הקשר ההדוק</w:t>
      </w:r>
      <w:r>
        <w:rPr>
          <w:rFonts w:hint="cs"/>
          <w:sz w:val="24"/>
          <w:rtl/>
        </w:rPr>
        <w:t>", שנקבע ב-</w:t>
      </w:r>
      <w:hyperlink r:id="rId34" w:history="1">
        <w:r w:rsidR="00455A01" w:rsidRPr="00455A01">
          <w:rPr>
            <w:color w:val="0000FF"/>
            <w:sz w:val="24"/>
            <w:u w:val="single"/>
            <w:rtl/>
          </w:rPr>
          <w:t>ע"פ 4910/13</w:t>
        </w:r>
      </w:hyperlink>
      <w:r>
        <w:rPr>
          <w:rFonts w:hint="cs"/>
          <w:sz w:val="24"/>
          <w:rtl/>
        </w:rPr>
        <w:t xml:space="preserve"> </w:t>
      </w:r>
      <w:r>
        <w:rPr>
          <w:rFonts w:ascii="Miriam" w:hAnsi="Miriam" w:cs="Miriam"/>
          <w:b/>
          <w:bCs/>
          <w:szCs w:val="22"/>
          <w:rtl/>
        </w:rPr>
        <w:t xml:space="preserve">ג'אבר נ' מדינת ישראל </w:t>
      </w:r>
      <w:r>
        <w:rPr>
          <w:rFonts w:hint="cs"/>
          <w:sz w:val="24"/>
          <w:rtl/>
        </w:rPr>
        <w:t xml:space="preserve">(29.10.14) אני קובעת כי מדובר בארבעה אירועים, הנפרדים האחד מהשני במספר נתונים. ראשית, המועדים השונים בהם בוצעו העבירות ופערי הזמן ביניהם. בנוסף, קיים שוני בנסיבות ביצוע העבירות והמיקום הגיאוגרפי בו בוצעו. שלישית, קיים שונים במהות הערכים שנפגעו, מידת הפגיעה בהם ובנסיבות ביצוע העבירות. משכך מצאתי כי יש לקבוע ארבעה מתחמים נפרדים. עם זאת, בהינתן קיומה של חפיפה מסויימת במהות הערכים ונסיבות ביצוע העבירה, בפרט הסיבות שהביאו את הנאשם לבצען ובהינתן קיומו של חוט מקשר בין העבירות, שביצוען פוגע במרקם החיים התקין והסדר הציבורי – ראיתי לנכון להתייחס במאוחד לאמות המידה ואבני הבוחן בהן התחשבתי בקביעת מתחמי העונש ההולמים, לפי </w:t>
      </w:r>
      <w:hyperlink r:id="rId35" w:history="1">
        <w:r w:rsidR="00C275D8" w:rsidRPr="00C275D8">
          <w:rPr>
            <w:rStyle w:val="Hyperlink"/>
            <w:rFonts w:hint="eastAsia"/>
            <w:sz w:val="24"/>
            <w:rtl/>
          </w:rPr>
          <w:t>סעיף</w:t>
        </w:r>
        <w:r w:rsidR="00C275D8" w:rsidRPr="00C275D8">
          <w:rPr>
            <w:rStyle w:val="Hyperlink"/>
            <w:sz w:val="24"/>
            <w:rtl/>
          </w:rPr>
          <w:t xml:space="preserve"> 40ג(א)</w:t>
        </w:r>
      </w:hyperlink>
      <w:r>
        <w:rPr>
          <w:rFonts w:hint="cs"/>
          <w:sz w:val="24"/>
          <w:rtl/>
        </w:rPr>
        <w:t xml:space="preserve"> ל-</w:t>
      </w:r>
      <w:hyperlink r:id="rId36" w:history="1">
        <w:r w:rsidR="00455A01" w:rsidRPr="00455A01">
          <w:rPr>
            <w:rFonts w:ascii="Miriam" w:hAnsi="Miriam" w:cs="Miriam"/>
            <w:b/>
            <w:bCs/>
            <w:color w:val="0000FF"/>
            <w:szCs w:val="22"/>
            <w:u w:val="single"/>
            <w:rtl/>
          </w:rPr>
          <w:t>חוק העונשין</w:t>
        </w:r>
      </w:hyperlink>
      <w:r>
        <w:rPr>
          <w:rFonts w:hint="cs"/>
          <w:sz w:val="24"/>
          <w:rtl/>
        </w:rPr>
        <w:t>, כדלהלן:</w:t>
      </w:r>
    </w:p>
    <w:p w14:paraId="1DC592D0" w14:textId="77777777" w:rsidR="00960BC5" w:rsidRDefault="00960BC5" w:rsidP="00960BC5">
      <w:pPr>
        <w:pStyle w:val="aa"/>
        <w:widowControl w:val="0"/>
        <w:ind w:left="357"/>
        <w:jc w:val="both"/>
        <w:rPr>
          <w:sz w:val="24"/>
          <w:rtl/>
        </w:rPr>
      </w:pPr>
    </w:p>
    <w:p w14:paraId="3F9DF208" w14:textId="77777777" w:rsidR="00960BC5" w:rsidRDefault="00960BC5" w:rsidP="00960BC5">
      <w:pPr>
        <w:widowControl w:val="0"/>
        <w:numPr>
          <w:ilvl w:val="1"/>
          <w:numId w:val="1"/>
        </w:numPr>
        <w:snapToGrid w:val="0"/>
        <w:spacing w:line="360" w:lineRule="auto"/>
        <w:ind w:left="850" w:hanging="425"/>
        <w:jc w:val="both"/>
        <w:rPr>
          <w:rFonts w:ascii="David" w:hAnsi="David"/>
          <w:rtl/>
          <w:lang w:eastAsia="he-IL"/>
        </w:rPr>
      </w:pPr>
      <w:r>
        <w:rPr>
          <w:rFonts w:ascii="David" w:hAnsi="David"/>
          <w:b/>
          <w:bCs/>
          <w:rtl/>
        </w:rPr>
        <w:t xml:space="preserve">הערכים החברתיים שנפגעו בעבירות הסמים </w:t>
      </w:r>
      <w:r>
        <w:rPr>
          <w:rFonts w:ascii="David" w:hAnsi="David"/>
          <w:rtl/>
        </w:rPr>
        <w:t xml:space="preserve">הם </w:t>
      </w:r>
      <w:r>
        <w:rPr>
          <w:rFonts w:ascii="David" w:hAnsi="David"/>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David" w:hAnsi="David"/>
          <w:rtl/>
          <w:lang w:eastAsia="he-IL"/>
        </w:rPr>
        <w:t xml:space="preserve">. </w:t>
      </w:r>
      <w:r>
        <w:rPr>
          <w:rFonts w:ascii="David" w:hAnsi="David"/>
          <w:rtl/>
        </w:rPr>
        <w:t xml:space="preserve">עבירות הסמים מחוללות פשיעה, אגב הפצת הסם וצריכתו. </w:t>
      </w:r>
      <w:r>
        <w:rPr>
          <w:rFonts w:ascii="David" w:hAnsi="David"/>
          <w:rtl/>
          <w:lang w:eastAsia="he-IL"/>
        </w:rPr>
        <w:t>מעבר לנזקים הישירים הנגרמים למשתמשי הסם,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להשיג את מנת הסם, ולעיתים אף אלימות, שמבוצעות כתוצאה מהשימוש בסמים, או במהלך ביצוע עבירות הרכוש. </w:t>
      </w:r>
    </w:p>
    <w:p w14:paraId="295AF24A" w14:textId="77777777" w:rsidR="00960BC5" w:rsidRDefault="00960BC5" w:rsidP="00960BC5">
      <w:pPr>
        <w:widowControl w:val="0"/>
        <w:snapToGrid w:val="0"/>
        <w:spacing w:line="360" w:lineRule="auto"/>
        <w:ind w:left="850"/>
        <w:jc w:val="both"/>
        <w:rPr>
          <w:rFonts w:ascii="David" w:hAnsi="David"/>
          <w:lang w:eastAsia="he-IL"/>
        </w:rPr>
      </w:pPr>
      <w:r>
        <w:rPr>
          <w:rFonts w:ascii="David" w:hAnsi="David"/>
          <w:b/>
          <w:bCs/>
          <w:rtl/>
          <w:lang w:eastAsia="he-IL"/>
        </w:rPr>
        <w:t>הערכים החברתיים שנפגעו בהתנהגות פרועה במקום ציבורי</w:t>
      </w:r>
      <w:r>
        <w:rPr>
          <w:rFonts w:ascii="David" w:hAnsi="David"/>
          <w:rtl/>
          <w:lang w:eastAsia="he-IL"/>
        </w:rPr>
        <w:t xml:space="preserve"> הם הגנה על שלום הציבור ושמירה על הסדר הציבורי התקין. </w:t>
      </w:r>
    </w:p>
    <w:p w14:paraId="210DC6B8" w14:textId="77777777" w:rsidR="00960BC5" w:rsidRDefault="00960BC5" w:rsidP="00960BC5">
      <w:pPr>
        <w:widowControl w:val="0"/>
        <w:snapToGrid w:val="0"/>
        <w:ind w:left="850"/>
        <w:jc w:val="both"/>
        <w:rPr>
          <w:rFonts w:ascii="David" w:hAnsi="David"/>
          <w:lang w:eastAsia="he-IL"/>
        </w:rPr>
      </w:pPr>
    </w:p>
    <w:p w14:paraId="288D3F69" w14:textId="77777777" w:rsidR="00960BC5" w:rsidRDefault="00960BC5" w:rsidP="00960BC5">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 בעבירות הסמים</w:t>
      </w:r>
      <w:r>
        <w:rPr>
          <w:rFonts w:ascii="David" w:hAnsi="David"/>
          <w:rtl/>
        </w:rPr>
        <w:t>. אמנם לא מדובר בפגיעה מהחמורות, בהתחשב בכמויות הסם שהוחזקו ובהינתן נסיבות החזקתם, כפי שיפורט להלן – אולם</w:t>
      </w:r>
      <w:r>
        <w:rPr>
          <w:rFonts w:ascii="David" w:hAnsi="David"/>
          <w:rtl/>
          <w:lang w:eastAsia="he-IL"/>
        </w:rPr>
        <w:t xml:space="preserve"> </w:t>
      </w:r>
      <w:r>
        <w:rPr>
          <w:rFonts w:ascii="David" w:hAnsi="David"/>
          <w:rtl/>
        </w:rPr>
        <w:t>"</w:t>
      </w:r>
      <w:r>
        <w:rPr>
          <w:rFonts w:ascii="David" w:hAnsi="David"/>
          <w:b/>
          <w:bCs/>
          <w:rtl/>
        </w:rPr>
        <w:t>אין להקל ראש בעבירות הנוגעות לסמים המוגדרים כ</w:t>
      </w:r>
      <w:r>
        <w:rPr>
          <w:rFonts w:ascii="David" w:hAnsi="David"/>
          <w:rtl/>
        </w:rPr>
        <w:t>'</w:t>
      </w:r>
      <w:r>
        <w:rPr>
          <w:rFonts w:ascii="David" w:hAnsi="David"/>
          <w:b/>
          <w:bCs/>
          <w:rtl/>
        </w:rPr>
        <w:t>קלים</w:t>
      </w:r>
      <w:r>
        <w:rPr>
          <w:rFonts w:ascii="David" w:hAnsi="David"/>
          <w:rtl/>
        </w:rPr>
        <w:t>'." [ראו והשוו קביעת כב' הש' ארבל ב-</w:t>
      </w:r>
      <w:hyperlink r:id="rId37" w:history="1">
        <w:r w:rsidR="00455A01" w:rsidRPr="00455A01">
          <w:rPr>
            <w:rFonts w:ascii="David" w:hAnsi="David"/>
            <w:color w:val="0000FF"/>
            <w:u w:val="single"/>
            <w:rtl/>
          </w:rPr>
          <w:t>ע"פ 2000/06</w:t>
        </w:r>
      </w:hyperlink>
      <w:r>
        <w:rPr>
          <w:rFonts w:ascii="David" w:hAnsi="David"/>
          <w:rtl/>
        </w:rPr>
        <w:t xml:space="preserve"> </w:t>
      </w:r>
      <w:r>
        <w:rPr>
          <w:rFonts w:ascii="Miriam" w:hAnsi="Miriam" w:cs="Miriam"/>
          <w:b/>
          <w:bCs/>
          <w:noProof w:val="0"/>
          <w:sz w:val="22"/>
          <w:szCs w:val="22"/>
          <w:rtl/>
          <w:lang w:eastAsia="he-IL"/>
        </w:rPr>
        <w:t>מדינת ישראל נ' ויצמן ואח'</w:t>
      </w:r>
      <w:r>
        <w:rPr>
          <w:rFonts w:ascii="David" w:hAnsi="David"/>
          <w:rtl/>
        </w:rPr>
        <w:t xml:space="preserve"> (20.7.06) (להלן: </w:t>
      </w:r>
      <w:r>
        <w:rPr>
          <w:rFonts w:ascii="Miriam" w:hAnsi="Miriam" w:cs="Miriam"/>
          <w:b/>
          <w:bCs/>
          <w:noProof w:val="0"/>
          <w:sz w:val="22"/>
          <w:szCs w:val="22"/>
          <w:rtl/>
          <w:lang w:eastAsia="he-IL"/>
        </w:rPr>
        <w:t>ענין ויצמן</w:t>
      </w:r>
      <w:r>
        <w:rPr>
          <w:rFonts w:ascii="David" w:hAnsi="David"/>
          <w:rtl/>
        </w:rPr>
        <w:t xml:space="preserve">), אולם שם נדונה החזקת קנבוס בנסיבות חמורות מאלו שלפניי]. </w:t>
      </w:r>
    </w:p>
    <w:p w14:paraId="4DC66C52" w14:textId="77777777" w:rsidR="00960BC5" w:rsidRDefault="00960BC5" w:rsidP="00960BC5">
      <w:pPr>
        <w:widowControl w:val="0"/>
        <w:snapToGrid w:val="0"/>
        <w:spacing w:line="360" w:lineRule="auto"/>
        <w:ind w:left="850"/>
        <w:jc w:val="both"/>
        <w:rPr>
          <w:rFonts w:ascii="David" w:hAnsi="David"/>
          <w:lang w:eastAsia="he-IL"/>
        </w:rPr>
      </w:pPr>
      <w:r>
        <w:rPr>
          <w:rFonts w:ascii="David" w:hAnsi="David"/>
          <w:rtl/>
        </w:rPr>
        <w:t>אמנם אין להקל ראש גם ב-</w:t>
      </w:r>
      <w:r>
        <w:rPr>
          <w:rFonts w:ascii="David" w:hAnsi="David"/>
          <w:b/>
          <w:bCs/>
          <w:rtl/>
        </w:rPr>
        <w:t>מידת הפגיעה בערכים החברתיים</w:t>
      </w:r>
      <w:r>
        <w:rPr>
          <w:rFonts w:ascii="David" w:hAnsi="David"/>
          <w:rtl/>
        </w:rPr>
        <w:t xml:space="preserve"> </w:t>
      </w:r>
      <w:r>
        <w:rPr>
          <w:rFonts w:ascii="David" w:hAnsi="David"/>
          <w:b/>
          <w:bCs/>
          <w:rtl/>
        </w:rPr>
        <w:t>ב</w:t>
      </w:r>
      <w:r>
        <w:rPr>
          <w:rFonts w:ascii="David" w:hAnsi="David"/>
          <w:b/>
          <w:bCs/>
          <w:rtl/>
          <w:lang w:eastAsia="he-IL"/>
        </w:rPr>
        <w:t>התנהגות הפסולה במקום ציבורי</w:t>
      </w:r>
      <w:r>
        <w:rPr>
          <w:rFonts w:ascii="David" w:hAnsi="David"/>
          <w:rtl/>
          <w:lang w:eastAsia="he-IL"/>
        </w:rPr>
        <w:t xml:space="preserve">, אך גם כאן לא מדובר בפגיעה מהחמורות. </w:t>
      </w:r>
    </w:p>
    <w:p w14:paraId="50366313" w14:textId="77777777" w:rsidR="00960BC5" w:rsidRDefault="00960BC5" w:rsidP="00960BC5">
      <w:pPr>
        <w:pStyle w:val="aa"/>
      </w:pPr>
    </w:p>
    <w:p w14:paraId="5183AF36" w14:textId="77777777" w:rsidR="00960BC5" w:rsidRDefault="00960BC5" w:rsidP="00960BC5">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החל מענישה צופה פני עתיד וכלה במאסר, לתקופות שאורכן תלוי בסוג הסם, כמותו ונסיבות החזקתו. </w:t>
      </w:r>
      <w:r>
        <w:rPr>
          <w:rFonts w:ascii="David" w:hAnsi="David"/>
          <w:rtl/>
          <w:lang w:eastAsia="he-IL"/>
        </w:rPr>
        <w:t xml:space="preserve">בטיעונים לעונש כל צד הפנה לפסיקה התומכת בעמדתו ועליה הוספתי פסיקה רלוונטית. כל מקרה ונסיבותיו, </w:t>
      </w:r>
      <w:r>
        <w:rPr>
          <w:rFonts w:ascii="David" w:hAnsi="David"/>
          <w:rtl/>
        </w:rPr>
        <w:t>ויש לאבחן המקרים השונים למקרה שלפניי, אם כי יש פסקי-דין מהם ניתן לגזור אמת-מידה עונשית הולמת למקרה שלפני</w:t>
      </w:r>
      <w:r>
        <w:rPr>
          <w:rFonts w:ascii="David" w:hAnsi="David"/>
          <w:rtl/>
          <w:lang w:eastAsia="he-IL"/>
        </w:rPr>
        <w:t>י –</w:t>
      </w:r>
    </w:p>
    <w:p w14:paraId="43E58641" w14:textId="77777777" w:rsidR="00960BC5" w:rsidRDefault="00960BC5" w:rsidP="00960BC5">
      <w:pPr>
        <w:pStyle w:val="aa"/>
        <w:widowControl w:val="0"/>
        <w:ind w:left="1475"/>
        <w:jc w:val="both"/>
        <w:rPr>
          <w:szCs w:val="20"/>
        </w:rPr>
      </w:pPr>
    </w:p>
    <w:p w14:paraId="575C4B12" w14:textId="77777777" w:rsidR="00960BC5" w:rsidRDefault="00455A01" w:rsidP="00960BC5">
      <w:pPr>
        <w:pStyle w:val="aa"/>
        <w:widowControl w:val="0"/>
        <w:numPr>
          <w:ilvl w:val="2"/>
          <w:numId w:val="1"/>
        </w:numPr>
        <w:spacing w:line="360" w:lineRule="auto"/>
        <w:ind w:left="1475" w:hanging="624"/>
        <w:jc w:val="both"/>
        <w:rPr>
          <w:sz w:val="24"/>
          <w:rtl/>
        </w:rPr>
      </w:pPr>
      <w:hyperlink r:id="rId38" w:history="1">
        <w:r w:rsidRPr="00455A01">
          <w:rPr>
            <w:color w:val="0000FF"/>
            <w:u w:val="single"/>
            <w:rtl/>
          </w:rPr>
          <w:t>רע"פ 4214/22</w:t>
        </w:r>
      </w:hyperlink>
      <w:r w:rsidR="00960BC5">
        <w:rPr>
          <w:rFonts w:hint="cs"/>
          <w:rtl/>
        </w:rPr>
        <w:t xml:space="preserve"> </w:t>
      </w:r>
      <w:r w:rsidR="00960BC5">
        <w:rPr>
          <w:rFonts w:ascii="Miriam" w:hAnsi="Miriam" w:cs="Miriam"/>
          <w:b/>
          <w:bCs/>
          <w:szCs w:val="22"/>
          <w:rtl/>
        </w:rPr>
        <w:t>יצחק נ' מדינת ישראל</w:t>
      </w:r>
      <w:r w:rsidR="00960BC5">
        <w:rPr>
          <w:rFonts w:hint="cs"/>
          <w:rtl/>
        </w:rPr>
        <w:t xml:space="preserve"> (7.7.22) – נדחו ערעור ובקשת רשות ערעור של מי שהחזיק כ-150 גרם קנבוס. נקבע מתחם הנע ממאסר מותנה עד 10 חודשי מאסר בפועל</w:t>
      </w:r>
      <w:r w:rsidR="00960BC5">
        <w:rPr>
          <w:rFonts w:hint="cs"/>
          <w:sz w:val="24"/>
          <w:rtl/>
        </w:rPr>
        <w:t xml:space="preserve">. הרשעת המבקש – נעדר עבר פלילי, ששיתף פעולה עם שירות המבחן – נותרה </w:t>
      </w:r>
      <w:r w:rsidR="00960BC5">
        <w:rPr>
          <w:rFonts w:hint="cs"/>
          <w:rtl/>
        </w:rPr>
        <w:t>על כנה, חרף התרשמותו החיובית של שירות המבחן והמלצתו לבטלה, מ</w:t>
      </w:r>
      <w:r w:rsidR="00960BC5">
        <w:rPr>
          <w:rFonts w:hint="cs"/>
          <w:sz w:val="24"/>
          <w:rtl/>
        </w:rPr>
        <w:t>ש</w:t>
      </w:r>
      <w:r w:rsidR="00960BC5">
        <w:rPr>
          <w:rFonts w:hint="cs"/>
          <w:rtl/>
        </w:rPr>
        <w:t xml:space="preserve">לא הוכח נזק קונקרטי או פוטנציאל פגיעה בתעסוקת המבקש או בשיקומו. </w:t>
      </w:r>
      <w:r w:rsidR="00960BC5">
        <w:rPr>
          <w:rFonts w:hint="cs"/>
          <w:sz w:val="24"/>
          <w:rtl/>
        </w:rPr>
        <w:t>הושתו מאסרים מותנים, מבחן, של"ץ, פסילה על תנאי, התחייבות וקנס</w:t>
      </w:r>
      <w:r w:rsidR="00960BC5">
        <w:rPr>
          <w:rFonts w:hint="cs"/>
          <w:rtl/>
        </w:rPr>
        <w:t>.</w:t>
      </w:r>
    </w:p>
    <w:p w14:paraId="0AB8DB1E" w14:textId="77777777" w:rsidR="00960BC5" w:rsidRDefault="00960BC5" w:rsidP="00960BC5">
      <w:pPr>
        <w:pStyle w:val="aa"/>
        <w:widowControl w:val="0"/>
        <w:ind w:left="1475"/>
        <w:jc w:val="both"/>
        <w:rPr>
          <w:szCs w:val="20"/>
        </w:rPr>
      </w:pPr>
    </w:p>
    <w:p w14:paraId="70BABEC0" w14:textId="77777777" w:rsidR="00960BC5" w:rsidRDefault="00455A01" w:rsidP="00960BC5">
      <w:pPr>
        <w:pStyle w:val="aa"/>
        <w:widowControl w:val="0"/>
        <w:numPr>
          <w:ilvl w:val="2"/>
          <w:numId w:val="1"/>
        </w:numPr>
        <w:spacing w:line="360" w:lineRule="auto"/>
        <w:ind w:left="1475" w:hanging="624"/>
        <w:jc w:val="both"/>
        <w:rPr>
          <w:sz w:val="24"/>
        </w:rPr>
      </w:pPr>
      <w:hyperlink r:id="rId39" w:history="1">
        <w:r w:rsidRPr="00455A01">
          <w:rPr>
            <w:color w:val="0000FF"/>
            <w:u w:val="single"/>
            <w:rtl/>
          </w:rPr>
          <w:t>רע"פ 5261/18</w:t>
        </w:r>
      </w:hyperlink>
      <w:r w:rsidR="00960BC5">
        <w:rPr>
          <w:rFonts w:hint="cs"/>
          <w:rtl/>
        </w:rPr>
        <w:t xml:space="preserve"> </w:t>
      </w:r>
      <w:r w:rsidR="00960BC5">
        <w:rPr>
          <w:rFonts w:ascii="Miriam" w:hAnsi="Miriam" w:cs="Miriam"/>
          <w:b/>
          <w:bCs/>
          <w:szCs w:val="22"/>
          <w:rtl/>
        </w:rPr>
        <w:t>דוידוף נ' מדינת ישראל</w:t>
      </w:r>
      <w:r w:rsidR="00960BC5">
        <w:rPr>
          <w:rFonts w:hint="cs"/>
          <w:rtl/>
        </w:rPr>
        <w:t xml:space="preserve"> (12.7.18) –נדחו ערעור ובקשת רשות ערעור של מי שגידל 16 שתילי קנבוס במשקל 1,900 גרם נטו והחזיק 127 גרם נטו קנבוס. הושתו 4 חודשי מאסר מותנה ו-150 שעות של"צ.</w:t>
      </w:r>
    </w:p>
    <w:p w14:paraId="4734B613" w14:textId="77777777" w:rsidR="00960BC5" w:rsidRDefault="00960BC5" w:rsidP="00960BC5">
      <w:pPr>
        <w:widowControl w:val="0"/>
        <w:jc w:val="both"/>
        <w:rPr>
          <w:rFonts w:ascii="David" w:hAnsi="David"/>
          <w:szCs w:val="20"/>
        </w:rPr>
      </w:pPr>
    </w:p>
    <w:p w14:paraId="4C39C726" w14:textId="77777777" w:rsidR="00960BC5" w:rsidRDefault="00455A01" w:rsidP="00960BC5">
      <w:pPr>
        <w:pStyle w:val="aa"/>
        <w:widowControl w:val="0"/>
        <w:numPr>
          <w:ilvl w:val="2"/>
          <w:numId w:val="2"/>
        </w:numPr>
        <w:spacing w:line="360" w:lineRule="auto"/>
        <w:ind w:left="1471" w:hanging="621"/>
        <w:jc w:val="both"/>
        <w:rPr>
          <w:sz w:val="24"/>
        </w:rPr>
      </w:pPr>
      <w:hyperlink r:id="rId40" w:history="1">
        <w:r w:rsidRPr="00455A01">
          <w:rPr>
            <w:color w:val="0000FF"/>
            <w:sz w:val="24"/>
            <w:u w:val="single"/>
            <w:rtl/>
          </w:rPr>
          <w:t>עפ"ג (מחוזי-חי') 28110-10-15</w:t>
        </w:r>
      </w:hyperlink>
      <w:r w:rsidR="00960BC5">
        <w:rPr>
          <w:rFonts w:hint="cs"/>
          <w:sz w:val="24"/>
          <w:rtl/>
        </w:rPr>
        <w:t xml:space="preserve"> </w:t>
      </w:r>
      <w:r w:rsidR="00960BC5">
        <w:rPr>
          <w:rFonts w:ascii="Miriam" w:hAnsi="Miriam" w:cs="Miriam"/>
          <w:b/>
          <w:bCs/>
          <w:szCs w:val="22"/>
          <w:rtl/>
        </w:rPr>
        <w:t xml:space="preserve">מדינת ישראל נ' דוד </w:t>
      </w:r>
      <w:r w:rsidR="00960BC5">
        <w:rPr>
          <w:rFonts w:hint="cs"/>
          <w:sz w:val="24"/>
          <w:rtl/>
        </w:rPr>
        <w:t>(17.12.15), אליו הפנה ב"כ הנאשם – נדחה ערעור המדינה. בוטלה הרשעה בגידול בצוותא של 21 שתילי קנבוס במשקל כ-3.5 ק"ג, משהוכח נזק קונקרטי – פגיעה בעבודתו בנמל חיפה. צו המבחן הוארך ל-18 חודשים וסכום הפיצוי הועלה ל-11,000 ₪;</w:t>
      </w:r>
    </w:p>
    <w:p w14:paraId="5F99EB3F" w14:textId="77777777" w:rsidR="00960BC5" w:rsidRPr="00187B2D" w:rsidRDefault="00960BC5" w:rsidP="00960BC5">
      <w:pPr>
        <w:pStyle w:val="aa"/>
        <w:widowControl w:val="0"/>
        <w:ind w:left="1471"/>
        <w:jc w:val="both"/>
        <w:rPr>
          <w:szCs w:val="20"/>
        </w:rPr>
      </w:pPr>
    </w:p>
    <w:p w14:paraId="2EE2C60D" w14:textId="77777777" w:rsidR="00960BC5" w:rsidRDefault="00455A01" w:rsidP="00960BC5">
      <w:pPr>
        <w:pStyle w:val="aa"/>
        <w:widowControl w:val="0"/>
        <w:numPr>
          <w:ilvl w:val="2"/>
          <w:numId w:val="2"/>
        </w:numPr>
        <w:spacing w:line="360" w:lineRule="auto"/>
        <w:ind w:left="1471" w:hanging="621"/>
        <w:jc w:val="both"/>
        <w:rPr>
          <w:sz w:val="24"/>
        </w:rPr>
      </w:pPr>
      <w:hyperlink r:id="rId41" w:history="1">
        <w:r w:rsidRPr="00455A01">
          <w:rPr>
            <w:color w:val="0000FF"/>
            <w:u w:val="single"/>
            <w:rtl/>
          </w:rPr>
          <w:t>עפ"ג (מחוזי-מרכז) 59254-02-15</w:t>
        </w:r>
      </w:hyperlink>
      <w:r w:rsidR="00960BC5">
        <w:rPr>
          <w:rFonts w:hint="cs"/>
          <w:rtl/>
        </w:rPr>
        <w:t xml:space="preserve"> </w:t>
      </w:r>
      <w:r w:rsidR="00960BC5">
        <w:rPr>
          <w:rFonts w:ascii="Miriam" w:hAnsi="Miriam" w:cs="Miriam"/>
          <w:b/>
          <w:bCs/>
          <w:szCs w:val="22"/>
          <w:rtl/>
        </w:rPr>
        <w:t>אבו לבן ואח' נ' מדינת ישראל</w:t>
      </w:r>
      <w:r w:rsidR="00960BC5">
        <w:rPr>
          <w:rFonts w:hint="cs"/>
          <w:rtl/>
        </w:rPr>
        <w:t xml:space="preserve"> (9.6.15) – נדחה ערעור על פסק הדין ב-</w:t>
      </w:r>
      <w:hyperlink r:id="rId42" w:history="1">
        <w:r w:rsidRPr="00455A01">
          <w:rPr>
            <w:color w:val="0000FF"/>
            <w:u w:val="single"/>
            <w:rtl/>
          </w:rPr>
          <w:t>ת"פ (שלום-רמ') 33125-01-14</w:t>
        </w:r>
      </w:hyperlink>
      <w:r w:rsidR="00960BC5">
        <w:rPr>
          <w:rFonts w:hint="cs"/>
          <w:rtl/>
        </w:rPr>
        <w:t xml:space="preserve"> </w:t>
      </w:r>
      <w:r w:rsidR="00960BC5">
        <w:rPr>
          <w:rFonts w:ascii="Miriam" w:hAnsi="Miriam" w:cs="Miriam"/>
          <w:b/>
          <w:bCs/>
          <w:szCs w:val="22"/>
          <w:rtl/>
        </w:rPr>
        <w:t xml:space="preserve">מדינת ישראל נ' אבו לבן ואח' </w:t>
      </w:r>
      <w:r w:rsidR="00960BC5">
        <w:rPr>
          <w:rFonts w:hint="cs"/>
          <w:rtl/>
        </w:rPr>
        <w:t>(15.1.15), אליו הפנתה ב"כ המאשימה – נקבע שהמתחם בגין החזקת כ-100 גרם חשיש והמתחם בגין סחר בכ-100 גרם חשיש הוא זהה וכי המתחם בשני המקרים הוא 4–14 חודשי מאסר בפועל, לצד ענישה נלווית. על כל אחד מהנאשמים הושתו 8 חודשי מאסר בפועל בניכוי ימי מעצרם, מאסרים מותנים, 2,000 ₪ קנס ו-5 חודשי פסילה מותנית.</w:t>
      </w:r>
    </w:p>
    <w:p w14:paraId="4CD4A55B" w14:textId="77777777" w:rsidR="00960BC5" w:rsidRPr="00187B2D" w:rsidRDefault="00960BC5" w:rsidP="00960BC5">
      <w:pPr>
        <w:pStyle w:val="aa"/>
        <w:rPr>
          <w:szCs w:val="20"/>
          <w:highlight w:val="yellow"/>
        </w:rPr>
      </w:pPr>
    </w:p>
    <w:p w14:paraId="14D87C96" w14:textId="77777777" w:rsidR="00960BC5" w:rsidRDefault="00455A01" w:rsidP="00960BC5">
      <w:pPr>
        <w:pStyle w:val="aa"/>
        <w:widowControl w:val="0"/>
        <w:numPr>
          <w:ilvl w:val="2"/>
          <w:numId w:val="1"/>
        </w:numPr>
        <w:spacing w:line="360" w:lineRule="auto"/>
        <w:ind w:left="1471" w:hanging="621"/>
        <w:jc w:val="both"/>
        <w:rPr>
          <w:sz w:val="24"/>
        </w:rPr>
      </w:pPr>
      <w:hyperlink r:id="rId43" w:history="1">
        <w:r w:rsidRPr="00455A01">
          <w:rPr>
            <w:color w:val="0000FF"/>
            <w:sz w:val="24"/>
            <w:u w:val="single"/>
            <w:rtl/>
          </w:rPr>
          <w:t>עפ"ג (מחוזי-מרכז) 53504-01-11</w:t>
        </w:r>
      </w:hyperlink>
      <w:r w:rsidR="00960BC5">
        <w:rPr>
          <w:rFonts w:hint="cs"/>
          <w:sz w:val="24"/>
          <w:rtl/>
        </w:rPr>
        <w:t xml:space="preserve"> </w:t>
      </w:r>
      <w:r w:rsidR="00960BC5">
        <w:rPr>
          <w:rFonts w:ascii="Miriam" w:hAnsi="Miriam" w:cs="Miriam"/>
          <w:b/>
          <w:bCs/>
          <w:szCs w:val="22"/>
          <w:rtl/>
        </w:rPr>
        <w:t xml:space="preserve">אלון נ' מדינת ישראל </w:t>
      </w:r>
      <w:r w:rsidR="00960BC5">
        <w:rPr>
          <w:rFonts w:hint="cs"/>
          <w:sz w:val="24"/>
          <w:rtl/>
        </w:rPr>
        <w:t>(22.5.11) – בוטלה הרשעה בהחזקת 8,220 גרם קנבוס, שהמערער לקח, לבקשת חברו, ממעבדת גידול והטמין במקום בו נתפס. ההרשעה בוטלה בהינתן נסיבות ההחזקה (בשל פחד מהמגדל), הודייתו וקיומו של נזק קונקרטי משמעותי (לא יוכל לייצג את ישראל כג'ודוקא באולימפיאדה);</w:t>
      </w:r>
    </w:p>
    <w:p w14:paraId="503048E1" w14:textId="77777777" w:rsidR="00960BC5" w:rsidRPr="00187B2D" w:rsidRDefault="00960BC5" w:rsidP="00960BC5">
      <w:pPr>
        <w:pStyle w:val="aa"/>
        <w:widowControl w:val="0"/>
        <w:ind w:left="1471"/>
        <w:jc w:val="both"/>
        <w:rPr>
          <w:szCs w:val="20"/>
        </w:rPr>
      </w:pPr>
    </w:p>
    <w:p w14:paraId="6768B707" w14:textId="77777777" w:rsidR="00960BC5" w:rsidRDefault="00455A01" w:rsidP="00960BC5">
      <w:pPr>
        <w:pStyle w:val="aa"/>
        <w:widowControl w:val="0"/>
        <w:numPr>
          <w:ilvl w:val="2"/>
          <w:numId w:val="1"/>
        </w:numPr>
        <w:spacing w:line="360" w:lineRule="auto"/>
        <w:ind w:left="1471" w:hanging="621"/>
        <w:jc w:val="both"/>
        <w:rPr>
          <w:sz w:val="24"/>
          <w:rtl/>
        </w:rPr>
      </w:pPr>
      <w:hyperlink r:id="rId44" w:history="1">
        <w:r w:rsidRPr="00455A01">
          <w:rPr>
            <w:color w:val="0000FF"/>
            <w:sz w:val="24"/>
            <w:u w:val="single"/>
            <w:rtl/>
          </w:rPr>
          <w:t>ת"פ (שלום-רמ') 14693-11-20</w:t>
        </w:r>
      </w:hyperlink>
      <w:r w:rsidR="00960BC5">
        <w:rPr>
          <w:rFonts w:hint="cs"/>
          <w:sz w:val="24"/>
          <w:rtl/>
        </w:rPr>
        <w:t xml:space="preserve"> </w:t>
      </w:r>
      <w:r w:rsidR="00960BC5">
        <w:rPr>
          <w:rFonts w:ascii="Miriam" w:hAnsi="Miriam" w:cs="Miriam"/>
          <w:b/>
          <w:bCs/>
          <w:szCs w:val="22"/>
          <w:rtl/>
        </w:rPr>
        <w:t>מדינת ישראל נ' עכאשה</w:t>
      </w:r>
      <w:r w:rsidR="00960BC5">
        <w:rPr>
          <w:rFonts w:hint="cs"/>
          <w:sz w:val="24"/>
          <w:rtl/>
        </w:rPr>
        <w:t xml:space="preserve"> (12.2.23), אליו הפנה ב"כ הנאשם – בגין הרשעתו בגידול 5 ק"ג קנבוס – גזר בית המשפט על הנאשם עונש של מאסר למשך 4 חודשי מאסר בדרך של עבודות שירות וענישה נלווית, חרף הימנעות שירות המבחן מהמלצה טיפולית ועתירת המאשימה ל-6 חודשי מאסר, שיכול וירוצה בדרך של עבודות שירות.</w:t>
      </w:r>
    </w:p>
    <w:p w14:paraId="374278D6" w14:textId="77777777" w:rsidR="00960BC5" w:rsidRPr="00187B2D" w:rsidRDefault="00960BC5" w:rsidP="00960BC5">
      <w:pPr>
        <w:pStyle w:val="aa"/>
        <w:rPr>
          <w:szCs w:val="20"/>
        </w:rPr>
      </w:pPr>
    </w:p>
    <w:p w14:paraId="0C2275CC" w14:textId="77777777" w:rsidR="00960BC5" w:rsidRDefault="00455A01" w:rsidP="00960BC5">
      <w:pPr>
        <w:pStyle w:val="aa"/>
        <w:widowControl w:val="0"/>
        <w:numPr>
          <w:ilvl w:val="2"/>
          <w:numId w:val="1"/>
        </w:numPr>
        <w:spacing w:line="360" w:lineRule="auto"/>
        <w:ind w:left="1471" w:hanging="621"/>
        <w:jc w:val="both"/>
        <w:rPr>
          <w:sz w:val="24"/>
        </w:rPr>
      </w:pPr>
      <w:hyperlink r:id="rId45" w:history="1">
        <w:r w:rsidRPr="00455A01">
          <w:rPr>
            <w:color w:val="0000FF"/>
            <w:sz w:val="24"/>
            <w:u w:val="single"/>
            <w:rtl/>
          </w:rPr>
          <w:t>ת"פ (שלום-ת"א) 43456-12-20</w:t>
        </w:r>
      </w:hyperlink>
      <w:r w:rsidR="00960BC5">
        <w:rPr>
          <w:rFonts w:hint="cs"/>
          <w:sz w:val="24"/>
          <w:rtl/>
        </w:rPr>
        <w:t xml:space="preserve"> </w:t>
      </w:r>
      <w:r w:rsidR="00960BC5">
        <w:rPr>
          <w:rFonts w:ascii="Miriam" w:hAnsi="Miriam" w:cs="Miriam"/>
          <w:b/>
          <w:bCs/>
          <w:szCs w:val="22"/>
          <w:rtl/>
        </w:rPr>
        <w:t>מדינת ישראל נ' קרויזר</w:t>
      </w:r>
      <w:r w:rsidR="00960BC5">
        <w:rPr>
          <w:rFonts w:hint="cs"/>
          <w:sz w:val="24"/>
          <w:rtl/>
        </w:rPr>
        <w:t xml:space="preserve"> (14.4.22), אליו הפנה ב"כ הנאשם – בגין הרשעתו בגידול 974.4 גרם קנבוס בעציצים נקבע מתחם הנע ממספר חודשי מאסר, שיכול שירוצו בעבודות שירות, עד 12 חודשי מאסר בפועל. על צעיר כבן 30, אב לשלושה ילדים קטנים, ללא עבר פלילי, אשר זו הסתבכותו היחידה – הושתו 6 חודשי מאסר מותנה וענישה נלווית.</w:t>
      </w:r>
    </w:p>
    <w:p w14:paraId="210DD499" w14:textId="77777777" w:rsidR="00960BC5" w:rsidRPr="00187B2D" w:rsidRDefault="00960BC5" w:rsidP="00960BC5">
      <w:pPr>
        <w:pStyle w:val="aa"/>
        <w:rPr>
          <w:sz w:val="16"/>
          <w:szCs w:val="20"/>
          <w:u w:val="single"/>
        </w:rPr>
      </w:pPr>
    </w:p>
    <w:p w14:paraId="2AA1C1FB" w14:textId="77777777" w:rsidR="00960BC5" w:rsidRDefault="00455A01" w:rsidP="00960BC5">
      <w:pPr>
        <w:pStyle w:val="aa"/>
        <w:widowControl w:val="0"/>
        <w:numPr>
          <w:ilvl w:val="2"/>
          <w:numId w:val="1"/>
        </w:numPr>
        <w:spacing w:line="360" w:lineRule="auto"/>
        <w:ind w:left="1471" w:hanging="621"/>
        <w:jc w:val="both"/>
        <w:rPr>
          <w:sz w:val="24"/>
          <w:rtl/>
        </w:rPr>
      </w:pPr>
      <w:hyperlink r:id="rId46" w:history="1">
        <w:r w:rsidRPr="00455A01">
          <w:rPr>
            <w:color w:val="0000FF"/>
            <w:u w:val="single"/>
            <w:rtl/>
          </w:rPr>
          <w:t>ת"פ (שלום-י-ם) 34839-10-20</w:t>
        </w:r>
      </w:hyperlink>
      <w:r w:rsidR="00960BC5">
        <w:rPr>
          <w:rFonts w:hint="cs"/>
          <w:rtl/>
        </w:rPr>
        <w:t xml:space="preserve"> </w:t>
      </w:r>
      <w:r w:rsidR="00960BC5">
        <w:rPr>
          <w:rFonts w:ascii="Miriam" w:hAnsi="Miriam" w:cs="Miriam"/>
          <w:b/>
          <w:bCs/>
          <w:szCs w:val="22"/>
          <w:rtl/>
        </w:rPr>
        <w:t>מדינת ישראל נ' גמיש</w:t>
      </w:r>
      <w:r w:rsidR="00960BC5">
        <w:rPr>
          <w:rFonts w:hint="cs"/>
          <w:rtl/>
        </w:rPr>
        <w:t xml:space="preserve"> (30.3.22) – בהחזקת כ-8 גרם קנבוס ו-2.79 גרם חשיש נקבע מתחם הנע משל"צ, התחייבות, מאסר מותנה וקנס עד חודשיים מאסר בפועל - על נאשם בעל עבר פלילי הושתו 200 ₪ קנס והתחייבות, תוך מתן משקל רב לשיח ולמדיניות לגבי קנבוס</w:t>
      </w:r>
      <w:r w:rsidR="00960BC5">
        <w:rPr>
          <w:rFonts w:hint="cs"/>
          <w:sz w:val="24"/>
          <w:rtl/>
        </w:rPr>
        <w:t>.</w:t>
      </w:r>
    </w:p>
    <w:p w14:paraId="1A9B9034" w14:textId="77777777" w:rsidR="00960BC5" w:rsidRPr="00187B2D" w:rsidRDefault="00960BC5" w:rsidP="00960BC5">
      <w:pPr>
        <w:pStyle w:val="aa"/>
        <w:rPr>
          <w:sz w:val="16"/>
          <w:szCs w:val="20"/>
          <w:u w:val="single"/>
        </w:rPr>
      </w:pPr>
    </w:p>
    <w:p w14:paraId="5CF7E272" w14:textId="77777777" w:rsidR="00960BC5" w:rsidRDefault="00455A01" w:rsidP="00960BC5">
      <w:pPr>
        <w:pStyle w:val="aa"/>
        <w:widowControl w:val="0"/>
        <w:numPr>
          <w:ilvl w:val="2"/>
          <w:numId w:val="1"/>
        </w:numPr>
        <w:spacing w:line="360" w:lineRule="auto"/>
        <w:ind w:left="1471" w:hanging="621"/>
        <w:jc w:val="both"/>
        <w:rPr>
          <w:sz w:val="24"/>
          <w:rtl/>
        </w:rPr>
      </w:pPr>
      <w:hyperlink r:id="rId47" w:history="1">
        <w:r w:rsidRPr="00455A01">
          <w:rPr>
            <w:color w:val="0000FF"/>
            <w:u w:val="single"/>
            <w:rtl/>
          </w:rPr>
          <w:t>ת"פ (שלום-ת"א) 59619-10-20</w:t>
        </w:r>
      </w:hyperlink>
      <w:r w:rsidR="00960BC5">
        <w:rPr>
          <w:rFonts w:hint="cs"/>
          <w:rtl/>
        </w:rPr>
        <w:t xml:space="preserve"> </w:t>
      </w:r>
      <w:r w:rsidR="00960BC5">
        <w:rPr>
          <w:rFonts w:ascii="Miriam" w:hAnsi="Miriam" w:cs="Miriam"/>
          <w:b/>
          <w:bCs/>
          <w:szCs w:val="22"/>
          <w:rtl/>
        </w:rPr>
        <w:t>מדינת ישראל נ' קרופניק</w:t>
      </w:r>
      <w:r w:rsidR="00960BC5">
        <w:rPr>
          <w:rFonts w:hint="cs"/>
          <w:b/>
          <w:bCs/>
          <w:rtl/>
        </w:rPr>
        <w:t xml:space="preserve"> </w:t>
      </w:r>
      <w:r w:rsidR="00960BC5">
        <w:rPr>
          <w:rFonts w:hint="cs"/>
          <w:rtl/>
        </w:rPr>
        <w:t>(05.12.21) – בהחזקת 2 פלטות חשיש במשקל של כ-180 גר' וסכין ברכבו</w:t>
      </w:r>
      <w:r w:rsidR="00960BC5">
        <w:rPr>
          <w:rFonts w:hint="cs"/>
          <w:b/>
          <w:bCs/>
          <w:rtl/>
        </w:rPr>
        <w:t xml:space="preserve"> </w:t>
      </w:r>
      <w:r w:rsidR="00960BC5">
        <w:rPr>
          <w:rFonts w:hint="cs"/>
          <w:rtl/>
        </w:rPr>
        <w:t xml:space="preserve">נקבע מתחם הנע ממאסר מותנה ושל"צ עד 10 חודשי מאסר בפועל, לצד ענישה נלווית. על נאשם נעדר עבר פלילי, שלקח אחריות ובהינתן תסקיר חיובי – הושתו 200 שעות של"צ, מאסרים מותנים, 2,000 ₪ קנס, התחייבות ופסילה </w:t>
      </w:r>
      <w:r w:rsidR="00960BC5">
        <w:rPr>
          <w:rFonts w:hint="cs"/>
          <w:sz w:val="24"/>
          <w:rtl/>
        </w:rPr>
        <w:t>מותנית.</w:t>
      </w:r>
    </w:p>
    <w:p w14:paraId="2CB71B2A" w14:textId="77777777" w:rsidR="00960BC5" w:rsidRPr="00187B2D" w:rsidRDefault="00960BC5" w:rsidP="00960BC5">
      <w:pPr>
        <w:pStyle w:val="aa"/>
        <w:rPr>
          <w:szCs w:val="20"/>
        </w:rPr>
      </w:pPr>
    </w:p>
    <w:p w14:paraId="0799D561" w14:textId="77777777" w:rsidR="00960BC5" w:rsidRDefault="00455A01" w:rsidP="00960BC5">
      <w:pPr>
        <w:pStyle w:val="aa"/>
        <w:widowControl w:val="0"/>
        <w:numPr>
          <w:ilvl w:val="2"/>
          <w:numId w:val="1"/>
        </w:numPr>
        <w:spacing w:line="360" w:lineRule="auto"/>
        <w:ind w:left="1471" w:hanging="621"/>
        <w:jc w:val="both"/>
        <w:rPr>
          <w:sz w:val="24"/>
          <w:rtl/>
        </w:rPr>
      </w:pPr>
      <w:hyperlink r:id="rId48" w:history="1">
        <w:r w:rsidRPr="00455A01">
          <w:rPr>
            <w:color w:val="0000FF"/>
            <w:sz w:val="24"/>
            <w:u w:val="single"/>
            <w:rtl/>
          </w:rPr>
          <w:t>ת"פ (שלום-ק"ג) 22428-11-18</w:t>
        </w:r>
      </w:hyperlink>
      <w:r w:rsidR="00960BC5">
        <w:rPr>
          <w:rFonts w:hint="cs"/>
          <w:sz w:val="24"/>
          <w:rtl/>
        </w:rPr>
        <w:t xml:space="preserve"> </w:t>
      </w:r>
      <w:r w:rsidR="00960BC5">
        <w:rPr>
          <w:rFonts w:ascii="Miriam" w:hAnsi="Miriam" w:cs="Miriam"/>
          <w:b/>
          <w:bCs/>
          <w:szCs w:val="22"/>
          <w:rtl/>
        </w:rPr>
        <w:t>מדינת ישראל נ' עמר</w:t>
      </w:r>
      <w:r w:rsidR="00960BC5">
        <w:rPr>
          <w:rFonts w:hint="cs"/>
          <w:sz w:val="24"/>
          <w:rtl/>
        </w:rPr>
        <w:t xml:space="preserve"> (14.7.21), אליו הפנתה ב"כ המאשימה –בהחזקת כ-200 גרם קנבוס נקבע מתחם 6–12 חודשי מאסר בפועל. נוכח חוסר שיתוף הפעולה של הנאשם עם ההליך הטיפולי ועברו הפלילי המכביד – הושתו 7 חודשי מאסר לריצוי בעבודות שירות וענישה נלווית. </w:t>
      </w:r>
    </w:p>
    <w:p w14:paraId="339BA9C7" w14:textId="77777777" w:rsidR="00960BC5" w:rsidRPr="00187B2D" w:rsidRDefault="00960BC5" w:rsidP="00960BC5">
      <w:pPr>
        <w:pStyle w:val="aa"/>
        <w:rPr>
          <w:szCs w:val="20"/>
        </w:rPr>
      </w:pPr>
    </w:p>
    <w:p w14:paraId="75CD1254" w14:textId="77777777" w:rsidR="00960BC5" w:rsidRDefault="00455A01" w:rsidP="00960BC5">
      <w:pPr>
        <w:pStyle w:val="aa"/>
        <w:widowControl w:val="0"/>
        <w:numPr>
          <w:ilvl w:val="2"/>
          <w:numId w:val="1"/>
        </w:numPr>
        <w:spacing w:line="360" w:lineRule="auto"/>
        <w:ind w:left="1471" w:hanging="621"/>
        <w:jc w:val="both"/>
        <w:rPr>
          <w:sz w:val="24"/>
          <w:rtl/>
        </w:rPr>
      </w:pPr>
      <w:hyperlink r:id="rId49" w:history="1">
        <w:r w:rsidRPr="00455A01">
          <w:rPr>
            <w:color w:val="0000FF"/>
            <w:u w:val="single"/>
            <w:rtl/>
          </w:rPr>
          <w:t>ת"פ (שלום-ת"א) 43682-06-20</w:t>
        </w:r>
      </w:hyperlink>
      <w:r w:rsidR="00960BC5">
        <w:rPr>
          <w:rFonts w:hint="cs"/>
          <w:rtl/>
        </w:rPr>
        <w:t xml:space="preserve"> </w:t>
      </w:r>
      <w:r w:rsidR="00960BC5">
        <w:rPr>
          <w:rFonts w:ascii="Miriam" w:hAnsi="Miriam" w:cs="Miriam"/>
          <w:b/>
          <w:bCs/>
          <w:szCs w:val="22"/>
          <w:rtl/>
        </w:rPr>
        <w:t>מדינת ישראל נ' דקל</w:t>
      </w:r>
      <w:r w:rsidR="00960BC5">
        <w:rPr>
          <w:rFonts w:hint="cs"/>
          <w:rtl/>
        </w:rPr>
        <w:t xml:space="preserve"> (17.11.20) – נקבע כי השינויים הנורמטיביים מחייבים קביעת מתחמי ענישה שלא נמצאים בבועה מנותקת ומשכך בהחזקת כ-45 גרם קנבוס בדירתו נקבע מתחם הנע מקנס והתחייבות עד מאסר מותנה וענישה נלווית. הושתו 1,000 ₪ קנס והתחייבות. </w:t>
      </w:r>
    </w:p>
    <w:p w14:paraId="574514F4" w14:textId="77777777" w:rsidR="00960BC5" w:rsidRDefault="00960BC5" w:rsidP="00960BC5">
      <w:pPr>
        <w:pStyle w:val="aa"/>
        <w:widowControl w:val="0"/>
        <w:rPr>
          <w:szCs w:val="20"/>
        </w:rPr>
      </w:pPr>
    </w:p>
    <w:p w14:paraId="1041B8F9" w14:textId="77777777" w:rsidR="00960BC5" w:rsidRDefault="00960BC5" w:rsidP="00960BC5">
      <w:pPr>
        <w:pStyle w:val="aa"/>
        <w:widowControl w:val="0"/>
        <w:rPr>
          <w:sz w:val="24"/>
          <w:rtl/>
        </w:rPr>
      </w:pPr>
    </w:p>
    <w:p w14:paraId="4461E440" w14:textId="77777777" w:rsidR="00960BC5" w:rsidRDefault="00960BC5" w:rsidP="00960BC5">
      <w:pPr>
        <w:pStyle w:val="aa"/>
        <w:widowControl w:val="0"/>
        <w:numPr>
          <w:ilvl w:val="1"/>
          <w:numId w:val="1"/>
        </w:numPr>
        <w:spacing w:line="360" w:lineRule="auto"/>
        <w:ind w:left="714" w:hanging="357"/>
        <w:jc w:val="both"/>
        <w:rPr>
          <w:sz w:val="24"/>
          <w:rtl/>
        </w:rPr>
      </w:pPr>
      <w:r>
        <w:rPr>
          <w:rFonts w:hint="cs"/>
          <w:b/>
          <w:sz w:val="24"/>
          <w:rtl/>
        </w:rPr>
        <w:t xml:space="preserve">בפסיקה עוברת כחוט השני חשיבות </w:t>
      </w:r>
      <w:r>
        <w:rPr>
          <w:rFonts w:hint="cs"/>
          <w:b/>
          <w:bCs/>
          <w:sz w:val="24"/>
          <w:rtl/>
        </w:rPr>
        <w:t>נסיבות הקשורות בביצוע העבירות</w:t>
      </w:r>
      <w:r>
        <w:rPr>
          <w:rFonts w:hint="cs"/>
          <w:sz w:val="24"/>
          <w:rtl/>
        </w:rPr>
        <w:t xml:space="preserve">, בהתאם </w:t>
      </w:r>
      <w:hyperlink r:id="rId50" w:history="1">
        <w:r w:rsidR="00C275D8" w:rsidRPr="00C275D8">
          <w:rPr>
            <w:rStyle w:val="Hyperlink"/>
            <w:rFonts w:hint="eastAsia"/>
            <w:sz w:val="24"/>
            <w:rtl/>
          </w:rPr>
          <w:t>לסעיף</w:t>
        </w:r>
        <w:r w:rsidR="00C275D8" w:rsidRPr="00C275D8">
          <w:rPr>
            <w:rStyle w:val="Hyperlink"/>
            <w:sz w:val="24"/>
            <w:rtl/>
          </w:rPr>
          <w:t xml:space="preserve"> 40יט</w:t>
        </w:r>
      </w:hyperlink>
      <w:r>
        <w:rPr>
          <w:rFonts w:hint="cs"/>
          <w:sz w:val="24"/>
          <w:rtl/>
        </w:rPr>
        <w:t xml:space="preserve"> ל-</w:t>
      </w:r>
      <w:hyperlink r:id="rId51" w:history="1">
        <w:r w:rsidR="00455A01" w:rsidRPr="00455A01">
          <w:rPr>
            <w:rFonts w:ascii="Miriam" w:hAnsi="Miriam" w:cs="Miriam"/>
            <w:b/>
            <w:bCs/>
            <w:color w:val="0000FF"/>
            <w:szCs w:val="22"/>
            <w:u w:val="single"/>
            <w:rtl/>
          </w:rPr>
          <w:t>חוק העונשין</w:t>
        </w:r>
      </w:hyperlink>
      <w:r>
        <w:rPr>
          <w:rFonts w:ascii="Miriam" w:hAnsi="Miriam" w:cs="Miriam"/>
          <w:b/>
          <w:bCs/>
          <w:szCs w:val="22"/>
          <w:rtl/>
        </w:rPr>
        <w:t xml:space="preserve"> </w:t>
      </w:r>
      <w:r>
        <w:rPr>
          <w:rFonts w:hint="cs"/>
          <w:sz w:val="24"/>
          <w:rtl/>
        </w:rPr>
        <w:t>ובכלל זה סוג הסם, אופן החזקתו וכמותו. עיון בפסיקה מלמד, כי אין דין החזקת סמים מסוג קנבוס וחשיש כדין החזקת סמים מסוג קוקאין והרואין, אין דין החזקת גרמים בודדים כדין החזקת קילוגרמים רבים ואין דין החזקה לשימוש עצמי כדין החזקה שלא לשימוש עצמי בנסיבות המלמדות על מטרות סחר. משכך התחשבתי בנסיבות הבאות:</w:t>
      </w:r>
    </w:p>
    <w:p w14:paraId="7A7E4323" w14:textId="77777777" w:rsidR="00960BC5" w:rsidRDefault="00960BC5" w:rsidP="00960BC5">
      <w:pPr>
        <w:pStyle w:val="aa"/>
        <w:widowControl w:val="0"/>
        <w:ind w:left="714"/>
        <w:jc w:val="both"/>
        <w:rPr>
          <w:szCs w:val="20"/>
          <w:rtl/>
        </w:rPr>
      </w:pPr>
    </w:p>
    <w:p w14:paraId="58E29863" w14:textId="77777777" w:rsidR="00960BC5" w:rsidRDefault="00960BC5" w:rsidP="00960BC5">
      <w:pPr>
        <w:widowControl w:val="0"/>
        <w:numPr>
          <w:ilvl w:val="2"/>
          <w:numId w:val="1"/>
        </w:numPr>
        <w:snapToGrid w:val="0"/>
        <w:spacing w:line="360" w:lineRule="auto"/>
        <w:ind w:left="1134" w:hanging="414"/>
        <w:jc w:val="both"/>
        <w:rPr>
          <w:rFonts w:ascii="David" w:hAnsi="David"/>
          <w:rtl/>
          <w:lang w:eastAsia="he-IL"/>
        </w:rPr>
      </w:pPr>
      <w:r>
        <w:rPr>
          <w:rFonts w:ascii="David" w:hAnsi="David"/>
          <w:rtl/>
          <w:lang w:eastAsia="he-IL"/>
        </w:rPr>
        <w:t xml:space="preserve">עבירות החזקת הסמים, מעצם טיבן וטבען </w:t>
      </w:r>
      <w:r>
        <w:rPr>
          <w:rFonts w:ascii="David" w:hAnsi="David"/>
          <w:b/>
          <w:bCs/>
          <w:rtl/>
          <w:lang w:eastAsia="he-IL"/>
        </w:rPr>
        <w:t>קדם להן תכנון</w:t>
      </w:r>
      <w:r>
        <w:rPr>
          <w:rFonts w:ascii="David" w:hAnsi="David"/>
          <w:rtl/>
          <w:lang w:eastAsia="he-IL"/>
        </w:rPr>
        <w:t>. לא עולה מעובדות כתב האישום בהן הודה שלעבירת ההתנהגות הפרועה במקום ציבורי קדם תכנון מוקדם.</w:t>
      </w:r>
    </w:p>
    <w:p w14:paraId="07FD05C7" w14:textId="77777777" w:rsidR="00960BC5" w:rsidRDefault="00960BC5" w:rsidP="00960BC5">
      <w:pPr>
        <w:widowControl w:val="0"/>
        <w:snapToGrid w:val="0"/>
        <w:ind w:left="1134"/>
        <w:jc w:val="both"/>
        <w:rPr>
          <w:rFonts w:ascii="David" w:hAnsi="David"/>
          <w:sz w:val="20"/>
          <w:szCs w:val="20"/>
          <w:lang w:eastAsia="he-IL"/>
        </w:rPr>
      </w:pPr>
    </w:p>
    <w:p w14:paraId="10D367C8" w14:textId="77777777" w:rsidR="00960BC5" w:rsidRDefault="00960BC5" w:rsidP="00960BC5">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הנאשם הוא </w:t>
      </w:r>
      <w:r>
        <w:rPr>
          <w:rFonts w:ascii="David" w:hAnsi="David"/>
          <w:b/>
          <w:bCs/>
          <w:rtl/>
          <w:lang w:eastAsia="he-IL"/>
        </w:rPr>
        <w:t>המבצע היחיד והעיקרי בכל העבירות</w:t>
      </w:r>
      <w:r>
        <w:rPr>
          <w:rFonts w:ascii="David" w:hAnsi="David"/>
          <w:rtl/>
          <w:lang w:eastAsia="he-IL"/>
        </w:rPr>
        <w:t xml:space="preserve">, לצד זאת, נטען כי לעבירת ההתנהגות הפרועה במקום ציבורי קדמה התנהלות המתלונן, שנטען כי היתה לה השפעה על מעשי הנאשם. טענה זו לא הוכחה ולכן משקלה מועט. </w:t>
      </w:r>
    </w:p>
    <w:p w14:paraId="194117E2" w14:textId="77777777" w:rsidR="00960BC5" w:rsidRDefault="00960BC5" w:rsidP="00960BC5">
      <w:pPr>
        <w:pStyle w:val="aa"/>
        <w:rPr>
          <w:sz w:val="18"/>
          <w:szCs w:val="20"/>
        </w:rPr>
      </w:pPr>
    </w:p>
    <w:p w14:paraId="713E03BA" w14:textId="77777777" w:rsidR="00960BC5" w:rsidRDefault="00960BC5" w:rsidP="00960BC5">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אמנם אין להקל ראש </w:t>
      </w:r>
      <w:r>
        <w:rPr>
          <w:rFonts w:ascii="David" w:hAnsi="David"/>
          <w:b/>
          <w:bCs/>
          <w:rtl/>
          <w:lang w:eastAsia="he-IL"/>
        </w:rPr>
        <w:t>בנזקים שהיו צפויים להיגרם מביצוע העבירות</w:t>
      </w:r>
      <w:r>
        <w:rPr>
          <w:rFonts w:ascii="David" w:hAnsi="David"/>
          <w:rtl/>
          <w:lang w:eastAsia="he-IL"/>
        </w:rPr>
        <w:t xml:space="preserve"> – אך בהינתן כי קנבוס לא נמנה על הסמים המסוכנים והקטלניים שב-</w:t>
      </w:r>
      <w:r w:rsidRPr="00960BC5">
        <w:rPr>
          <w:rFonts w:ascii="Miriam" w:eastAsia="Calibri" w:hAnsi="Miriam" w:cs="Miriam"/>
          <w:b/>
          <w:bCs/>
          <w:noProof w:val="0"/>
          <w:sz w:val="22"/>
          <w:szCs w:val="22"/>
          <w:rtl/>
          <w:lang w:eastAsia="he-IL"/>
        </w:rPr>
        <w:t>פקודת הסמים</w:t>
      </w:r>
      <w:r>
        <w:rPr>
          <w:rFonts w:ascii="David" w:hAnsi="David"/>
          <w:rtl/>
          <w:lang w:eastAsia="he-IL"/>
        </w:rPr>
        <w:t xml:space="preserve">, ובהינתן כמויות הקנבוס שהוחזקו לשימוש עצמי ושלא לשימוש עצמי – לא מדובר בפוטנציאל נזק משמעותי. אין להקל ראש גם בפוטנציאל הנזק שעלול היה להיגרם בהתנהגות הפסולה במקום ציבורי, בין אם הנאשם השליך אבן על כניסה לבית עסק ובין אם התיז גז פלפל. לצד פוטנציאל הנזק – בפועל לא נגרמו </w:t>
      </w:r>
      <w:r>
        <w:rPr>
          <w:rFonts w:ascii="David" w:hAnsi="David"/>
          <w:b/>
          <w:bCs/>
          <w:rtl/>
          <w:lang w:eastAsia="he-IL"/>
        </w:rPr>
        <w:t>נזקים מביצוע העבירות</w:t>
      </w:r>
      <w:r>
        <w:rPr>
          <w:rFonts w:ascii="David" w:hAnsi="David"/>
          <w:rtl/>
          <w:lang w:eastAsia="he-IL"/>
        </w:rPr>
        <w:t>, שכן הסמים נתפסו ולא יוחסה לנאשם גרימת נזק כתוצאה מהשלכת האבן.</w:t>
      </w:r>
    </w:p>
    <w:p w14:paraId="7321F379" w14:textId="77777777" w:rsidR="00960BC5" w:rsidRDefault="00960BC5" w:rsidP="00960BC5">
      <w:pPr>
        <w:pStyle w:val="aa"/>
        <w:rPr>
          <w:sz w:val="18"/>
          <w:szCs w:val="20"/>
        </w:rPr>
      </w:pPr>
    </w:p>
    <w:p w14:paraId="7886615D" w14:textId="77777777" w:rsidR="00960BC5" w:rsidRDefault="00960BC5" w:rsidP="00960BC5">
      <w:pPr>
        <w:widowControl w:val="0"/>
        <w:numPr>
          <w:ilvl w:val="2"/>
          <w:numId w:val="1"/>
        </w:numPr>
        <w:snapToGrid w:val="0"/>
        <w:spacing w:line="360" w:lineRule="auto"/>
        <w:ind w:left="1134" w:hanging="414"/>
        <w:jc w:val="both"/>
        <w:rPr>
          <w:rFonts w:ascii="David" w:hAnsi="David"/>
          <w:rtl/>
          <w:lang w:eastAsia="he-IL"/>
        </w:rPr>
      </w:pPr>
      <w:r>
        <w:rPr>
          <w:rFonts w:ascii="David" w:hAnsi="David"/>
          <w:b/>
          <w:bCs/>
          <w:rtl/>
          <w:lang w:eastAsia="he-IL"/>
        </w:rPr>
        <w:t xml:space="preserve">הסיבות שהביאו את הנאשם לביצוע </w:t>
      </w:r>
      <w:r>
        <w:rPr>
          <w:rFonts w:ascii="David" w:hAnsi="David" w:hint="cs"/>
          <w:b/>
          <w:bCs/>
          <w:rtl/>
          <w:lang w:eastAsia="he-IL"/>
        </w:rPr>
        <w:t>ה</w:t>
      </w:r>
      <w:r>
        <w:rPr>
          <w:rFonts w:ascii="David" w:hAnsi="David"/>
          <w:b/>
          <w:bCs/>
          <w:rtl/>
          <w:lang w:eastAsia="he-IL"/>
        </w:rPr>
        <w:t>עבירות</w:t>
      </w:r>
      <w:r>
        <w:rPr>
          <w:rFonts w:ascii="David" w:hAnsi="David" w:hint="cs"/>
          <w:b/>
          <w:bCs/>
          <w:rtl/>
          <w:lang w:eastAsia="he-IL"/>
        </w:rPr>
        <w:t xml:space="preserve"> </w:t>
      </w:r>
      <w:r>
        <w:rPr>
          <w:rFonts w:ascii="David" w:hAnsi="David"/>
          <w:b/>
          <w:bCs/>
          <w:rtl/>
          <w:lang w:eastAsia="he-IL"/>
        </w:rPr>
        <w:t>–</w:t>
      </w:r>
      <w:r>
        <w:rPr>
          <w:rFonts w:ascii="David" w:hAnsi="David"/>
          <w:rtl/>
        </w:rPr>
        <w:t xml:space="preserve"> בגיל 23 התנסה במסגרת חברתית בשימוש בקנבוס וחש כי צריכתו מסייעת לו לתחושת רוגע ושלווה. הגיש בקשה לקבל רישיון רפואי. לדבריו, </w:t>
      </w:r>
      <w:r>
        <w:rPr>
          <w:rFonts w:ascii="David" w:hAnsi="David"/>
          <w:rtl/>
          <w:lang w:eastAsia="he-IL"/>
        </w:rPr>
        <w:t>במהלך שיח בין המתלונן לקטין – הדף המתלונן את הקטין והנאשם התנהג באופן פרוע במקום ציבורי כדי להרחיק את המתלונן מהקטין [</w:t>
      </w:r>
      <w:r>
        <w:rPr>
          <w:rFonts w:ascii="David" w:hAnsi="David" w:hint="cs"/>
          <w:rtl/>
          <w:lang w:eastAsia="he-IL"/>
        </w:rPr>
        <w:t xml:space="preserve">כאמור לעיל, </w:t>
      </w:r>
      <w:r>
        <w:rPr>
          <w:rFonts w:ascii="David" w:hAnsi="David"/>
          <w:rtl/>
          <w:lang w:eastAsia="he-IL"/>
        </w:rPr>
        <w:t>הנאשם טען כי התיז גז פלפל באוויר (עבירה שלא יוחסה לו) ולא זרק אבן, כפי שהודה, וכי הודה כדי לסיים את ההליכים הפליליים</w:t>
      </w:r>
      <w:r>
        <w:rPr>
          <w:rFonts w:ascii="David" w:hAnsi="David" w:hint="cs"/>
          <w:rtl/>
          <w:lang w:eastAsia="he-IL"/>
        </w:rPr>
        <w:t xml:space="preserve"> </w:t>
      </w:r>
      <w:r>
        <w:rPr>
          <w:rFonts w:ascii="David" w:hAnsi="David"/>
          <w:rtl/>
          <w:lang w:eastAsia="he-IL"/>
        </w:rPr>
        <w:t>–</w:t>
      </w:r>
      <w:r>
        <w:rPr>
          <w:rFonts w:ascii="David" w:hAnsi="David" w:hint="cs"/>
          <w:rtl/>
          <w:lang w:eastAsia="he-IL"/>
        </w:rPr>
        <w:t xml:space="preserve"> אולם אין שוני בסיבות ובעבירה</w:t>
      </w:r>
      <w:r>
        <w:rPr>
          <w:rFonts w:ascii="David" w:hAnsi="David"/>
          <w:rtl/>
          <w:lang w:eastAsia="he-IL"/>
        </w:rPr>
        <w:t xml:space="preserve">]. </w:t>
      </w:r>
    </w:p>
    <w:p w14:paraId="56522917" w14:textId="77777777" w:rsidR="00960BC5" w:rsidRDefault="00960BC5" w:rsidP="00960BC5">
      <w:pPr>
        <w:widowControl w:val="0"/>
        <w:spacing w:line="360" w:lineRule="auto"/>
        <w:jc w:val="both"/>
        <w:rPr>
          <w:rFonts w:ascii="David" w:hAnsi="David"/>
          <w:bCs/>
          <w:sz w:val="26"/>
          <w:szCs w:val="26"/>
        </w:rPr>
      </w:pPr>
    </w:p>
    <w:p w14:paraId="28FF3E62" w14:textId="77777777" w:rsidR="00960BC5" w:rsidRDefault="00960BC5" w:rsidP="00960BC5">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63090613" w14:textId="77777777" w:rsidR="00960BC5" w:rsidRDefault="00960BC5" w:rsidP="00960BC5">
      <w:pPr>
        <w:pStyle w:val="aa"/>
        <w:widowControl w:val="0"/>
        <w:numPr>
          <w:ilvl w:val="0"/>
          <w:numId w:val="1"/>
        </w:numPr>
        <w:spacing w:line="360" w:lineRule="auto"/>
        <w:ind w:left="360"/>
        <w:jc w:val="both"/>
        <w:rPr>
          <w:b/>
          <w:sz w:val="24"/>
        </w:rPr>
      </w:pPr>
      <w:r>
        <w:rPr>
          <w:rFonts w:hint="cs"/>
          <w:b/>
          <w:sz w:val="24"/>
          <w:rtl/>
        </w:rPr>
        <w:t>כמפורט לעיל, הנאשם הורשע בארבע עבירות המהוות ארבעה אירועים נפרדים ומשכך יקבע מתחם נפרד לכל אחד מאירועים:</w:t>
      </w:r>
    </w:p>
    <w:p w14:paraId="6C3AE3E3" w14:textId="77777777" w:rsidR="00960BC5" w:rsidRDefault="00960BC5" w:rsidP="00960BC5">
      <w:pPr>
        <w:pStyle w:val="aa"/>
        <w:widowControl w:val="0"/>
        <w:spacing w:line="360" w:lineRule="auto"/>
        <w:ind w:left="360"/>
        <w:jc w:val="both"/>
        <w:rPr>
          <w:b/>
          <w:sz w:val="24"/>
          <w:rtl/>
        </w:rPr>
      </w:pPr>
      <w:r>
        <w:rPr>
          <w:rFonts w:hint="cs"/>
          <w:b/>
          <w:sz w:val="24"/>
          <w:rtl/>
        </w:rPr>
        <w:t xml:space="preserve">באירוע הראשון – </w:t>
      </w:r>
      <w:r>
        <w:rPr>
          <w:rFonts w:hint="cs"/>
          <w:b/>
          <w:bCs/>
          <w:sz w:val="24"/>
          <w:rtl/>
        </w:rPr>
        <w:t>מתחם הנע ממאסר מותנה עד 12 חודשי מאסר בפועל,</w:t>
      </w:r>
      <w:r>
        <w:rPr>
          <w:rFonts w:hint="cs"/>
          <w:bCs/>
          <w:sz w:val="24"/>
          <w:rtl/>
        </w:rPr>
        <w:t xml:space="preserve"> לצד ענישה נלווית.</w:t>
      </w:r>
      <w:r>
        <w:rPr>
          <w:rFonts w:hint="cs"/>
          <w:b/>
          <w:sz w:val="24"/>
          <w:rtl/>
        </w:rPr>
        <w:t xml:space="preserve"> </w:t>
      </w:r>
    </w:p>
    <w:p w14:paraId="2A456544" w14:textId="77777777" w:rsidR="00960BC5" w:rsidRDefault="00960BC5" w:rsidP="00960BC5">
      <w:pPr>
        <w:pStyle w:val="aa"/>
        <w:widowControl w:val="0"/>
        <w:spacing w:line="360" w:lineRule="auto"/>
        <w:ind w:left="360"/>
        <w:jc w:val="both"/>
        <w:rPr>
          <w:b/>
          <w:sz w:val="24"/>
        </w:rPr>
      </w:pPr>
      <w:r>
        <w:rPr>
          <w:rFonts w:hint="cs"/>
          <w:b/>
          <w:sz w:val="24"/>
          <w:rtl/>
        </w:rPr>
        <w:t xml:space="preserve">באירועים השני, השלישי והרביעי – </w:t>
      </w:r>
      <w:r>
        <w:rPr>
          <w:rFonts w:hint="cs"/>
          <w:b/>
          <w:bCs/>
          <w:sz w:val="24"/>
          <w:rtl/>
        </w:rPr>
        <w:t>מתחם הנע מענישה צופה פני עתיד עד מאסר לתקופה קצרה, שניתן לרצותה בעבודות שירות</w:t>
      </w:r>
      <w:r>
        <w:rPr>
          <w:rFonts w:hint="cs"/>
          <w:bCs/>
          <w:sz w:val="24"/>
          <w:rtl/>
        </w:rPr>
        <w:t>, לצד ענישה נלווית.</w:t>
      </w:r>
      <w:r>
        <w:rPr>
          <w:rFonts w:hint="cs"/>
          <w:b/>
          <w:sz w:val="24"/>
          <w:rtl/>
        </w:rPr>
        <w:t xml:space="preserve"> </w:t>
      </w:r>
    </w:p>
    <w:p w14:paraId="434AA776" w14:textId="77777777" w:rsidR="00960BC5" w:rsidRDefault="00960BC5" w:rsidP="00960BC5">
      <w:pPr>
        <w:pStyle w:val="aa"/>
        <w:widowControl w:val="0"/>
        <w:spacing w:line="360" w:lineRule="auto"/>
        <w:ind w:left="360"/>
        <w:jc w:val="both"/>
        <w:rPr>
          <w:b/>
          <w:sz w:val="24"/>
          <w:rtl/>
        </w:rPr>
      </w:pPr>
    </w:p>
    <w:p w14:paraId="220737D4" w14:textId="77777777" w:rsidR="00960BC5" w:rsidRDefault="00960BC5" w:rsidP="00960BC5">
      <w:pPr>
        <w:widowControl w:val="0"/>
        <w:numPr>
          <w:ilvl w:val="0"/>
          <w:numId w:val="1"/>
        </w:numPr>
        <w:snapToGrid w:val="0"/>
        <w:spacing w:line="360" w:lineRule="auto"/>
        <w:ind w:left="357" w:hanging="357"/>
        <w:jc w:val="both"/>
        <w:rPr>
          <w:b/>
          <w:sz w:val="20"/>
          <w:rtl/>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בשל הפגיעה שיש בהתנהגות פרועה במקום ציבורי, גם עבירה זו מחייבת השתת עיצומים כלכליים. כשמדובר בקנס – אין דין פלוני כאלמוני, משכך ובהתאם </w:t>
      </w:r>
      <w:hyperlink r:id="rId52" w:history="1">
        <w:r w:rsidR="00C275D8" w:rsidRPr="00C275D8">
          <w:rPr>
            <w:rStyle w:val="Hyperlink"/>
            <w:sz w:val="20"/>
            <w:rtl/>
            <w:lang w:eastAsia="he-IL"/>
          </w:rPr>
          <w:t>לסעיף 40ח</w:t>
        </w:r>
      </w:hyperlink>
      <w:r>
        <w:rPr>
          <w:sz w:val="20"/>
          <w:rtl/>
          <w:lang w:eastAsia="he-IL"/>
        </w:rPr>
        <w:t xml:space="preserve"> ל-</w:t>
      </w:r>
      <w:hyperlink r:id="rId53" w:history="1">
        <w:r w:rsidR="00455A01" w:rsidRPr="00455A01">
          <w:rPr>
            <w:rFonts w:ascii="Miriam" w:hAnsi="Miriam" w:cs="Miriam"/>
            <w:b/>
            <w:bCs/>
            <w:color w:val="0000FF"/>
            <w:sz w:val="22"/>
            <w:szCs w:val="22"/>
            <w:u w:val="single"/>
            <w:rtl/>
            <w:lang w:eastAsia="he-IL"/>
          </w:rPr>
          <w:t>חוק העונשין</w:t>
        </w:r>
      </w:hyperlink>
      <w:r>
        <w:rPr>
          <w:sz w:val="20"/>
          <w:rtl/>
          <w:lang w:eastAsia="he-IL"/>
        </w:rPr>
        <w:t xml:space="preserve">, בקביעת מתחם הקנס, נתתי דעתי למצבו הכלכלי הנטען של הנאשם, אשר אף עתיד להתחתן בקרוב. לכן חלקו התחתון של המתחם יהיה מתון. אשר על כן, </w:t>
      </w:r>
      <w:r>
        <w:rPr>
          <w:b/>
          <w:bCs/>
          <w:sz w:val="20"/>
          <w:rtl/>
          <w:lang w:eastAsia="he-IL"/>
        </w:rPr>
        <w:t>מתחם הקנס הוא 1,500 ₪–10,000 ₪</w:t>
      </w:r>
      <w:r>
        <w:rPr>
          <w:sz w:val="20"/>
          <w:rtl/>
          <w:lang w:eastAsia="he-IL"/>
        </w:rPr>
        <w:t xml:space="preserve"> לכל אחת מהעבירות. </w:t>
      </w:r>
    </w:p>
    <w:p w14:paraId="09F59151" w14:textId="77777777" w:rsidR="00960BC5" w:rsidRDefault="00960BC5" w:rsidP="00960BC5">
      <w:pPr>
        <w:widowControl w:val="0"/>
        <w:snapToGrid w:val="0"/>
        <w:spacing w:line="360" w:lineRule="auto"/>
        <w:ind w:left="357"/>
        <w:jc w:val="both"/>
        <w:rPr>
          <w:b/>
          <w:sz w:val="20"/>
          <w:lang w:eastAsia="he-IL"/>
        </w:rPr>
      </w:pPr>
    </w:p>
    <w:p w14:paraId="2CD486FA" w14:textId="77777777" w:rsidR="00960BC5" w:rsidRDefault="00960BC5" w:rsidP="00960BC5">
      <w:pPr>
        <w:widowControl w:val="0"/>
        <w:numPr>
          <w:ilvl w:val="0"/>
          <w:numId w:val="1"/>
        </w:numPr>
        <w:snapToGrid w:val="0"/>
        <w:spacing w:line="360" w:lineRule="auto"/>
        <w:ind w:left="357" w:hanging="357"/>
        <w:jc w:val="both"/>
        <w:rPr>
          <w:b/>
          <w:sz w:val="20"/>
          <w:rtl/>
          <w:lang w:eastAsia="he-IL"/>
        </w:rPr>
      </w:pPr>
      <w:r>
        <w:rPr>
          <w:sz w:val="20"/>
          <w:rtl/>
          <w:lang w:eastAsia="he-IL"/>
        </w:rPr>
        <w:t xml:space="preserve">כפי שנקבע בפסיקה ובהתאם להוראות </w:t>
      </w:r>
      <w:hyperlink r:id="rId54" w:history="1">
        <w:r w:rsidR="00C275D8" w:rsidRPr="00C275D8">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סמים יש חשיבות לפסילה, כאשר </w:t>
      </w:r>
      <w:r>
        <w:rPr>
          <w:b/>
          <w:bCs/>
          <w:sz w:val="20"/>
          <w:rtl/>
          <w:lang w:eastAsia="he-IL"/>
        </w:rPr>
        <w:t>מתחם הפסילה נע בין פסילה מותנית לבין שנת פסילה בפועל</w:t>
      </w:r>
      <w:r>
        <w:rPr>
          <w:sz w:val="20"/>
          <w:rtl/>
          <w:lang w:eastAsia="he-IL"/>
        </w:rPr>
        <w:t>.</w:t>
      </w:r>
    </w:p>
    <w:p w14:paraId="704AE149" w14:textId="77777777" w:rsidR="00960BC5" w:rsidRDefault="00960BC5" w:rsidP="00960BC5">
      <w:pPr>
        <w:widowControl w:val="0"/>
        <w:spacing w:line="360" w:lineRule="auto"/>
        <w:jc w:val="both"/>
        <w:rPr>
          <w:rFonts w:ascii="David" w:hAnsi="David"/>
          <w:bCs/>
          <w:sz w:val="26"/>
          <w:szCs w:val="26"/>
          <w:rtl/>
        </w:rPr>
      </w:pPr>
    </w:p>
    <w:p w14:paraId="03B19DC4" w14:textId="77777777" w:rsidR="00960BC5" w:rsidRDefault="00960BC5" w:rsidP="00960BC5">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4FFE1F93" w14:textId="77777777" w:rsidR="00960BC5" w:rsidRDefault="00960BC5" w:rsidP="00960BC5">
      <w:pPr>
        <w:pStyle w:val="aa"/>
        <w:widowControl w:val="0"/>
        <w:numPr>
          <w:ilvl w:val="0"/>
          <w:numId w:val="1"/>
        </w:numPr>
        <w:spacing w:line="360" w:lineRule="auto"/>
        <w:ind w:left="360"/>
        <w:jc w:val="both"/>
        <w:rPr>
          <w:sz w:val="24"/>
        </w:rPr>
      </w:pPr>
      <w:r>
        <w:rPr>
          <w:rFonts w:hint="cs"/>
          <w:sz w:val="24"/>
          <w:rtl/>
        </w:rPr>
        <w:t xml:space="preserve">בהתאם להוראות </w:t>
      </w:r>
      <w:hyperlink r:id="rId55" w:history="1">
        <w:r w:rsidR="00C275D8" w:rsidRPr="00C275D8">
          <w:rPr>
            <w:rStyle w:val="Hyperlink"/>
            <w:rFonts w:hint="eastAsia"/>
            <w:sz w:val="24"/>
            <w:rtl/>
          </w:rPr>
          <w:t>סעיף</w:t>
        </w:r>
        <w:r w:rsidR="00C275D8" w:rsidRPr="00C275D8">
          <w:rPr>
            <w:rStyle w:val="Hyperlink"/>
            <w:sz w:val="24"/>
            <w:rtl/>
          </w:rPr>
          <w:t xml:space="preserve"> 40ג(ב)</w:t>
        </w:r>
      </w:hyperlink>
      <w:r>
        <w:rPr>
          <w:rFonts w:hint="cs"/>
          <w:sz w:val="24"/>
          <w:rtl/>
        </w:rPr>
        <w:t xml:space="preserve"> ל-</w:t>
      </w:r>
      <w:hyperlink r:id="rId56" w:history="1">
        <w:r w:rsidR="00455A01" w:rsidRPr="00455A01">
          <w:rPr>
            <w:rFonts w:ascii="Miriam" w:hAnsi="Miriam" w:cs="Miriam"/>
            <w:b/>
            <w:bCs/>
            <w:color w:val="0000FF"/>
            <w:szCs w:val="22"/>
            <w:u w:val="single"/>
            <w:rtl/>
          </w:rPr>
          <w:t>חוק העונשין</w:t>
        </w:r>
      </w:hyperlink>
      <w:r>
        <w:rPr>
          <w:rFonts w:hint="cs"/>
          <w:sz w:val="24"/>
          <w:rtl/>
        </w:rPr>
        <w:t xml:space="preserve">, התחשבתי בנסיבות שלא קשורות בביצוע העבירה, כמפורט </w:t>
      </w:r>
      <w:hyperlink r:id="rId57" w:history="1">
        <w:r w:rsidR="00C275D8" w:rsidRPr="00C275D8">
          <w:rPr>
            <w:rStyle w:val="Hyperlink"/>
            <w:rFonts w:hint="eastAsia"/>
            <w:sz w:val="24"/>
            <w:rtl/>
          </w:rPr>
          <w:t>בסעיף</w:t>
        </w:r>
        <w:r w:rsidR="00C275D8" w:rsidRPr="00C275D8">
          <w:rPr>
            <w:rStyle w:val="Hyperlink"/>
            <w:sz w:val="24"/>
            <w:rtl/>
          </w:rPr>
          <w:t xml:space="preserve"> 40יא</w:t>
        </w:r>
      </w:hyperlink>
      <w:r>
        <w:rPr>
          <w:rFonts w:hint="cs"/>
          <w:sz w:val="24"/>
          <w:rtl/>
        </w:rPr>
        <w:t xml:space="preserve"> ל-</w:t>
      </w:r>
      <w:r>
        <w:rPr>
          <w:rFonts w:ascii="Miriam" w:hAnsi="Miriam" w:cs="Miriam"/>
          <w:b/>
          <w:bCs/>
          <w:szCs w:val="22"/>
          <w:rtl/>
        </w:rPr>
        <w:t>חוק העונשין</w:t>
      </w:r>
      <w:r>
        <w:rPr>
          <w:rFonts w:hint="cs"/>
          <w:sz w:val="24"/>
          <w:rtl/>
        </w:rPr>
        <w:t>, כעולה מהתסקירים (1.3.21, 12.7.21, 13.7.23 ו-2.1.24), טיעוני הצדדים לעונש, מכתב המעסיק שהוגש ב-22.1.24 (</w:t>
      </w:r>
      <w:r>
        <w:rPr>
          <w:rFonts w:hint="cs"/>
          <w:b/>
          <w:bCs/>
          <w:sz w:val="24"/>
          <w:rtl/>
        </w:rPr>
        <w:t>טל/4</w:t>
      </w:r>
      <w:r>
        <w:rPr>
          <w:rFonts w:hint="cs"/>
          <w:sz w:val="24"/>
          <w:rtl/>
        </w:rPr>
        <w:t>), תלוש המשכורת (</w:t>
      </w:r>
      <w:r>
        <w:rPr>
          <w:rFonts w:hint="cs"/>
          <w:b/>
          <w:bCs/>
          <w:sz w:val="24"/>
          <w:rtl/>
        </w:rPr>
        <w:t>טל/3</w:t>
      </w:r>
      <w:r>
        <w:rPr>
          <w:rFonts w:hint="cs"/>
          <w:sz w:val="24"/>
          <w:rtl/>
        </w:rPr>
        <w:t xml:space="preserve">) ולדברי הנאשם. כמו כן נתתי משקל מסוים גם לחוות הדעת מ-12.2.23 של "שביל משותף" (להלן: </w:t>
      </w:r>
      <w:r>
        <w:rPr>
          <w:rFonts w:hint="cs"/>
          <w:b/>
          <w:bCs/>
          <w:sz w:val="24"/>
          <w:rtl/>
        </w:rPr>
        <w:t>חוות הדעת</w:t>
      </w:r>
      <w:r>
        <w:rPr>
          <w:rFonts w:hint="cs"/>
          <w:sz w:val="24"/>
          <w:rtl/>
        </w:rPr>
        <w:t>) – הכל כמפורט להלן:</w:t>
      </w:r>
    </w:p>
    <w:p w14:paraId="630E2D28" w14:textId="77777777" w:rsidR="00960BC5" w:rsidRPr="00187B2D" w:rsidRDefault="00960BC5" w:rsidP="00960BC5">
      <w:pPr>
        <w:pStyle w:val="aa"/>
        <w:widowControl w:val="0"/>
        <w:ind w:left="360"/>
        <w:jc w:val="both"/>
        <w:rPr>
          <w:szCs w:val="20"/>
          <w:rtl/>
        </w:rPr>
      </w:pPr>
    </w:p>
    <w:p w14:paraId="31E740CF" w14:textId="77777777" w:rsidR="00960BC5" w:rsidRDefault="00960BC5" w:rsidP="00960BC5">
      <w:pPr>
        <w:widowControl w:val="0"/>
        <w:numPr>
          <w:ilvl w:val="2"/>
          <w:numId w:val="1"/>
        </w:numPr>
        <w:spacing w:line="360" w:lineRule="auto"/>
        <w:ind w:left="794" w:hanging="454"/>
        <w:jc w:val="both"/>
        <w:rPr>
          <w:rFonts w:ascii="David" w:hAnsi="David"/>
        </w:rPr>
      </w:pPr>
      <w:r>
        <w:rPr>
          <w:rFonts w:ascii="David" w:hAnsi="David"/>
          <w:b/>
          <w:bCs/>
          <w:rtl/>
        </w:rPr>
        <w:t>נסיבות חייו של הנאשם שהייתה להן השפעה על ביצוע העבירות</w:t>
      </w:r>
      <w:r>
        <w:rPr>
          <w:rFonts w:ascii="David" w:hAnsi="David"/>
          <w:rtl/>
        </w:rPr>
        <w:t xml:space="preserve"> – להתרשמות שירות המבחן ועורך חוות הדעת, הנאשם גדל בצל אלימות, חוסר מוגנות, חווה תחושות דחייה, נטישה וחוסר יציבות בתחומים שונים. נסיבות חיים אלו, העזובה הרגשית והעדר דמויות אם ואב (כפי שיתואר בהמשך) הובילו לקושי לתת אמון בסיסי בגורמים שונים, לרבות גורמי ממסד, ולאימוץ תחושת קורבנות ועוינו, כמפורט להלן:</w:t>
      </w:r>
    </w:p>
    <w:p w14:paraId="0FAE008C"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 </w:t>
      </w:r>
      <w:r>
        <w:rPr>
          <w:rFonts w:ascii="David" w:hAnsi="David" w:hint="cs"/>
          <w:rtl/>
        </w:rPr>
        <w:t xml:space="preserve">הנאשם גדל בבני ברק, במשפחה חרדית והוא ה-6 מבין 9 אחים. </w:t>
      </w:r>
    </w:p>
    <w:p w14:paraId="2157A8F1"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הנאשם גדל</w:t>
      </w:r>
      <w:r>
        <w:rPr>
          <w:rFonts w:ascii="David" w:hAnsi="David"/>
        </w:rPr>
        <w:t xml:space="preserve"> </w:t>
      </w:r>
      <w:r>
        <w:rPr>
          <w:rFonts w:ascii="David" w:hAnsi="David"/>
          <w:rtl/>
        </w:rPr>
        <w:t>ללא</w:t>
      </w:r>
      <w:r>
        <w:rPr>
          <w:rFonts w:ascii="David" w:hAnsi="David"/>
        </w:rPr>
        <w:t xml:space="preserve"> </w:t>
      </w:r>
      <w:r>
        <w:rPr>
          <w:rFonts w:ascii="David" w:hAnsi="David"/>
          <w:rtl/>
        </w:rPr>
        <w:t>התחושות</w:t>
      </w:r>
      <w:r>
        <w:rPr>
          <w:rFonts w:ascii="David" w:hAnsi="David"/>
        </w:rPr>
        <w:t xml:space="preserve"> </w:t>
      </w:r>
      <w:r>
        <w:rPr>
          <w:rFonts w:ascii="David" w:hAnsi="David"/>
          <w:rtl/>
        </w:rPr>
        <w:t>חום ואהבה מצד הוריו</w:t>
      </w:r>
      <w:r>
        <w:rPr>
          <w:rFonts w:ascii="David" w:hAnsi="David"/>
        </w:rPr>
        <w:t xml:space="preserve"> </w:t>
      </w:r>
      <w:r>
        <w:rPr>
          <w:rFonts w:ascii="David" w:hAnsi="David"/>
          <w:rtl/>
        </w:rPr>
        <w:t>האב נעדר מהבית לתקופות ארוכות לצורכי פרנסה.</w:t>
      </w:r>
    </w:p>
    <w:p w14:paraId="3AF8F43A"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בהיותו כבן כ-11 הוריו התגרשו והנאשם עבר להתגורר עם אביו באשדוד. </w:t>
      </w:r>
    </w:p>
    <w:p w14:paraId="7BBE2444"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זמן קצר לאחר מכן החל האב לרצות מאסר ארוך. </w:t>
      </w:r>
    </w:p>
    <w:p w14:paraId="488244AE"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בעקבות זאת, הנאשם גר ברחוב במשך כשנתיים, על רקע סירובו לגור עם אמו, אשר במהלך ילדותו נהגה באלימות פיזית ורגשית כלפי בני המשפחה. </w:t>
      </w:r>
    </w:p>
    <w:p w14:paraId="4891AA57"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הנאשם נעדר גורמי תמיכה וגורמי רווחה ולא קיבל סיוע ועזרה גורמים ממסדיים. </w:t>
      </w:r>
    </w:p>
    <w:p w14:paraId="1740B15C"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כיום הקשר עם האב מתנהל לסירוגין ומזה כ-16 שנים אין לו קשר עם האם. שם אדוני שם קשר דל עם 3 מאחיו ועם האחרים אין לו כל קשר.</w:t>
      </w:r>
    </w:p>
    <w:p w14:paraId="27E0E386"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בילדותו המוקדמת סבל מבעיה בכליות בגינה אושפז במשך 3 שנים לפרקים בבית חולים. מגיל צעיר, בבית הספר היסודי, אופיין הנאשם עם בעיות התנהגות, אשר באו לידי ביטוי בקשיי למידה לצד קשיי התנהגות. טופל ברטלין וקונצרטה על רקע הפרעת קשב וריכוז וברספרל לויסות התנהגותי. לפרקים שולב במסגרות שונות, לרבות מסגרת פנימייה, מהן נשר לאחר תקופה קצרה.</w:t>
      </w:r>
    </w:p>
    <w:p w14:paraId="798561FE"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בגיל 14 החל לעבוד בחנות דגים ובמהלך השנים עבד מקומות עבודה שונים כשעיקר תחום עיסוקו הוא בתחום הדגים.</w:t>
      </w:r>
    </w:p>
    <w:p w14:paraId="0D0D5712"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בגיל 15 איים באובדנות – עלה לגג בניין באשדוד ואיים לקפוץ. </w:t>
      </w:r>
    </w:p>
    <w:p w14:paraId="53D20283"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לאורך השנים עבר מספר מקומות מגורים, אולם מזה כ-5 שנים מתגורר באשדוד בדירה שכורה ועובד דרך קבע כמנהל עבודה בחנות לממכר דגים.</w:t>
      </w:r>
    </w:p>
    <w:p w14:paraId="3AB7458A"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 xml:space="preserve">קיבל פטור משירות צבאי על רקע צרכי פרנסה. </w:t>
      </w:r>
    </w:p>
    <w:p w14:paraId="23F392D4" w14:textId="77777777" w:rsidR="00960BC5" w:rsidRDefault="00960BC5" w:rsidP="00960BC5">
      <w:pPr>
        <w:pStyle w:val="aa"/>
        <w:widowControl w:val="0"/>
        <w:rPr>
          <w:b/>
          <w:bCs/>
        </w:rPr>
      </w:pPr>
    </w:p>
    <w:p w14:paraId="5254A4BC" w14:textId="77777777" w:rsidR="00960BC5" w:rsidRDefault="00960BC5" w:rsidP="00960BC5">
      <w:pPr>
        <w:widowControl w:val="0"/>
        <w:numPr>
          <w:ilvl w:val="2"/>
          <w:numId w:val="1"/>
        </w:numPr>
        <w:spacing w:line="360" w:lineRule="auto"/>
        <w:ind w:left="794" w:hanging="454"/>
        <w:jc w:val="both"/>
        <w:rPr>
          <w:rFonts w:ascii="David" w:hAnsi="David"/>
          <w:b/>
          <w:bCs/>
        </w:rPr>
      </w:pPr>
      <w:r>
        <w:rPr>
          <w:rFonts w:ascii="David" w:hAnsi="David"/>
          <w:b/>
          <w:bCs/>
          <w:rtl/>
        </w:rPr>
        <w:t>נטילת אחריות</w:t>
      </w:r>
      <w:r>
        <w:rPr>
          <w:rFonts w:ascii="David" w:hAnsi="David"/>
          <w:rtl/>
        </w:rPr>
        <w:t xml:space="preserve"> – הנאשם הודה בביצוע העבירות הן בבית המשפט, הן בפני שירות המבחן והן בפני עורך חוות הדעת. לדבריו בגיל 23 התנסה לראשונה, במסגרת חברתית, בקנבוס. באופן הדרגתי החל לצרוך את הסם באופן יומיומי, משום שלדבריו השימוש בקנבוס מסייע לתחושת רוגע ושלווה ומקל על כאבי הגב מהם סובל. מטעמים אלו פעל לקבלת רישיון רפואי. במצב דברים זה שלל הנאשם נזקקות טיפולית בתחום ההתמכרות. לגבי ההתנהגות הפרועה במקום ציבורי, תיאורו של הנאשם את ביצוע העבירה שונה אמנם מהעובדות בהן הודה בכתב האישום המתוקן, אולם למעשה הנאשם הודה בפני שירות המבחן בביצוע עבירה חמורה מזו שהורשע בה, על רקע תחושתו כי הגן על הקטין אותו המתלונן תקף. </w:t>
      </w:r>
    </w:p>
    <w:p w14:paraId="14409259" w14:textId="77777777" w:rsidR="00960BC5" w:rsidRDefault="00960BC5" w:rsidP="00960BC5">
      <w:pPr>
        <w:pStyle w:val="aa"/>
        <w:rPr>
          <w:b/>
          <w:bCs/>
        </w:rPr>
      </w:pPr>
    </w:p>
    <w:p w14:paraId="0C3B0FD7" w14:textId="77777777" w:rsidR="00960BC5" w:rsidRDefault="00960BC5" w:rsidP="00960BC5">
      <w:pPr>
        <w:widowControl w:val="0"/>
        <w:numPr>
          <w:ilvl w:val="2"/>
          <w:numId w:val="1"/>
        </w:numPr>
        <w:spacing w:line="360" w:lineRule="auto"/>
        <w:ind w:left="794" w:hanging="454"/>
        <w:jc w:val="both"/>
        <w:rPr>
          <w:rFonts w:ascii="David" w:hAnsi="David"/>
          <w:rtl/>
        </w:rPr>
      </w:pPr>
      <w:r>
        <w:rPr>
          <w:rFonts w:ascii="David" w:hAnsi="David"/>
          <w:b/>
          <w:bCs/>
          <w:rtl/>
        </w:rPr>
        <w:t>מאמצי הנאשם לחזור למוטב</w:t>
      </w:r>
      <w:r>
        <w:rPr>
          <w:rFonts w:ascii="David" w:hAnsi="David"/>
          <w:rtl/>
        </w:rPr>
        <w:t xml:space="preserve"> – מתסקירי שירות המבחן, דברי הנאשם, חוות הדעת ומכתב המעסיק עולה כי הנאשם עושה מאמצים רבים לחזור למוטב ולקיים אורח חיים מטיב ויצרני, כמפורט להלן:</w:t>
      </w:r>
    </w:p>
    <w:p w14:paraId="50DB64BA" w14:textId="77777777" w:rsidR="00960BC5" w:rsidRDefault="00960BC5" w:rsidP="00960BC5">
      <w:pPr>
        <w:pStyle w:val="aa"/>
        <w:rPr>
          <w:sz w:val="18"/>
          <w:szCs w:val="20"/>
        </w:rPr>
      </w:pPr>
    </w:p>
    <w:p w14:paraId="0BB40133" w14:textId="77777777" w:rsidR="00960BC5" w:rsidRDefault="00960BC5" w:rsidP="00960BC5">
      <w:pPr>
        <w:widowControl w:val="0"/>
        <w:numPr>
          <w:ilvl w:val="3"/>
          <w:numId w:val="1"/>
        </w:numPr>
        <w:spacing w:line="360" w:lineRule="auto"/>
        <w:ind w:left="1154"/>
        <w:jc w:val="both"/>
        <w:rPr>
          <w:rFonts w:ascii="David" w:hAnsi="David"/>
          <w:rtl/>
        </w:rPr>
      </w:pPr>
      <w:r>
        <w:rPr>
          <w:rFonts w:ascii="David" w:hAnsi="David"/>
          <w:rtl/>
        </w:rPr>
        <w:t>כעולה מתסקירי שירות המבחן, לא נרשמו לחובת הנאשם עבירות בשנים האחרונות והנאשם הביע מוטיבציה לניהול אורח חיים יצרני ויציב. מזה כ-5 שנים מתגורר בדירה שכורה, מתעתד להנשא לזוגתו (כעולה מ-</w:t>
      </w:r>
      <w:r>
        <w:rPr>
          <w:rFonts w:ascii="David" w:hAnsi="David"/>
          <w:b/>
          <w:bCs/>
          <w:rtl/>
        </w:rPr>
        <w:t>טל/5</w:t>
      </w:r>
      <w:r>
        <w:rPr>
          <w:rFonts w:ascii="David" w:hAnsi="David"/>
          <w:rtl/>
        </w:rPr>
        <w:t xml:space="preserve">) ועובד כמנהל חנות דגים לשביעות רצון מעסיקו. </w:t>
      </w:r>
    </w:p>
    <w:p w14:paraId="139EBBE6" w14:textId="77777777" w:rsidR="00960BC5" w:rsidRDefault="00960BC5" w:rsidP="00960BC5">
      <w:pPr>
        <w:widowControl w:val="0"/>
        <w:ind w:left="1154"/>
        <w:jc w:val="both"/>
        <w:rPr>
          <w:rFonts w:ascii="David" w:hAnsi="David"/>
          <w:sz w:val="20"/>
          <w:szCs w:val="20"/>
        </w:rPr>
      </w:pPr>
    </w:p>
    <w:p w14:paraId="4B9B2D23"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ממכתב המעסיק (</w:t>
      </w:r>
      <w:r>
        <w:rPr>
          <w:rFonts w:ascii="David" w:hAnsi="David"/>
          <w:b/>
          <w:bCs/>
          <w:rtl/>
        </w:rPr>
        <w:t>טל/4</w:t>
      </w:r>
      <w:r>
        <w:rPr>
          <w:rFonts w:ascii="David" w:hAnsi="David"/>
          <w:rtl/>
        </w:rPr>
        <w:t>) עולה כי הנאשם עובד מסור ומצטיין. מנהל הלכה למעשה את העסק, מנהל עובדים ומזמין סחורות. התפקוד של הנאשם בעסק הוא "</w:t>
      </w:r>
      <w:r>
        <w:rPr>
          <w:rFonts w:ascii="David" w:hAnsi="David"/>
          <w:b/>
          <w:bCs/>
          <w:rtl/>
        </w:rPr>
        <w:t>ברמה הגבוהה ביותר</w:t>
      </w:r>
      <w:r>
        <w:rPr>
          <w:rFonts w:ascii="David" w:hAnsi="David"/>
          <w:rtl/>
        </w:rPr>
        <w:t>". הנאשם מתנהג בכבוד ובנימוס. המעסיק ציין כי הוא מודע לתיקים הפליליים, אך יחד עם זאת מאז עשה נאשם "</w:t>
      </w:r>
      <w:r>
        <w:rPr>
          <w:rFonts w:ascii="David" w:hAnsi="David"/>
          <w:b/>
          <w:bCs/>
          <w:rtl/>
        </w:rPr>
        <w:t>דרך מדהימה</w:t>
      </w:r>
      <w:r>
        <w:rPr>
          <w:rFonts w:ascii="David" w:hAnsi="David"/>
          <w:rtl/>
        </w:rPr>
        <w:t>" וכיום "</w:t>
      </w:r>
      <w:r>
        <w:rPr>
          <w:rFonts w:ascii="David" w:hAnsi="David"/>
          <w:b/>
          <w:bCs/>
          <w:rtl/>
        </w:rPr>
        <w:t>הוא אדם אחר</w:t>
      </w:r>
      <w:r>
        <w:rPr>
          <w:rFonts w:ascii="David" w:hAnsi="David"/>
          <w:rtl/>
        </w:rPr>
        <w:t xml:space="preserve">". המעסיק פנה בבקשה בבית המשפט להקל עם הנאשם ככל הניתן. </w:t>
      </w:r>
    </w:p>
    <w:p w14:paraId="1B1F759A" w14:textId="77777777" w:rsidR="00960BC5" w:rsidRDefault="00960BC5" w:rsidP="00960BC5">
      <w:pPr>
        <w:pStyle w:val="aa"/>
        <w:rPr>
          <w:sz w:val="18"/>
          <w:szCs w:val="20"/>
        </w:rPr>
      </w:pPr>
    </w:p>
    <w:p w14:paraId="20EF5F47" w14:textId="77777777" w:rsidR="00960BC5" w:rsidRDefault="00960BC5" w:rsidP="00960BC5">
      <w:pPr>
        <w:widowControl w:val="0"/>
        <w:numPr>
          <w:ilvl w:val="3"/>
          <w:numId w:val="1"/>
        </w:numPr>
        <w:spacing w:line="360" w:lineRule="auto"/>
        <w:ind w:left="1154"/>
        <w:jc w:val="both"/>
        <w:rPr>
          <w:rFonts w:ascii="David" w:hAnsi="David"/>
          <w:rtl/>
        </w:rPr>
      </w:pPr>
      <w:r>
        <w:rPr>
          <w:rFonts w:ascii="David" w:hAnsi="David"/>
          <w:rtl/>
        </w:rPr>
        <w:t>מחוות הדעת של מר סמי גבאי, קרימינולוג שיקומי, עלה כי הנאשם מבין את חשיבות ההליך הטיפולי, מוכן לקחת חלק בטיפול מתמשך ולהמשיך בשינוי החיובי אותו החל.</w:t>
      </w:r>
    </w:p>
    <w:p w14:paraId="1A26E177" w14:textId="77777777" w:rsidR="00960BC5" w:rsidRDefault="00960BC5" w:rsidP="00960BC5">
      <w:pPr>
        <w:pStyle w:val="aa"/>
        <w:rPr>
          <w:sz w:val="18"/>
          <w:szCs w:val="20"/>
        </w:rPr>
      </w:pPr>
    </w:p>
    <w:p w14:paraId="60A44E52" w14:textId="77777777" w:rsidR="00960BC5" w:rsidRDefault="00960BC5" w:rsidP="00960BC5">
      <w:pPr>
        <w:widowControl w:val="0"/>
        <w:numPr>
          <w:ilvl w:val="3"/>
          <w:numId w:val="1"/>
        </w:numPr>
        <w:spacing w:line="360" w:lineRule="auto"/>
        <w:ind w:left="1154"/>
        <w:jc w:val="both"/>
        <w:rPr>
          <w:rFonts w:ascii="David" w:hAnsi="David"/>
          <w:rtl/>
        </w:rPr>
      </w:pPr>
      <w:r>
        <w:rPr>
          <w:rFonts w:ascii="David" w:hAnsi="David"/>
          <w:rtl/>
        </w:rPr>
        <w:t xml:space="preserve">הנאשם אמנם לא שיתף פעולה עם קצינת המבחן, כעולה מהתסקירים מיום 13.7.23 ו-2.1.24, אולם התמיד בטיפול אצל הקרימינולוג השיקומי, כעולה מחוות הדעת ומדברי הנאשם בבית המשפט. </w:t>
      </w:r>
    </w:p>
    <w:p w14:paraId="1A5D938E" w14:textId="77777777" w:rsidR="00960BC5" w:rsidRDefault="00960BC5" w:rsidP="00960BC5">
      <w:pPr>
        <w:pStyle w:val="aa"/>
        <w:rPr>
          <w:sz w:val="18"/>
          <w:szCs w:val="20"/>
        </w:rPr>
      </w:pPr>
    </w:p>
    <w:p w14:paraId="12F27A6B" w14:textId="77777777" w:rsidR="00960BC5" w:rsidRDefault="00960BC5" w:rsidP="00960BC5">
      <w:pPr>
        <w:widowControl w:val="0"/>
        <w:numPr>
          <w:ilvl w:val="3"/>
          <w:numId w:val="1"/>
        </w:numPr>
        <w:spacing w:line="360" w:lineRule="auto"/>
        <w:ind w:left="1154"/>
        <w:jc w:val="both"/>
        <w:rPr>
          <w:rFonts w:ascii="David" w:hAnsi="David"/>
          <w:rtl/>
        </w:rPr>
      </w:pPr>
      <w:r>
        <w:rPr>
          <w:rFonts w:ascii="David" w:hAnsi="David"/>
          <w:rtl/>
        </w:rPr>
        <w:t>בדבריו לעונש הביע הנאשם חרטה על מעשיו בעבר וכמיהה לאפשרות לפתוח דף חדש בחייו. בשל חשיבותם, להלן חלק מהדברים שאמר בדיון ביום 2.4.23:</w:t>
      </w:r>
    </w:p>
    <w:p w14:paraId="7B4F0773" w14:textId="77777777" w:rsidR="00960BC5" w:rsidRDefault="00960BC5" w:rsidP="00960BC5">
      <w:pPr>
        <w:ind w:left="1440" w:right="1418"/>
        <w:jc w:val="both"/>
        <w:rPr>
          <w:sz w:val="20"/>
          <w:szCs w:val="20"/>
        </w:rPr>
      </w:pPr>
    </w:p>
    <w:p w14:paraId="21DDC9E7" w14:textId="77777777" w:rsidR="00960BC5" w:rsidRDefault="00960BC5" w:rsidP="00960BC5">
      <w:pPr>
        <w:ind w:left="1440" w:right="1418"/>
        <w:jc w:val="both"/>
        <w:rPr>
          <w:rtl/>
        </w:rPr>
      </w:pPr>
      <w:r>
        <w:rPr>
          <w:rtl/>
        </w:rPr>
        <w:t>"</w:t>
      </w:r>
      <w:r>
        <w:rPr>
          <w:b/>
          <w:bCs/>
          <w:rtl/>
        </w:rPr>
        <w:t>אני מת שבית משפט יתן לי הזדמנות</w:t>
      </w:r>
      <w:r>
        <w:rPr>
          <w:rtl/>
        </w:rPr>
        <w:t xml:space="preserve">... </w:t>
      </w:r>
      <w:r>
        <w:rPr>
          <w:b/>
          <w:bCs/>
          <w:rtl/>
        </w:rPr>
        <w:t>היום אני במקום אחר, אני רוצה להוכיח לבית משפט</w:t>
      </w:r>
      <w:r>
        <w:rPr>
          <w:rtl/>
        </w:rPr>
        <w:t xml:space="preserve">. </w:t>
      </w:r>
      <w:r>
        <w:rPr>
          <w:b/>
          <w:bCs/>
          <w:rtl/>
        </w:rPr>
        <w:t>אם בית משפט יסתכל על התיקים שהייתי מסתובב ב-03:00 בחוץ, היום ב-22:00 אני במיטה. הייתי חתול רחוב. היום אני בית–עבודה. שיניתי פאזה. אני לא חי כפי שהייתי חי ועשיתי שינוי גדול מאוד. לעצמי. לא לבית משפט</w:t>
      </w:r>
      <w:r>
        <w:rPr>
          <w:rtl/>
        </w:rPr>
        <w:t>...</w:t>
      </w:r>
    </w:p>
    <w:p w14:paraId="549777F6" w14:textId="77777777" w:rsidR="00960BC5" w:rsidRDefault="00960BC5" w:rsidP="00960BC5">
      <w:pPr>
        <w:ind w:left="1440" w:right="1418"/>
        <w:jc w:val="both"/>
        <w:rPr>
          <w:b/>
          <w:bCs/>
          <w:rtl/>
        </w:rPr>
      </w:pPr>
      <w:r>
        <w:rPr>
          <w:b/>
          <w:bCs/>
          <w:rtl/>
        </w:rPr>
        <w:t>אני מאוד עסוק בעבודה</w:t>
      </w:r>
      <w:r>
        <w:rPr>
          <w:rtl/>
        </w:rPr>
        <w:t xml:space="preserve">,... </w:t>
      </w:r>
      <w:r>
        <w:rPr>
          <w:b/>
          <w:bCs/>
          <w:rtl/>
        </w:rPr>
        <w:t>העבודה מאוד חשובה לי</w:t>
      </w:r>
      <w:r>
        <w:rPr>
          <w:rtl/>
        </w:rPr>
        <w:t>...</w:t>
      </w:r>
    </w:p>
    <w:p w14:paraId="51E1F86D" w14:textId="77777777" w:rsidR="00960BC5" w:rsidRDefault="00960BC5" w:rsidP="00960BC5">
      <w:pPr>
        <w:ind w:left="1440" w:right="1418"/>
        <w:jc w:val="both"/>
        <w:rPr>
          <w:b/>
          <w:bCs/>
          <w:rtl/>
        </w:rPr>
      </w:pPr>
      <w:r>
        <w:rPr>
          <w:b/>
          <w:bCs/>
          <w:rtl/>
        </w:rPr>
        <w:t>היום בעבודה אני מנהל את העבודה ואם אני לא נמצא, העסק לא יפעל</w:t>
      </w:r>
      <w:r>
        <w:rPr>
          <w:rtl/>
        </w:rPr>
        <w:t xml:space="preserve">... </w:t>
      </w:r>
      <w:r>
        <w:rPr>
          <w:b/>
          <w:bCs/>
          <w:rtl/>
        </w:rPr>
        <w:t xml:space="preserve">אם אני חוזר היום למערכת כזו, איך אני אפתח עסק? איך אקח משכנתא? להיעצר זה ללכת 4 שנים אחורה. אני היום לעצמי, למדתי לחשוב לפני שאני עושה. פעם היו אומרים לי לבוא, אני בא. שניתי את עצמי מקצה לקצה. אני כן יכול להגיד אני מעשן ירוק, זה מרגיע אותי, זה תרופה עבורי. אני לא סוחר בסמים, לא שווה לי, אני יודע מה זה העבר הזה. איפה שאני גר יש ביוב ואני גם בביוב שומר על עצמי. אם הייתי רוצה הייתי עבריין גדול ואני בוחר לא להיות בעולם הזה. היום אני בוגר, ההתבגרות שלי הגיעה מאוחר. הייתי טיפש. </w:t>
      </w:r>
    </w:p>
    <w:p w14:paraId="65044231" w14:textId="77777777" w:rsidR="00960BC5" w:rsidRDefault="00960BC5" w:rsidP="00960BC5">
      <w:pPr>
        <w:ind w:left="1440" w:right="1418"/>
        <w:jc w:val="both"/>
        <w:rPr>
          <w:rtl/>
        </w:rPr>
      </w:pPr>
      <w:r>
        <w:rPr>
          <w:b/>
          <w:bCs/>
          <w:rtl/>
        </w:rPr>
        <w:t>יש לי בעיה, העבודה היא מקום בשבילי תמיד. אם אלך למאסר זה יפגע בי מאוד. אם היתי יודע שזה מעמיד אותי בסיכון, כזה, אני צריך שבית משפט יתן לי את הצ'אנס הזה. אני מאמין שלעצמי, אני רואה את השינוי שעשיתי לעצמי</w:t>
      </w:r>
      <w:r>
        <w:rPr>
          <w:rtl/>
        </w:rPr>
        <w:t xml:space="preserve">... </w:t>
      </w:r>
    </w:p>
    <w:p w14:paraId="6F6C2E69" w14:textId="77777777" w:rsidR="00960BC5" w:rsidRDefault="00960BC5" w:rsidP="00960BC5">
      <w:pPr>
        <w:ind w:left="1440" w:right="1418"/>
        <w:jc w:val="both"/>
        <w:rPr>
          <w:rtl/>
        </w:rPr>
      </w:pPr>
      <w:r>
        <w:rPr>
          <w:b/>
          <w:bCs/>
          <w:rtl/>
        </w:rPr>
        <w:t>תאמיני לי, היום בפשע אפשר לעשות ככה כסף והידיים שלי יראו כמו של בחורה (מציג את הידיים). אני לא בוחר בזה. זה תעודת הזהות שלי, הידיים שלי</w:t>
      </w:r>
      <w:r>
        <w:rPr>
          <w:rtl/>
        </w:rPr>
        <w:t xml:space="preserve">". </w:t>
      </w:r>
    </w:p>
    <w:p w14:paraId="243D5F78" w14:textId="77777777" w:rsidR="00960BC5" w:rsidRDefault="00960BC5" w:rsidP="00960BC5">
      <w:pPr>
        <w:pStyle w:val="aa"/>
        <w:rPr>
          <w:b/>
          <w:bCs/>
          <w:sz w:val="28"/>
          <w:szCs w:val="32"/>
        </w:rPr>
      </w:pPr>
    </w:p>
    <w:p w14:paraId="618432AB" w14:textId="77777777" w:rsidR="00960BC5" w:rsidRDefault="00960BC5" w:rsidP="00960BC5">
      <w:pPr>
        <w:widowControl w:val="0"/>
        <w:numPr>
          <w:ilvl w:val="2"/>
          <w:numId w:val="1"/>
        </w:numPr>
        <w:spacing w:line="360" w:lineRule="auto"/>
        <w:ind w:left="794" w:hanging="454"/>
        <w:jc w:val="both"/>
        <w:rPr>
          <w:rFonts w:ascii="David" w:hAnsi="David"/>
          <w:rtl/>
        </w:rPr>
      </w:pPr>
      <w:r>
        <w:rPr>
          <w:rFonts w:ascii="David" w:hAnsi="David"/>
          <w:b/>
          <w:bCs/>
          <w:rtl/>
        </w:rPr>
        <w:t>הפגיעה של העונש בנאשם, לרבות בשל גילו, ובמשפחתו</w:t>
      </w:r>
      <w:r>
        <w:rPr>
          <w:rFonts w:ascii="David" w:hAnsi="David"/>
          <w:rtl/>
        </w:rPr>
        <w:t xml:space="preserve"> – הנאשם כבן 30, מתגורר בדירה שכורה באשדוד עם ארוסתו ועובד כמנהל עבודה בחנות דגים. נוכח נסיבות חייו המורכבות, בהעדר מעטפת משפחתית תומכת, הפגיעה של עונש מאסר בנאשם משמעותית יותר מאשר לנאשמים אחרים וכך גם הפגיעה בארוסתו. כך כי אם יושת על הנאשם עונש מאסר ולו בעבודות שירות – יאבד את הנאשם את כל הישגיו השיקומיים ואת מטה לחמו, כמפורט להלן:</w:t>
      </w:r>
    </w:p>
    <w:p w14:paraId="2798AD2E" w14:textId="77777777" w:rsidR="00960BC5" w:rsidRDefault="00960BC5" w:rsidP="00960BC5">
      <w:pPr>
        <w:widowControl w:val="0"/>
        <w:ind w:left="1154"/>
        <w:jc w:val="both"/>
        <w:rPr>
          <w:rFonts w:ascii="David" w:hAnsi="David"/>
          <w:sz w:val="20"/>
          <w:szCs w:val="20"/>
        </w:rPr>
      </w:pPr>
    </w:p>
    <w:p w14:paraId="27387622"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שירות המבחן התרשם כי הנאשם עורך מאמצים משמעותיים לחזור למוטב וכי השמתו במאסר תוביל לרגרסיה במצבו.</w:t>
      </w:r>
    </w:p>
    <w:p w14:paraId="3C18C793" w14:textId="77777777" w:rsidR="00960BC5" w:rsidRDefault="00960BC5" w:rsidP="00960BC5">
      <w:pPr>
        <w:widowControl w:val="0"/>
        <w:ind w:left="1154"/>
        <w:jc w:val="both"/>
        <w:rPr>
          <w:rFonts w:ascii="David" w:hAnsi="David"/>
          <w:sz w:val="20"/>
          <w:szCs w:val="20"/>
        </w:rPr>
      </w:pPr>
    </w:p>
    <w:p w14:paraId="1DAD2859"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ממכתב המעסיק (</w:t>
      </w:r>
      <w:r>
        <w:rPr>
          <w:rFonts w:ascii="David" w:hAnsi="David"/>
          <w:b/>
          <w:bCs/>
          <w:rtl/>
        </w:rPr>
        <w:t>טל/4</w:t>
      </w:r>
      <w:r>
        <w:rPr>
          <w:rFonts w:ascii="David" w:hAnsi="David"/>
          <w:rtl/>
        </w:rPr>
        <w:t>) עולה, כי אם יוטל על הנאשם עונש של מאסר הדבר יקשה על המשך העסקתו, שכן העבודה נעשית מהבוקר עד הערב. ככל שיושת על הנאשם מאסר, אף בעבודות שירות, יאלץ להעסיק עובד אחר במקומו. המעסיק ביקש לעשות ככל הניתן כדי להקל על הנאשם על מנת לאפשר לו להמשיך לעבוד בעסק גם בעתיד.</w:t>
      </w:r>
    </w:p>
    <w:p w14:paraId="16F19EEC" w14:textId="77777777" w:rsidR="00960BC5" w:rsidRDefault="00960BC5" w:rsidP="00960BC5">
      <w:pPr>
        <w:widowControl w:val="0"/>
        <w:ind w:left="1154"/>
        <w:jc w:val="both"/>
        <w:rPr>
          <w:rFonts w:ascii="David" w:hAnsi="David"/>
          <w:sz w:val="20"/>
          <w:szCs w:val="20"/>
        </w:rPr>
      </w:pPr>
    </w:p>
    <w:p w14:paraId="4E6A8D3D" w14:textId="77777777" w:rsidR="00960BC5" w:rsidRDefault="00960BC5" w:rsidP="00960BC5">
      <w:pPr>
        <w:widowControl w:val="0"/>
        <w:numPr>
          <w:ilvl w:val="3"/>
          <w:numId w:val="1"/>
        </w:numPr>
        <w:spacing w:line="360" w:lineRule="auto"/>
        <w:ind w:left="1154"/>
        <w:jc w:val="both"/>
        <w:rPr>
          <w:rFonts w:ascii="David" w:hAnsi="David"/>
        </w:rPr>
      </w:pPr>
      <w:r>
        <w:rPr>
          <w:rFonts w:ascii="David" w:hAnsi="David"/>
          <w:rtl/>
        </w:rPr>
        <w:t>בדבריו לעונש ביום 22.1.24 דיבר הנאשם בהתרגשות רבה ואמר את הדברים הבאים:</w:t>
      </w:r>
    </w:p>
    <w:p w14:paraId="68B93E44" w14:textId="77777777" w:rsidR="00960BC5" w:rsidRDefault="00960BC5" w:rsidP="00960BC5">
      <w:pPr>
        <w:widowControl w:val="0"/>
        <w:ind w:left="794"/>
        <w:jc w:val="both"/>
        <w:rPr>
          <w:rFonts w:ascii="David" w:hAnsi="David"/>
          <w:sz w:val="20"/>
          <w:szCs w:val="20"/>
        </w:rPr>
      </w:pPr>
    </w:p>
    <w:p w14:paraId="2596A021" w14:textId="77777777" w:rsidR="00960BC5" w:rsidRDefault="00960BC5" w:rsidP="00960BC5">
      <w:pPr>
        <w:ind w:left="1440" w:right="1418"/>
        <w:jc w:val="both"/>
        <w:rPr>
          <w:rtl/>
        </w:rPr>
      </w:pPr>
      <w:r>
        <w:rPr>
          <w:rtl/>
        </w:rPr>
        <w:t>"</w:t>
      </w:r>
      <w:r>
        <w:rPr>
          <w:b/>
          <w:bCs/>
          <w:rtl/>
        </w:rPr>
        <w:t>באמת אני מבקש מבימ"ש שייתן לי את ההזדמנות הזאת, היא מאוד חשובה לי, היום אני נמצא בשיא שלי ואני לא מחפש לרדת למטה אני רק בעלייה. היום באמת לקבל גזר דין מבימ"ש בעבודות שירות או קבוצה מסוימת זה יפגע לי בעבודה. אני נלחם בכל דבר, אני משלם חובות ואין לי תמיכה. לבוא ולהיות משענת</w:t>
      </w:r>
      <w:r>
        <w:rPr>
          <w:rtl/>
        </w:rPr>
        <w:t xml:space="preserve">.. </w:t>
      </w:r>
      <w:r>
        <w:rPr>
          <w:b/>
          <w:bCs/>
          <w:rtl/>
        </w:rPr>
        <w:t>להיות חמש שעות במקום טיפולי זה אוטומטית הורס לי את מקום העבודה. אני הכל חי לבד אני נלחם יום יום כדי לחיות, אני לא מחפש להיות עברין חינכו אותי בבית להיות בן אדם טוב אבל נאלצתי לגור ברחוב שלוש שנים. לא הייתה לי אמא בתור ילד שתגיד לי זה טוב זה לא טוב. אנשים ניצלו אותי ואת המסכנות שלי. הייתי בטראומה ובן אדם היה מנצל אותי ואני הייתי חושב שאני ב</w:t>
      </w:r>
      <w:r>
        <w:rPr>
          <w:rtl/>
        </w:rPr>
        <w:t>'</w:t>
      </w:r>
      <w:r>
        <w:rPr>
          <w:b/>
          <w:bCs/>
          <w:rtl/>
        </w:rPr>
        <w:t>חברה</w:t>
      </w:r>
      <w:r>
        <w:rPr>
          <w:rtl/>
        </w:rPr>
        <w:t xml:space="preserve">'. </w:t>
      </w:r>
      <w:r>
        <w:rPr>
          <w:b/>
          <w:bCs/>
          <w:rtl/>
        </w:rPr>
        <w:t>עשו לי דברים שאני</w:t>
      </w:r>
      <w:r>
        <w:rPr>
          <w:rtl/>
        </w:rPr>
        <w:t xml:space="preserve">... </w:t>
      </w:r>
      <w:r>
        <w:rPr>
          <w:b/>
          <w:bCs/>
          <w:rtl/>
        </w:rPr>
        <w:t>יש עוד תיקים שהיו לי בחיים בגלל אנשים שהייתי איתם בסביבה. היום אחרי שלמדתי את המכות האלה ולבוא היום לבית משפט זה מאוד קשה לי. זה עושה לי טראומה שאני רואה דברים – לברוח. אם פעם הייתי מסתובב עם חברים אני השתניתי 360 מעלות, אני היום בית, עבודה, אני שיניתי את עצמי</w:t>
      </w:r>
      <w:r>
        <w:rPr>
          <w:rtl/>
        </w:rPr>
        <w:t xml:space="preserve">. </w:t>
      </w:r>
    </w:p>
    <w:p w14:paraId="1E89DB45" w14:textId="77777777" w:rsidR="00960BC5" w:rsidRDefault="00960BC5" w:rsidP="00960BC5">
      <w:pPr>
        <w:ind w:left="1440" w:right="1418"/>
        <w:jc w:val="both"/>
        <w:rPr>
          <w:b/>
          <w:bCs/>
        </w:rPr>
      </w:pPr>
      <w:r>
        <w:rPr>
          <w:b/>
          <w:bCs/>
          <w:rtl/>
        </w:rPr>
        <w:t>למדתי על הבשר שלי מכות. גם לבוא לבימ"ש זה מכה בעיני ואני לומד כמה לא לבוא לפה וכמה אין לי מה להיות פה בחיים. אני מחפש להקים משפחה, לטוס, בכלא לא טוב לי אני לא בנוי לדברים האלה. אני נרתע מהדברים האלה, אני בורח. אני חי חיי עבודה-בית. זה מה שיש לי. היו לי תיקים שהייתי עצור בכללי אבל לא בתיקים האלה. אני לא בנוי ל</w:t>
      </w:r>
      <w:r>
        <w:rPr>
          <w:rtl/>
        </w:rPr>
        <w:t xml:space="preserve">.. </w:t>
      </w:r>
      <w:r>
        <w:rPr>
          <w:b/>
          <w:bCs/>
          <w:rtl/>
        </w:rPr>
        <w:t>איך אומרים זה לא בשבילי הדברים האלה</w:t>
      </w:r>
      <w:r>
        <w:rPr>
          <w:rtl/>
        </w:rPr>
        <w:t xml:space="preserve">". </w:t>
      </w:r>
    </w:p>
    <w:p w14:paraId="29ADB245" w14:textId="77777777" w:rsidR="00960BC5" w:rsidRDefault="00960BC5" w:rsidP="00960BC5">
      <w:pPr>
        <w:widowControl w:val="0"/>
        <w:ind w:left="794"/>
        <w:jc w:val="both"/>
        <w:rPr>
          <w:rFonts w:ascii="David" w:hAnsi="David"/>
          <w:rtl/>
        </w:rPr>
      </w:pPr>
    </w:p>
    <w:p w14:paraId="079CD07F" w14:textId="77777777" w:rsidR="00960BC5" w:rsidRDefault="00960BC5" w:rsidP="00960BC5">
      <w:pPr>
        <w:widowControl w:val="0"/>
        <w:numPr>
          <w:ilvl w:val="2"/>
          <w:numId w:val="1"/>
        </w:numPr>
        <w:spacing w:line="360" w:lineRule="auto"/>
        <w:ind w:left="794" w:hanging="454"/>
        <w:jc w:val="both"/>
        <w:rPr>
          <w:rFonts w:ascii="David" w:hAnsi="David"/>
        </w:rPr>
      </w:pPr>
      <w:r>
        <w:rPr>
          <w:rFonts w:ascii="David" w:hAnsi="David"/>
          <w:b/>
          <w:bCs/>
          <w:rtl/>
        </w:rPr>
        <w:t xml:space="preserve">חלוף הזמן – </w:t>
      </w:r>
      <w:r>
        <w:rPr>
          <w:rFonts w:ascii="David" w:hAnsi="David"/>
          <w:rtl/>
        </w:rPr>
        <w:t>חלפו 5 וחצי שנים ממועד ביצוע העבירה בתיק העיקרי וכשנתיים וחצי ממועד ביצוע העבירה האחרונה (החזקת קנבוס לצריכה עצמית). בחלוף הזמן לא עבר הנאשם עבירות חדשות וערך מאמצים לחזור למוטב, כמתואר לעיל.</w:t>
      </w:r>
    </w:p>
    <w:p w14:paraId="25F739EE" w14:textId="77777777" w:rsidR="00960BC5" w:rsidRDefault="00960BC5" w:rsidP="00960BC5">
      <w:pPr>
        <w:pStyle w:val="aa"/>
        <w:widowControl w:val="0"/>
      </w:pPr>
    </w:p>
    <w:p w14:paraId="1876363B" w14:textId="77777777" w:rsidR="00960BC5" w:rsidRDefault="00960BC5" w:rsidP="00960BC5">
      <w:pPr>
        <w:widowControl w:val="0"/>
        <w:numPr>
          <w:ilvl w:val="2"/>
          <w:numId w:val="1"/>
        </w:numPr>
        <w:spacing w:line="360" w:lineRule="auto"/>
        <w:ind w:left="794" w:hanging="454"/>
        <w:jc w:val="both"/>
        <w:rPr>
          <w:rFonts w:ascii="David" w:hAnsi="David"/>
          <w:b/>
          <w:bCs/>
          <w:sz w:val="26"/>
          <w:szCs w:val="26"/>
          <w:rtl/>
        </w:rPr>
      </w:pPr>
      <w:r>
        <w:rPr>
          <w:rFonts w:ascii="David" w:hAnsi="David"/>
          <w:rtl/>
        </w:rPr>
        <w:t xml:space="preserve">לחובת הנאשם </w:t>
      </w:r>
      <w:r>
        <w:rPr>
          <w:rFonts w:ascii="David" w:hAnsi="David"/>
          <w:b/>
          <w:bCs/>
          <w:rtl/>
        </w:rPr>
        <w:t>6 הרשעות קודמות</w:t>
      </w:r>
      <w:r>
        <w:rPr>
          <w:rFonts w:ascii="David" w:hAnsi="David"/>
          <w:rtl/>
        </w:rPr>
        <w:t xml:space="preserve"> בעבירות רכוש ואלימות, בגינן אף ריצה מאסרים קודמים (האחרון בשנת 2018). גזר הדין האחרון בעניינו ניתן ב-6.12.20 בגין עבירות משנת 2018 ו-2020 ובמסגרתו נדון לקנס וענישה צופה פני עתיד. </w:t>
      </w:r>
    </w:p>
    <w:p w14:paraId="0A0B35F3" w14:textId="77777777" w:rsidR="00960BC5" w:rsidRDefault="00960BC5" w:rsidP="00960BC5">
      <w:pPr>
        <w:pStyle w:val="aa"/>
        <w:spacing w:line="360" w:lineRule="auto"/>
        <w:rPr>
          <w:szCs w:val="26"/>
        </w:rPr>
      </w:pPr>
    </w:p>
    <w:p w14:paraId="6B216DD0" w14:textId="77777777" w:rsidR="00960BC5" w:rsidRDefault="00960BC5" w:rsidP="00960BC5">
      <w:pPr>
        <w:widowControl w:val="0"/>
        <w:spacing w:line="360" w:lineRule="auto"/>
        <w:jc w:val="both"/>
        <w:rPr>
          <w:rFonts w:ascii="David" w:hAnsi="David"/>
          <w:b/>
          <w:bCs/>
          <w:sz w:val="26"/>
          <w:szCs w:val="26"/>
          <w:rtl/>
        </w:rPr>
      </w:pPr>
      <w:r>
        <w:rPr>
          <w:rFonts w:ascii="David" w:hAnsi="David"/>
          <w:b/>
          <w:bCs/>
          <w:sz w:val="26"/>
          <w:szCs w:val="26"/>
          <w:rtl/>
        </w:rPr>
        <w:t>סוף דבר</w:t>
      </w:r>
    </w:p>
    <w:p w14:paraId="7C7EA9CA" w14:textId="77777777" w:rsidR="00960BC5" w:rsidRDefault="00960BC5" w:rsidP="00960BC5">
      <w:pPr>
        <w:pStyle w:val="aa"/>
        <w:widowControl w:val="0"/>
        <w:numPr>
          <w:ilvl w:val="0"/>
          <w:numId w:val="1"/>
        </w:numPr>
        <w:spacing w:line="360" w:lineRule="auto"/>
        <w:ind w:left="360"/>
        <w:jc w:val="both"/>
        <w:rPr>
          <w:sz w:val="24"/>
        </w:rPr>
      </w:pPr>
      <w:r>
        <w:rPr>
          <w:rFonts w:hint="cs"/>
          <w:sz w:val="24"/>
          <w:rtl/>
        </w:rPr>
        <w:t xml:space="preserve">לא מצאתי מקום לחרוג ממתחם העונש ההולם בשל שיקולי שיקום או הגנה על שלום הציבור לפי הוראות </w:t>
      </w:r>
      <w:hyperlink r:id="rId58" w:history="1">
        <w:r w:rsidR="00C275D8" w:rsidRPr="00C275D8">
          <w:rPr>
            <w:rStyle w:val="Hyperlink"/>
            <w:rFonts w:hint="eastAsia"/>
            <w:sz w:val="24"/>
            <w:rtl/>
          </w:rPr>
          <w:t>סעיפים</w:t>
        </w:r>
        <w:r w:rsidR="00C275D8" w:rsidRPr="00C275D8">
          <w:rPr>
            <w:rStyle w:val="Hyperlink"/>
            <w:sz w:val="24"/>
            <w:rtl/>
          </w:rPr>
          <w:t xml:space="preserve"> 40ד</w:t>
        </w:r>
      </w:hyperlink>
      <w:r>
        <w:rPr>
          <w:rFonts w:hint="cs"/>
          <w:sz w:val="24"/>
          <w:rtl/>
        </w:rPr>
        <w:t xml:space="preserve"> ו-</w:t>
      </w:r>
      <w:hyperlink r:id="rId59" w:history="1">
        <w:r w:rsidR="00C275D8" w:rsidRPr="00C275D8">
          <w:rPr>
            <w:rStyle w:val="Hyperlink"/>
            <w:sz w:val="24"/>
            <w:rtl/>
          </w:rPr>
          <w:t>40ה</w:t>
        </w:r>
      </w:hyperlink>
      <w:r>
        <w:rPr>
          <w:rFonts w:hint="cs"/>
          <w:sz w:val="24"/>
          <w:rtl/>
        </w:rPr>
        <w:t xml:space="preserve"> ל-</w:t>
      </w:r>
      <w:hyperlink r:id="rId60" w:history="1">
        <w:r w:rsidR="00455A01" w:rsidRPr="00455A01">
          <w:rPr>
            <w:rFonts w:ascii="Miriam" w:hAnsi="Miriam" w:cs="Miriam"/>
            <w:b/>
            <w:bCs/>
            <w:color w:val="0000FF"/>
            <w:szCs w:val="22"/>
            <w:u w:val="single"/>
            <w:rtl/>
          </w:rPr>
          <w:t>חוק העונשין</w:t>
        </w:r>
      </w:hyperlink>
      <w:r>
        <w:rPr>
          <w:rFonts w:hint="cs"/>
          <w:sz w:val="24"/>
          <w:rtl/>
        </w:rPr>
        <w:t xml:space="preserve">. במסגרת גזר הדין לקחתי בחשבון את הצורך בהרתעה אישית ובהרתעת הרבים, בהתאם </w:t>
      </w:r>
      <w:r w:rsidR="00C275D8" w:rsidRPr="00C275D8">
        <w:rPr>
          <w:rFonts w:hint="eastAsia"/>
          <w:sz w:val="24"/>
          <w:rtl/>
        </w:rPr>
        <w:t>לסעיפים</w:t>
      </w:r>
      <w:r w:rsidR="00C275D8" w:rsidRPr="00C275D8">
        <w:rPr>
          <w:sz w:val="24"/>
          <w:rtl/>
        </w:rPr>
        <w:t xml:space="preserve"> </w:t>
      </w:r>
      <w:hyperlink r:id="rId61" w:history="1">
        <w:r w:rsidR="00C275D8" w:rsidRPr="00C275D8">
          <w:rPr>
            <w:rStyle w:val="Hyperlink"/>
            <w:sz w:val="24"/>
            <w:rtl/>
          </w:rPr>
          <w:t>40ו</w:t>
        </w:r>
      </w:hyperlink>
      <w:r>
        <w:rPr>
          <w:rFonts w:hint="cs"/>
          <w:sz w:val="24"/>
          <w:rtl/>
        </w:rPr>
        <w:t xml:space="preserve"> ו-</w:t>
      </w:r>
      <w:hyperlink r:id="rId62" w:history="1">
        <w:r w:rsidR="00C275D8" w:rsidRPr="00C275D8">
          <w:rPr>
            <w:rStyle w:val="Hyperlink"/>
            <w:sz w:val="24"/>
            <w:rtl/>
          </w:rPr>
          <w:t>40ז</w:t>
        </w:r>
      </w:hyperlink>
      <w:r>
        <w:rPr>
          <w:rFonts w:hint="cs"/>
          <w:sz w:val="24"/>
          <w:rtl/>
        </w:rPr>
        <w:t xml:space="preserve"> ל-</w:t>
      </w:r>
      <w:hyperlink r:id="rId63" w:history="1">
        <w:r w:rsidR="00455A01" w:rsidRPr="00455A01">
          <w:rPr>
            <w:rFonts w:ascii="Miriam" w:hAnsi="Miriam" w:cs="Miriam"/>
            <w:b/>
            <w:bCs/>
            <w:color w:val="0000FF"/>
            <w:szCs w:val="22"/>
            <w:u w:val="single"/>
            <w:rtl/>
          </w:rPr>
          <w:t>חוק העונשין</w:t>
        </w:r>
      </w:hyperlink>
      <w:r>
        <w:rPr>
          <w:rFonts w:ascii="Miriam" w:hAnsi="Miriam" w:cs="Miriam"/>
          <w:b/>
          <w:bCs/>
          <w:szCs w:val="22"/>
          <w:rtl/>
        </w:rPr>
        <w:t>.</w:t>
      </w:r>
      <w:r>
        <w:rPr>
          <w:rFonts w:hint="cs"/>
          <w:sz w:val="24"/>
          <w:rtl/>
        </w:rPr>
        <w:t xml:space="preserve"> בהינתן ההודיה, חלוף הזמן, נסיבות חייו המורכבות, השינוי המשמעותי שעבר – מצאתי כי יש למקם את הנאשם בחלקו התחתון של כל אחד מהמתחמים שקבעתי, חרף עברו פלילי ותוך התחשבות גם בכך שמדובר בעבר ישן יחסית. כפי שקבע כב' הש' איתי ברסלר-גונן, </w:t>
      </w:r>
      <w:r>
        <w:rPr>
          <w:rFonts w:hint="cs"/>
          <w:rtl/>
        </w:rPr>
        <w:t>בסעיף 15 לפסק דינו ב-</w:t>
      </w:r>
      <w:hyperlink r:id="rId64" w:history="1">
        <w:r w:rsidR="00455A01" w:rsidRPr="00455A01">
          <w:rPr>
            <w:color w:val="0000FF"/>
            <w:u w:val="single"/>
            <w:rtl/>
          </w:rPr>
          <w:t>עפ"ג (מחוזי-ב"ש) 27326-12-21</w:t>
        </w:r>
      </w:hyperlink>
      <w:r>
        <w:rPr>
          <w:rFonts w:hint="cs"/>
          <w:rtl/>
        </w:rPr>
        <w:t xml:space="preserve"> </w:t>
      </w:r>
      <w:r>
        <w:rPr>
          <w:rFonts w:ascii="Miriam" w:hAnsi="Miriam" w:cs="Miriam"/>
          <w:b/>
          <w:bCs/>
          <w:szCs w:val="22"/>
          <w:rtl/>
        </w:rPr>
        <w:t xml:space="preserve">קיזר נ' מדינת ישראל </w:t>
      </w:r>
      <w:r>
        <w:rPr>
          <w:rFonts w:hint="cs"/>
          <w:rtl/>
        </w:rPr>
        <w:t>(9.3.22), אליו הצטרפו בהסכמה סגן הנשיאה כב' הש' אליהו ביתן וכב' הש' גד גדעון "</w:t>
      </w:r>
      <w:r>
        <w:rPr>
          <w:rFonts w:ascii="Times New Roman" w:hAnsi="Times New Roman" w:hint="cs"/>
          <w:b/>
          <w:bCs/>
          <w:rtl/>
        </w:rPr>
        <w:t>ההליך אינו נקמני, וכאמור יש לעודד אפשרויות חרטה במהלך מעשה עברייני</w:t>
      </w:r>
      <w:r>
        <w:rPr>
          <w:rFonts w:hint="cs"/>
          <w:rtl/>
        </w:rPr>
        <w:t>"</w:t>
      </w:r>
      <w:r>
        <w:rPr>
          <w:rFonts w:hint="cs"/>
          <w:sz w:val="24"/>
          <w:rtl/>
        </w:rPr>
        <w:t xml:space="preserve">. הדברים אמנם </w:t>
      </w:r>
      <w:r>
        <w:rPr>
          <w:rFonts w:hint="cs"/>
          <w:rtl/>
        </w:rPr>
        <w:t>נקבעו בהקשר אחר, אך לטעמי הם רלוונטיים גם לעניינו.</w:t>
      </w:r>
    </w:p>
    <w:p w14:paraId="22449382" w14:textId="77777777" w:rsidR="00960BC5" w:rsidRDefault="00960BC5" w:rsidP="00960BC5">
      <w:pPr>
        <w:pStyle w:val="aa"/>
        <w:widowControl w:val="0"/>
        <w:spacing w:line="360" w:lineRule="auto"/>
        <w:ind w:left="360"/>
        <w:jc w:val="both"/>
        <w:rPr>
          <w:sz w:val="24"/>
        </w:rPr>
      </w:pPr>
    </w:p>
    <w:p w14:paraId="3BDBB612" w14:textId="77777777" w:rsidR="00960BC5" w:rsidRDefault="00960BC5" w:rsidP="00960BC5">
      <w:pPr>
        <w:pStyle w:val="aa"/>
        <w:widowControl w:val="0"/>
        <w:numPr>
          <w:ilvl w:val="0"/>
          <w:numId w:val="1"/>
        </w:numPr>
        <w:spacing w:line="360" w:lineRule="auto"/>
        <w:ind w:left="360"/>
        <w:jc w:val="both"/>
        <w:rPr>
          <w:sz w:val="24"/>
        </w:rPr>
      </w:pPr>
      <w:r>
        <w:rPr>
          <w:rFonts w:hint="cs"/>
          <w:rtl/>
        </w:rPr>
        <w:t xml:space="preserve">אשר על כן, </w:t>
      </w:r>
      <w:r>
        <w:rPr>
          <w:rFonts w:hint="cs"/>
          <w:sz w:val="24"/>
          <w:rtl/>
        </w:rPr>
        <w:t>בהינתן השינוי המשמעותי שהנאשם עבר והמאמצים שעורך לקיים אורח חיים מטיב ויצרני והגם שלא שיתף פעולה באופן מלא עם שירות המבחן – מצאתי כי יש מקום לחפיפה מלאה בין העונשים ולהשית על הנאשם עונש כולל, ו</w:t>
      </w:r>
      <w:r>
        <w:rPr>
          <w:rFonts w:hint="cs"/>
          <w:b/>
          <w:bCs/>
          <w:rtl/>
        </w:rPr>
        <w:t>אני גוזרת על הנאשם את העונשים הבאים:</w:t>
      </w:r>
    </w:p>
    <w:p w14:paraId="76E4B431" w14:textId="77777777" w:rsidR="00960BC5" w:rsidRDefault="00960BC5" w:rsidP="00960BC5">
      <w:pPr>
        <w:pStyle w:val="aa"/>
        <w:widowControl w:val="0"/>
        <w:ind w:left="360"/>
        <w:jc w:val="both"/>
        <w:rPr>
          <w:sz w:val="24"/>
          <w:rtl/>
        </w:rPr>
      </w:pPr>
    </w:p>
    <w:p w14:paraId="3EE1ABF8" w14:textId="77777777" w:rsidR="00960BC5" w:rsidRDefault="00960BC5" w:rsidP="00960BC5">
      <w:pPr>
        <w:pStyle w:val="aa"/>
        <w:widowControl w:val="0"/>
        <w:numPr>
          <w:ilvl w:val="1"/>
          <w:numId w:val="1"/>
        </w:numPr>
        <w:spacing w:line="360" w:lineRule="auto"/>
        <w:ind w:left="794" w:hanging="357"/>
        <w:jc w:val="both"/>
        <w:rPr>
          <w:sz w:val="24"/>
          <w:rtl/>
        </w:rPr>
      </w:pPr>
      <w:r>
        <w:rPr>
          <w:rFonts w:hint="cs"/>
          <w:b/>
          <w:bCs/>
          <w:sz w:val="24"/>
          <w:rtl/>
        </w:rPr>
        <w:t xml:space="preserve">6 חודשי מאסר מותנה </w:t>
      </w:r>
      <w:r>
        <w:rPr>
          <w:rFonts w:hint="cs"/>
          <w:sz w:val="24"/>
          <w:rtl/>
        </w:rPr>
        <w:t xml:space="preserve">למשך 3 שנים מהיום, שלא יעבור כל עבירה מסוג פשע על </w:t>
      </w:r>
      <w:r>
        <w:rPr>
          <w:rFonts w:ascii="Miriam" w:hAnsi="Miriam" w:cs="Miriam"/>
          <w:b/>
          <w:bCs/>
          <w:szCs w:val="22"/>
          <w:rtl/>
        </w:rPr>
        <w:t>פקודת הסמים</w:t>
      </w:r>
      <w:r>
        <w:rPr>
          <w:rFonts w:hint="cs"/>
          <w:sz w:val="24"/>
          <w:rtl/>
        </w:rPr>
        <w:t xml:space="preserve"> ועבירה של </w:t>
      </w:r>
      <w:r>
        <w:rPr>
          <w:rFonts w:hint="cs"/>
          <w:rtl/>
        </w:rPr>
        <w:t>התנהגות פרועה במקום ציבורי</w:t>
      </w:r>
      <w:r>
        <w:rPr>
          <w:rFonts w:hint="cs"/>
          <w:sz w:val="24"/>
          <w:rtl/>
        </w:rPr>
        <w:t>.</w:t>
      </w:r>
    </w:p>
    <w:p w14:paraId="728F1FC8" w14:textId="77777777" w:rsidR="00960BC5" w:rsidRDefault="00960BC5" w:rsidP="00960BC5">
      <w:pPr>
        <w:pStyle w:val="aa"/>
        <w:widowControl w:val="0"/>
        <w:ind w:left="794"/>
        <w:jc w:val="both"/>
        <w:rPr>
          <w:sz w:val="24"/>
        </w:rPr>
      </w:pPr>
    </w:p>
    <w:p w14:paraId="77C341ED" w14:textId="77777777" w:rsidR="00960BC5" w:rsidRDefault="00960BC5" w:rsidP="00960BC5">
      <w:pPr>
        <w:numPr>
          <w:ilvl w:val="1"/>
          <w:numId w:val="1"/>
        </w:numPr>
        <w:tabs>
          <w:tab w:val="left" w:pos="368"/>
        </w:tabs>
        <w:snapToGrid w:val="0"/>
        <w:spacing w:line="360" w:lineRule="auto"/>
        <w:ind w:left="725" w:hanging="357"/>
        <w:jc w:val="both"/>
        <w:rPr>
          <w:sz w:val="20"/>
          <w:lang w:eastAsia="he-IL"/>
        </w:rPr>
      </w:pPr>
      <w:r>
        <w:rPr>
          <w:b/>
          <w:bCs/>
          <w:rtl/>
          <w:lang w:eastAsia="he-IL"/>
        </w:rPr>
        <w:t>קנס בסך 2,000 ₪, או 20 ימי מאסר תמורתו</w:t>
      </w:r>
      <w:r>
        <w:rPr>
          <w:rtl/>
          <w:lang w:eastAsia="he-IL"/>
        </w:rPr>
        <w:t xml:space="preserve">. </w:t>
      </w:r>
    </w:p>
    <w:p w14:paraId="18C50E1F" w14:textId="77777777" w:rsidR="00960BC5" w:rsidRDefault="00960BC5" w:rsidP="00960BC5">
      <w:pPr>
        <w:snapToGrid w:val="0"/>
        <w:spacing w:line="360" w:lineRule="auto"/>
        <w:ind w:left="725"/>
        <w:jc w:val="both"/>
        <w:rPr>
          <w:lang w:eastAsia="he-IL"/>
        </w:rPr>
      </w:pPr>
      <w:r>
        <w:rPr>
          <w:rtl/>
          <w:lang w:eastAsia="he-IL"/>
        </w:rPr>
        <w:t>הקנס ישולם ב-5 תשלומים שווים ורצופים, החל מיום 10.3.24 וכל 10 בחודש שלאחריו.</w:t>
      </w:r>
    </w:p>
    <w:p w14:paraId="5ABB79D3" w14:textId="77777777" w:rsidR="00960BC5" w:rsidRDefault="00960BC5" w:rsidP="00960BC5">
      <w:pPr>
        <w:snapToGrid w:val="0"/>
        <w:spacing w:line="360" w:lineRule="auto"/>
        <w:ind w:left="725"/>
        <w:jc w:val="both"/>
        <w:rPr>
          <w:lang w:eastAsia="he-IL"/>
        </w:rPr>
      </w:pPr>
      <w:r>
        <w:rPr>
          <w:rtl/>
          <w:lang w:eastAsia="he-IL"/>
        </w:rPr>
        <w:t>אם לא יבוצע תשלום במועדו – תעמוד כל יתרת הקנס לפירעון מיידי.</w:t>
      </w:r>
    </w:p>
    <w:p w14:paraId="653D8731" w14:textId="77777777" w:rsidR="00960BC5" w:rsidRDefault="00960BC5" w:rsidP="00960BC5">
      <w:pPr>
        <w:snapToGrid w:val="0"/>
        <w:ind w:left="725"/>
        <w:jc w:val="both"/>
        <w:rPr>
          <w:lang w:eastAsia="he-IL"/>
        </w:rPr>
      </w:pPr>
    </w:p>
    <w:p w14:paraId="04784017" w14:textId="77777777" w:rsidR="00960BC5" w:rsidRDefault="00960BC5" w:rsidP="00960BC5">
      <w:pPr>
        <w:numPr>
          <w:ilvl w:val="1"/>
          <w:numId w:val="1"/>
        </w:numPr>
        <w:tabs>
          <w:tab w:val="left" w:pos="368"/>
        </w:tabs>
        <w:snapToGrid w:val="0"/>
        <w:spacing w:line="360" w:lineRule="auto"/>
        <w:ind w:left="725" w:hanging="357"/>
        <w:jc w:val="both"/>
        <w:rPr>
          <w:sz w:val="20"/>
          <w:lang w:eastAsia="he-IL"/>
        </w:rPr>
      </w:pPr>
      <w:r>
        <w:rPr>
          <w:b/>
          <w:bCs/>
          <w:rtl/>
        </w:rPr>
        <w:t>1,500 ₪ התחייבות</w:t>
      </w:r>
      <w:r>
        <w:rPr>
          <w:rtl/>
        </w:rPr>
        <w:t xml:space="preserve">, למשך 3 שנים מהיום, שלא יעבור כל עבירה מסוג פשע על </w:t>
      </w:r>
      <w:r>
        <w:rPr>
          <w:rFonts w:ascii="Miriam" w:hAnsi="Miriam" w:cs="Miriam"/>
          <w:bCs/>
          <w:sz w:val="18"/>
          <w:szCs w:val="22"/>
          <w:rtl/>
        </w:rPr>
        <w:t>פקודת הסמים</w:t>
      </w:r>
      <w:r>
        <w:rPr>
          <w:rtl/>
        </w:rPr>
        <w:t xml:space="preserve"> ועבירה של התנהגות פרועה במקום ציבורי.</w:t>
      </w:r>
    </w:p>
    <w:p w14:paraId="143F6B4E" w14:textId="77777777" w:rsidR="00960BC5" w:rsidRDefault="00960BC5" w:rsidP="00960BC5">
      <w:pPr>
        <w:tabs>
          <w:tab w:val="left" w:pos="368"/>
        </w:tabs>
        <w:snapToGrid w:val="0"/>
        <w:spacing w:line="360" w:lineRule="auto"/>
        <w:ind w:left="726"/>
        <w:jc w:val="both"/>
        <w:rPr>
          <w:rtl/>
        </w:rPr>
      </w:pPr>
      <w:r>
        <w:rPr>
          <w:rtl/>
        </w:rPr>
        <w:t>על הנאשם להצהיר על ההתחייבות היום. לא יצהיר על ההתחייבות היום – יהיה על הנאשם לרצות 30 ימי מאסר בפועל, על מנת לכפות אותו לעשות כן.</w:t>
      </w:r>
    </w:p>
    <w:p w14:paraId="6004449C" w14:textId="77777777" w:rsidR="00960BC5" w:rsidRDefault="00960BC5" w:rsidP="00960BC5">
      <w:pPr>
        <w:tabs>
          <w:tab w:val="left" w:pos="368"/>
        </w:tabs>
        <w:snapToGrid w:val="0"/>
        <w:spacing w:line="360" w:lineRule="auto"/>
        <w:ind w:left="726"/>
        <w:jc w:val="both"/>
        <w:rPr>
          <w:sz w:val="20"/>
          <w:lang w:eastAsia="he-IL"/>
        </w:rPr>
      </w:pPr>
    </w:p>
    <w:p w14:paraId="1EC8F422" w14:textId="77777777" w:rsidR="00960BC5" w:rsidRDefault="00960BC5" w:rsidP="00960BC5">
      <w:pPr>
        <w:numPr>
          <w:ilvl w:val="1"/>
          <w:numId w:val="1"/>
        </w:numPr>
        <w:tabs>
          <w:tab w:val="left" w:pos="368"/>
        </w:tabs>
        <w:snapToGrid w:val="0"/>
        <w:spacing w:line="360" w:lineRule="auto"/>
        <w:ind w:left="725" w:hanging="357"/>
        <w:jc w:val="both"/>
        <w:rPr>
          <w:sz w:val="20"/>
          <w:rtl/>
          <w:lang w:eastAsia="he-IL"/>
        </w:rPr>
      </w:pPr>
      <w:r>
        <w:rPr>
          <w:b/>
          <w:bCs/>
          <w:sz w:val="20"/>
          <w:rtl/>
          <w:lang w:eastAsia="he-IL"/>
        </w:rPr>
        <w:t>3 חודשי פסילה מקבל או מהחזיק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1E4A7F91" w14:textId="77777777" w:rsidR="00960BC5" w:rsidRDefault="00960BC5" w:rsidP="00960BC5">
      <w:pPr>
        <w:pStyle w:val="aa"/>
        <w:widowControl w:val="0"/>
        <w:spacing w:line="360" w:lineRule="auto"/>
        <w:jc w:val="both"/>
        <w:rPr>
          <w:sz w:val="24"/>
          <w:rtl/>
        </w:rPr>
      </w:pPr>
    </w:p>
    <w:p w14:paraId="2B0C8E88" w14:textId="77777777" w:rsidR="00960BC5" w:rsidRDefault="00960BC5" w:rsidP="00960BC5">
      <w:pPr>
        <w:pStyle w:val="aa"/>
        <w:ind w:left="0"/>
        <w:jc w:val="both"/>
        <w:rPr>
          <w:b/>
          <w:bCs/>
          <w:rtl/>
        </w:rPr>
      </w:pPr>
      <w:r>
        <w:rPr>
          <w:rFonts w:hint="cs"/>
          <w:b/>
          <w:bCs/>
          <w:u w:val="single"/>
          <w:rtl/>
        </w:rPr>
        <w:t>תשומת לב הנאשם כי ניתן לשלם את הקנס באחת הדרכים הבאות</w:t>
      </w:r>
      <w:r>
        <w:rPr>
          <w:rFonts w:hint="cs"/>
          <w:b/>
          <w:bCs/>
          <w:rtl/>
        </w:rPr>
        <w:t>:</w:t>
      </w:r>
    </w:p>
    <w:p w14:paraId="1BC4BB5E" w14:textId="77777777" w:rsidR="00960BC5" w:rsidRDefault="00960BC5" w:rsidP="00960BC5">
      <w:pPr>
        <w:pStyle w:val="aa"/>
        <w:numPr>
          <w:ilvl w:val="0"/>
          <w:numId w:val="3"/>
        </w:numPr>
        <w:ind w:left="360"/>
        <w:jc w:val="both"/>
      </w:pPr>
      <w:r>
        <w:rPr>
          <w:rFonts w:hint="cs"/>
          <w:rtl/>
        </w:rPr>
        <w:t>בכרטיס</w:t>
      </w:r>
      <w:r>
        <w:rPr>
          <w:rFonts w:hint="cs"/>
        </w:rPr>
        <w:t xml:space="preserve"> </w:t>
      </w:r>
      <w:r>
        <w:rPr>
          <w:rFonts w:hint="cs"/>
          <w:rtl/>
        </w:rPr>
        <w:t>אשראי - באתר</w:t>
      </w:r>
      <w:r>
        <w:rPr>
          <w:rFonts w:hint="cs"/>
        </w:rPr>
        <w:t xml:space="preserve"> </w:t>
      </w:r>
      <w:r>
        <w:rPr>
          <w:rFonts w:hint="cs"/>
          <w:rtl/>
        </w:rPr>
        <w:t>המקוון</w:t>
      </w:r>
      <w:r>
        <w:rPr>
          <w:rFonts w:hint="cs"/>
        </w:rPr>
        <w:t xml:space="preserve"> </w:t>
      </w:r>
      <w:r>
        <w:rPr>
          <w:rFonts w:hint="cs"/>
          <w:rtl/>
        </w:rPr>
        <w:t>של</w:t>
      </w:r>
      <w:r>
        <w:rPr>
          <w:rFonts w:hint="cs"/>
        </w:rPr>
        <w:t xml:space="preserve"> </w:t>
      </w:r>
      <w:r>
        <w:rPr>
          <w:rFonts w:hint="cs"/>
          <w:rtl/>
        </w:rPr>
        <w:t>רשות</w:t>
      </w:r>
      <w:r>
        <w:rPr>
          <w:rFonts w:hint="cs"/>
        </w:rPr>
        <w:t xml:space="preserve"> </w:t>
      </w:r>
      <w:r>
        <w:rPr>
          <w:rFonts w:hint="cs"/>
          <w:rtl/>
        </w:rPr>
        <w:t>האכיפה</w:t>
      </w:r>
      <w:r>
        <w:rPr>
          <w:rFonts w:hint="cs"/>
        </w:rPr>
        <w:t xml:space="preserve"> </w:t>
      </w:r>
      <w:r>
        <w:rPr>
          <w:rFonts w:hint="cs"/>
          <w:rtl/>
        </w:rPr>
        <w:t>והגבייה</w:t>
      </w:r>
      <w:r>
        <w:t xml:space="preserve">www.eca.gov.il </w:t>
      </w:r>
      <w:r>
        <w:rPr>
          <w:rFonts w:hint="cs"/>
          <w:rtl/>
        </w:rPr>
        <w:t>.</w:t>
      </w:r>
    </w:p>
    <w:p w14:paraId="6554D552" w14:textId="77777777" w:rsidR="00960BC5" w:rsidRDefault="00960BC5" w:rsidP="00960BC5">
      <w:pPr>
        <w:pStyle w:val="aa"/>
        <w:numPr>
          <w:ilvl w:val="0"/>
          <w:numId w:val="3"/>
        </w:numPr>
        <w:ind w:left="360"/>
        <w:jc w:val="both"/>
        <w:rPr>
          <w:rtl/>
        </w:rPr>
      </w:pPr>
      <w:r>
        <w:rPr>
          <w:rFonts w:hint="cs"/>
          <w:rtl/>
        </w:rPr>
        <w:t>מוקד</w:t>
      </w:r>
      <w:r>
        <w:rPr>
          <w:rFonts w:hint="cs"/>
        </w:rPr>
        <w:t xml:space="preserve"> </w:t>
      </w:r>
      <w:r>
        <w:rPr>
          <w:rFonts w:hint="cs"/>
          <w:rtl/>
        </w:rPr>
        <w:t>שירות</w:t>
      </w:r>
      <w:r>
        <w:rPr>
          <w:rFonts w:hint="cs"/>
        </w:rPr>
        <w:t xml:space="preserve"> </w:t>
      </w:r>
      <w:r>
        <w:rPr>
          <w:rFonts w:hint="cs"/>
          <w:rtl/>
        </w:rPr>
        <w:t>טלפוני</w:t>
      </w:r>
      <w:r>
        <w:rPr>
          <w:rFonts w:hint="cs"/>
        </w:rPr>
        <w:t xml:space="preserve"> </w:t>
      </w:r>
      <w:r>
        <w:rPr>
          <w:rFonts w:hint="cs"/>
          <w:rtl/>
        </w:rPr>
        <w:t>(בשרות</w:t>
      </w:r>
      <w:r>
        <w:rPr>
          <w:rFonts w:hint="cs"/>
        </w:rPr>
        <w:t xml:space="preserve"> </w:t>
      </w:r>
      <w:r>
        <w:rPr>
          <w:rFonts w:hint="cs"/>
          <w:rtl/>
        </w:rPr>
        <w:t>עצמי) מרכז</w:t>
      </w:r>
      <w:r>
        <w:rPr>
          <w:rFonts w:hint="cs"/>
        </w:rPr>
        <w:t xml:space="preserve"> </w:t>
      </w:r>
      <w:r>
        <w:rPr>
          <w:rFonts w:hint="cs"/>
          <w:rtl/>
        </w:rPr>
        <w:t>גבייה - במספר *</w:t>
      </w:r>
      <w:r>
        <w:t>35592</w:t>
      </w:r>
      <w:r>
        <w:rPr>
          <w:rtl/>
        </w:rPr>
        <w:t xml:space="preserve"> </w:t>
      </w:r>
      <w:r>
        <w:rPr>
          <w:rFonts w:hint="cs"/>
          <w:rtl/>
        </w:rPr>
        <w:t>או</w:t>
      </w:r>
      <w:r>
        <w:t xml:space="preserve">073-2055000 </w:t>
      </w:r>
      <w:r>
        <w:rPr>
          <w:rFonts w:hint="cs"/>
          <w:rtl/>
        </w:rPr>
        <w:t>.</w:t>
      </w:r>
    </w:p>
    <w:p w14:paraId="02889245" w14:textId="77777777" w:rsidR="00960BC5" w:rsidRDefault="00960BC5" w:rsidP="00960BC5">
      <w:pPr>
        <w:pStyle w:val="aa"/>
        <w:numPr>
          <w:ilvl w:val="0"/>
          <w:numId w:val="3"/>
        </w:numPr>
        <w:ind w:left="360"/>
        <w:jc w:val="both"/>
      </w:pPr>
      <w:r>
        <w:rPr>
          <w:rFonts w:hint="cs"/>
          <w:rtl/>
        </w:rPr>
        <w:t>במזומן</w:t>
      </w:r>
      <w:r>
        <w:rPr>
          <w:rFonts w:hint="cs"/>
        </w:rPr>
        <w:t xml:space="preserve"> </w:t>
      </w:r>
      <w:r>
        <w:rPr>
          <w:rFonts w:hint="cs"/>
          <w:rtl/>
        </w:rPr>
        <w:t>בכל</w:t>
      </w:r>
      <w:r>
        <w:rPr>
          <w:rFonts w:hint="cs"/>
        </w:rPr>
        <w:t xml:space="preserve"> </w:t>
      </w:r>
      <w:r>
        <w:rPr>
          <w:rFonts w:hint="cs"/>
          <w:rtl/>
        </w:rPr>
        <w:t>סניף</w:t>
      </w:r>
      <w:r>
        <w:rPr>
          <w:rFonts w:hint="cs"/>
        </w:rPr>
        <w:t xml:space="preserve"> </w:t>
      </w:r>
      <w:r>
        <w:rPr>
          <w:rFonts w:hint="cs"/>
          <w:rtl/>
        </w:rPr>
        <w:t>של</w:t>
      </w:r>
      <w:r>
        <w:rPr>
          <w:rFonts w:hint="cs"/>
        </w:rPr>
        <w:t xml:space="preserve"> </w:t>
      </w:r>
      <w:r>
        <w:rPr>
          <w:rFonts w:hint="cs"/>
          <w:rtl/>
        </w:rPr>
        <w:t>בנק</w:t>
      </w:r>
      <w:r>
        <w:rPr>
          <w:rFonts w:hint="cs"/>
        </w:rPr>
        <w:t xml:space="preserve"> </w:t>
      </w:r>
      <w:r>
        <w:rPr>
          <w:rFonts w:hint="cs"/>
          <w:rtl/>
        </w:rPr>
        <w:t>הדואר - בהצגת</w:t>
      </w:r>
      <w:r>
        <w:rPr>
          <w:rFonts w:hint="cs"/>
        </w:rPr>
        <w:t xml:space="preserve"> </w:t>
      </w:r>
      <w:r>
        <w:rPr>
          <w:rFonts w:hint="cs"/>
          <w:rtl/>
        </w:rPr>
        <w:t>תעודת</w:t>
      </w:r>
      <w:r>
        <w:rPr>
          <w:rFonts w:hint="cs"/>
        </w:rPr>
        <w:t xml:space="preserve"> </w:t>
      </w:r>
      <w:r>
        <w:rPr>
          <w:rFonts w:hint="cs"/>
          <w:rtl/>
        </w:rPr>
        <w:t>זהות</w:t>
      </w:r>
      <w:r>
        <w:rPr>
          <w:rFonts w:hint="cs"/>
        </w:rPr>
        <w:t xml:space="preserve"> </w:t>
      </w:r>
      <w:r>
        <w:rPr>
          <w:rFonts w:hint="cs"/>
          <w:rtl/>
        </w:rPr>
        <w:t>בלבד (אין</w:t>
      </w:r>
      <w:r>
        <w:rPr>
          <w:rFonts w:hint="cs"/>
        </w:rPr>
        <w:t xml:space="preserve"> </w:t>
      </w:r>
      <w:r>
        <w:rPr>
          <w:rFonts w:hint="cs"/>
          <w:rtl/>
        </w:rPr>
        <w:t>צורך</w:t>
      </w:r>
      <w:r>
        <w:rPr>
          <w:rFonts w:hint="cs"/>
        </w:rPr>
        <w:t xml:space="preserve"> </w:t>
      </w:r>
      <w:r>
        <w:rPr>
          <w:rFonts w:hint="cs"/>
          <w:rtl/>
        </w:rPr>
        <w:t>בהצגת</w:t>
      </w:r>
      <w:r>
        <w:rPr>
          <w:rFonts w:hint="cs"/>
        </w:rPr>
        <w:t xml:space="preserve"> </w:t>
      </w:r>
      <w:r>
        <w:rPr>
          <w:rFonts w:hint="cs"/>
          <w:rtl/>
        </w:rPr>
        <w:t>בשוברי</w:t>
      </w:r>
      <w:r>
        <w:rPr>
          <w:rFonts w:hint="cs"/>
        </w:rPr>
        <w:t xml:space="preserve"> </w:t>
      </w:r>
      <w:r>
        <w:rPr>
          <w:rFonts w:hint="cs"/>
          <w:rtl/>
        </w:rPr>
        <w:t>תשלום).</w:t>
      </w:r>
    </w:p>
    <w:p w14:paraId="4C600E9F" w14:textId="77777777" w:rsidR="00960BC5" w:rsidRDefault="00960BC5" w:rsidP="00960BC5">
      <w:pPr>
        <w:pStyle w:val="aa"/>
        <w:ind w:left="0"/>
        <w:jc w:val="both"/>
        <w:rPr>
          <w:rFonts w:ascii="Times New Roman" w:hAnsi="Times New Roman"/>
        </w:rPr>
      </w:pPr>
      <w:r>
        <w:rPr>
          <w:rFonts w:hint="cs"/>
          <w:b/>
          <w:bCs/>
          <w:rtl/>
        </w:rPr>
        <w:t>לא תשמע טענה שהנאשם לא קיבל שוברי תשלום בדואר</w:t>
      </w:r>
      <w:r>
        <w:rPr>
          <w:rFonts w:hint="cs"/>
          <w:rtl/>
        </w:rPr>
        <w:t>.</w:t>
      </w:r>
    </w:p>
    <w:p w14:paraId="1C1DD464" w14:textId="77777777" w:rsidR="00960BC5" w:rsidRDefault="00960BC5" w:rsidP="00960BC5">
      <w:pPr>
        <w:pStyle w:val="aa"/>
        <w:widowControl w:val="0"/>
        <w:jc w:val="both"/>
        <w:rPr>
          <w:sz w:val="24"/>
        </w:rPr>
      </w:pPr>
    </w:p>
    <w:p w14:paraId="3F69B6A7" w14:textId="77777777" w:rsidR="00960BC5" w:rsidRDefault="00960BC5" w:rsidP="00960BC5">
      <w:pPr>
        <w:widowControl w:val="0"/>
        <w:jc w:val="both"/>
        <w:rPr>
          <w:rFonts w:ascii="David" w:hAnsi="David"/>
          <w:b/>
          <w:bCs/>
          <w:rtl/>
        </w:rPr>
      </w:pPr>
      <w:r>
        <w:rPr>
          <w:rFonts w:ascii="David" w:hAnsi="David"/>
          <w:b/>
          <w:bCs/>
          <w:rtl/>
        </w:rPr>
        <w:t>ניתן צו כללי למוצגים: להשמיד, לחלט ולהשיב לבעלים, לפי שיקול דעת היחידה החוקרת.</w:t>
      </w:r>
    </w:p>
    <w:p w14:paraId="5590F298" w14:textId="77777777" w:rsidR="00960BC5" w:rsidRDefault="00960BC5" w:rsidP="00960BC5">
      <w:pPr>
        <w:widowControl w:val="0"/>
        <w:jc w:val="both"/>
        <w:rPr>
          <w:rFonts w:ascii="David" w:hAnsi="David"/>
          <w:b/>
          <w:bCs/>
          <w:rtl/>
        </w:rPr>
      </w:pPr>
      <w:r>
        <w:rPr>
          <w:rFonts w:ascii="David" w:hAnsi="David"/>
          <w:b/>
          <w:bCs/>
          <w:rtl/>
        </w:rPr>
        <w:t>ניתן צו להשמדת הסמים.</w:t>
      </w:r>
    </w:p>
    <w:p w14:paraId="34B78776" w14:textId="77777777" w:rsidR="00960BC5" w:rsidRDefault="00960BC5" w:rsidP="00960BC5">
      <w:pPr>
        <w:widowControl w:val="0"/>
        <w:jc w:val="both"/>
        <w:rPr>
          <w:rFonts w:ascii="David" w:hAnsi="David"/>
          <w:b/>
          <w:bCs/>
          <w:u w:val="single"/>
        </w:rPr>
      </w:pPr>
    </w:p>
    <w:p w14:paraId="7FD49653" w14:textId="77777777" w:rsidR="00960BC5" w:rsidRDefault="00960BC5" w:rsidP="00960BC5">
      <w:pPr>
        <w:widowControl w:val="0"/>
        <w:jc w:val="both"/>
        <w:rPr>
          <w:rFonts w:ascii="David" w:hAnsi="David"/>
          <w:b/>
          <w:bCs/>
          <w:u w:val="single"/>
          <w:rtl/>
        </w:rPr>
      </w:pPr>
      <w:r>
        <w:rPr>
          <w:rFonts w:ascii="David" w:hAnsi="David"/>
          <w:b/>
          <w:bCs/>
          <w:u w:val="single"/>
          <w:rtl/>
        </w:rPr>
        <w:t>זכות ערעור לבית-המשפט המחוזי תוך 45 יום.</w:t>
      </w:r>
    </w:p>
    <w:p w14:paraId="1997F3E7" w14:textId="77777777" w:rsidR="00960BC5" w:rsidRPr="00455A01" w:rsidRDefault="00455A01" w:rsidP="00960BC5">
      <w:pPr>
        <w:widowControl w:val="0"/>
        <w:jc w:val="both"/>
        <w:rPr>
          <w:rFonts w:ascii="David" w:hAnsi="David"/>
          <w:b/>
          <w:bCs/>
          <w:color w:val="FFFFFF"/>
          <w:sz w:val="2"/>
          <w:szCs w:val="2"/>
          <w:u w:val="single"/>
          <w:rtl/>
        </w:rPr>
      </w:pPr>
      <w:r w:rsidRPr="00455A01">
        <w:rPr>
          <w:rFonts w:ascii="David" w:hAnsi="David"/>
          <w:b/>
          <w:bCs/>
          <w:color w:val="FFFFFF"/>
          <w:sz w:val="2"/>
          <w:szCs w:val="2"/>
          <w:u w:val="single"/>
          <w:rtl/>
        </w:rPr>
        <w:t>5129371</w:t>
      </w:r>
    </w:p>
    <w:p w14:paraId="7574A13B" w14:textId="77777777" w:rsidR="00960BC5" w:rsidRDefault="00455A01" w:rsidP="00960BC5">
      <w:pPr>
        <w:widowControl w:val="0"/>
        <w:jc w:val="both"/>
        <w:rPr>
          <w:rFonts w:ascii="David" w:hAnsi="David"/>
          <w:b/>
          <w:bCs/>
          <w:rtl/>
        </w:rPr>
      </w:pPr>
      <w:r w:rsidRPr="00455A01">
        <w:rPr>
          <w:rFonts w:ascii="David" w:hAnsi="David"/>
          <w:b/>
          <w:bCs/>
          <w:color w:val="FFFFFF"/>
          <w:sz w:val="2"/>
          <w:szCs w:val="2"/>
          <w:u w:val="single"/>
          <w:rtl/>
        </w:rPr>
        <w:t>54678313</w:t>
      </w:r>
      <w:r w:rsidR="00960BC5">
        <w:rPr>
          <w:rFonts w:ascii="David" w:hAnsi="David"/>
          <w:b/>
          <w:bCs/>
          <w:u w:val="single"/>
          <w:rtl/>
        </w:rPr>
        <w:t>המזכירות מתבקשת להעביר עותק גזר הדין לשירות המבחן ולממונה על עבודות השירות</w:t>
      </w:r>
      <w:r w:rsidR="00960BC5">
        <w:rPr>
          <w:rFonts w:ascii="David" w:hAnsi="David"/>
          <w:b/>
          <w:bCs/>
          <w:rtl/>
        </w:rPr>
        <w:t xml:space="preserve">. </w:t>
      </w:r>
    </w:p>
    <w:p w14:paraId="165A5D1B" w14:textId="77777777" w:rsidR="00960BC5" w:rsidRDefault="00960BC5" w:rsidP="00960BC5">
      <w:pPr>
        <w:spacing w:line="360" w:lineRule="auto"/>
        <w:jc w:val="both"/>
        <w:rPr>
          <w:rFonts w:ascii="Arial" w:hAnsi="Arial"/>
          <w:noProof w:val="0"/>
          <w:rtl/>
        </w:rPr>
      </w:pPr>
    </w:p>
    <w:p w14:paraId="23B29446" w14:textId="77777777" w:rsidR="00960BC5" w:rsidRDefault="00455A01" w:rsidP="00960BC5">
      <w:pPr>
        <w:spacing w:line="360" w:lineRule="auto"/>
        <w:jc w:val="both"/>
        <w:rPr>
          <w:rFonts w:ascii="Arial" w:hAnsi="Arial"/>
          <w:b/>
          <w:bCs/>
          <w:sz w:val="26"/>
          <w:szCs w:val="26"/>
        </w:rPr>
      </w:pPr>
      <w:bookmarkStart w:id="8" w:name="Nitan"/>
      <w:r>
        <w:rPr>
          <w:rFonts w:ascii="Arial" w:hAnsi="Arial"/>
          <w:b/>
          <w:bCs/>
          <w:sz w:val="26"/>
          <w:szCs w:val="26"/>
          <w:rtl/>
        </w:rPr>
        <w:t xml:space="preserve">ניתן והודע היום, ב' אדר א' תשפ"ד, 11 פברואר 2024, במעמד הצדדים. </w:t>
      </w:r>
      <w:bookmarkEnd w:id="8"/>
      <w:r w:rsidR="00960BC5">
        <w:rPr>
          <w:rFonts w:ascii="Arial" w:hAnsi="Arial"/>
          <w:b/>
          <w:bCs/>
          <w:sz w:val="26"/>
          <w:szCs w:val="26"/>
          <w:rtl/>
        </w:rPr>
        <w:tab/>
      </w:r>
      <w:r w:rsidR="00960BC5">
        <w:rPr>
          <w:rFonts w:ascii="Arial" w:hAnsi="Arial"/>
          <w:b/>
          <w:bCs/>
          <w:sz w:val="26"/>
          <w:szCs w:val="26"/>
          <w:rtl/>
        </w:rPr>
        <w:tab/>
      </w:r>
      <w:r w:rsidR="00960BC5">
        <w:rPr>
          <w:rFonts w:ascii="Arial" w:hAnsi="Arial"/>
          <w:b/>
          <w:bCs/>
          <w:sz w:val="26"/>
          <w:szCs w:val="26"/>
          <w:rtl/>
        </w:rPr>
        <w:tab/>
      </w:r>
      <w:r w:rsidR="00960BC5">
        <w:rPr>
          <w:rFonts w:ascii="Arial" w:hAnsi="Arial"/>
          <w:b/>
          <w:bCs/>
          <w:sz w:val="26"/>
          <w:szCs w:val="26"/>
          <w:rtl/>
        </w:rPr>
        <w:tab/>
      </w:r>
      <w:r w:rsidR="00960BC5">
        <w:rPr>
          <w:rFonts w:ascii="Arial" w:hAnsi="Arial"/>
          <w:b/>
          <w:bCs/>
          <w:sz w:val="26"/>
          <w:szCs w:val="26"/>
          <w:rtl/>
        </w:rPr>
        <w:tab/>
      </w:r>
      <w:r w:rsidR="00960BC5">
        <w:rPr>
          <w:rFonts w:ascii="Arial" w:hAnsi="Arial"/>
          <w:b/>
          <w:bCs/>
          <w:sz w:val="26"/>
          <w:szCs w:val="26"/>
          <w:rtl/>
        </w:rPr>
        <w:tab/>
      </w:r>
      <w:r w:rsidR="00960BC5">
        <w:rPr>
          <w:rFonts w:ascii="Arial" w:hAnsi="Arial"/>
          <w:b/>
          <w:bCs/>
          <w:sz w:val="26"/>
          <w:szCs w:val="26"/>
          <w:rtl/>
        </w:rPr>
        <w:tab/>
        <w:t xml:space="preserve">         </w:t>
      </w:r>
    </w:p>
    <w:p w14:paraId="14EF1581" w14:textId="77777777" w:rsidR="00455A01" w:rsidRDefault="00455A01" w:rsidP="00455A01">
      <w:pPr>
        <w:rPr>
          <w:rtl/>
        </w:rPr>
      </w:pPr>
    </w:p>
    <w:p w14:paraId="3318A1B3" w14:textId="77777777" w:rsidR="00455A01" w:rsidRDefault="00455A01" w:rsidP="00455A01">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53000D78" w14:textId="77777777" w:rsidR="00C275D8" w:rsidRPr="00C275D8" w:rsidRDefault="00C275D8" w:rsidP="00C275D8">
      <w:pPr>
        <w:keepNext/>
        <w:rPr>
          <w:rFonts w:ascii="David" w:hAnsi="David" w:hint="cs"/>
          <w:color w:val="000000"/>
          <w:sz w:val="22"/>
          <w:szCs w:val="22"/>
          <w:rtl/>
        </w:rPr>
      </w:pPr>
    </w:p>
    <w:p w14:paraId="44118C56" w14:textId="77777777" w:rsidR="00C275D8" w:rsidRPr="00C275D8" w:rsidRDefault="00C275D8" w:rsidP="00C275D8">
      <w:pPr>
        <w:keepNext/>
        <w:rPr>
          <w:rFonts w:ascii="David" w:hAnsi="David"/>
          <w:color w:val="000000"/>
          <w:sz w:val="22"/>
          <w:szCs w:val="22"/>
          <w:rtl/>
        </w:rPr>
      </w:pPr>
      <w:r w:rsidRPr="00C275D8">
        <w:rPr>
          <w:rFonts w:ascii="David" w:hAnsi="David"/>
          <w:color w:val="000000"/>
          <w:sz w:val="22"/>
          <w:szCs w:val="22"/>
          <w:rtl/>
        </w:rPr>
        <w:t>זהר דולב להמן 54678313-/</w:t>
      </w:r>
    </w:p>
    <w:p w14:paraId="70418D9D" w14:textId="77777777" w:rsidR="00455A01" w:rsidRPr="00455A01" w:rsidRDefault="00C275D8" w:rsidP="00C275D8">
      <w:pPr>
        <w:rPr>
          <w:rFonts w:hint="cs"/>
          <w:color w:val="0000FF"/>
          <w:u w:val="single"/>
        </w:rPr>
      </w:pPr>
      <w:r w:rsidRPr="00C275D8">
        <w:rPr>
          <w:color w:val="000000"/>
          <w:u w:val="single"/>
          <w:rtl/>
        </w:rPr>
        <w:t>נוסח מסמך זה כפוף לשינויי ניסוח ועריכה</w:t>
      </w:r>
    </w:p>
    <w:sectPr w:rsidR="00455A01" w:rsidRPr="00455A01" w:rsidSect="00C275D8">
      <w:headerReference w:type="even" r:id="rId66"/>
      <w:headerReference w:type="default" r:id="rId67"/>
      <w:footerReference w:type="even" r:id="rId68"/>
      <w:footerReference w:type="default" r:id="rId6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EAE8" w14:textId="77777777" w:rsidR="00B10A74" w:rsidRDefault="00B10A74" w:rsidP="00E66617">
      <w:r>
        <w:separator/>
      </w:r>
    </w:p>
  </w:endnote>
  <w:endnote w:type="continuationSeparator" w:id="0">
    <w:p w14:paraId="129E7BED" w14:textId="77777777" w:rsidR="00B10A74" w:rsidRDefault="00B10A74" w:rsidP="00E6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B0F1" w14:textId="77777777" w:rsidR="00C275D8" w:rsidRDefault="00C275D8" w:rsidP="00C275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B04E5BE" w14:textId="77777777" w:rsidR="00455A01" w:rsidRPr="00C275D8" w:rsidRDefault="00C275D8" w:rsidP="00C275D8">
    <w:pPr>
      <w:pStyle w:val="a5"/>
      <w:pBdr>
        <w:top w:val="single" w:sz="4" w:space="1" w:color="auto"/>
        <w:between w:val="single" w:sz="4" w:space="0" w:color="auto"/>
      </w:pBdr>
      <w:spacing w:after="60"/>
      <w:jc w:val="center"/>
      <w:rPr>
        <w:rFonts w:ascii="FrankRuehl" w:hAnsi="FrankRuehl" w:cs="FrankRuehl"/>
        <w:color w:val="000000"/>
      </w:rPr>
    </w:pPr>
    <w:r w:rsidRPr="00C275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1F4CB" w14:textId="77777777" w:rsidR="00C275D8" w:rsidRDefault="00C275D8" w:rsidP="00C275D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F25B6">
      <w:rPr>
        <w:rStyle w:val="a8"/>
        <w:rFonts w:ascii="FrankRuehl" w:hAnsi="FrankRuehl" w:cs="FrankRuehl"/>
        <w:rtl/>
      </w:rPr>
      <w:t>1</w:t>
    </w:r>
    <w:r>
      <w:rPr>
        <w:rStyle w:val="a8"/>
        <w:rFonts w:ascii="FrankRuehl" w:hAnsi="FrankRuehl" w:cs="FrankRuehl"/>
        <w:rtl/>
      </w:rPr>
      <w:fldChar w:fldCharType="end"/>
    </w:r>
  </w:p>
  <w:p w14:paraId="40E8FC18" w14:textId="77777777" w:rsidR="002E57CC" w:rsidRPr="00C275D8" w:rsidRDefault="00C275D8" w:rsidP="00C275D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275D8">
      <w:rPr>
        <w:rStyle w:val="a8"/>
        <w:rFonts w:ascii="FrankRuehl" w:hAnsi="FrankRuehl" w:cs="FrankRuehl" w:hint="cs"/>
        <w:color w:val="000000"/>
      </w:rPr>
      <w:pict w14:anchorId="2B07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FF62B" w14:textId="77777777" w:rsidR="00B10A74" w:rsidRDefault="00B10A74" w:rsidP="00E66617">
      <w:r>
        <w:separator/>
      </w:r>
    </w:p>
  </w:footnote>
  <w:footnote w:type="continuationSeparator" w:id="0">
    <w:p w14:paraId="47BF6E47" w14:textId="77777777" w:rsidR="00B10A74" w:rsidRDefault="00B10A74" w:rsidP="00E66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4FA38" w14:textId="77777777" w:rsidR="00455A01" w:rsidRPr="00C275D8" w:rsidRDefault="00C275D8" w:rsidP="00C275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31827-10-19</w:t>
    </w:r>
    <w:r>
      <w:rPr>
        <w:rFonts w:ascii="David" w:hAnsi="David"/>
        <w:color w:val="000000"/>
        <w:sz w:val="22"/>
        <w:szCs w:val="22"/>
        <w:rtl/>
      </w:rPr>
      <w:tab/>
      <w:t xml:space="preserve"> מדינת ישראל נ' נתנאל גרשי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33677" w14:textId="77777777" w:rsidR="00455A01" w:rsidRPr="00C275D8" w:rsidRDefault="00C275D8" w:rsidP="00C275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31827-10-19</w:t>
    </w:r>
    <w:r>
      <w:rPr>
        <w:rFonts w:ascii="David" w:hAnsi="David"/>
        <w:color w:val="000000"/>
        <w:sz w:val="22"/>
        <w:szCs w:val="22"/>
        <w:rtl/>
      </w:rPr>
      <w:tab/>
      <w:t xml:space="preserve"> מדינת ישראל נ' נתנאל גרשי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B1C0905A"/>
    <w:lvl w:ilvl="0" w:tplc="75222CDE">
      <w:start w:val="1"/>
      <w:numFmt w:val="decimal"/>
      <w:lvlText w:val="%1."/>
      <w:lvlJc w:val="left"/>
      <w:pPr>
        <w:ind w:left="720" w:hanging="360"/>
      </w:pPr>
    </w:lvl>
    <w:lvl w:ilvl="1" w:tplc="CCCE79E4">
      <w:start w:val="1"/>
      <w:numFmt w:val="hebrew1"/>
      <w:lvlText w:val="%2."/>
      <w:lvlJc w:val="center"/>
      <w:pPr>
        <w:ind w:left="1440" w:hanging="360"/>
      </w:pPr>
    </w:lvl>
    <w:lvl w:ilvl="2" w:tplc="901AA202">
      <w:start w:val="1"/>
      <w:numFmt w:val="decimal"/>
      <w:lvlText w:val="(%3)"/>
      <w:lvlJc w:val="left"/>
      <w:pPr>
        <w:ind w:left="2160" w:hanging="180"/>
      </w:pPr>
      <w:rPr>
        <w:rFonts w:cs="David"/>
        <w:bCs w:val="0"/>
        <w:iCs w:val="0"/>
        <w:szCs w:val="24"/>
      </w:rPr>
    </w:lvl>
    <w:lvl w:ilvl="3" w:tplc="F402B6F4">
      <w:start w:val="1"/>
      <w:numFmt w:val="bullet"/>
      <w:lvlText w:val=""/>
      <w:lvlJc w:val="left"/>
      <w:pPr>
        <w:ind w:left="2880" w:hanging="360"/>
      </w:pPr>
      <w:rPr>
        <w:rFonts w:ascii="Symbol" w:hAnsi="Symbol" w:hint="default"/>
      </w:rPr>
    </w:lvl>
    <w:lvl w:ilvl="4" w:tplc="D8C0FF90">
      <w:start w:val="1"/>
      <w:numFmt w:val="lowerLetter"/>
      <w:lvlText w:val="%5."/>
      <w:lvlJc w:val="left"/>
      <w:pPr>
        <w:ind w:left="3600" w:hanging="360"/>
      </w:pPr>
    </w:lvl>
    <w:lvl w:ilvl="5" w:tplc="F06E63D4">
      <w:start w:val="1"/>
      <w:numFmt w:val="lowerRoman"/>
      <w:lvlText w:val="%6."/>
      <w:lvlJc w:val="right"/>
      <w:pPr>
        <w:ind w:left="4320" w:hanging="180"/>
      </w:pPr>
    </w:lvl>
    <w:lvl w:ilvl="6" w:tplc="5234FE56">
      <w:start w:val="1"/>
      <w:numFmt w:val="decimal"/>
      <w:lvlText w:val="%7."/>
      <w:lvlJc w:val="left"/>
      <w:pPr>
        <w:ind w:left="5040" w:hanging="360"/>
      </w:pPr>
    </w:lvl>
    <w:lvl w:ilvl="7" w:tplc="F446AF78">
      <w:start w:val="1"/>
      <w:numFmt w:val="lowerLetter"/>
      <w:lvlText w:val="%8."/>
      <w:lvlJc w:val="left"/>
      <w:pPr>
        <w:ind w:left="5760" w:hanging="360"/>
      </w:pPr>
    </w:lvl>
    <w:lvl w:ilvl="8" w:tplc="23886F38">
      <w:start w:val="1"/>
      <w:numFmt w:val="lowerRoman"/>
      <w:lvlText w:val="%9."/>
      <w:lvlJc w:val="right"/>
      <w:pPr>
        <w:ind w:left="6480" w:hanging="180"/>
      </w:pPr>
    </w:lvl>
  </w:abstractNum>
  <w:abstractNum w:abstractNumId="1" w15:restartNumberingAfterBreak="0">
    <w:nsid w:val="6D3856D5"/>
    <w:multiLevelType w:val="hybridMultilevel"/>
    <w:tmpl w:val="E94C95BE"/>
    <w:lvl w:ilvl="0" w:tplc="DE74C1E2">
      <w:start w:val="1"/>
      <w:numFmt w:val="bullet"/>
      <w:lvlText w:val=""/>
      <w:lvlJc w:val="left"/>
      <w:pPr>
        <w:ind w:left="1445" w:hanging="360"/>
      </w:pPr>
      <w:rPr>
        <w:rFonts w:ascii="Symbol" w:hAnsi="Symbol" w:hint="default"/>
      </w:rPr>
    </w:lvl>
    <w:lvl w:ilvl="1" w:tplc="B4F8111C">
      <w:start w:val="1"/>
      <w:numFmt w:val="bullet"/>
      <w:lvlText w:val="o"/>
      <w:lvlJc w:val="left"/>
      <w:pPr>
        <w:ind w:left="2165" w:hanging="360"/>
      </w:pPr>
      <w:rPr>
        <w:rFonts w:ascii="Courier New" w:hAnsi="Courier New" w:cs="Courier New" w:hint="default"/>
      </w:rPr>
    </w:lvl>
    <w:lvl w:ilvl="2" w:tplc="CE785680">
      <w:start w:val="1"/>
      <w:numFmt w:val="bullet"/>
      <w:lvlText w:val=""/>
      <w:lvlJc w:val="left"/>
      <w:pPr>
        <w:ind w:left="2885" w:hanging="360"/>
      </w:pPr>
      <w:rPr>
        <w:rFonts w:ascii="Wingdings" w:hAnsi="Wingdings" w:hint="default"/>
      </w:rPr>
    </w:lvl>
    <w:lvl w:ilvl="3" w:tplc="F552F4E6">
      <w:start w:val="1"/>
      <w:numFmt w:val="bullet"/>
      <w:lvlText w:val=""/>
      <w:lvlJc w:val="left"/>
      <w:pPr>
        <w:ind w:left="3605" w:hanging="360"/>
      </w:pPr>
      <w:rPr>
        <w:rFonts w:ascii="Symbol" w:hAnsi="Symbol" w:hint="default"/>
      </w:rPr>
    </w:lvl>
    <w:lvl w:ilvl="4" w:tplc="AB02E8B4">
      <w:start w:val="1"/>
      <w:numFmt w:val="bullet"/>
      <w:lvlText w:val="o"/>
      <w:lvlJc w:val="left"/>
      <w:pPr>
        <w:ind w:left="4325" w:hanging="360"/>
      </w:pPr>
      <w:rPr>
        <w:rFonts w:ascii="Courier New" w:hAnsi="Courier New" w:cs="Courier New" w:hint="default"/>
      </w:rPr>
    </w:lvl>
    <w:lvl w:ilvl="5" w:tplc="DC02C4E8">
      <w:start w:val="1"/>
      <w:numFmt w:val="bullet"/>
      <w:lvlText w:val=""/>
      <w:lvlJc w:val="left"/>
      <w:pPr>
        <w:ind w:left="5045" w:hanging="360"/>
      </w:pPr>
      <w:rPr>
        <w:rFonts w:ascii="Wingdings" w:hAnsi="Wingdings" w:hint="default"/>
      </w:rPr>
    </w:lvl>
    <w:lvl w:ilvl="6" w:tplc="ACACD8EA">
      <w:start w:val="1"/>
      <w:numFmt w:val="bullet"/>
      <w:lvlText w:val=""/>
      <w:lvlJc w:val="left"/>
      <w:pPr>
        <w:ind w:left="5765" w:hanging="360"/>
      </w:pPr>
      <w:rPr>
        <w:rFonts w:ascii="Symbol" w:hAnsi="Symbol" w:hint="default"/>
      </w:rPr>
    </w:lvl>
    <w:lvl w:ilvl="7" w:tplc="43F208D0">
      <w:start w:val="1"/>
      <w:numFmt w:val="bullet"/>
      <w:lvlText w:val="o"/>
      <w:lvlJc w:val="left"/>
      <w:pPr>
        <w:ind w:left="6485" w:hanging="360"/>
      </w:pPr>
      <w:rPr>
        <w:rFonts w:ascii="Courier New" w:hAnsi="Courier New" w:cs="Courier New" w:hint="default"/>
      </w:rPr>
    </w:lvl>
    <w:lvl w:ilvl="8" w:tplc="971C94C0">
      <w:start w:val="1"/>
      <w:numFmt w:val="bullet"/>
      <w:lvlText w:val=""/>
      <w:lvlJc w:val="left"/>
      <w:pPr>
        <w:ind w:left="7205" w:hanging="360"/>
      </w:pPr>
      <w:rPr>
        <w:rFonts w:ascii="Wingdings" w:hAnsi="Wingdings" w:hint="default"/>
      </w:rPr>
    </w:lvl>
  </w:abstractNum>
  <w:num w:numId="1" w16cid:durableId="1826310949">
    <w:abstractNumId w:val="0"/>
  </w:num>
  <w:num w:numId="2" w16cid:durableId="572667901">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260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0BC5"/>
    <w:rsid w:val="00113E92"/>
    <w:rsid w:val="001939B0"/>
    <w:rsid w:val="001A04E4"/>
    <w:rsid w:val="001B5A3B"/>
    <w:rsid w:val="001C2AD2"/>
    <w:rsid w:val="002E57CC"/>
    <w:rsid w:val="00455A01"/>
    <w:rsid w:val="0049122D"/>
    <w:rsid w:val="00677774"/>
    <w:rsid w:val="0075008F"/>
    <w:rsid w:val="008F25B6"/>
    <w:rsid w:val="00960BC5"/>
    <w:rsid w:val="00975F46"/>
    <w:rsid w:val="00B10A74"/>
    <w:rsid w:val="00C275D8"/>
    <w:rsid w:val="00E66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669980"/>
  <w15:chartTrackingRefBased/>
  <w15:docId w15:val="{65061E0B-1E25-4C7F-B804-DE66FFCD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0BC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BC5"/>
    <w:pPr>
      <w:tabs>
        <w:tab w:val="center" w:pos="4153"/>
        <w:tab w:val="right" w:pos="8306"/>
      </w:tabs>
    </w:pPr>
  </w:style>
  <w:style w:type="character" w:customStyle="1" w:styleId="a4">
    <w:name w:val="כותרת עליונה תו"/>
    <w:link w:val="a3"/>
    <w:rsid w:val="00960BC5"/>
    <w:rPr>
      <w:rFonts w:ascii="Times New Roman" w:eastAsia="Times New Roman" w:hAnsi="Times New Roman" w:cs="David"/>
      <w:noProof/>
      <w:sz w:val="24"/>
      <w:szCs w:val="24"/>
    </w:rPr>
  </w:style>
  <w:style w:type="paragraph" w:styleId="a5">
    <w:name w:val="footer"/>
    <w:basedOn w:val="a"/>
    <w:link w:val="a6"/>
    <w:rsid w:val="00960BC5"/>
    <w:pPr>
      <w:tabs>
        <w:tab w:val="center" w:pos="4153"/>
        <w:tab w:val="right" w:pos="8306"/>
      </w:tabs>
    </w:pPr>
  </w:style>
  <w:style w:type="character" w:customStyle="1" w:styleId="a6">
    <w:name w:val="כותרת תחתונה תו"/>
    <w:link w:val="a5"/>
    <w:rsid w:val="00960BC5"/>
    <w:rPr>
      <w:rFonts w:ascii="Times New Roman" w:eastAsia="Times New Roman" w:hAnsi="Times New Roman" w:cs="David"/>
      <w:noProof/>
      <w:sz w:val="24"/>
      <w:szCs w:val="24"/>
    </w:rPr>
  </w:style>
  <w:style w:type="table" w:styleId="a7">
    <w:name w:val="Table Grid"/>
    <w:basedOn w:val="a1"/>
    <w:rsid w:val="00960B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0BC5"/>
  </w:style>
  <w:style w:type="character" w:customStyle="1" w:styleId="a9">
    <w:name w:val="פיסקת רשימה תו"/>
    <w:link w:val="aa"/>
    <w:locked/>
    <w:rsid w:val="00960BC5"/>
    <w:rPr>
      <w:rFonts w:ascii="David" w:hAnsi="David" w:cs="David"/>
      <w:szCs w:val="24"/>
      <w:lang w:eastAsia="he-IL"/>
    </w:rPr>
  </w:style>
  <w:style w:type="paragraph" w:styleId="aa">
    <w:name w:val="List Paragraph"/>
    <w:basedOn w:val="a"/>
    <w:link w:val="a9"/>
    <w:qFormat/>
    <w:rsid w:val="00960BC5"/>
    <w:pPr>
      <w:snapToGrid w:val="0"/>
      <w:ind w:left="720"/>
      <w:contextualSpacing/>
    </w:pPr>
    <w:rPr>
      <w:rFonts w:ascii="David" w:eastAsia="Calibri" w:hAnsi="David"/>
      <w:noProof w:val="0"/>
      <w:sz w:val="22"/>
      <w:lang w:eastAsia="he-IL"/>
    </w:rPr>
  </w:style>
  <w:style w:type="character" w:styleId="Hyperlink">
    <w:name w:val="Hyperlink"/>
    <w:rsid w:val="00455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16a.1" TargetMode="External"/><Relationship Id="rId21" Type="http://schemas.openxmlformats.org/officeDocument/2006/relationships/hyperlink" Target="http://www.nevo.co.il/law/70301/40ji" TargetMode="External"/><Relationship Id="rId42" Type="http://schemas.openxmlformats.org/officeDocument/2006/relationships/hyperlink" Target="http://www.nevo.co.il/case/11252981" TargetMode="External"/><Relationship Id="rId47" Type="http://schemas.openxmlformats.org/officeDocument/2006/relationships/hyperlink" Target="http://www.nevo.co.il/case/27110026"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law/4216/7.c"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8857571" TargetMode="External"/><Relationship Id="rId37" Type="http://schemas.openxmlformats.org/officeDocument/2006/relationships/hyperlink" Target="http://www.nevo.co.il/case/5805976" TargetMode="External"/><Relationship Id="rId40" Type="http://schemas.openxmlformats.org/officeDocument/2006/relationships/hyperlink" Target="http://www.nevo.co.il/case/20632055" TargetMode="External"/><Relationship Id="rId45" Type="http://schemas.openxmlformats.org/officeDocument/2006/relationships/hyperlink" Target="http://www.nevo.co.il/case/27251998"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d"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40f" TargetMode="External"/><Relationship Id="rId19" Type="http://schemas.openxmlformats.org/officeDocument/2006/relationships/hyperlink" Target="http://www.nevo.co.il/law/70301/216a.1"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611608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355977"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5633505" TargetMode="External"/><Relationship Id="rId48" Type="http://schemas.openxmlformats.org/officeDocument/2006/relationships/hyperlink" Target="http://www.nevo.co.il/case/25132499"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8170127"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710074" TargetMode="External"/><Relationship Id="rId46" Type="http://schemas.openxmlformats.org/officeDocument/2006/relationships/hyperlink" Target="http://www.nevo.co.il/case/27081379" TargetMode="External"/><Relationship Id="rId59" Type="http://schemas.openxmlformats.org/officeDocument/2006/relationships/hyperlink" Target="http://www.nevo.co.il/law/70301/40e" TargetMode="External"/><Relationship Id="rId67" Type="http://schemas.openxmlformats.org/officeDocument/2006/relationships/header" Target="header2.xml"/><Relationship Id="rId20" Type="http://schemas.openxmlformats.org/officeDocument/2006/relationships/hyperlink" Target="http://www.nevo.co.il/law/70301/40ja" TargetMode="External"/><Relationship Id="rId41" Type="http://schemas.openxmlformats.org/officeDocument/2006/relationships/hyperlink" Target="http://www.nevo.co.il/case/20104253" TargetMode="External"/><Relationship Id="rId54" Type="http://schemas.openxmlformats.org/officeDocument/2006/relationships/hyperlink" Target="http://www.nevo.co.il/law/4216/37a" TargetMode="External"/><Relationship Id="rId62" Type="http://schemas.openxmlformats.org/officeDocument/2006/relationships/hyperlink" Target="http://www.nevo.co.il/law/70301/40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767484"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27321959" TargetMode="External"/><Relationship Id="rId44" Type="http://schemas.openxmlformats.org/officeDocument/2006/relationships/hyperlink" Target="http://www.nevo.co.il/case/27134141" TargetMode="External"/><Relationship Id="rId52" Type="http://schemas.openxmlformats.org/officeDocument/2006/relationships/hyperlink" Target="http://www.nevo.co.il/law/70301/40h"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39" Type="http://schemas.openxmlformats.org/officeDocument/2006/relationships/hyperlink" Target="http://www.nevo.co.il/case/24492956"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law/70301/40ji" TargetMode="External"/><Relationship Id="rId55"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4187</Words>
  <Characters>20940</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25077</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3211386</vt:i4>
      </vt:variant>
      <vt:variant>
        <vt:i4>171</vt:i4>
      </vt:variant>
      <vt:variant>
        <vt:i4>0</vt:i4>
      </vt:variant>
      <vt:variant>
        <vt:i4>5</vt:i4>
      </vt:variant>
      <vt:variant>
        <vt:lpwstr>http://www.nevo.co.il/case/28170127</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http://www.nevo.co.il/law/70301/40g</vt:lpwstr>
      </vt:variant>
      <vt:variant>
        <vt:lpwstr/>
      </vt:variant>
      <vt:variant>
        <vt:i4>6619233</vt:i4>
      </vt:variant>
      <vt:variant>
        <vt:i4>162</vt:i4>
      </vt:variant>
      <vt:variant>
        <vt:i4>0</vt:i4>
      </vt:variant>
      <vt:variant>
        <vt:i4>5</vt:i4>
      </vt:variant>
      <vt:variant>
        <vt:lpwstr>http://www.nevo.co.il/law/70301/40f</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http://www.nevo.co.il/law/70301/40e</vt:lpwstr>
      </vt:variant>
      <vt:variant>
        <vt:lpwstr/>
      </vt:variant>
      <vt:variant>
        <vt:i4>6619233</vt:i4>
      </vt:variant>
      <vt:variant>
        <vt:i4>153</vt:i4>
      </vt:variant>
      <vt:variant>
        <vt:i4>0</vt:i4>
      </vt:variant>
      <vt:variant>
        <vt:i4>5</vt:i4>
      </vt:variant>
      <vt:variant>
        <vt:lpwstr>http://www.nevo.co.il/law/70301/40d</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2883709</vt:i4>
      </vt:variant>
      <vt:variant>
        <vt:i4>141</vt:i4>
      </vt:variant>
      <vt:variant>
        <vt:i4>0</vt:i4>
      </vt:variant>
      <vt:variant>
        <vt:i4>5</vt:i4>
      </vt:variant>
      <vt:variant>
        <vt:lpwstr>http://www.nevo.co.il/law/4216/37a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http://www.nevo.co.il/law/70301/40h</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786443</vt:i4>
      </vt:variant>
      <vt:variant>
        <vt:i4>129</vt:i4>
      </vt:variant>
      <vt:variant>
        <vt:i4>0</vt:i4>
      </vt:variant>
      <vt:variant>
        <vt:i4>5</vt:i4>
      </vt:variant>
      <vt:variant>
        <vt:lpwstr>http://www.nevo.co.il/law/70301/40ji</vt:lpwstr>
      </vt:variant>
      <vt:variant>
        <vt:lpwstr/>
      </vt:variant>
      <vt:variant>
        <vt:i4>3801200</vt:i4>
      </vt:variant>
      <vt:variant>
        <vt:i4>126</vt:i4>
      </vt:variant>
      <vt:variant>
        <vt:i4>0</vt:i4>
      </vt:variant>
      <vt:variant>
        <vt:i4>5</vt:i4>
      </vt:variant>
      <vt:variant>
        <vt:lpwstr>http://www.nevo.co.il/case/26767484</vt:lpwstr>
      </vt:variant>
      <vt:variant>
        <vt:lpwstr/>
      </vt:variant>
      <vt:variant>
        <vt:i4>3670134</vt:i4>
      </vt:variant>
      <vt:variant>
        <vt:i4>123</vt:i4>
      </vt:variant>
      <vt:variant>
        <vt:i4>0</vt:i4>
      </vt:variant>
      <vt:variant>
        <vt:i4>5</vt:i4>
      </vt:variant>
      <vt:variant>
        <vt:lpwstr>http://www.nevo.co.il/case/25132499</vt:lpwstr>
      </vt:variant>
      <vt:variant>
        <vt:lpwstr/>
      </vt:variant>
      <vt:variant>
        <vt:i4>3211378</vt:i4>
      </vt:variant>
      <vt:variant>
        <vt:i4>120</vt:i4>
      </vt:variant>
      <vt:variant>
        <vt:i4>0</vt:i4>
      </vt:variant>
      <vt:variant>
        <vt:i4>5</vt:i4>
      </vt:variant>
      <vt:variant>
        <vt:lpwstr>http://www.nevo.co.il/case/27110026</vt:lpwstr>
      </vt:variant>
      <vt:variant>
        <vt:lpwstr/>
      </vt:variant>
      <vt:variant>
        <vt:i4>3407992</vt:i4>
      </vt:variant>
      <vt:variant>
        <vt:i4>117</vt:i4>
      </vt:variant>
      <vt:variant>
        <vt:i4>0</vt:i4>
      </vt:variant>
      <vt:variant>
        <vt:i4>5</vt:i4>
      </vt:variant>
      <vt:variant>
        <vt:lpwstr>http://www.nevo.co.il/case/27081379</vt:lpwstr>
      </vt:variant>
      <vt:variant>
        <vt:lpwstr/>
      </vt:variant>
      <vt:variant>
        <vt:i4>3670143</vt:i4>
      </vt:variant>
      <vt:variant>
        <vt:i4>114</vt:i4>
      </vt:variant>
      <vt:variant>
        <vt:i4>0</vt:i4>
      </vt:variant>
      <vt:variant>
        <vt:i4>5</vt:i4>
      </vt:variant>
      <vt:variant>
        <vt:lpwstr>http://www.nevo.co.il/case/27251998</vt:lpwstr>
      </vt:variant>
      <vt:variant>
        <vt:lpwstr/>
      </vt:variant>
      <vt:variant>
        <vt:i4>3342449</vt:i4>
      </vt:variant>
      <vt:variant>
        <vt:i4>111</vt:i4>
      </vt:variant>
      <vt:variant>
        <vt:i4>0</vt:i4>
      </vt:variant>
      <vt:variant>
        <vt:i4>5</vt:i4>
      </vt:variant>
      <vt:variant>
        <vt:lpwstr>http://www.nevo.co.il/case/27134141</vt:lpwstr>
      </vt:variant>
      <vt:variant>
        <vt:lpwstr/>
      </vt:variant>
      <vt:variant>
        <vt:i4>3539057</vt:i4>
      </vt:variant>
      <vt:variant>
        <vt:i4>108</vt:i4>
      </vt:variant>
      <vt:variant>
        <vt:i4>0</vt:i4>
      </vt:variant>
      <vt:variant>
        <vt:i4>5</vt:i4>
      </vt:variant>
      <vt:variant>
        <vt:lpwstr>http://www.nevo.co.il/case/5633505</vt:lpwstr>
      </vt:variant>
      <vt:variant>
        <vt:lpwstr/>
      </vt:variant>
      <vt:variant>
        <vt:i4>3735673</vt:i4>
      </vt:variant>
      <vt:variant>
        <vt:i4>105</vt:i4>
      </vt:variant>
      <vt:variant>
        <vt:i4>0</vt:i4>
      </vt:variant>
      <vt:variant>
        <vt:i4>5</vt:i4>
      </vt:variant>
      <vt:variant>
        <vt:lpwstr>http://www.nevo.co.il/case/11252981</vt:lpwstr>
      </vt:variant>
      <vt:variant>
        <vt:lpwstr/>
      </vt:variant>
      <vt:variant>
        <vt:i4>3276918</vt:i4>
      </vt:variant>
      <vt:variant>
        <vt:i4>102</vt:i4>
      </vt:variant>
      <vt:variant>
        <vt:i4>0</vt:i4>
      </vt:variant>
      <vt:variant>
        <vt:i4>5</vt:i4>
      </vt:variant>
      <vt:variant>
        <vt:lpwstr>http://www.nevo.co.il/case/20104253</vt:lpwstr>
      </vt:variant>
      <vt:variant>
        <vt:lpwstr/>
      </vt:variant>
      <vt:variant>
        <vt:i4>3342455</vt:i4>
      </vt:variant>
      <vt:variant>
        <vt:i4>99</vt:i4>
      </vt:variant>
      <vt:variant>
        <vt:i4>0</vt:i4>
      </vt:variant>
      <vt:variant>
        <vt:i4>5</vt:i4>
      </vt:variant>
      <vt:variant>
        <vt:lpwstr>http://www.nevo.co.il/case/20632055</vt:lpwstr>
      </vt:variant>
      <vt:variant>
        <vt:lpwstr/>
      </vt:variant>
      <vt:variant>
        <vt:i4>3211376</vt:i4>
      </vt:variant>
      <vt:variant>
        <vt:i4>96</vt:i4>
      </vt:variant>
      <vt:variant>
        <vt:i4>0</vt:i4>
      </vt:variant>
      <vt:variant>
        <vt:i4>5</vt:i4>
      </vt:variant>
      <vt:variant>
        <vt:lpwstr>http://www.nevo.co.il/case/24492956</vt:lpwstr>
      </vt:variant>
      <vt:variant>
        <vt:lpwstr/>
      </vt:variant>
      <vt:variant>
        <vt:i4>3276925</vt:i4>
      </vt:variant>
      <vt:variant>
        <vt:i4>93</vt:i4>
      </vt:variant>
      <vt:variant>
        <vt:i4>0</vt:i4>
      </vt:variant>
      <vt:variant>
        <vt:i4>5</vt:i4>
      </vt:variant>
      <vt:variant>
        <vt:lpwstr>http://www.nevo.co.il/case/28710074</vt:lpwstr>
      </vt:variant>
      <vt:variant>
        <vt:lpwstr/>
      </vt:variant>
      <vt:variant>
        <vt:i4>3801214</vt:i4>
      </vt:variant>
      <vt:variant>
        <vt:i4>90</vt:i4>
      </vt:variant>
      <vt:variant>
        <vt:i4>0</vt:i4>
      </vt:variant>
      <vt:variant>
        <vt:i4>5</vt:i4>
      </vt:variant>
      <vt:variant>
        <vt:lpwstr>http://www.nevo.co.il/case/5805976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3801212</vt:i4>
      </vt:variant>
      <vt:variant>
        <vt:i4>75</vt:i4>
      </vt:variant>
      <vt:variant>
        <vt:i4>0</vt:i4>
      </vt:variant>
      <vt:variant>
        <vt:i4>5</vt:i4>
      </vt:variant>
      <vt:variant>
        <vt:lpwstr>http://www.nevo.co.il/case/28857571</vt:lpwstr>
      </vt:variant>
      <vt:variant>
        <vt:lpwstr/>
      </vt:variant>
      <vt:variant>
        <vt:i4>3473528</vt:i4>
      </vt:variant>
      <vt:variant>
        <vt:i4>72</vt:i4>
      </vt:variant>
      <vt:variant>
        <vt:i4>0</vt:i4>
      </vt:variant>
      <vt:variant>
        <vt:i4>5</vt:i4>
      </vt:variant>
      <vt:variant>
        <vt:lpwstr>http://www.nevo.co.il/case/27321959</vt:lpwstr>
      </vt:variant>
      <vt:variant>
        <vt:lpwstr/>
      </vt:variant>
      <vt:variant>
        <vt:i4>3342463</vt:i4>
      </vt:variant>
      <vt:variant>
        <vt:i4>69</vt:i4>
      </vt:variant>
      <vt:variant>
        <vt:i4>0</vt:i4>
      </vt:variant>
      <vt:variant>
        <vt:i4>5</vt:i4>
      </vt:variant>
      <vt:variant>
        <vt:lpwstr>http://www.nevo.co.il/case/27355977</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3407999</vt:i4>
      </vt:variant>
      <vt:variant>
        <vt:i4>57</vt:i4>
      </vt:variant>
      <vt:variant>
        <vt:i4>0</vt:i4>
      </vt:variant>
      <vt:variant>
        <vt:i4>5</vt:i4>
      </vt:variant>
      <vt:variant>
        <vt:lpwstr>http://www.nevo.co.il/law/70301/216a.1</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3997811</vt:i4>
      </vt:variant>
      <vt:variant>
        <vt:i4>45</vt:i4>
      </vt:variant>
      <vt:variant>
        <vt:i4>0</vt:i4>
      </vt:variant>
      <vt:variant>
        <vt:i4>5</vt:i4>
      </vt:variant>
      <vt:variant>
        <vt:lpwstr>http://www.nevo.co.il/case/26116084</vt:lpwstr>
      </vt:variant>
      <vt:variant>
        <vt:lpwstr/>
      </vt:variant>
      <vt:variant>
        <vt:i4>786443</vt:i4>
      </vt:variant>
      <vt:variant>
        <vt:i4>42</vt:i4>
      </vt:variant>
      <vt:variant>
        <vt:i4>0</vt:i4>
      </vt:variant>
      <vt:variant>
        <vt:i4>5</vt:i4>
      </vt:variant>
      <vt:variant>
        <vt:lpwstr>http://www.nevo.co.il/law/70301/40ji</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3407999</vt:i4>
      </vt:variant>
      <vt:variant>
        <vt:i4>36</vt:i4>
      </vt:variant>
      <vt:variant>
        <vt:i4>0</vt:i4>
      </vt:variant>
      <vt:variant>
        <vt:i4>5</vt:i4>
      </vt:variant>
      <vt:variant>
        <vt:lpwstr>http://www.nevo.co.il/law/70301/216a.1</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31827;52031;24512;28856</vt:lpwstr>
  </property>
  <property fmtid="{D5CDD505-2E9C-101B-9397-08002B2CF9AE}" pid="6" name="NEWPARTB">
    <vt:lpwstr>10;01;01;08</vt:lpwstr>
  </property>
  <property fmtid="{D5CDD505-2E9C-101B-9397-08002B2CF9AE}" pid="7" name="NEWPARTC">
    <vt:lpwstr>19;21;21;22</vt:lpwstr>
  </property>
  <property fmtid="{D5CDD505-2E9C-101B-9397-08002B2CF9AE}" pid="8" name="APPELLANT">
    <vt:lpwstr>מדינת ישראל</vt:lpwstr>
  </property>
  <property fmtid="{D5CDD505-2E9C-101B-9397-08002B2CF9AE}" pid="9" name="APPELLEE">
    <vt:lpwstr>נתנאל גרשי</vt:lpwstr>
  </property>
  <property fmtid="{D5CDD505-2E9C-101B-9397-08002B2CF9AE}" pid="10" name="LAWYER">
    <vt:lpwstr>רעות בונה ז'ורנו;הילה מלול;אסף שלם</vt:lpwstr>
  </property>
  <property fmtid="{D5CDD505-2E9C-101B-9397-08002B2CF9AE}" pid="11" name="JUDGE">
    <vt:lpwstr>זהר דולב להמן</vt:lpwstr>
  </property>
  <property fmtid="{D5CDD505-2E9C-101B-9397-08002B2CF9AE}" pid="12" name="CITY">
    <vt:lpwstr>ק"ג</vt:lpwstr>
  </property>
  <property fmtid="{D5CDD505-2E9C-101B-9397-08002B2CF9AE}" pid="13" name="DATE">
    <vt:lpwstr>20240211</vt:lpwstr>
  </property>
  <property fmtid="{D5CDD505-2E9C-101B-9397-08002B2CF9AE}" pid="14" name="TYPE_N_DATE">
    <vt:lpwstr>38020240211</vt:lpwstr>
  </property>
  <property fmtid="{D5CDD505-2E9C-101B-9397-08002B2CF9AE}" pid="15" name="WORDNUMPAGES">
    <vt:lpwstr>11</vt:lpwstr>
  </property>
  <property fmtid="{D5CDD505-2E9C-101B-9397-08002B2CF9AE}" pid="16" name="TYPE_ABS_DATE">
    <vt:lpwstr>380020240211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26116084;27355977;27321959;28857571;13093721;5805976;28710074;24492956;20632055;20104253;11252981;5633505;27134141;27251998;27081379;27110026;25132499;26767484;28170127</vt:lpwstr>
  </property>
  <property fmtid="{D5CDD505-2E9C-101B-9397-08002B2CF9AE}" pid="36" name="LAWLISTTMP1">
    <vt:lpwstr>4216/007.a:2;007.c:2;037a</vt:lpwstr>
  </property>
  <property fmtid="{D5CDD505-2E9C-101B-9397-08002B2CF9AE}" pid="37" name="LAWLISTTMP2">
    <vt:lpwstr>70301/216a.1;040c.a;40ji;040h;040c.b;40ja;040d;040e;040f;040g</vt:lpwstr>
  </property>
</Properties>
</file>