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72D2A" w:rsidRPr="00097BEB" w14:paraId="43248641" w14:textId="77777777" w:rsidTr="006A4CC8">
        <w:trPr>
          <w:trHeight w:hRule="exact" w:val="418"/>
          <w:jc w:val="center"/>
        </w:trPr>
        <w:tc>
          <w:tcPr>
            <w:tcW w:w="8721" w:type="dxa"/>
            <w:gridSpan w:val="2"/>
          </w:tcPr>
          <w:p w14:paraId="3169CE85" w14:textId="77777777" w:rsidR="00372D2A" w:rsidRPr="00097BEB" w:rsidRDefault="00372D2A" w:rsidP="009B12EC">
            <w:pPr>
              <w:pStyle w:val="a3"/>
              <w:jc w:val="center"/>
              <w:rPr>
                <w:rFonts w:ascii="Tahoma" w:hAnsi="Tahoma" w:cs="Tahoma"/>
                <w:color w:val="000080"/>
                <w:rtl/>
              </w:rPr>
            </w:pPr>
            <w:bookmarkStart w:id="0" w:name="LastJudge"/>
            <w:r w:rsidRPr="00097BEB">
              <w:rPr>
                <w:rFonts w:ascii="David" w:hAnsi="David"/>
                <w:b/>
                <w:bCs/>
                <w:color w:val="000080"/>
                <w:sz w:val="28"/>
                <w:szCs w:val="28"/>
                <w:rtl/>
              </w:rPr>
              <w:t>בית משפט השלום בכפר סבא</w:t>
            </w:r>
          </w:p>
        </w:tc>
      </w:tr>
      <w:tr w:rsidR="00372D2A" w:rsidRPr="00097BEB" w14:paraId="6053A1D9" w14:textId="77777777" w:rsidTr="006A4CC8">
        <w:trPr>
          <w:trHeight w:val="337"/>
          <w:jc w:val="center"/>
        </w:trPr>
        <w:tc>
          <w:tcPr>
            <w:tcW w:w="5054" w:type="dxa"/>
          </w:tcPr>
          <w:p w14:paraId="6B3F3F75" w14:textId="77777777" w:rsidR="00372D2A" w:rsidRPr="00097BEB" w:rsidRDefault="00372D2A" w:rsidP="009B12EC">
            <w:pPr>
              <w:rPr>
                <w:rFonts w:cs="FrankRuehl"/>
                <w:sz w:val="28"/>
                <w:szCs w:val="28"/>
                <w:rtl/>
              </w:rPr>
            </w:pPr>
            <w:r w:rsidRPr="00097BEB">
              <w:rPr>
                <w:rFonts w:cs="FrankRuehl"/>
                <w:sz w:val="28"/>
                <w:szCs w:val="28"/>
                <w:rtl/>
              </w:rPr>
              <w:t>ת"פ</w:t>
            </w:r>
            <w:r w:rsidRPr="00097BEB">
              <w:rPr>
                <w:rFonts w:cs="FrankRuehl" w:hint="cs"/>
                <w:sz w:val="28"/>
                <w:szCs w:val="28"/>
                <w:rtl/>
              </w:rPr>
              <w:t xml:space="preserve"> </w:t>
            </w:r>
            <w:r w:rsidRPr="00097BEB">
              <w:rPr>
                <w:rFonts w:cs="FrankRuehl"/>
                <w:sz w:val="28"/>
                <w:szCs w:val="28"/>
                <w:rtl/>
              </w:rPr>
              <w:t>42164-10-19</w:t>
            </w:r>
            <w:r w:rsidRPr="00097BEB">
              <w:rPr>
                <w:rFonts w:cs="FrankRuehl" w:hint="cs"/>
                <w:sz w:val="28"/>
                <w:szCs w:val="28"/>
                <w:rtl/>
              </w:rPr>
              <w:t xml:space="preserve"> </w:t>
            </w:r>
            <w:r w:rsidRPr="00097BEB">
              <w:rPr>
                <w:rFonts w:ascii="FrankRuehl" w:eastAsia="Calibri" w:hAnsi="FrankRuehl" w:cs="FrankRuehl"/>
                <w:sz w:val="28"/>
                <w:szCs w:val="28"/>
                <w:rtl/>
              </w:rPr>
              <w:t>מדינת ישראל נ' אואנונו וענונו</w:t>
            </w:r>
            <w:r w:rsidRPr="00097BEB">
              <w:rPr>
                <w:rFonts w:ascii="FrankRuehl" w:eastAsia="Calibri" w:hAnsi="FrankRuehl" w:cs="FrankRuehl"/>
                <w:sz w:val="28"/>
                <w:szCs w:val="28"/>
                <w:rtl/>
              </w:rPr>
              <w:br/>
              <w:t>ת"פ 19461-07-19 מ</w:t>
            </w:r>
            <w:r w:rsidRPr="00097BEB">
              <w:rPr>
                <w:rFonts w:ascii="FrankRuehl" w:eastAsia="Calibri" w:hAnsi="FrankRuehl" w:cs="FrankRuehl" w:hint="cs"/>
                <w:sz w:val="28"/>
                <w:szCs w:val="28"/>
                <w:rtl/>
              </w:rPr>
              <w:t>דינת ישראל</w:t>
            </w:r>
            <w:r w:rsidRPr="00097BEB">
              <w:rPr>
                <w:rFonts w:ascii="FrankRuehl" w:eastAsia="Calibri" w:hAnsi="FrankRuehl" w:cs="FrankRuehl"/>
                <w:sz w:val="28"/>
                <w:szCs w:val="28"/>
                <w:rtl/>
              </w:rPr>
              <w:t xml:space="preserve"> נ' אואנונו וענונו</w:t>
            </w:r>
            <w:r w:rsidRPr="00097BEB">
              <w:rPr>
                <w:rFonts w:ascii="FrankRuehl" w:eastAsia="Calibri" w:hAnsi="FrankRuehl" w:cs="FrankRuehl"/>
                <w:sz w:val="28"/>
                <w:szCs w:val="28"/>
                <w:rtl/>
              </w:rPr>
              <w:br/>
              <w:t>ת"פ 51814-10-18 מ</w:t>
            </w:r>
            <w:r w:rsidRPr="00097BEB">
              <w:rPr>
                <w:rFonts w:ascii="FrankRuehl" w:eastAsia="Calibri" w:hAnsi="FrankRuehl" w:cs="FrankRuehl" w:hint="cs"/>
                <w:sz w:val="28"/>
                <w:szCs w:val="28"/>
                <w:rtl/>
              </w:rPr>
              <w:t>דינת ישראל</w:t>
            </w:r>
            <w:r w:rsidRPr="00097BEB">
              <w:rPr>
                <w:rFonts w:ascii="FrankRuehl" w:eastAsia="Calibri" w:hAnsi="FrankRuehl" w:cs="FrankRuehl"/>
                <w:sz w:val="28"/>
                <w:szCs w:val="28"/>
                <w:rtl/>
              </w:rPr>
              <w:t xml:space="preserve"> נ' אואנונו וענונו</w:t>
            </w:r>
            <w:r w:rsidRPr="00097BEB">
              <w:rPr>
                <w:rFonts w:ascii="FrankRuehl" w:eastAsia="Calibri" w:hAnsi="FrankRuehl" w:cs="FrankRuehl"/>
                <w:sz w:val="28"/>
                <w:szCs w:val="28"/>
                <w:rtl/>
              </w:rPr>
              <w:br/>
            </w:r>
          </w:p>
        </w:tc>
        <w:tc>
          <w:tcPr>
            <w:tcW w:w="3667" w:type="dxa"/>
          </w:tcPr>
          <w:p w14:paraId="74724F28" w14:textId="77777777" w:rsidR="00372D2A" w:rsidRPr="00097BEB" w:rsidRDefault="00372D2A" w:rsidP="009B12EC">
            <w:pPr>
              <w:pStyle w:val="a3"/>
              <w:jc w:val="right"/>
              <w:rPr>
                <w:rFonts w:cs="FrankRuehl"/>
                <w:sz w:val="28"/>
                <w:szCs w:val="28"/>
                <w:rtl/>
              </w:rPr>
            </w:pPr>
          </w:p>
        </w:tc>
      </w:tr>
    </w:tbl>
    <w:p w14:paraId="0374E677" w14:textId="77777777" w:rsidR="00372D2A" w:rsidRPr="00097BEB" w:rsidRDefault="00372D2A" w:rsidP="00372D2A">
      <w:pPr>
        <w:pStyle w:val="a3"/>
        <w:jc w:val="right"/>
        <w:rPr>
          <w:b/>
          <w:bCs/>
          <w:rtl/>
        </w:rPr>
      </w:pPr>
      <w:r w:rsidRPr="00097BEB">
        <w:rPr>
          <w:rFonts w:hint="cs"/>
          <w:b/>
          <w:bCs/>
          <w:rtl/>
        </w:rPr>
        <w:t>29.9.21</w:t>
      </w:r>
    </w:p>
    <w:p w14:paraId="36BA1489" w14:textId="77777777" w:rsidR="00372D2A" w:rsidRPr="00097BEB" w:rsidRDefault="00372D2A" w:rsidP="00372D2A">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372D2A" w:rsidRPr="00097BEB" w14:paraId="1D16FF42" w14:textId="77777777" w:rsidTr="00372D2A">
        <w:trPr>
          <w:trHeight w:val="295"/>
          <w:jc w:val="center"/>
        </w:trPr>
        <w:tc>
          <w:tcPr>
            <w:tcW w:w="923" w:type="dxa"/>
            <w:tcBorders>
              <w:top w:val="nil"/>
              <w:left w:val="nil"/>
              <w:bottom w:val="nil"/>
              <w:right w:val="nil"/>
            </w:tcBorders>
            <w:shd w:val="clear" w:color="auto" w:fill="auto"/>
          </w:tcPr>
          <w:p w14:paraId="1BB2932E" w14:textId="77777777" w:rsidR="00372D2A" w:rsidRPr="00097BEB" w:rsidRDefault="00372D2A" w:rsidP="00372D2A">
            <w:pPr>
              <w:spacing w:line="360" w:lineRule="auto"/>
              <w:jc w:val="both"/>
              <w:rPr>
                <w:rFonts w:ascii="David" w:hAnsi="David"/>
                <w:b/>
                <w:bCs/>
                <w:sz w:val="28"/>
                <w:szCs w:val="28"/>
              </w:rPr>
            </w:pPr>
            <w:r w:rsidRPr="00097BEB">
              <w:rPr>
                <w:rFonts w:ascii="David" w:hAnsi="David" w:hint="cs"/>
                <w:b/>
                <w:bCs/>
                <w:sz w:val="28"/>
                <w:szCs w:val="28"/>
                <w:rtl/>
              </w:rPr>
              <w:t>ל</w:t>
            </w:r>
            <w:r w:rsidRPr="00097BEB">
              <w:rPr>
                <w:rFonts w:ascii="David" w:hAnsi="David"/>
                <w:b/>
                <w:bCs/>
                <w:sz w:val="28"/>
                <w:szCs w:val="28"/>
                <w:rtl/>
              </w:rPr>
              <w:t>פני</w:t>
            </w:r>
          </w:p>
        </w:tc>
        <w:tc>
          <w:tcPr>
            <w:tcW w:w="7897" w:type="dxa"/>
            <w:tcBorders>
              <w:top w:val="nil"/>
              <w:left w:val="nil"/>
              <w:bottom w:val="nil"/>
              <w:right w:val="nil"/>
            </w:tcBorders>
            <w:shd w:val="clear" w:color="auto" w:fill="auto"/>
          </w:tcPr>
          <w:p w14:paraId="2CC50329" w14:textId="77777777" w:rsidR="00372D2A" w:rsidRPr="00097BEB" w:rsidRDefault="00372D2A" w:rsidP="00372D2A">
            <w:pPr>
              <w:spacing w:line="360" w:lineRule="auto"/>
              <w:rPr>
                <w:rFonts w:ascii="David" w:hAnsi="David"/>
                <w:b/>
                <w:bCs/>
                <w:sz w:val="28"/>
                <w:szCs w:val="28"/>
              </w:rPr>
            </w:pPr>
            <w:r w:rsidRPr="00097BEB">
              <w:rPr>
                <w:rFonts w:ascii="David" w:hAnsi="David"/>
                <w:b/>
                <w:bCs/>
                <w:sz w:val="28"/>
                <w:szCs w:val="28"/>
                <w:rtl/>
              </w:rPr>
              <w:t>כבוד השופט אביב שרון</w:t>
            </w:r>
          </w:p>
        </w:tc>
      </w:tr>
    </w:tbl>
    <w:p w14:paraId="164B45C5" w14:textId="77777777" w:rsidR="00372D2A" w:rsidRPr="00097BEB" w:rsidRDefault="00372D2A" w:rsidP="00372D2A">
      <w:pPr>
        <w:spacing w:line="360" w:lineRule="auto"/>
        <w:jc w:val="both"/>
        <w:rPr>
          <w:rFonts w:ascii="David" w:hAnsi="David"/>
          <w:rtl/>
        </w:rPr>
      </w:pPr>
    </w:p>
    <w:p w14:paraId="60C05248" w14:textId="77777777" w:rsidR="00372D2A" w:rsidRPr="00097BEB" w:rsidRDefault="00372D2A" w:rsidP="00372D2A">
      <w:pPr>
        <w:spacing w:line="360" w:lineRule="auto"/>
        <w:jc w:val="both"/>
        <w:rPr>
          <w:rFonts w:ascii="David" w:hAnsi="David"/>
          <w:b/>
          <w:bCs/>
          <w:rtl/>
        </w:rPr>
      </w:pPr>
      <w:bookmarkStart w:id="1" w:name="FirstAppellant"/>
      <w:r w:rsidRPr="00097BEB">
        <w:rPr>
          <w:rFonts w:ascii="David" w:hAnsi="David"/>
          <w:b/>
          <w:bCs/>
          <w:rtl/>
        </w:rPr>
        <w:t>בעניין</w:t>
      </w:r>
      <w:bookmarkEnd w:id="1"/>
      <w:r w:rsidRPr="00097BEB">
        <w:rPr>
          <w:rFonts w:ascii="David" w:hAnsi="David"/>
          <w:b/>
          <w:bCs/>
          <w:rtl/>
        </w:rPr>
        <w:t>:</w:t>
      </w:r>
      <w:r w:rsidRPr="00097BEB">
        <w:rPr>
          <w:rFonts w:ascii="David" w:hAnsi="David"/>
          <w:b/>
          <w:bCs/>
          <w:rtl/>
        </w:rPr>
        <w:tab/>
        <w:t>מדינת ישראל – פרקליטות מחוז מרכז</w:t>
      </w:r>
      <w:r w:rsidRPr="00097BEB">
        <w:rPr>
          <w:rFonts w:ascii="David" w:hAnsi="David"/>
          <w:b/>
          <w:bCs/>
          <w:rtl/>
        </w:rPr>
        <w:tab/>
      </w:r>
      <w:r w:rsidRPr="00097BEB">
        <w:rPr>
          <w:rFonts w:ascii="David" w:hAnsi="David"/>
          <w:b/>
          <w:bCs/>
          <w:rtl/>
        </w:rPr>
        <w:tab/>
        <w:t>המאשימה</w:t>
      </w:r>
    </w:p>
    <w:p w14:paraId="4D218B71" w14:textId="77777777" w:rsidR="00372D2A" w:rsidRPr="00097BEB" w:rsidRDefault="00372D2A" w:rsidP="00372D2A">
      <w:pPr>
        <w:spacing w:line="360" w:lineRule="auto"/>
        <w:jc w:val="both"/>
        <w:rPr>
          <w:rFonts w:ascii="David" w:hAnsi="David"/>
          <w:rtl/>
        </w:rPr>
      </w:pPr>
      <w:r w:rsidRPr="00097BEB">
        <w:rPr>
          <w:rFonts w:ascii="David" w:hAnsi="David"/>
          <w:rtl/>
        </w:rPr>
        <w:tab/>
        <w:t xml:space="preserve">ע"י </w:t>
      </w:r>
      <w:bookmarkStart w:id="2" w:name="FirstLawyer"/>
      <w:r w:rsidRPr="00097BEB">
        <w:rPr>
          <w:rFonts w:ascii="David" w:hAnsi="David"/>
          <w:rtl/>
        </w:rPr>
        <w:t>ב"כ</w:t>
      </w:r>
      <w:bookmarkEnd w:id="2"/>
      <w:r w:rsidRPr="00097BEB">
        <w:rPr>
          <w:rFonts w:ascii="David" w:hAnsi="David"/>
          <w:rtl/>
        </w:rPr>
        <w:t xml:space="preserve"> עו"ד ראזי בטחיש</w:t>
      </w:r>
    </w:p>
    <w:p w14:paraId="1AEF4E7C" w14:textId="77777777" w:rsidR="00372D2A" w:rsidRPr="00097BEB" w:rsidRDefault="00372D2A" w:rsidP="00372D2A">
      <w:pPr>
        <w:spacing w:line="360" w:lineRule="auto"/>
        <w:jc w:val="both"/>
        <w:rPr>
          <w:rFonts w:ascii="David" w:hAnsi="David"/>
          <w:rtl/>
        </w:rPr>
      </w:pPr>
    </w:p>
    <w:p w14:paraId="69A2BC1E" w14:textId="77777777" w:rsidR="00372D2A" w:rsidRPr="00097BEB" w:rsidRDefault="00372D2A" w:rsidP="00372D2A">
      <w:pPr>
        <w:spacing w:line="360" w:lineRule="auto"/>
        <w:jc w:val="both"/>
        <w:rPr>
          <w:rFonts w:ascii="David" w:hAnsi="David"/>
          <w:b/>
          <w:bCs/>
          <w:rtl/>
        </w:rPr>
      </w:pPr>
      <w:r w:rsidRPr="00097BEB">
        <w:rPr>
          <w:rFonts w:ascii="David" w:hAnsi="David"/>
          <w:b/>
          <w:bCs/>
          <w:rtl/>
        </w:rPr>
        <w:tab/>
        <w:t>נ ג ד</w:t>
      </w:r>
    </w:p>
    <w:p w14:paraId="2317B945" w14:textId="77777777" w:rsidR="00372D2A" w:rsidRPr="00097BEB" w:rsidRDefault="00372D2A" w:rsidP="00372D2A">
      <w:pPr>
        <w:spacing w:line="360" w:lineRule="auto"/>
        <w:jc w:val="both"/>
        <w:rPr>
          <w:rFonts w:ascii="David" w:hAnsi="David"/>
          <w:rtl/>
        </w:rPr>
      </w:pPr>
    </w:p>
    <w:p w14:paraId="602B54E5" w14:textId="77777777" w:rsidR="00372D2A" w:rsidRPr="00097BEB" w:rsidRDefault="00372D2A" w:rsidP="00372D2A">
      <w:pPr>
        <w:spacing w:line="360" w:lineRule="auto"/>
        <w:jc w:val="both"/>
        <w:rPr>
          <w:rFonts w:ascii="David" w:hAnsi="David"/>
          <w:b/>
          <w:bCs/>
          <w:rtl/>
        </w:rPr>
      </w:pPr>
      <w:r w:rsidRPr="00097BEB">
        <w:rPr>
          <w:rFonts w:ascii="David" w:hAnsi="David"/>
          <w:b/>
          <w:bCs/>
          <w:rtl/>
        </w:rPr>
        <w:tab/>
        <w:t>יונתן אואנונו וענונו</w:t>
      </w:r>
      <w:r w:rsidRPr="00097BEB">
        <w:rPr>
          <w:rFonts w:ascii="David" w:hAnsi="David"/>
          <w:b/>
          <w:bCs/>
          <w:rtl/>
        </w:rPr>
        <w:tab/>
      </w:r>
      <w:r w:rsidRPr="00097BEB">
        <w:rPr>
          <w:rFonts w:ascii="David" w:hAnsi="David"/>
          <w:b/>
          <w:bCs/>
          <w:rtl/>
        </w:rPr>
        <w:tab/>
      </w:r>
      <w:r w:rsidRPr="00097BEB">
        <w:rPr>
          <w:rFonts w:ascii="David" w:hAnsi="David"/>
          <w:b/>
          <w:bCs/>
          <w:rtl/>
        </w:rPr>
        <w:tab/>
      </w:r>
      <w:r w:rsidRPr="00097BEB">
        <w:rPr>
          <w:rFonts w:ascii="David" w:hAnsi="David"/>
          <w:b/>
          <w:bCs/>
          <w:rtl/>
        </w:rPr>
        <w:tab/>
        <w:t>הנאשם</w:t>
      </w:r>
    </w:p>
    <w:p w14:paraId="7964C44F" w14:textId="77777777" w:rsidR="00372D2A" w:rsidRPr="00097BEB" w:rsidRDefault="00372D2A" w:rsidP="00372D2A">
      <w:pPr>
        <w:spacing w:line="360" w:lineRule="auto"/>
        <w:jc w:val="both"/>
        <w:rPr>
          <w:rFonts w:ascii="David" w:hAnsi="David"/>
          <w:rtl/>
        </w:rPr>
      </w:pPr>
      <w:r w:rsidRPr="00097BEB">
        <w:rPr>
          <w:rFonts w:ascii="David" w:hAnsi="David"/>
          <w:rtl/>
        </w:rPr>
        <w:tab/>
        <w:t>ע"י ב"כ עו"ד מיכל קורן</w:t>
      </w:r>
    </w:p>
    <w:p w14:paraId="29CBF2DA" w14:textId="77777777" w:rsidR="006A4CC8" w:rsidRDefault="006A4CC8" w:rsidP="00372D2A">
      <w:pPr>
        <w:spacing w:line="360" w:lineRule="auto"/>
        <w:jc w:val="both"/>
        <w:rPr>
          <w:rFonts w:ascii="David" w:hAnsi="David"/>
          <w:rtl/>
        </w:rPr>
      </w:pPr>
    </w:p>
    <w:p w14:paraId="10305B42" w14:textId="77777777" w:rsidR="006A4CC8" w:rsidRPr="006A4CC8" w:rsidRDefault="006A4CC8" w:rsidP="006A4CC8">
      <w:pPr>
        <w:spacing w:after="120" w:line="240" w:lineRule="exact"/>
        <w:ind w:left="283" w:hanging="283"/>
        <w:jc w:val="both"/>
        <w:rPr>
          <w:rFonts w:ascii="FrankRuehl" w:hAnsi="FrankRuehl" w:cs="FrankRuehl"/>
          <w:rtl/>
        </w:rPr>
      </w:pPr>
    </w:p>
    <w:p w14:paraId="2A29A016" w14:textId="77777777" w:rsidR="007D09EA" w:rsidRPr="007D09EA" w:rsidRDefault="007D09EA" w:rsidP="007D09EA">
      <w:pPr>
        <w:spacing w:before="120" w:after="120" w:line="240" w:lineRule="exact"/>
        <w:ind w:left="283" w:hanging="283"/>
        <w:jc w:val="both"/>
        <w:rPr>
          <w:rFonts w:ascii="FrankRuehl" w:hAnsi="FrankRuehl" w:cs="FrankRuehl"/>
          <w:rtl/>
        </w:rPr>
      </w:pPr>
    </w:p>
    <w:p w14:paraId="19EF2CCF" w14:textId="77777777" w:rsidR="00680507" w:rsidRDefault="00680507" w:rsidP="00680507">
      <w:pPr>
        <w:spacing w:line="360" w:lineRule="auto"/>
        <w:jc w:val="center"/>
        <w:rPr>
          <w:rFonts w:ascii="David" w:hAnsi="David"/>
          <w:sz w:val="28"/>
          <w:szCs w:val="28"/>
          <w:rtl/>
        </w:rPr>
      </w:pPr>
      <w:bookmarkStart w:id="3" w:name="LawTable"/>
      <w:bookmarkEnd w:id="3"/>
    </w:p>
    <w:p w14:paraId="0796B940" w14:textId="77777777" w:rsidR="00680507" w:rsidRPr="00680507" w:rsidRDefault="00680507" w:rsidP="00680507">
      <w:pPr>
        <w:spacing w:before="120" w:after="120" w:line="240" w:lineRule="exact"/>
        <w:ind w:left="283" w:hanging="283"/>
        <w:jc w:val="both"/>
        <w:rPr>
          <w:rFonts w:ascii="FrankRuehl" w:hAnsi="FrankRuehl" w:cs="FrankRuehl"/>
          <w:rtl/>
        </w:rPr>
      </w:pPr>
    </w:p>
    <w:p w14:paraId="3C4D7AA2" w14:textId="77777777" w:rsidR="00680507" w:rsidRPr="00680507" w:rsidRDefault="00680507" w:rsidP="00680507">
      <w:pPr>
        <w:spacing w:before="120" w:after="120" w:line="240" w:lineRule="exact"/>
        <w:ind w:left="283" w:hanging="283"/>
        <w:jc w:val="both"/>
        <w:rPr>
          <w:rFonts w:ascii="FrankRuehl" w:hAnsi="FrankRuehl" w:cs="FrankRuehl"/>
          <w:rtl/>
        </w:rPr>
      </w:pPr>
    </w:p>
    <w:p w14:paraId="03665D0A" w14:textId="77777777" w:rsidR="00680507" w:rsidRPr="00680507" w:rsidRDefault="00680507" w:rsidP="00680507">
      <w:pPr>
        <w:spacing w:before="120" w:after="120" w:line="240" w:lineRule="exact"/>
        <w:ind w:left="283" w:hanging="283"/>
        <w:jc w:val="both"/>
        <w:rPr>
          <w:rFonts w:ascii="FrankRuehl" w:hAnsi="FrankRuehl" w:cs="FrankRuehl"/>
          <w:rtl/>
        </w:rPr>
      </w:pPr>
      <w:r w:rsidRPr="00680507">
        <w:rPr>
          <w:rFonts w:ascii="FrankRuehl" w:hAnsi="FrankRuehl" w:cs="FrankRuehl"/>
          <w:rtl/>
        </w:rPr>
        <w:t xml:space="preserve">חקיקה שאוזכרה: </w:t>
      </w:r>
    </w:p>
    <w:p w14:paraId="090C075A" w14:textId="77777777" w:rsidR="00680507" w:rsidRPr="00680507" w:rsidRDefault="00680507" w:rsidP="00680507">
      <w:pPr>
        <w:spacing w:before="120" w:after="120" w:line="240" w:lineRule="exact"/>
        <w:ind w:left="283" w:hanging="283"/>
        <w:jc w:val="both"/>
        <w:rPr>
          <w:rFonts w:ascii="FrankRuehl" w:hAnsi="FrankRuehl" w:cs="FrankRuehl"/>
          <w:rtl/>
        </w:rPr>
      </w:pPr>
      <w:hyperlink r:id="rId6" w:history="1">
        <w:r w:rsidRPr="00680507">
          <w:rPr>
            <w:rFonts w:ascii="FrankRuehl" w:hAnsi="FrankRuehl" w:cs="FrankRuehl"/>
            <w:color w:val="0000FF"/>
            <w:rtl/>
          </w:rPr>
          <w:t>פקודת הסמים המסוכנים [נוסח חדש], תשל"ג-1973</w:t>
        </w:r>
      </w:hyperlink>
      <w:r w:rsidRPr="00680507">
        <w:rPr>
          <w:rFonts w:ascii="FrankRuehl" w:hAnsi="FrankRuehl" w:cs="FrankRuehl"/>
          <w:rtl/>
        </w:rPr>
        <w:t xml:space="preserve">: סע'  </w:t>
      </w:r>
      <w:hyperlink r:id="rId7" w:history="1">
        <w:r w:rsidRPr="00680507">
          <w:rPr>
            <w:rFonts w:ascii="FrankRuehl" w:hAnsi="FrankRuehl" w:cs="FrankRuehl"/>
            <w:color w:val="0000FF"/>
            <w:rtl/>
          </w:rPr>
          <w:t>7.א.</w:t>
        </w:r>
      </w:hyperlink>
      <w:r w:rsidRPr="00680507">
        <w:rPr>
          <w:rFonts w:ascii="FrankRuehl" w:hAnsi="FrankRuehl" w:cs="FrankRuehl"/>
          <w:rtl/>
        </w:rPr>
        <w:t xml:space="preserve">, </w:t>
      </w:r>
      <w:hyperlink r:id="rId8" w:history="1">
        <w:r w:rsidRPr="00680507">
          <w:rPr>
            <w:rFonts w:ascii="FrankRuehl" w:hAnsi="FrankRuehl" w:cs="FrankRuehl"/>
            <w:color w:val="0000FF"/>
            <w:rtl/>
          </w:rPr>
          <w:t>7.ג</w:t>
        </w:r>
      </w:hyperlink>
    </w:p>
    <w:p w14:paraId="2D82BC72" w14:textId="77777777" w:rsidR="00680507" w:rsidRPr="00680507" w:rsidRDefault="00680507" w:rsidP="00680507">
      <w:pPr>
        <w:spacing w:line="360" w:lineRule="auto"/>
        <w:jc w:val="center"/>
        <w:rPr>
          <w:rFonts w:ascii="David" w:hAnsi="David"/>
          <w:sz w:val="28"/>
          <w:szCs w:val="28"/>
          <w:rtl/>
        </w:rPr>
      </w:pPr>
      <w:bookmarkStart w:id="4" w:name="LawTable_End"/>
      <w:bookmarkEnd w:id="4"/>
    </w:p>
    <w:p w14:paraId="0B843676" w14:textId="77777777" w:rsidR="00097BEB" w:rsidRPr="007D09EA" w:rsidRDefault="00097BEB" w:rsidP="007D09EA">
      <w:pPr>
        <w:spacing w:line="360" w:lineRule="auto"/>
        <w:jc w:val="center"/>
        <w:rPr>
          <w:rFonts w:ascii="David" w:hAnsi="David"/>
          <w:sz w:val="28"/>
          <w:szCs w:val="28"/>
          <w:rtl/>
        </w:rPr>
      </w:pPr>
    </w:p>
    <w:p w14:paraId="6A2A068F" w14:textId="77777777" w:rsidR="00097BEB" w:rsidRPr="00097BEB" w:rsidRDefault="00097BEB" w:rsidP="00097BEB">
      <w:pPr>
        <w:spacing w:line="360" w:lineRule="auto"/>
        <w:jc w:val="center"/>
        <w:rPr>
          <w:rFonts w:ascii="David" w:hAnsi="David"/>
          <w:b/>
          <w:bCs/>
          <w:sz w:val="28"/>
          <w:szCs w:val="28"/>
          <w:u w:val="single"/>
          <w:rtl/>
        </w:rPr>
      </w:pPr>
      <w:bookmarkStart w:id="5" w:name="PsakDin"/>
      <w:bookmarkEnd w:id="0"/>
      <w:r w:rsidRPr="00097BEB">
        <w:rPr>
          <w:rFonts w:ascii="David" w:hAnsi="David"/>
          <w:b/>
          <w:bCs/>
          <w:sz w:val="28"/>
          <w:szCs w:val="28"/>
          <w:u w:val="single"/>
          <w:rtl/>
        </w:rPr>
        <w:t>גזר דין</w:t>
      </w:r>
    </w:p>
    <w:bookmarkEnd w:id="5"/>
    <w:p w14:paraId="694A96E8" w14:textId="77777777" w:rsidR="00372D2A" w:rsidRDefault="00372D2A" w:rsidP="00372D2A">
      <w:pPr>
        <w:spacing w:line="360" w:lineRule="auto"/>
        <w:jc w:val="both"/>
        <w:rPr>
          <w:rFonts w:ascii="David" w:hAnsi="David"/>
          <w:rtl/>
        </w:rPr>
      </w:pPr>
    </w:p>
    <w:p w14:paraId="6D8C1EE4" w14:textId="77777777" w:rsidR="00372D2A" w:rsidRDefault="00372D2A" w:rsidP="00372D2A">
      <w:pPr>
        <w:spacing w:line="360" w:lineRule="auto"/>
        <w:jc w:val="both"/>
        <w:rPr>
          <w:rFonts w:ascii="David" w:hAnsi="David"/>
          <w:b/>
          <w:bCs/>
          <w:u w:val="single"/>
          <w:rtl/>
        </w:rPr>
      </w:pPr>
      <w:r>
        <w:rPr>
          <w:rFonts w:ascii="David" w:hAnsi="David"/>
          <w:b/>
          <w:bCs/>
          <w:u w:val="single"/>
          <w:rtl/>
        </w:rPr>
        <w:t>הודאת הנאשם וצירוף התיקים</w:t>
      </w:r>
    </w:p>
    <w:p w14:paraId="3389FE26" w14:textId="77777777" w:rsidR="00372D2A" w:rsidRDefault="00372D2A" w:rsidP="00372D2A">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יליד 1964, הורשע על פי הודאתו, ובמסגרת הסדר דיוני, ב-3 כתבי אישום המייחסים לו עבירה של </w:t>
      </w:r>
      <w:r w:rsidRPr="006844F8">
        <w:rPr>
          <w:rFonts w:ascii="David" w:hAnsi="David"/>
          <w:b/>
          <w:bCs/>
          <w:rtl/>
        </w:rPr>
        <w:t>החזקת סם שלא לצריכה עצמית</w:t>
      </w:r>
      <w:r>
        <w:rPr>
          <w:rFonts w:ascii="David" w:hAnsi="David"/>
          <w:rtl/>
        </w:rPr>
        <w:t xml:space="preserve">, בניגוד </w:t>
      </w:r>
      <w:hyperlink r:id="rId9" w:history="1">
        <w:r w:rsidR="006A4CC8" w:rsidRPr="006A4CC8">
          <w:rPr>
            <w:rStyle w:val="Hyperlink"/>
            <w:rFonts w:ascii="David" w:hAnsi="David"/>
            <w:rtl/>
          </w:rPr>
          <w:t>לסעיף 7(א)+7(ג)</w:t>
        </w:r>
      </w:hyperlink>
      <w:r>
        <w:rPr>
          <w:rFonts w:ascii="David" w:hAnsi="David"/>
          <w:rtl/>
        </w:rPr>
        <w:t xml:space="preserve"> רישא ל</w:t>
      </w:r>
      <w:hyperlink r:id="rId10" w:history="1">
        <w:r w:rsidR="00097BEB" w:rsidRPr="00097BEB">
          <w:rPr>
            <w:rFonts w:ascii="David" w:hAnsi="David"/>
            <w:color w:val="0000FF"/>
            <w:u w:val="single"/>
            <w:rtl/>
          </w:rPr>
          <w:t>פקודת הסמים המסוכנים</w:t>
        </w:r>
      </w:hyperlink>
      <w:r>
        <w:rPr>
          <w:rFonts w:ascii="David" w:hAnsi="David"/>
          <w:rtl/>
        </w:rPr>
        <w:t xml:space="preserve"> [נוסח חדש], תשל"ג-1973, כמפורט להלן.</w:t>
      </w:r>
    </w:p>
    <w:p w14:paraId="4FE7D23E" w14:textId="77777777" w:rsidR="00372D2A" w:rsidRDefault="00097BEB" w:rsidP="00372D2A">
      <w:pPr>
        <w:spacing w:line="360" w:lineRule="auto"/>
        <w:jc w:val="both"/>
        <w:rPr>
          <w:rFonts w:ascii="David" w:hAnsi="David"/>
          <w:rtl/>
        </w:rPr>
      </w:pPr>
      <w:hyperlink r:id="rId11" w:history="1">
        <w:r w:rsidRPr="00097BEB">
          <w:rPr>
            <w:rFonts w:ascii="David" w:hAnsi="David"/>
            <w:color w:val="0000FF"/>
            <w:u w:val="single"/>
            <w:rtl/>
          </w:rPr>
          <w:t>ת"פ 42164-10-19</w:t>
        </w:r>
      </w:hyperlink>
      <w:r w:rsidR="00372D2A">
        <w:rPr>
          <w:rFonts w:ascii="David" w:hAnsi="David"/>
          <w:rtl/>
        </w:rPr>
        <w:t xml:space="preserve"> – ביום 16.10.19 בשעה 13:20 סמוך לחניית בית הדין השרעי בטייבה רכש הנאשם מאחר והחזיק בכיס מכנסיו </w:t>
      </w:r>
      <w:r w:rsidR="00372D2A" w:rsidRPr="006844F8">
        <w:rPr>
          <w:rFonts w:ascii="David" w:hAnsi="David"/>
          <w:b/>
          <w:bCs/>
          <w:rtl/>
        </w:rPr>
        <w:t>סם מסוכן מסוג הרואין במשקל 27.4 גרם נטו</w:t>
      </w:r>
      <w:r w:rsidR="00372D2A">
        <w:rPr>
          <w:rFonts w:ascii="David" w:hAnsi="David"/>
          <w:rtl/>
        </w:rPr>
        <w:t>.</w:t>
      </w:r>
    </w:p>
    <w:p w14:paraId="0B797795" w14:textId="77777777" w:rsidR="00372D2A" w:rsidRDefault="00097BEB" w:rsidP="00372D2A">
      <w:pPr>
        <w:spacing w:line="360" w:lineRule="auto"/>
        <w:jc w:val="both"/>
        <w:rPr>
          <w:rFonts w:ascii="David" w:hAnsi="David"/>
          <w:rtl/>
        </w:rPr>
      </w:pPr>
      <w:hyperlink r:id="rId12" w:history="1">
        <w:r w:rsidRPr="00097BEB">
          <w:rPr>
            <w:rFonts w:ascii="David" w:hAnsi="David"/>
            <w:color w:val="0000FF"/>
            <w:u w:val="single"/>
            <w:rtl/>
          </w:rPr>
          <w:t>ת"פ 19461-07-19</w:t>
        </w:r>
      </w:hyperlink>
      <w:r w:rsidR="00372D2A">
        <w:rPr>
          <w:rFonts w:ascii="David" w:hAnsi="David"/>
          <w:rtl/>
        </w:rPr>
        <w:t xml:space="preserve"> – ביום 17.10.18 בשעה 11:40 בבית הנאשם שבחדרה נמצאו </w:t>
      </w:r>
      <w:r w:rsidR="00372D2A" w:rsidRPr="006844F8">
        <w:rPr>
          <w:rFonts w:ascii="David" w:hAnsi="David"/>
          <w:b/>
          <w:bCs/>
          <w:rtl/>
        </w:rPr>
        <w:t xml:space="preserve">סמים מסוכנים מסוג הרואין מחולקים ל-4 יחידות במשקל כולל של 1.7122 גרם </w:t>
      </w:r>
      <w:bookmarkStart w:id="7" w:name="ABSTRACT_END"/>
      <w:bookmarkEnd w:id="7"/>
      <w:r w:rsidR="00372D2A" w:rsidRPr="006844F8">
        <w:rPr>
          <w:rFonts w:ascii="David" w:hAnsi="David"/>
          <w:b/>
          <w:bCs/>
          <w:rtl/>
        </w:rPr>
        <w:t>נטו</w:t>
      </w:r>
      <w:r w:rsidR="00372D2A">
        <w:rPr>
          <w:rFonts w:ascii="David" w:hAnsi="David"/>
          <w:rtl/>
        </w:rPr>
        <w:t>.</w:t>
      </w:r>
    </w:p>
    <w:p w14:paraId="4DED478D" w14:textId="77777777" w:rsidR="00372D2A" w:rsidRDefault="00097BEB" w:rsidP="00372D2A">
      <w:pPr>
        <w:spacing w:line="360" w:lineRule="auto"/>
        <w:jc w:val="both"/>
        <w:rPr>
          <w:rFonts w:ascii="David" w:hAnsi="David"/>
          <w:rtl/>
        </w:rPr>
      </w:pPr>
      <w:hyperlink r:id="rId13" w:history="1">
        <w:r w:rsidRPr="00097BEB">
          <w:rPr>
            <w:rFonts w:ascii="David" w:hAnsi="David"/>
            <w:color w:val="0000FF"/>
            <w:u w:val="single"/>
            <w:rtl/>
          </w:rPr>
          <w:t>ת"פ 51814-10-18</w:t>
        </w:r>
      </w:hyperlink>
      <w:r w:rsidR="00372D2A">
        <w:rPr>
          <w:rFonts w:ascii="David" w:hAnsi="David"/>
          <w:rtl/>
        </w:rPr>
        <w:t xml:space="preserve"> – ביום 8.4.18 בשעה 16:25, בחדרה, נתפס הנאשם מחזיק </w:t>
      </w:r>
      <w:r w:rsidR="00372D2A" w:rsidRPr="006844F8">
        <w:rPr>
          <w:rFonts w:ascii="David" w:hAnsi="David"/>
          <w:b/>
          <w:bCs/>
          <w:rtl/>
        </w:rPr>
        <w:t>סם מסוכן מסוג הרואין במשקל 4.0630 גרם נטו</w:t>
      </w:r>
      <w:r w:rsidR="00372D2A">
        <w:rPr>
          <w:rFonts w:ascii="David" w:hAnsi="David"/>
          <w:rtl/>
        </w:rPr>
        <w:t>.</w:t>
      </w:r>
    </w:p>
    <w:p w14:paraId="22DEBD72" w14:textId="77777777" w:rsidR="00372D2A" w:rsidRDefault="00372D2A" w:rsidP="00372D2A">
      <w:pPr>
        <w:spacing w:line="360" w:lineRule="auto"/>
        <w:jc w:val="both"/>
        <w:rPr>
          <w:rFonts w:ascii="David" w:hAnsi="David"/>
          <w:rtl/>
        </w:rPr>
      </w:pPr>
    </w:p>
    <w:p w14:paraId="5616945B" w14:textId="77777777" w:rsidR="00372D2A" w:rsidRDefault="00372D2A" w:rsidP="00372D2A">
      <w:pPr>
        <w:spacing w:line="360" w:lineRule="auto"/>
        <w:jc w:val="both"/>
        <w:rPr>
          <w:rFonts w:ascii="David" w:hAnsi="David"/>
          <w:rtl/>
        </w:rPr>
      </w:pPr>
      <w:r>
        <w:rPr>
          <w:rFonts w:ascii="David" w:hAnsi="David"/>
          <w:rtl/>
        </w:rPr>
        <w:t>2.</w:t>
      </w:r>
      <w:r>
        <w:rPr>
          <w:rFonts w:ascii="David" w:hAnsi="David"/>
          <w:rtl/>
        </w:rPr>
        <w:tab/>
        <w:t>במסגרת ההסדר הדיוני הוסכם שהנאשם יישלח לשרות המבחן לצורך קבלת תסקיר בעניינו. לא היתה הסכמה לעונש וכל צד טען כראות עיניו.</w:t>
      </w:r>
    </w:p>
    <w:p w14:paraId="3B464E03" w14:textId="77777777" w:rsidR="00372D2A" w:rsidRDefault="00372D2A" w:rsidP="00372D2A">
      <w:pPr>
        <w:spacing w:line="360" w:lineRule="auto"/>
        <w:jc w:val="both"/>
        <w:rPr>
          <w:rFonts w:ascii="David" w:hAnsi="David"/>
          <w:rtl/>
        </w:rPr>
      </w:pPr>
    </w:p>
    <w:p w14:paraId="132B9299" w14:textId="77777777" w:rsidR="00372D2A" w:rsidRDefault="00372D2A" w:rsidP="00372D2A">
      <w:pPr>
        <w:spacing w:line="360" w:lineRule="auto"/>
        <w:jc w:val="both"/>
        <w:rPr>
          <w:rFonts w:ascii="David" w:hAnsi="David"/>
          <w:b/>
          <w:bCs/>
          <w:u w:val="single"/>
          <w:rtl/>
        </w:rPr>
      </w:pPr>
      <w:r>
        <w:rPr>
          <w:rFonts w:ascii="David" w:hAnsi="David"/>
          <w:b/>
          <w:bCs/>
          <w:u w:val="single"/>
          <w:rtl/>
        </w:rPr>
        <w:t>תסקירי שרות המבחן</w:t>
      </w:r>
    </w:p>
    <w:p w14:paraId="09A3B254" w14:textId="77777777" w:rsidR="00372D2A" w:rsidRDefault="00372D2A" w:rsidP="00372D2A">
      <w:pPr>
        <w:spacing w:line="360" w:lineRule="auto"/>
        <w:jc w:val="both"/>
        <w:rPr>
          <w:rFonts w:ascii="David" w:hAnsi="David"/>
          <w:rtl/>
        </w:rPr>
      </w:pPr>
      <w:r>
        <w:rPr>
          <w:rFonts w:ascii="David" w:hAnsi="David"/>
          <w:rtl/>
        </w:rPr>
        <w:t>3.</w:t>
      </w:r>
      <w:r>
        <w:rPr>
          <w:rFonts w:ascii="David" w:hAnsi="David"/>
          <w:rtl/>
        </w:rPr>
        <w:tab/>
        <w:t>בעניינו של הנאשם התקבלו ארבעה תסקירים</w:t>
      </w:r>
      <w:r>
        <w:rPr>
          <w:rFonts w:ascii="David" w:hAnsi="David" w:hint="cs"/>
          <w:rtl/>
        </w:rPr>
        <w:t>.</w:t>
      </w:r>
    </w:p>
    <w:p w14:paraId="67FD0393" w14:textId="77777777" w:rsidR="00372D2A" w:rsidRDefault="00372D2A" w:rsidP="00372D2A">
      <w:pPr>
        <w:spacing w:line="360" w:lineRule="auto"/>
        <w:jc w:val="both"/>
        <w:rPr>
          <w:rFonts w:ascii="David" w:hAnsi="David"/>
          <w:rtl/>
        </w:rPr>
      </w:pPr>
      <w:r>
        <w:rPr>
          <w:rFonts w:ascii="David" w:hAnsi="David"/>
          <w:u w:val="single"/>
          <w:rtl/>
        </w:rPr>
        <w:t>בתסקיר מיום 3.11.20</w:t>
      </w:r>
      <w:r>
        <w:rPr>
          <w:rFonts w:ascii="David" w:hAnsi="David"/>
          <w:rtl/>
        </w:rPr>
        <w:t xml:space="preserve"> נאמר שהנאשם בן 56, נשוי ואב ל-3 ילדים בוגרים, מאופיין ביציבות חלקית מבחינה תעסוקתית בתחום נגרות. מצוי במעצר בית לצד שעות יציאה בפיקוח, בין היתר, לצרכים טיפוליים. לנאשם 8 הרשעות קודמות בעבירות רכוש, סמים ומין מהשנים 2011-1983. מאסרו האחרון הוא משנת 1986. בגיל צעיר החל שימוש בסם מסוג קנאבוס</w:t>
      </w:r>
      <w:r>
        <w:rPr>
          <w:rFonts w:ascii="David" w:hAnsi="David" w:hint="cs"/>
          <w:rtl/>
        </w:rPr>
        <w:t>,</w:t>
      </w:r>
      <w:r>
        <w:rPr>
          <w:rFonts w:ascii="David" w:hAnsi="David"/>
          <w:rtl/>
        </w:rPr>
        <w:t xml:space="preserve"> כאשר בגיל 30 החל להשתמש בסם מסוג הרואין. מאז הצליח להפסיק השימוש ולהיות מאוזן, אך בתקופות משבריות חזר להשתמש בסמים. לאורך השנים שהה בקהילות טיפוליות ואשפוזיות, דבר שהצליח לסייע לו בשמירה על נקיון. לפני כשנתיים חזר להשתמש בהרואין על רקע קשיים שחווה עם בנו אשר סובל מסכיזופרניה ולעיתים נמנע מליטול את התרופות ומתנהג בתוקפנות בבית. מפברואר 2020 הנאשם אינו צורך סמים ומשתמש בתחליף סם. הנאשם הודה בביצוע העבירות ותפס אותן כתוצאה של התמכרותו הפעילה באותה תקופה, ולצרכים אישיים.</w:t>
      </w:r>
    </w:p>
    <w:p w14:paraId="707F0E0B" w14:textId="77777777" w:rsidR="00372D2A" w:rsidRDefault="00372D2A" w:rsidP="00372D2A">
      <w:pPr>
        <w:spacing w:line="360" w:lineRule="auto"/>
        <w:jc w:val="both"/>
        <w:rPr>
          <w:rFonts w:ascii="David" w:hAnsi="David"/>
          <w:rtl/>
        </w:rPr>
      </w:pPr>
      <w:r>
        <w:rPr>
          <w:rFonts w:ascii="David" w:hAnsi="David"/>
          <w:rtl/>
        </w:rPr>
        <w:t>במסגרת צו פיקוח המעצרים השלים הנאשם טיפול בן 3 שבועות באשפוזית "קרית שלמה" ו</w:t>
      </w:r>
      <w:r>
        <w:rPr>
          <w:rFonts w:ascii="David" w:hAnsi="David" w:hint="cs"/>
          <w:rtl/>
        </w:rPr>
        <w:t xml:space="preserve">היה </w:t>
      </w:r>
      <w:r>
        <w:rPr>
          <w:rFonts w:ascii="David" w:hAnsi="David"/>
          <w:rtl/>
        </w:rPr>
        <w:t>צפוי לעבור לטיפול בקהילה טיפולית. לאחר סיום האשפוזית הנאשם לא התייצב בקהילה הטיפולית וניתק הקשר עם שרות המבחן. בחודש מרץ 2020 חידש את הקשר עם השרות ומסר שפנה למרכז לטיפול בתחליף סם בחדרה, שכן אינו מסוגל להתנקות מסמים ללא הטיפול התרופתי האמור. העו"ס מהמרפאה מסרה שהנאשם מתייצב ומשתף פעולה עם הטיפול כנדרש. בדיקות שתן הצביעו על נקיון מסמים. שרות המבחן ביקש דחיה על מנת ליטול בדיקות שתן מהנאשם לאיתור סמים.</w:t>
      </w:r>
    </w:p>
    <w:p w14:paraId="554AAE8F" w14:textId="77777777" w:rsidR="00372D2A" w:rsidRDefault="00372D2A" w:rsidP="00372D2A">
      <w:pPr>
        <w:spacing w:line="360" w:lineRule="auto"/>
        <w:jc w:val="both"/>
        <w:rPr>
          <w:rFonts w:ascii="David" w:hAnsi="David"/>
          <w:rtl/>
        </w:rPr>
      </w:pPr>
    </w:p>
    <w:p w14:paraId="2D1799D0" w14:textId="77777777" w:rsidR="00372D2A" w:rsidRDefault="00372D2A" w:rsidP="00372D2A">
      <w:pPr>
        <w:spacing w:line="360" w:lineRule="auto"/>
        <w:jc w:val="both"/>
        <w:rPr>
          <w:rFonts w:ascii="David" w:hAnsi="David"/>
          <w:rtl/>
        </w:rPr>
      </w:pPr>
      <w:r>
        <w:rPr>
          <w:rFonts w:ascii="David" w:hAnsi="David"/>
          <w:u w:val="single"/>
          <w:rtl/>
        </w:rPr>
        <w:t>בתסקיר מיום 4.1.21</w:t>
      </w:r>
      <w:r>
        <w:rPr>
          <w:rFonts w:ascii="David" w:hAnsi="David"/>
          <w:rtl/>
        </w:rPr>
        <w:t xml:space="preserve"> עלה כי שתי בדיקות שתן נמצאו נקיות מסמים. עוד עלה שהנאשם משתף פעולה עם המסגרת הטיפולית. שרות המבחן בחן גורמי סיכון וסיכוי לשיקום בעניינו של הנאשם. מחד, האבחון העלה שהנאשם מכור לסם מסוג הרואין שנים רבות, מנהל אורח חיים לא יציב ומתקשה לגלות יכולות ארגון. הוא מגלה רצון להפסיק השימוש בסם, אך תוכניות הטיפול בהן השתלב לא הצליחו להוות גורם מפחית סיכון. מאידך, בשנה האחרונה, מאז השתלב הנאשם במסגרת הטיפולית במרכז מתדון בחדרה, חל שינוי לטובה ביכולתו לשמור על נקיונו מסמים, מצב המהווה גורם מפחית סיכון. בנסיבות אלה, המליץ שרות המבחן על ענישה שיקומית בדמות צו של"צ בהיקף של 150 שעות, לצד צו מבחן למשך שנה.</w:t>
      </w:r>
    </w:p>
    <w:p w14:paraId="7D748FAF" w14:textId="77777777" w:rsidR="00372D2A" w:rsidRDefault="00372D2A" w:rsidP="00372D2A">
      <w:pPr>
        <w:spacing w:line="360" w:lineRule="auto"/>
        <w:jc w:val="both"/>
        <w:rPr>
          <w:rFonts w:ascii="David" w:hAnsi="David"/>
          <w:rtl/>
        </w:rPr>
      </w:pPr>
    </w:p>
    <w:p w14:paraId="7BB92595" w14:textId="77777777" w:rsidR="00372D2A" w:rsidRDefault="00372D2A" w:rsidP="00372D2A">
      <w:pPr>
        <w:spacing w:line="360" w:lineRule="auto"/>
        <w:jc w:val="both"/>
        <w:rPr>
          <w:rFonts w:ascii="David" w:hAnsi="David"/>
          <w:rtl/>
        </w:rPr>
      </w:pPr>
      <w:r>
        <w:rPr>
          <w:rFonts w:ascii="David" w:hAnsi="David"/>
          <w:u w:val="single"/>
          <w:rtl/>
        </w:rPr>
        <w:t>בתסקיר מיום 22.3.21</w:t>
      </w:r>
      <w:r>
        <w:rPr>
          <w:rFonts w:ascii="David" w:hAnsi="David"/>
          <w:rtl/>
        </w:rPr>
        <w:t xml:space="preserve"> נאמר ששרות המבחן המשיך בשיחות עם הנאשם במסגרתן שיתף בקשייו הכלכליים, בקשייו מול בנו הסובל מסכיזופרניה ובאובדן אותו חווה עם מותה של אמו, ובהמשך מותה של חמותו. גורמי הטיפול במרכז מתדון בחדרה מסרו שהנאשם ממשיך לשתף פעולה וליטול תחליף סם. שרות המבחן שב על המלצתו העונשית, כמפורט לעיל.</w:t>
      </w:r>
    </w:p>
    <w:p w14:paraId="08E3AC75" w14:textId="77777777" w:rsidR="00372D2A" w:rsidRDefault="00372D2A" w:rsidP="00372D2A">
      <w:pPr>
        <w:spacing w:line="360" w:lineRule="auto"/>
        <w:jc w:val="both"/>
        <w:rPr>
          <w:rFonts w:ascii="David" w:hAnsi="David"/>
          <w:rtl/>
        </w:rPr>
      </w:pPr>
    </w:p>
    <w:p w14:paraId="215BCA90" w14:textId="77777777" w:rsidR="00372D2A" w:rsidRDefault="00372D2A" w:rsidP="00372D2A">
      <w:pPr>
        <w:spacing w:line="360" w:lineRule="auto"/>
        <w:jc w:val="both"/>
        <w:rPr>
          <w:rFonts w:ascii="David" w:hAnsi="David"/>
          <w:rtl/>
        </w:rPr>
      </w:pPr>
      <w:r>
        <w:rPr>
          <w:rFonts w:ascii="David" w:hAnsi="David"/>
          <w:u w:val="single"/>
          <w:rtl/>
        </w:rPr>
        <w:t>בתסקיר מיום 14.7.21</w:t>
      </w:r>
      <w:r>
        <w:rPr>
          <w:rFonts w:ascii="David" w:hAnsi="David"/>
          <w:rtl/>
        </w:rPr>
        <w:t xml:space="preserve"> עלה שהנאשם שולב בקבוצת הכנה לטיפול בשרות המבחן. הוא הביע רצון להסתייע בשרות המבחן לצורך קבלת כלים להתמודדות עם מצוקות היומיום. שרות המבחן מצא אותו מתאים להשתלבות בהמשך טיפול במסגרת השרות ושב על המלצה טיפולית שיקומית.</w:t>
      </w:r>
    </w:p>
    <w:p w14:paraId="5976C9C8" w14:textId="77777777" w:rsidR="00372D2A" w:rsidRDefault="00372D2A" w:rsidP="00372D2A">
      <w:pPr>
        <w:spacing w:line="360" w:lineRule="auto"/>
        <w:jc w:val="both"/>
        <w:rPr>
          <w:rFonts w:ascii="David" w:hAnsi="David"/>
          <w:u w:val="single"/>
          <w:rtl/>
        </w:rPr>
      </w:pPr>
    </w:p>
    <w:p w14:paraId="3D27E4D5" w14:textId="77777777" w:rsidR="00372D2A" w:rsidRDefault="00372D2A" w:rsidP="00372D2A">
      <w:pPr>
        <w:spacing w:line="360" w:lineRule="auto"/>
        <w:jc w:val="both"/>
        <w:rPr>
          <w:rFonts w:ascii="David" w:hAnsi="David"/>
          <w:u w:val="single"/>
          <w:rtl/>
        </w:rPr>
      </w:pPr>
    </w:p>
    <w:p w14:paraId="3E829DCA" w14:textId="77777777" w:rsidR="00372D2A" w:rsidRDefault="00372D2A" w:rsidP="00372D2A">
      <w:pPr>
        <w:spacing w:line="360" w:lineRule="auto"/>
        <w:jc w:val="both"/>
        <w:rPr>
          <w:rFonts w:ascii="David" w:hAnsi="David"/>
          <w:b/>
          <w:bCs/>
          <w:u w:val="single"/>
          <w:rtl/>
        </w:rPr>
      </w:pPr>
      <w:r>
        <w:rPr>
          <w:rFonts w:ascii="David" w:hAnsi="David"/>
          <w:b/>
          <w:bCs/>
          <w:u w:val="single"/>
          <w:rtl/>
        </w:rPr>
        <w:t>טיעוני ב"כ הצדדים</w:t>
      </w:r>
    </w:p>
    <w:p w14:paraId="33EC2321" w14:textId="77777777" w:rsidR="00372D2A" w:rsidRDefault="00372D2A" w:rsidP="00372D2A">
      <w:pPr>
        <w:spacing w:line="360" w:lineRule="auto"/>
        <w:jc w:val="both"/>
        <w:rPr>
          <w:rFonts w:ascii="David" w:hAnsi="David"/>
          <w:rtl/>
        </w:rPr>
      </w:pPr>
      <w:r>
        <w:rPr>
          <w:rFonts w:ascii="David" w:hAnsi="David"/>
          <w:rtl/>
        </w:rPr>
        <w:t>4.</w:t>
      </w:r>
      <w:r>
        <w:rPr>
          <w:rFonts w:ascii="David" w:hAnsi="David"/>
          <w:rtl/>
        </w:rPr>
        <w:tab/>
        <w:t>ב"כ המאשימה, הפנה לערכים החברתיים המוגנים בעבירות אותן ביצע הנאשם והצביע על כך ש</w:t>
      </w:r>
      <w:r>
        <w:rPr>
          <w:rFonts w:ascii="David" w:hAnsi="David" w:hint="cs"/>
          <w:rtl/>
        </w:rPr>
        <w:t>ב</w:t>
      </w:r>
      <w:r>
        <w:rPr>
          <w:rFonts w:ascii="David" w:hAnsi="David"/>
          <w:rtl/>
        </w:rPr>
        <w:t xml:space="preserve">סך הכל החזיק הנאשם, בשלוש הזדמנויות שונות, סם מסוכן מסוג הרואין במשקל של כ-33 גרם נטו, כשהכמות המוגדרת בחוק לצריכה עצמית עומדת על 0.3 גרם בלבד. דהיינו, הנאשם החזיק בכמות סם המספיקה להכנת כ-110 מנות. התובע הפנה לכך שהנאשם מהווה חוליה בשרשרת הפצת הסם; לכך שמדובר בסם קשה המכונה "סם המוות"; ולעובדה שהסם גורם לנזקים ישירים ועקיפים, כולל פגיעה בשלום הציבור ובריאותו. הוא טען שבשל כך נדרשת ענישה כבדה ומרתיעה, כאשר לא בכדי העונש המקסימלי הקבוע לעבירה עומד על 20 שנות מאסר. ב"כ המאשימה עתר לקביעת מתחם עונש הולם הנע בין 24 ל-48 חודשי מאסר, לצד רכיבי ענישה נלווים. התובע הפנה לעברו הפלילי והתעבורתי של הנאשם הכולל 8 הרשעות קודמות ו-38 הרשעות תעבורתיות. עוד ציין שבעבר ריצה הנאשם 2 מאסרים בפועל. ב"כ המאשימה התייחס לתסקירי שרות המבחן וציין שהנאשם טרם שולב בהליך טיפולי במסגרת שרות </w:t>
      </w:r>
      <w:r>
        <w:rPr>
          <w:rFonts w:ascii="David" w:hAnsi="David" w:hint="cs"/>
          <w:rtl/>
        </w:rPr>
        <w:t xml:space="preserve">המבחן </w:t>
      </w:r>
      <w:r>
        <w:rPr>
          <w:rFonts w:ascii="David" w:hAnsi="David"/>
          <w:rtl/>
        </w:rPr>
        <w:t>ועבר אך הכנה לטיפול. עוד טען שעוד ארוכה הדרך לשיקום חייו של הנאשם ולגמילה ארוכת טווח מסמים ולא די בכך כדי להצדיק חריגה ממתחם העונש ההולם מטעמי שיקום. לאור האמור, ביקש התובע למקם עונשו של הנאשם בתחתית המתחם לו עתר וכן לגזור עליו מאסר על תנאי וקנס כספי.</w:t>
      </w:r>
    </w:p>
    <w:p w14:paraId="050C6D2D" w14:textId="77777777" w:rsidR="00372D2A" w:rsidRDefault="00372D2A" w:rsidP="00372D2A">
      <w:pPr>
        <w:spacing w:line="360" w:lineRule="auto"/>
        <w:jc w:val="both"/>
        <w:rPr>
          <w:rFonts w:ascii="David" w:hAnsi="David"/>
          <w:rtl/>
        </w:rPr>
      </w:pPr>
      <w:r>
        <w:rPr>
          <w:rFonts w:ascii="David" w:hAnsi="David"/>
          <w:rtl/>
        </w:rPr>
        <w:t>התובע הפנה לפסיקה.</w:t>
      </w:r>
    </w:p>
    <w:p w14:paraId="48C51610" w14:textId="77777777" w:rsidR="00372D2A" w:rsidRDefault="00372D2A" w:rsidP="00372D2A">
      <w:pPr>
        <w:spacing w:line="360" w:lineRule="auto"/>
        <w:jc w:val="both"/>
        <w:rPr>
          <w:rFonts w:ascii="David" w:hAnsi="David"/>
          <w:rtl/>
        </w:rPr>
      </w:pPr>
    </w:p>
    <w:p w14:paraId="4BEC3EED" w14:textId="77777777" w:rsidR="00372D2A" w:rsidRDefault="00372D2A" w:rsidP="00372D2A">
      <w:pPr>
        <w:spacing w:line="360" w:lineRule="auto"/>
        <w:jc w:val="both"/>
        <w:rPr>
          <w:rFonts w:ascii="David" w:hAnsi="David"/>
          <w:rtl/>
        </w:rPr>
      </w:pPr>
      <w:r>
        <w:rPr>
          <w:rFonts w:ascii="David" w:hAnsi="David"/>
          <w:rtl/>
        </w:rPr>
        <w:t>5.</w:t>
      </w:r>
      <w:r>
        <w:rPr>
          <w:rFonts w:ascii="David" w:hAnsi="David"/>
          <w:rtl/>
        </w:rPr>
        <w:tab/>
        <w:t>ב"כ הנאשם ציינה את הדרך הארוכה, בת השנתיים, שעשה הנאשם עד כה כשהצליח לשמור על עצמו גמול מסם. היא הפנתה לנסיבות שהביאו את הנאשם לשוב ולהשתמש בסמים לפני כשנתיים. לדבריה, עם גיוסו של בנו הוא חלה בסכיזופרניה וההתמודדות הקשה עם זה הביאה את הנאשם לשוב ולהשתמש בסמים. הכוונה היתה לשלב את הנאשם במסגרת גמילה אינטנסיבית, אך הנאשם לא היה מעונין בניתוק הקשר עם משפחתו ועל כן, לא השתלב במסגרת כאמור. יחד עם זאת, הנאשם נתרם ומצליח לשמור על נקיון הודות לשימוש בתחליף סם מסוג סבוטקס. הסניגורית מסרה שברור לה שלא ניתן להסתמך על תחליף סם לאורך זמן, ועל כן, הנאשם שולב בשיחות פרטניות עם העו"סית במרכז הגמילה בחדרה ובהמשך עם שרות המבחן. לאחרונה, איבד הנאשם את שני הוריו ולמרות הקושי הרגשי והנפשי לא שב להשתמש בסם. ב"כ הנאשם לא התעלמה מהכמות הגדולה של הסמים שהחזיק הנאשם אך טענה שעדיין לא מיוחסת לנאשם עבירה של סחר בסם ונסיבות הגעתו לטייבה מלמד על כוונת רכישה בלבד. בנסיבות אלה, ביקשה הסניגורית לחרוג ממתחם העונש ההולם ולאמץ את המלצות התסקיר.</w:t>
      </w:r>
    </w:p>
    <w:p w14:paraId="4136DF24" w14:textId="77777777" w:rsidR="00372D2A" w:rsidRDefault="00372D2A" w:rsidP="00372D2A">
      <w:pPr>
        <w:spacing w:line="360" w:lineRule="auto"/>
        <w:jc w:val="both"/>
        <w:rPr>
          <w:rFonts w:ascii="David" w:hAnsi="David"/>
          <w:rtl/>
        </w:rPr>
      </w:pPr>
    </w:p>
    <w:p w14:paraId="711B4822" w14:textId="77777777" w:rsidR="00372D2A" w:rsidRDefault="00372D2A" w:rsidP="00372D2A">
      <w:pPr>
        <w:spacing w:line="360" w:lineRule="auto"/>
        <w:jc w:val="both"/>
        <w:rPr>
          <w:rFonts w:ascii="David" w:hAnsi="David"/>
          <w:rtl/>
        </w:rPr>
      </w:pPr>
    </w:p>
    <w:p w14:paraId="3EAB3B4F" w14:textId="77777777" w:rsidR="00372D2A" w:rsidRDefault="00372D2A" w:rsidP="00372D2A">
      <w:pPr>
        <w:spacing w:line="360" w:lineRule="auto"/>
        <w:jc w:val="both"/>
        <w:rPr>
          <w:rFonts w:ascii="David" w:hAnsi="David"/>
          <w:rtl/>
        </w:rPr>
      </w:pPr>
    </w:p>
    <w:p w14:paraId="4A0F2263" w14:textId="77777777" w:rsidR="00372D2A" w:rsidRDefault="00372D2A" w:rsidP="00372D2A">
      <w:pPr>
        <w:spacing w:line="360" w:lineRule="auto"/>
        <w:jc w:val="both"/>
        <w:rPr>
          <w:rFonts w:ascii="David" w:hAnsi="David"/>
          <w:rtl/>
        </w:rPr>
      </w:pPr>
    </w:p>
    <w:p w14:paraId="41A6FDE4" w14:textId="77777777" w:rsidR="00372D2A" w:rsidRDefault="00372D2A" w:rsidP="00372D2A">
      <w:pPr>
        <w:spacing w:line="360" w:lineRule="auto"/>
        <w:jc w:val="both"/>
        <w:rPr>
          <w:rFonts w:ascii="David" w:hAnsi="David"/>
          <w:b/>
          <w:bCs/>
          <w:u w:val="single"/>
          <w:rtl/>
        </w:rPr>
      </w:pPr>
      <w:r>
        <w:rPr>
          <w:rFonts w:ascii="David" w:hAnsi="David"/>
          <w:b/>
          <w:bCs/>
          <w:u w:val="single"/>
          <w:rtl/>
        </w:rPr>
        <w:t>דיון והכרעה</w:t>
      </w:r>
    </w:p>
    <w:p w14:paraId="3E66EA12" w14:textId="77777777" w:rsidR="00372D2A" w:rsidRDefault="00372D2A" w:rsidP="00372D2A">
      <w:pPr>
        <w:spacing w:line="360" w:lineRule="auto"/>
        <w:jc w:val="both"/>
        <w:rPr>
          <w:rFonts w:ascii="David" w:hAnsi="David"/>
          <w:rtl/>
        </w:rPr>
      </w:pPr>
      <w:r>
        <w:rPr>
          <w:rFonts w:ascii="David" w:hAnsi="David"/>
          <w:rtl/>
        </w:rPr>
        <w:t>6.</w:t>
      </w:r>
      <w:r>
        <w:rPr>
          <w:rFonts w:ascii="David" w:hAnsi="David"/>
          <w:rtl/>
        </w:rPr>
        <w:tab/>
      </w:r>
      <w:r>
        <w:rPr>
          <w:rFonts w:ascii="David" w:hAnsi="David" w:hint="cs"/>
          <w:rtl/>
        </w:rPr>
        <w:t>נראה שאין מחלוקת בין התביעה לבין ההגנה בנוגע לערכים החברתיים המוגנים, למידת הפגיעה בערכים החברתיים המוגנים ולמדיניות הענישה הנוהגת בסוג זה של עבירות, כאשר מדובר בהחזקת סם המוגדר "סם קשה" מסוג הרואין, במספר הזדמנויות ובכמויות גדולות של עשרות גרמים.</w:t>
      </w:r>
    </w:p>
    <w:p w14:paraId="0D2E9101" w14:textId="77777777" w:rsidR="00372D2A" w:rsidRDefault="00372D2A" w:rsidP="00372D2A">
      <w:pPr>
        <w:spacing w:line="360" w:lineRule="auto"/>
        <w:jc w:val="both"/>
        <w:rPr>
          <w:rFonts w:ascii="David" w:hAnsi="David"/>
          <w:rtl/>
        </w:rPr>
      </w:pPr>
      <w:r>
        <w:rPr>
          <w:rFonts w:ascii="David" w:hAnsi="David" w:hint="cs"/>
          <w:rtl/>
        </w:rPr>
        <w:t xml:space="preserve">המחלוקת העיקרית בין הצדדים היא בשאלה אם יש לחרוג במקרה זה ממתחם העונש ההולם מטעמי שיקום, או מטעמים של סיכוי ממשי לשיקום; ואם התשובה לכך חיובית, באיזו מידה יש לחרוג ממתחם העונש ההולם </w:t>
      </w:r>
      <w:r>
        <w:rPr>
          <w:rFonts w:ascii="David" w:hAnsi="David"/>
          <w:rtl/>
        </w:rPr>
        <w:t>–</w:t>
      </w:r>
      <w:r>
        <w:rPr>
          <w:rFonts w:ascii="David" w:hAnsi="David" w:hint="cs"/>
          <w:rtl/>
        </w:rPr>
        <w:t xml:space="preserve"> האם עד כדי הימנעות מהטלת עונש מאסר לרצוי בפועל ואימוץ המלצות שרות המבחן להטלת צו של"צ לצד מבחן?</w:t>
      </w:r>
    </w:p>
    <w:p w14:paraId="4E7D8C62" w14:textId="77777777" w:rsidR="00372D2A" w:rsidRDefault="00372D2A" w:rsidP="00372D2A">
      <w:pPr>
        <w:spacing w:line="360" w:lineRule="auto"/>
        <w:jc w:val="both"/>
        <w:rPr>
          <w:rFonts w:ascii="David" w:hAnsi="David"/>
          <w:rtl/>
        </w:rPr>
      </w:pPr>
    </w:p>
    <w:p w14:paraId="417F6E35" w14:textId="77777777" w:rsidR="00372D2A" w:rsidRDefault="00372D2A" w:rsidP="00372D2A">
      <w:pPr>
        <w:spacing w:line="360" w:lineRule="auto"/>
        <w:jc w:val="both"/>
        <w:rPr>
          <w:rFonts w:ascii="David" w:hAnsi="David"/>
          <w:rtl/>
        </w:rPr>
      </w:pPr>
      <w:r>
        <w:rPr>
          <w:rFonts w:ascii="David" w:hAnsi="David" w:hint="cs"/>
          <w:rtl/>
        </w:rPr>
        <w:t>7.</w:t>
      </w:r>
      <w:r>
        <w:rPr>
          <w:rFonts w:ascii="David" w:hAnsi="David"/>
          <w:rtl/>
        </w:rPr>
        <w:tab/>
      </w:r>
      <w:r w:rsidRPr="00E32DFA">
        <w:rPr>
          <w:rFonts w:ascii="David" w:hAnsi="David" w:hint="cs"/>
          <w:b/>
          <w:bCs/>
          <w:rtl/>
        </w:rPr>
        <w:t>לאחר שנתתי דעתי לכתבי האישום המיוחסים לנאשם, לתסקירי שרות המבחן ולהמלצתו, ולטיעוני ב"כ הצדדים, באתי לכלל מסקנה כי הגם שהוכח לפניי סיכוי לשיקום, והגם שיש לחרוג בעניינו של הנאשם ממתחם העונש ההולם</w:t>
      </w:r>
      <w:r>
        <w:rPr>
          <w:rFonts w:ascii="David" w:hAnsi="David" w:hint="cs"/>
          <w:b/>
          <w:bCs/>
          <w:rtl/>
        </w:rPr>
        <w:t xml:space="preserve"> מטעמי שיקום</w:t>
      </w:r>
      <w:r w:rsidRPr="00E32DFA">
        <w:rPr>
          <w:rFonts w:ascii="David" w:hAnsi="David" w:hint="cs"/>
          <w:b/>
          <w:bCs/>
          <w:rtl/>
        </w:rPr>
        <w:t>, עדיין אין מקום לחריגה ולסטייה כה גדולה עד כדי הימנעות מהטלת עונש מאסר לריצוי בפועל, הכל על מנת שלא לפגוע באינטרס הציבורי ובשיקולי הענישה האחרים</w:t>
      </w:r>
      <w:r w:rsidRPr="005117AA">
        <w:rPr>
          <w:rFonts w:ascii="David" w:hAnsi="David" w:hint="cs"/>
          <w:b/>
          <w:bCs/>
          <w:rtl/>
        </w:rPr>
        <w:t xml:space="preserve"> שעניינם גמול והרתעה.</w:t>
      </w:r>
    </w:p>
    <w:p w14:paraId="50B3C297" w14:textId="77777777" w:rsidR="00372D2A" w:rsidRDefault="00372D2A" w:rsidP="00372D2A">
      <w:pPr>
        <w:spacing w:line="360" w:lineRule="auto"/>
        <w:jc w:val="both"/>
        <w:rPr>
          <w:rFonts w:ascii="David" w:hAnsi="David"/>
          <w:rtl/>
        </w:rPr>
      </w:pPr>
    </w:p>
    <w:p w14:paraId="1B3D04CF" w14:textId="77777777" w:rsidR="00372D2A" w:rsidRDefault="00372D2A" w:rsidP="00372D2A">
      <w:pPr>
        <w:spacing w:line="360" w:lineRule="auto"/>
        <w:jc w:val="both"/>
      </w:pPr>
      <w:r>
        <w:rPr>
          <w:rFonts w:ascii="David" w:hAnsi="David" w:hint="cs"/>
          <w:rtl/>
        </w:rPr>
        <w:t>8.</w:t>
      </w:r>
      <w:r>
        <w:rPr>
          <w:rFonts w:ascii="David" w:hAnsi="David"/>
          <w:rtl/>
        </w:rPr>
        <w:tab/>
      </w:r>
      <w:r>
        <w:rPr>
          <w:rtl/>
        </w:rPr>
        <w:t>עבירת החזקת סמים מסוכנים שלא לצריכה עצמית, פוגעת בערכים החברתיים שעניינם הגנה על שלום הציבור, ביטחונו ובריאותו מפני הפגיעה ההרסנית הכרוכה בשימוש בסמים, זאת לצד כל אותם נזקים כלכליים וחברתיים עקיפים הנגרמים עקב השימוש בסמים, לרבות פוטנציאל לביצוע עבירות רכוש, כתוצאה מהצורך לממן את רכישת הסמים.</w:t>
      </w:r>
    </w:p>
    <w:p w14:paraId="0EEE2689" w14:textId="77777777" w:rsidR="00372D2A" w:rsidRDefault="00372D2A" w:rsidP="00372D2A">
      <w:pPr>
        <w:spacing w:line="360" w:lineRule="auto"/>
        <w:jc w:val="both"/>
        <w:rPr>
          <w:rtl/>
        </w:rPr>
      </w:pPr>
      <w:r>
        <w:rPr>
          <w:rtl/>
        </w:rPr>
        <w:t>הפסיקה עמדה לא אחת על הצורך להיאבק בנגע הסמים ולהשית עונשים מחמירים על המעורבים בייצור הסמים, בהחזקתם ובהפצתם (</w:t>
      </w:r>
      <w:hyperlink r:id="rId14" w:history="1">
        <w:r w:rsidR="00097BEB" w:rsidRPr="00097BEB">
          <w:rPr>
            <w:color w:val="0000FF"/>
            <w:u w:val="single"/>
            <w:rtl/>
          </w:rPr>
          <w:t>ע"פ 6029/03</w:t>
        </w:r>
      </w:hyperlink>
      <w:r>
        <w:rPr>
          <w:rtl/>
        </w:rPr>
        <w:t xml:space="preserve"> </w:t>
      </w:r>
      <w:r>
        <w:rPr>
          <w:b/>
          <w:bCs/>
          <w:rtl/>
        </w:rPr>
        <w:t>מדינת ישראל נ' גולן שמאי</w:t>
      </w:r>
      <w:r>
        <w:rPr>
          <w:rtl/>
        </w:rPr>
        <w:t xml:space="preserve">, פ"ד נח(2) 734; </w:t>
      </w:r>
      <w:hyperlink r:id="rId15" w:history="1">
        <w:r w:rsidR="00097BEB" w:rsidRPr="00097BEB">
          <w:rPr>
            <w:color w:val="0000FF"/>
            <w:u w:val="single"/>
            <w:rtl/>
          </w:rPr>
          <w:t>ע"פ 211/09</w:t>
        </w:r>
      </w:hyperlink>
      <w:r>
        <w:rPr>
          <w:rtl/>
        </w:rPr>
        <w:t xml:space="preserve"> </w:t>
      </w:r>
      <w:r>
        <w:rPr>
          <w:b/>
          <w:bCs/>
          <w:rtl/>
        </w:rPr>
        <w:t>אזולאי נ' מדינת ישראל</w:t>
      </w:r>
      <w:r>
        <w:rPr>
          <w:rtl/>
        </w:rPr>
        <w:t xml:space="preserve"> (22.6.10); </w:t>
      </w:r>
      <w:hyperlink r:id="rId16" w:history="1">
        <w:r w:rsidR="00097BEB" w:rsidRPr="00097BEB">
          <w:rPr>
            <w:color w:val="0000FF"/>
            <w:u w:val="single"/>
            <w:rtl/>
          </w:rPr>
          <w:t>רע"פ 4512/15</w:t>
        </w:r>
      </w:hyperlink>
      <w:r>
        <w:rPr>
          <w:rtl/>
        </w:rPr>
        <w:t xml:space="preserve"> </w:t>
      </w:r>
      <w:r>
        <w:rPr>
          <w:b/>
          <w:bCs/>
          <w:rtl/>
        </w:rPr>
        <w:t>אברהם הרוש נ' מדינת ישראל</w:t>
      </w:r>
      <w:r>
        <w:rPr>
          <w:rtl/>
        </w:rPr>
        <w:t xml:space="preserve"> (6.7.15); </w:t>
      </w:r>
      <w:hyperlink r:id="rId17" w:history="1">
        <w:r w:rsidR="00097BEB" w:rsidRPr="00097BEB">
          <w:rPr>
            <w:color w:val="0000FF"/>
            <w:u w:val="single"/>
            <w:rtl/>
          </w:rPr>
          <w:t>ת"פ (מחוזי ת"א) 809-09-18</w:t>
        </w:r>
      </w:hyperlink>
      <w:r>
        <w:rPr>
          <w:rtl/>
        </w:rPr>
        <w:t xml:space="preserve"> </w:t>
      </w:r>
      <w:r>
        <w:rPr>
          <w:b/>
          <w:bCs/>
          <w:rtl/>
        </w:rPr>
        <w:t>מדינת ישראל נ' שמעון פיצ'חדזה</w:t>
      </w:r>
      <w:r>
        <w:rPr>
          <w:rtl/>
        </w:rPr>
        <w:t xml:space="preserve"> (31.10.19)).</w:t>
      </w:r>
    </w:p>
    <w:p w14:paraId="6149051F" w14:textId="77777777" w:rsidR="00372D2A" w:rsidRDefault="00372D2A" w:rsidP="00372D2A">
      <w:pPr>
        <w:spacing w:line="360" w:lineRule="auto"/>
        <w:jc w:val="both"/>
        <w:rPr>
          <w:rtl/>
        </w:rPr>
      </w:pPr>
    </w:p>
    <w:p w14:paraId="49566EAC" w14:textId="77777777" w:rsidR="00372D2A" w:rsidRDefault="00372D2A" w:rsidP="00372D2A">
      <w:pPr>
        <w:spacing w:line="360" w:lineRule="auto"/>
        <w:jc w:val="both"/>
        <w:rPr>
          <w:rtl/>
        </w:rPr>
      </w:pPr>
      <w:r>
        <w:rPr>
          <w:rtl/>
        </w:rPr>
        <w:t>ב</w:t>
      </w:r>
      <w:r>
        <w:rPr>
          <w:b/>
          <w:bCs/>
          <w:rtl/>
        </w:rPr>
        <w:t>ענין אזולאי</w:t>
      </w:r>
      <w:r>
        <w:rPr>
          <w:rtl/>
        </w:rPr>
        <w:t xml:space="preserve"> התייחס בית המשפט העליון לעבירה בה הורשע הנאשם כאן, וכך נאמר –</w:t>
      </w:r>
    </w:p>
    <w:p w14:paraId="13E0925B" w14:textId="77777777" w:rsidR="00372D2A" w:rsidRDefault="00372D2A" w:rsidP="00372D2A">
      <w:pPr>
        <w:ind w:left="567" w:right="567"/>
        <w:jc w:val="both"/>
        <w:rPr>
          <w:rtl/>
        </w:rPr>
      </w:pPr>
      <w:r>
        <w:rPr>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tl/>
        </w:rPr>
        <w:t>.</w:t>
      </w:r>
    </w:p>
    <w:p w14:paraId="295B66AE" w14:textId="77777777" w:rsidR="00372D2A" w:rsidRDefault="00372D2A" w:rsidP="00372D2A">
      <w:pPr>
        <w:spacing w:line="360" w:lineRule="auto"/>
        <w:jc w:val="both"/>
        <w:rPr>
          <w:rtl/>
        </w:rPr>
      </w:pPr>
    </w:p>
    <w:p w14:paraId="327EEED6" w14:textId="77777777" w:rsidR="00372D2A" w:rsidRDefault="00372D2A" w:rsidP="00372D2A">
      <w:pPr>
        <w:spacing w:line="360" w:lineRule="auto"/>
        <w:jc w:val="both"/>
        <w:rPr>
          <w:rtl/>
        </w:rPr>
      </w:pPr>
      <w:r>
        <w:rPr>
          <w:rtl/>
        </w:rPr>
        <w:t>10.</w:t>
      </w:r>
      <w:r>
        <w:rPr>
          <w:rtl/>
        </w:rPr>
        <w:tab/>
        <w:t xml:space="preserve">מידת הפגיעה בערכים החברתיים המוגנים במקרה שלפניי הינה </w:t>
      </w:r>
      <w:r>
        <w:rPr>
          <w:b/>
          <w:bCs/>
          <w:rtl/>
        </w:rPr>
        <w:t>ברף בינוני</w:t>
      </w:r>
      <w:r>
        <w:rPr>
          <w:rFonts w:hint="cs"/>
          <w:b/>
          <w:bCs/>
          <w:rtl/>
        </w:rPr>
        <w:t>-גבוה</w:t>
      </w:r>
      <w:r>
        <w:rPr>
          <w:b/>
          <w:bCs/>
          <w:rtl/>
        </w:rPr>
        <w:t>,</w:t>
      </w:r>
      <w:r>
        <w:rPr>
          <w:rtl/>
        </w:rPr>
        <w:t xml:space="preserve"> בשים לב לסוג הסם, הנמנה על </w:t>
      </w:r>
      <w:r>
        <w:rPr>
          <w:b/>
          <w:bCs/>
          <w:rtl/>
        </w:rPr>
        <w:t>הסמים הקשים</w:t>
      </w:r>
      <w:r>
        <w:rPr>
          <w:rtl/>
        </w:rPr>
        <w:t xml:space="preserve"> מבין הסמים המסוכנים, הן בשל השפעותיו על הגוף והן בשל פוטנציאל ההתמכרות הגבוה שבו, וזאת </w:t>
      </w:r>
      <w:r>
        <w:rPr>
          <w:b/>
          <w:bCs/>
          <w:rtl/>
        </w:rPr>
        <w:t>בכמות גדולה</w:t>
      </w:r>
      <w:r>
        <w:rPr>
          <w:rtl/>
        </w:rPr>
        <w:t xml:space="preserve"> העולה עשרות מונים על זו המוגדרת בפקודה לצריכה עצמית.</w:t>
      </w:r>
    </w:p>
    <w:p w14:paraId="4A9D6879" w14:textId="77777777" w:rsidR="00372D2A" w:rsidRDefault="00372D2A" w:rsidP="00372D2A">
      <w:pPr>
        <w:spacing w:line="360" w:lineRule="auto"/>
        <w:jc w:val="both"/>
        <w:rPr>
          <w:rtl/>
        </w:rPr>
      </w:pPr>
    </w:p>
    <w:p w14:paraId="13BDD6E8" w14:textId="77777777" w:rsidR="00372D2A" w:rsidRDefault="00372D2A" w:rsidP="00372D2A">
      <w:pPr>
        <w:spacing w:line="360" w:lineRule="auto"/>
        <w:jc w:val="both"/>
        <w:rPr>
          <w:rtl/>
        </w:rPr>
      </w:pPr>
      <w:r>
        <w:rPr>
          <w:rtl/>
        </w:rPr>
        <w:t>11.</w:t>
      </w:r>
      <w:r>
        <w:rPr>
          <w:rtl/>
        </w:rPr>
        <w:tab/>
        <w:t xml:space="preserve">בבחינת נסיבות הקשורות בביצוע העבירה יש להתחשב בכך שסם מסוג קשה הוחזק בכמות גדולה </w:t>
      </w:r>
      <w:r>
        <w:rPr>
          <w:rFonts w:hint="cs"/>
          <w:rtl/>
        </w:rPr>
        <w:t xml:space="preserve">על ידי </w:t>
      </w:r>
      <w:r>
        <w:rPr>
          <w:rtl/>
        </w:rPr>
        <w:t xml:space="preserve">הנאשם, </w:t>
      </w:r>
      <w:r>
        <w:rPr>
          <w:rFonts w:hint="cs"/>
          <w:rtl/>
        </w:rPr>
        <w:t xml:space="preserve">בשלוש הזדמנויות שונות, </w:t>
      </w:r>
      <w:r>
        <w:rPr>
          <w:rtl/>
        </w:rPr>
        <w:t>כשהנזק שהיה צפוי להיגרם מכמות וסוג סם זה הינה רבה, הן בפן האישי והן בפן הציבורי. יחד עם זאת, מדובר בהחזקה של הסם, ללא אינדיקציות לסחר, מלבד הכמות.</w:t>
      </w:r>
    </w:p>
    <w:p w14:paraId="74EA39CD" w14:textId="77777777" w:rsidR="00372D2A" w:rsidRDefault="00372D2A" w:rsidP="00372D2A">
      <w:pPr>
        <w:spacing w:line="360" w:lineRule="auto"/>
        <w:jc w:val="both"/>
        <w:rPr>
          <w:b/>
          <w:bCs/>
          <w:u w:val="single"/>
          <w:rtl/>
        </w:rPr>
      </w:pPr>
    </w:p>
    <w:p w14:paraId="58B85E2A" w14:textId="77777777" w:rsidR="00372D2A" w:rsidRDefault="00372D2A" w:rsidP="00372D2A">
      <w:pPr>
        <w:spacing w:line="360" w:lineRule="auto"/>
        <w:jc w:val="both"/>
        <w:rPr>
          <w:b/>
          <w:bCs/>
          <w:u w:val="single"/>
          <w:rtl/>
        </w:rPr>
      </w:pPr>
      <w:r>
        <w:rPr>
          <w:b/>
          <w:bCs/>
          <w:u w:val="single"/>
          <w:rtl/>
        </w:rPr>
        <w:t>מתחם העונש ההולם</w:t>
      </w:r>
    </w:p>
    <w:p w14:paraId="3401524A" w14:textId="77777777" w:rsidR="00372D2A" w:rsidRDefault="00372D2A" w:rsidP="00372D2A">
      <w:pPr>
        <w:spacing w:line="360" w:lineRule="auto"/>
        <w:jc w:val="both"/>
        <w:rPr>
          <w:rtl/>
        </w:rPr>
      </w:pPr>
      <w:r>
        <w:rPr>
          <w:rtl/>
        </w:rPr>
        <w:t>12.</w:t>
      </w:r>
      <w:r>
        <w:rPr>
          <w:rtl/>
        </w:rPr>
        <w:tab/>
        <w:t>בכל הנוגע למדיניות הענישה הנהוגה בגין החזקה של סם מסוכן מסוג הרואין או קוקאין שלא לצריכה עצמית, בכמויות של עשרות גרמים, כבר קבע בית משפט העליון ב</w:t>
      </w:r>
      <w:hyperlink r:id="rId18" w:history="1">
        <w:r w:rsidR="00097BEB" w:rsidRPr="00097BEB">
          <w:rPr>
            <w:color w:val="0000FF"/>
            <w:u w:val="single"/>
            <w:rtl/>
          </w:rPr>
          <w:t>ע"פ 4592/15</w:t>
        </w:r>
      </w:hyperlink>
      <w:r>
        <w:rPr>
          <w:rtl/>
        </w:rPr>
        <w:t xml:space="preserve"> </w:t>
      </w:r>
      <w:r>
        <w:rPr>
          <w:b/>
          <w:bCs/>
          <w:rtl/>
        </w:rPr>
        <w:t>פדידה נ' מדינת ישראל</w:t>
      </w:r>
      <w:r>
        <w:rPr>
          <w:rtl/>
        </w:rPr>
        <w:t xml:space="preserve"> (8.2.16) כדלקמן –</w:t>
      </w:r>
    </w:p>
    <w:p w14:paraId="31BEC357" w14:textId="77777777" w:rsidR="00372D2A" w:rsidRDefault="00372D2A" w:rsidP="00372D2A">
      <w:pPr>
        <w:ind w:left="567" w:right="567"/>
        <w:jc w:val="both"/>
        <w:rPr>
          <w:rtl/>
        </w:rPr>
      </w:pPr>
      <w:r>
        <w:rPr>
          <w:b/>
          <w:bCs/>
          <w:rtl/>
        </w:rPr>
        <w:t xml:space="preserve">"מסקירת הפסיקה בנושא עולה, כי אמנם קיים גיוון רב בענישה, אולם במקרים העוסקים </w:t>
      </w:r>
      <w:r>
        <w:rPr>
          <w:b/>
          <w:bCs/>
          <w:u w:val="single"/>
          <w:rtl/>
        </w:rPr>
        <w:t>בהחזקת סם מסוכן מסוג הרואין או קוקאין שלא לצריכה עצמית, בכמות של עשרות גרמים, נע טווח הענישה בין שלוש לחמש שנות מאסר</w:t>
      </w:r>
      <w:r>
        <w:rPr>
          <w:b/>
          <w:bCs/>
          <w:rtl/>
        </w:rPr>
        <w:t xml:space="preserve"> (</w:t>
      </w:r>
      <w:hyperlink r:id="rId19" w:history="1">
        <w:r w:rsidR="00097BEB" w:rsidRPr="00097BEB">
          <w:rPr>
            <w:b/>
            <w:bCs/>
            <w:color w:val="0000FF"/>
            <w:u w:val="single"/>
            <w:rtl/>
          </w:rPr>
          <w:t>ע"פ 8820/14</w:t>
        </w:r>
      </w:hyperlink>
      <w:r>
        <w:rPr>
          <w:b/>
          <w:bCs/>
          <w:rtl/>
        </w:rPr>
        <w:t xml:space="preserve"> זהר שחר נ' מדינת ישראל [פורסם בנבו] (2015) בפסקה 12 וההפניות שם; </w:t>
      </w:r>
      <w:hyperlink r:id="rId20" w:history="1">
        <w:r w:rsidR="007D09EA" w:rsidRPr="007D09EA">
          <w:rPr>
            <w:b/>
            <w:bCs/>
            <w:color w:val="0000FF"/>
            <w:u w:val="single"/>
            <w:rtl/>
          </w:rPr>
          <w:t xml:space="preserve">1313/14 </w:t>
        </w:r>
      </w:hyperlink>
      <w:r>
        <w:rPr>
          <w:b/>
          <w:bCs/>
          <w:rtl/>
        </w:rPr>
        <w:t xml:space="preserve"> גמאל בהתימי נ' מדינת ישראל [פורסם בנבו] (2015); עניין פיצו, בפסקה 14 וההפניות שם; </w:t>
      </w:r>
      <w:hyperlink r:id="rId21" w:history="1">
        <w:r w:rsidR="00097BEB" w:rsidRPr="00097BEB">
          <w:rPr>
            <w:b/>
            <w:bCs/>
            <w:color w:val="0000FF"/>
            <w:u w:val="single"/>
            <w:rtl/>
          </w:rPr>
          <w:t>ע"פ 5374/12</w:t>
        </w:r>
      </w:hyperlink>
      <w:r>
        <w:rPr>
          <w:b/>
          <w:bCs/>
          <w:rtl/>
        </w:rPr>
        <w:t xml:space="preserve"> אברג'יל נ' מדינת ישראל [פורסם בנבו] (2013); </w:t>
      </w:r>
      <w:hyperlink r:id="rId22" w:history="1">
        <w:r w:rsidR="00097BEB" w:rsidRPr="00097BEB">
          <w:rPr>
            <w:b/>
            <w:bCs/>
            <w:color w:val="0000FF"/>
            <w:u w:val="single"/>
            <w:rtl/>
          </w:rPr>
          <w:t>ע"פ 11469/05</w:t>
        </w:r>
      </w:hyperlink>
      <w:r>
        <w:rPr>
          <w:b/>
          <w:bCs/>
          <w:rtl/>
        </w:rPr>
        <w:t xml:space="preserve"> מדינת ישראל נ' עייש [פורסם בנבו] (2006); </w:t>
      </w:r>
      <w:hyperlink r:id="rId23" w:history="1">
        <w:r w:rsidR="007D09EA" w:rsidRPr="007D09EA">
          <w:rPr>
            <w:b/>
            <w:bCs/>
            <w:color w:val="0000FF"/>
            <w:u w:val="single"/>
            <w:rtl/>
          </w:rPr>
          <w:t xml:space="preserve">5958/13 </w:t>
        </w:r>
      </w:hyperlink>
      <w:r>
        <w:rPr>
          <w:b/>
          <w:bCs/>
          <w:rtl/>
        </w:rPr>
        <w:t xml:space="preserve"> גיא שרגא סבג נ' מדינת ישראל [פורסם בנבו] (2014); </w:t>
      </w:r>
      <w:hyperlink r:id="rId24" w:history="1">
        <w:r w:rsidR="007D09EA" w:rsidRPr="007D09EA">
          <w:rPr>
            <w:b/>
            <w:bCs/>
            <w:color w:val="0000FF"/>
            <w:u w:val="single"/>
            <w:rtl/>
          </w:rPr>
          <w:t xml:space="preserve">4203/14 </w:t>
        </w:r>
      </w:hyperlink>
      <w:r>
        <w:rPr>
          <w:b/>
          <w:bCs/>
          <w:rtl/>
        </w:rPr>
        <w:t xml:space="preserve"> אליהו כהן נ' מדינת ישראל [פורסם בנבו] (2015))"</w:t>
      </w:r>
      <w:r>
        <w:rPr>
          <w:rtl/>
        </w:rPr>
        <w:t>.</w:t>
      </w:r>
    </w:p>
    <w:p w14:paraId="7E58AE01" w14:textId="77777777" w:rsidR="00372D2A" w:rsidRDefault="00372D2A" w:rsidP="00372D2A">
      <w:pPr>
        <w:spacing w:line="360" w:lineRule="auto"/>
        <w:ind w:right="567"/>
        <w:jc w:val="both"/>
        <w:rPr>
          <w:rtl/>
        </w:rPr>
      </w:pPr>
    </w:p>
    <w:p w14:paraId="2B184E8E" w14:textId="77777777" w:rsidR="00372D2A" w:rsidRDefault="00372D2A" w:rsidP="00372D2A">
      <w:pPr>
        <w:spacing w:line="360" w:lineRule="auto"/>
        <w:jc w:val="both"/>
        <w:rPr>
          <w:rtl/>
        </w:rPr>
      </w:pPr>
      <w:r>
        <w:rPr>
          <w:rtl/>
        </w:rPr>
        <w:t>מתחמים דומים עולים אף בסקירת פסיקה נוספת של בית המשפט העליון ובתי משפט מחוזיים, בשים לב לנסיבות הספציפיות של כל מקרה ומקרה. כך למשל:</w:t>
      </w:r>
    </w:p>
    <w:p w14:paraId="5E8A7088" w14:textId="77777777" w:rsidR="00372D2A" w:rsidRDefault="00372D2A" w:rsidP="00372D2A">
      <w:pPr>
        <w:spacing w:line="360" w:lineRule="auto"/>
        <w:jc w:val="both"/>
        <w:rPr>
          <w:rtl/>
        </w:rPr>
      </w:pPr>
    </w:p>
    <w:p w14:paraId="000BEE2C" w14:textId="77777777" w:rsidR="00372D2A" w:rsidRDefault="00097BEB" w:rsidP="00372D2A">
      <w:pPr>
        <w:spacing w:line="360" w:lineRule="auto"/>
        <w:jc w:val="both"/>
        <w:rPr>
          <w:rtl/>
        </w:rPr>
      </w:pPr>
      <w:hyperlink r:id="rId25" w:history="1">
        <w:r w:rsidRPr="00097BEB">
          <w:rPr>
            <w:color w:val="0000FF"/>
            <w:u w:val="single"/>
            <w:rtl/>
          </w:rPr>
          <w:t>ע"פ 482/20</w:t>
        </w:r>
      </w:hyperlink>
      <w:r w:rsidR="00372D2A">
        <w:rPr>
          <w:rtl/>
        </w:rPr>
        <w:t xml:space="preserve"> </w:t>
      </w:r>
      <w:r w:rsidR="00372D2A">
        <w:rPr>
          <w:b/>
          <w:bCs/>
          <w:rtl/>
        </w:rPr>
        <w:t>מטר נ' מדינת ישראל</w:t>
      </w:r>
      <w:r w:rsidR="00372D2A">
        <w:rPr>
          <w:rtl/>
        </w:rPr>
        <w:t xml:space="preserve"> (4.6.20) – הנאשם החזיק בדירתו 65.26 גרם נטו הרואין וכן 5 משקלים דיגיטאליים ואיים על שוטר במהלך החיפוש. נגזרו עליו 4 שנות מאסר לצד מאסר על תנאי וחילוט של כ-15,000 ₪ שנתפסו בדירתו. בערעור הוקל העונש ל-3.5 שנות מאסר (בשל פגם שנפל בחיפוש המשטרתי).</w:t>
      </w:r>
    </w:p>
    <w:p w14:paraId="64BCBC83" w14:textId="77777777" w:rsidR="00372D2A" w:rsidRDefault="00372D2A" w:rsidP="00372D2A">
      <w:pPr>
        <w:spacing w:line="360" w:lineRule="auto"/>
        <w:jc w:val="both"/>
        <w:rPr>
          <w:rtl/>
        </w:rPr>
      </w:pPr>
    </w:p>
    <w:p w14:paraId="3798E614" w14:textId="77777777" w:rsidR="00372D2A" w:rsidRDefault="00097BEB" w:rsidP="00372D2A">
      <w:pPr>
        <w:spacing w:line="360" w:lineRule="auto"/>
        <w:jc w:val="both"/>
        <w:rPr>
          <w:rtl/>
        </w:rPr>
      </w:pPr>
      <w:hyperlink r:id="rId26" w:history="1">
        <w:r w:rsidRPr="00097BEB">
          <w:rPr>
            <w:color w:val="0000FF"/>
            <w:u w:val="single"/>
            <w:rtl/>
          </w:rPr>
          <w:t>ע"פ 8048/19</w:t>
        </w:r>
      </w:hyperlink>
      <w:r w:rsidR="00372D2A">
        <w:rPr>
          <w:rtl/>
        </w:rPr>
        <w:t xml:space="preserve"> </w:t>
      </w:r>
      <w:r w:rsidR="00372D2A">
        <w:rPr>
          <w:b/>
          <w:bCs/>
          <w:rtl/>
        </w:rPr>
        <w:t>פיצ'חדזה נ' מדינת ישראל</w:t>
      </w:r>
      <w:r w:rsidR="00372D2A">
        <w:rPr>
          <w:rtl/>
        </w:rPr>
        <w:t xml:space="preserve"> (4.6.20) – הנאשם החזיק בביתו 55 גרם נטו קוקאין, מחולק ל-38 מנות, משקל אלקטרוני וכסף מזומן בסך 4,250 ₪. נקבע מתחם עונש הולם הנע בין 24 ל-42 חודשי מאסר. על הנאשם נגזרו 18 חודשי מאסר, מאסר על תנאי, קנס בסך 10,000 ₪ והתחייבות, </w:t>
      </w:r>
      <w:r w:rsidR="00372D2A" w:rsidRPr="005117AA">
        <w:rPr>
          <w:b/>
          <w:bCs/>
          <w:rtl/>
        </w:rPr>
        <w:t>תוך חריגה ממתחם העונש ההולם מטעמי שיקום</w:t>
      </w:r>
      <w:r w:rsidR="00372D2A">
        <w:rPr>
          <w:rtl/>
        </w:rPr>
        <w:t>. הערעור נדחה.</w:t>
      </w:r>
    </w:p>
    <w:p w14:paraId="7FBF515F" w14:textId="77777777" w:rsidR="00372D2A" w:rsidRDefault="00372D2A" w:rsidP="00372D2A">
      <w:pPr>
        <w:spacing w:line="360" w:lineRule="auto"/>
        <w:jc w:val="both"/>
        <w:rPr>
          <w:rtl/>
        </w:rPr>
      </w:pPr>
    </w:p>
    <w:p w14:paraId="69A1ADFC" w14:textId="77777777" w:rsidR="00372D2A" w:rsidRDefault="00097BEB" w:rsidP="00372D2A">
      <w:pPr>
        <w:spacing w:line="360" w:lineRule="auto"/>
        <w:jc w:val="both"/>
        <w:rPr>
          <w:rtl/>
        </w:rPr>
      </w:pPr>
      <w:hyperlink r:id="rId27" w:history="1">
        <w:r w:rsidRPr="00097BEB">
          <w:rPr>
            <w:color w:val="0000FF"/>
            <w:u w:val="single"/>
            <w:rtl/>
          </w:rPr>
          <w:t>ע"פ 1313/14</w:t>
        </w:r>
      </w:hyperlink>
      <w:r w:rsidR="00372D2A">
        <w:rPr>
          <w:rtl/>
        </w:rPr>
        <w:t xml:space="preserve"> </w:t>
      </w:r>
      <w:r w:rsidR="00372D2A">
        <w:rPr>
          <w:b/>
          <w:bCs/>
          <w:rtl/>
        </w:rPr>
        <w:t>בהתימי נ' מדינת ישראל</w:t>
      </w:r>
      <w:r w:rsidR="00372D2A">
        <w:rPr>
          <w:rtl/>
        </w:rPr>
        <w:t xml:space="preserve"> (9.6.15) – הנאשם זרק חבילה של 50 גרם קוקאין עטופה בנייר כסף בעת שראה שוטרים ברחוב. נגזרו עליו 42 חודשי מאסר והופעל מאסר על תנאי בן 10 חודשים במצטבר, כך שסך הכל ירצה הנאשם 52 חודשי מאסר. הערעור נדחה.</w:t>
      </w:r>
    </w:p>
    <w:p w14:paraId="7A9C7BC7" w14:textId="77777777" w:rsidR="00372D2A" w:rsidRDefault="00372D2A" w:rsidP="00372D2A">
      <w:pPr>
        <w:spacing w:line="360" w:lineRule="auto"/>
        <w:jc w:val="both"/>
        <w:rPr>
          <w:rtl/>
        </w:rPr>
      </w:pPr>
    </w:p>
    <w:p w14:paraId="60457C53" w14:textId="77777777" w:rsidR="00372D2A" w:rsidRDefault="00097BEB" w:rsidP="00372D2A">
      <w:pPr>
        <w:spacing w:line="360" w:lineRule="auto"/>
        <w:jc w:val="both"/>
        <w:rPr>
          <w:rtl/>
        </w:rPr>
      </w:pPr>
      <w:hyperlink r:id="rId28" w:history="1">
        <w:r w:rsidRPr="00097BEB">
          <w:rPr>
            <w:color w:val="0000FF"/>
            <w:u w:val="single"/>
            <w:rtl/>
          </w:rPr>
          <w:t>ע"פ 9910/17</w:t>
        </w:r>
      </w:hyperlink>
      <w:r w:rsidR="00372D2A">
        <w:rPr>
          <w:rFonts w:hint="cs"/>
          <w:rtl/>
        </w:rPr>
        <w:t xml:space="preserve"> </w:t>
      </w:r>
      <w:r w:rsidR="00372D2A" w:rsidRPr="009C3E45">
        <w:rPr>
          <w:rFonts w:hint="cs"/>
          <w:b/>
          <w:bCs/>
          <w:rtl/>
        </w:rPr>
        <w:t>גריפולינה ואח' נ' מדינת ישראל</w:t>
      </w:r>
      <w:r w:rsidR="00372D2A">
        <w:rPr>
          <w:rFonts w:hint="cs"/>
          <w:rtl/>
        </w:rPr>
        <w:t xml:space="preserve"> (3.5.18) </w:t>
      </w:r>
      <w:r w:rsidR="00372D2A">
        <w:rPr>
          <w:rtl/>
        </w:rPr>
        <w:t>–</w:t>
      </w:r>
      <w:r w:rsidR="00372D2A">
        <w:rPr>
          <w:rFonts w:hint="cs"/>
          <w:rtl/>
        </w:rPr>
        <w:t xml:space="preserve"> המערערים הורשעו על פי הודאתם בהחזקת 40.15 גרם הרואין ו-54.87 גרם חשיש (המערערת); ו-21.75 גרם קוקאין ו-3.26 גרם חשיש (המערער) ונגזרו עליהם 24 חודשי מאסר בפועל, לאחר שנקבע מתחם עונש הולם בעניינה של המערערת בין 24 ל-48 חודשי מאסר; ובעניינו של המערער בין 15 ל-36 חודשי מאסר. ערעורם לבית המשפט העליון נדחה.</w:t>
      </w:r>
    </w:p>
    <w:p w14:paraId="64BF5FE1" w14:textId="77777777" w:rsidR="00372D2A" w:rsidRDefault="00372D2A" w:rsidP="00372D2A">
      <w:pPr>
        <w:spacing w:line="360" w:lineRule="auto"/>
        <w:jc w:val="both"/>
        <w:rPr>
          <w:rtl/>
        </w:rPr>
      </w:pPr>
    </w:p>
    <w:p w14:paraId="1CCE31E0" w14:textId="77777777" w:rsidR="00372D2A" w:rsidRDefault="00097BEB" w:rsidP="00372D2A">
      <w:pPr>
        <w:spacing w:line="360" w:lineRule="auto"/>
        <w:jc w:val="both"/>
        <w:rPr>
          <w:rtl/>
        </w:rPr>
      </w:pPr>
      <w:hyperlink r:id="rId29" w:history="1">
        <w:r w:rsidRPr="00097BEB">
          <w:rPr>
            <w:color w:val="0000FF"/>
            <w:u w:val="single"/>
            <w:rtl/>
          </w:rPr>
          <w:t>ע"פ 6277/14</w:t>
        </w:r>
      </w:hyperlink>
      <w:r w:rsidR="00372D2A">
        <w:rPr>
          <w:rtl/>
        </w:rPr>
        <w:t xml:space="preserve"> </w:t>
      </w:r>
      <w:r w:rsidR="00372D2A">
        <w:rPr>
          <w:b/>
          <w:bCs/>
          <w:rtl/>
        </w:rPr>
        <w:t>משלטי נ' מדינת ישראל</w:t>
      </w:r>
      <w:r w:rsidR="00372D2A">
        <w:rPr>
          <w:rtl/>
        </w:rPr>
        <w:t xml:space="preserve"> (2.2.15) – החזקה של 51 גרם קוקאין וחומר נוסף שאינו סם מסוכן במשקל של 10 גרם, לצד שקיות ומשקל אלקטרוני. נקבע מתחם עונש הולם הנע בין 3 ל-5 שנות מאסר. על הנאשם נגזרו 4 שנות מאסר, וכן הופעל מאסר על תנאי שמתוכו שנה אחת במצטבר, כך שסך הכל ירצה הנאשם 5 שנות מאסר. הערעור נדחה.</w:t>
      </w:r>
    </w:p>
    <w:p w14:paraId="2D5C30DF" w14:textId="77777777" w:rsidR="00372D2A" w:rsidRDefault="00372D2A" w:rsidP="00372D2A">
      <w:pPr>
        <w:spacing w:line="360" w:lineRule="auto"/>
        <w:jc w:val="both"/>
        <w:rPr>
          <w:rtl/>
        </w:rPr>
      </w:pPr>
    </w:p>
    <w:p w14:paraId="44CBB454" w14:textId="77777777" w:rsidR="00372D2A" w:rsidRDefault="00097BEB" w:rsidP="00372D2A">
      <w:pPr>
        <w:spacing w:line="360" w:lineRule="auto"/>
        <w:jc w:val="both"/>
        <w:rPr>
          <w:rtl/>
        </w:rPr>
      </w:pPr>
      <w:hyperlink r:id="rId30" w:history="1">
        <w:r w:rsidRPr="00097BEB">
          <w:rPr>
            <w:color w:val="0000FF"/>
            <w:u w:val="single"/>
            <w:rtl/>
          </w:rPr>
          <w:t>ע"פ 810/11</w:t>
        </w:r>
      </w:hyperlink>
      <w:r w:rsidR="00372D2A">
        <w:rPr>
          <w:rtl/>
        </w:rPr>
        <w:t xml:space="preserve"> </w:t>
      </w:r>
      <w:r w:rsidR="00372D2A">
        <w:rPr>
          <w:b/>
          <w:bCs/>
          <w:rtl/>
        </w:rPr>
        <w:t>בורגרקר נ' מדינת ישראל</w:t>
      </w:r>
      <w:r w:rsidR="00372D2A">
        <w:rPr>
          <w:rtl/>
        </w:rPr>
        <w:t xml:space="preserve"> (30.5.11) – החזקה של כ-59 גרם הרואין שלא לצריכה עצמית. על הנאשם נגזרו 36 חודשי מאסר. הערעור נדחה.</w:t>
      </w:r>
    </w:p>
    <w:p w14:paraId="55D1C1C5" w14:textId="77777777" w:rsidR="00372D2A" w:rsidRDefault="00372D2A" w:rsidP="00372D2A">
      <w:pPr>
        <w:spacing w:line="360" w:lineRule="auto"/>
        <w:jc w:val="both"/>
        <w:rPr>
          <w:rtl/>
        </w:rPr>
      </w:pPr>
    </w:p>
    <w:p w14:paraId="6B0398CD" w14:textId="77777777" w:rsidR="00372D2A" w:rsidRPr="00753884" w:rsidRDefault="00097BEB" w:rsidP="00372D2A">
      <w:pPr>
        <w:spacing w:line="360" w:lineRule="auto"/>
        <w:jc w:val="both"/>
        <w:rPr>
          <w:rtl/>
        </w:rPr>
      </w:pPr>
      <w:hyperlink r:id="rId31" w:history="1">
        <w:r w:rsidRPr="00097BEB">
          <w:rPr>
            <w:color w:val="0000FF"/>
            <w:u w:val="single"/>
            <w:rtl/>
          </w:rPr>
          <w:t>רע"פ 2060/07</w:t>
        </w:r>
      </w:hyperlink>
      <w:r w:rsidR="00372D2A">
        <w:rPr>
          <w:rFonts w:hint="cs"/>
          <w:rtl/>
        </w:rPr>
        <w:t xml:space="preserve"> </w:t>
      </w:r>
      <w:r w:rsidR="00372D2A">
        <w:rPr>
          <w:rFonts w:hint="cs"/>
          <w:b/>
          <w:bCs/>
          <w:rtl/>
        </w:rPr>
        <w:t>אבו רקייק נ' מדינת ישראל</w:t>
      </w:r>
      <w:r w:rsidR="00372D2A">
        <w:rPr>
          <w:rFonts w:hint="cs"/>
          <w:rtl/>
        </w:rPr>
        <w:t xml:space="preserve"> (20.5.07) </w:t>
      </w:r>
      <w:r w:rsidR="00372D2A">
        <w:rPr>
          <w:rtl/>
        </w:rPr>
        <w:t>–</w:t>
      </w:r>
      <w:r w:rsidR="00372D2A">
        <w:rPr>
          <w:rFonts w:hint="cs"/>
          <w:rtl/>
        </w:rPr>
        <w:t xml:space="preserve"> הנאשם, צעיר נעדר עבר פלילי, הורשע לאחר ניהול הוכחות בעבירה של החזקת סם מסוכן מסוג הרואין במשקל 38.15 גרם. בית משפט השלום גזר עליו 12 חודשי מאסר; עונשו הוחמר בבית המשפט המחוזי ל-30 חודשי מאסר; בקשת רשות ערעור שהגיש לבית המשפט העליון נדחתה.</w:t>
      </w:r>
    </w:p>
    <w:p w14:paraId="0409E271" w14:textId="77777777" w:rsidR="00372D2A" w:rsidRDefault="00372D2A" w:rsidP="00372D2A">
      <w:pPr>
        <w:spacing w:line="360" w:lineRule="auto"/>
        <w:jc w:val="both"/>
        <w:rPr>
          <w:rtl/>
        </w:rPr>
      </w:pPr>
    </w:p>
    <w:p w14:paraId="0A40C72C" w14:textId="77777777" w:rsidR="00372D2A" w:rsidRPr="00A35276" w:rsidRDefault="00372D2A" w:rsidP="00372D2A">
      <w:pPr>
        <w:spacing w:line="360" w:lineRule="auto"/>
        <w:jc w:val="both"/>
        <w:rPr>
          <w:rtl/>
        </w:rPr>
      </w:pPr>
      <w:r>
        <w:rPr>
          <w:rFonts w:hint="cs"/>
          <w:rtl/>
        </w:rPr>
        <w:t xml:space="preserve">עפ"ג (מחוזי מרכז) </w:t>
      </w:r>
      <w:r>
        <w:rPr>
          <w:rFonts w:hint="cs"/>
          <w:b/>
          <w:bCs/>
          <w:rtl/>
        </w:rPr>
        <w:t>טברי נ' מדינת ישראל</w:t>
      </w:r>
      <w:r>
        <w:rPr>
          <w:rFonts w:hint="cs"/>
          <w:rtl/>
        </w:rPr>
        <w:t xml:space="preserve"> (16.12.18) </w:t>
      </w:r>
      <w:r>
        <w:rPr>
          <w:rtl/>
        </w:rPr>
        <w:t>–</w:t>
      </w:r>
      <w:r>
        <w:rPr>
          <w:rFonts w:hint="cs"/>
          <w:rtl/>
        </w:rPr>
        <w:t xml:space="preserve"> המערער הורשע לאחר שמיעת ראיות בהחזקת סם מסוכן מסוג קוקאין במשקל 49.59 גרם. בית משפט השלום קבע מתחם עונש הולם הנע בין 18 ל-36 חודשי מאסר וגזר עליו 27 חודשי מאסר. בית המשפט המחוזי קיבל את הערעור לאחר שקבע כי המשטרה התנהלה באופן בררני כלפי המערער כשבחרה להעמיד אותו לדין ונמנעה מלעשות כן כלפי שותפו. עונשו של המערער הועמד על 22 חודשי מאסר.</w:t>
      </w:r>
    </w:p>
    <w:p w14:paraId="72258659" w14:textId="77777777" w:rsidR="00372D2A" w:rsidRDefault="00372D2A" w:rsidP="00372D2A">
      <w:pPr>
        <w:spacing w:line="360" w:lineRule="auto"/>
        <w:jc w:val="both"/>
        <w:rPr>
          <w:rtl/>
        </w:rPr>
      </w:pPr>
    </w:p>
    <w:p w14:paraId="249FFA59" w14:textId="77777777" w:rsidR="00372D2A" w:rsidRDefault="00372D2A" w:rsidP="00372D2A">
      <w:pPr>
        <w:spacing w:line="360" w:lineRule="auto"/>
        <w:jc w:val="both"/>
        <w:rPr>
          <w:b/>
          <w:bCs/>
          <w:rtl/>
        </w:rPr>
      </w:pPr>
      <w:r>
        <w:rPr>
          <w:rtl/>
        </w:rPr>
        <w:t>13.</w:t>
      </w:r>
      <w:r>
        <w:rPr>
          <w:rtl/>
        </w:rPr>
        <w:tab/>
      </w:r>
      <w:r>
        <w:rPr>
          <w:b/>
          <w:bCs/>
          <w:rtl/>
        </w:rPr>
        <w:t>נוכח נסיבות ביצוע העביר</w:t>
      </w:r>
      <w:r>
        <w:rPr>
          <w:rFonts w:hint="cs"/>
          <w:b/>
          <w:bCs/>
          <w:rtl/>
        </w:rPr>
        <w:t>ות</w:t>
      </w:r>
      <w:r>
        <w:rPr>
          <w:b/>
          <w:bCs/>
          <w:rtl/>
        </w:rPr>
        <w:t xml:space="preserve">, כמפורט לעיל, מידת הפגיעה בערכים החברתיים המוגנים ומדיניות הפסיקה הנוהגת, אני קובע כי מתחם העונש ההולם </w:t>
      </w:r>
      <w:r>
        <w:rPr>
          <w:rFonts w:hint="cs"/>
          <w:b/>
          <w:bCs/>
          <w:rtl/>
        </w:rPr>
        <w:t xml:space="preserve">(בנוגע לשלושת האירועים) </w:t>
      </w:r>
      <w:r>
        <w:rPr>
          <w:b/>
          <w:bCs/>
          <w:rtl/>
        </w:rPr>
        <w:t xml:space="preserve">נע בין </w:t>
      </w:r>
      <w:r>
        <w:rPr>
          <w:rFonts w:hint="cs"/>
          <w:b/>
          <w:bCs/>
          <w:rtl/>
        </w:rPr>
        <w:t>20</w:t>
      </w:r>
      <w:r>
        <w:rPr>
          <w:b/>
          <w:bCs/>
          <w:rtl/>
        </w:rPr>
        <w:t xml:space="preserve"> ל-</w:t>
      </w:r>
      <w:r>
        <w:rPr>
          <w:rFonts w:hint="cs"/>
          <w:b/>
          <w:bCs/>
          <w:rtl/>
        </w:rPr>
        <w:t>40</w:t>
      </w:r>
      <w:r>
        <w:rPr>
          <w:b/>
          <w:bCs/>
          <w:rtl/>
        </w:rPr>
        <w:t xml:space="preserve"> חודשי מאסר, לצד ענישה נלווית.</w:t>
      </w:r>
    </w:p>
    <w:p w14:paraId="2853DF1B" w14:textId="77777777" w:rsidR="00372D2A" w:rsidRDefault="00372D2A" w:rsidP="00372D2A">
      <w:pPr>
        <w:spacing w:line="360" w:lineRule="auto"/>
        <w:jc w:val="both"/>
        <w:rPr>
          <w:rFonts w:ascii="David" w:hAnsi="David"/>
          <w:rtl/>
        </w:rPr>
      </w:pPr>
    </w:p>
    <w:p w14:paraId="34A2E02F" w14:textId="77777777" w:rsidR="00372D2A" w:rsidRDefault="00372D2A" w:rsidP="00372D2A">
      <w:pPr>
        <w:spacing w:line="360" w:lineRule="auto"/>
        <w:jc w:val="both"/>
        <w:rPr>
          <w:rFonts w:ascii="David" w:hAnsi="David"/>
          <w:rtl/>
        </w:rPr>
      </w:pPr>
      <w:r>
        <w:rPr>
          <w:rFonts w:ascii="David" w:hAnsi="David" w:hint="cs"/>
          <w:rtl/>
        </w:rPr>
        <w:t>14.</w:t>
      </w:r>
      <w:r>
        <w:rPr>
          <w:rFonts w:ascii="David" w:hAnsi="David" w:hint="cs"/>
          <w:rtl/>
        </w:rPr>
        <w:tab/>
        <w:t>כאמור, מצאתי לחרוג במקרה זה ממתחם העונש ההולם, וזאת מטעמים של סיכוי לשיקום, אך שיקולי הענישה האחרים, וביניהם שיקולים של גמול והרתעה, כמו גם האינטרס הציבורי, אינם מאפשרים חריגה כה גדולה עד כדי הימנעות מהטלת מאסר לריצוי מאחורי סורג ובריח. להלן טעמיי.</w:t>
      </w:r>
    </w:p>
    <w:p w14:paraId="677F2897" w14:textId="77777777" w:rsidR="00372D2A" w:rsidRDefault="00372D2A" w:rsidP="00372D2A">
      <w:pPr>
        <w:spacing w:line="360" w:lineRule="auto"/>
        <w:ind w:left="720" w:hanging="720"/>
        <w:jc w:val="both"/>
        <w:rPr>
          <w:rFonts w:ascii="David" w:hAnsi="David"/>
          <w:rtl/>
        </w:rPr>
      </w:pPr>
      <w:r>
        <w:rPr>
          <w:rFonts w:ascii="David" w:hAnsi="David" w:hint="cs"/>
          <w:rtl/>
        </w:rPr>
        <w:t>א.</w:t>
      </w:r>
      <w:r>
        <w:rPr>
          <w:rFonts w:ascii="David" w:hAnsi="David" w:hint="cs"/>
          <w:rtl/>
        </w:rPr>
        <w:tab/>
        <w:t>הנאשם כבן 56, אב ל-3 ילדים בוגרים, אחד מהם מאובחן כחולה בסכיזופרניה וחווה התקפי זעם כשאינו מאוזן תרופתית. לאחרונה חווה הנאשם אובדן של שני הוריו והוא מתמודד עם קשיים רגשיים וקשיים כלכליים.</w:t>
      </w:r>
    </w:p>
    <w:p w14:paraId="14450791" w14:textId="77777777" w:rsidR="00372D2A" w:rsidRDefault="00372D2A" w:rsidP="00372D2A">
      <w:pPr>
        <w:spacing w:line="360" w:lineRule="auto"/>
        <w:ind w:left="720" w:hanging="720"/>
        <w:jc w:val="both"/>
        <w:rPr>
          <w:rFonts w:ascii="David" w:hAnsi="David"/>
          <w:rtl/>
        </w:rPr>
      </w:pPr>
      <w:r>
        <w:rPr>
          <w:rFonts w:ascii="David" w:hAnsi="David" w:hint="cs"/>
          <w:rtl/>
        </w:rPr>
        <w:t>ב.</w:t>
      </w:r>
      <w:r>
        <w:rPr>
          <w:rFonts w:ascii="David" w:hAnsi="David" w:hint="cs"/>
          <w:rtl/>
        </w:rPr>
        <w:tab/>
        <w:t>לנאשם 8 הרשעות קודמות בגין עבירות מין, רכוש וסמים והוא ריצה שתי תקופות מאסר, אחת למשך 30 חודשים ושניה למשך 11 חודשים. יחד עם זאת, הרשעתו האחרונה היא משנת 2011 ומאז לא ביצע עבירות למעט העבירות בגינן נותן את הדין.</w:t>
      </w:r>
    </w:p>
    <w:p w14:paraId="37400FEE" w14:textId="77777777" w:rsidR="00372D2A" w:rsidRDefault="00372D2A" w:rsidP="00372D2A">
      <w:pPr>
        <w:spacing w:line="360" w:lineRule="auto"/>
        <w:ind w:left="720" w:hanging="720"/>
        <w:jc w:val="both"/>
        <w:rPr>
          <w:rFonts w:ascii="David" w:hAnsi="David"/>
          <w:rtl/>
        </w:rPr>
      </w:pPr>
      <w:r>
        <w:rPr>
          <w:rFonts w:ascii="David" w:hAnsi="David" w:hint="cs"/>
          <w:rtl/>
        </w:rPr>
        <w:t>ג.</w:t>
      </w:r>
      <w:r>
        <w:rPr>
          <w:rFonts w:ascii="David" w:hAnsi="David" w:hint="cs"/>
          <w:rtl/>
        </w:rPr>
        <w:tab/>
        <w:t xml:space="preserve">אמנם הנאשם הביע עייפות משימוש ומתלות בסם ואף השתלב בהליך טיפולי הכולל נטילת תחליף סם מסוג סבוטקס והוא מוסר בדיקות שתן נקיות משרידי סם, אך יחד עם זאת, גם ההגנה מודעת לעובדה שלא ניתן להמשיך בנטילת תחליף סם לנצח, ובשלב מסוים יהיה על הנאשם להפסיק את השימוש גם בתחליף הסם. לענין זה יצוין שהגם שהנאשם משתף פעולה עם היחידה למניעת התמכרויות בחדרה, הרי שמבחינת הקשר עם שרות המבחן הוא עבר אך קבוצת </w:t>
      </w:r>
      <w:r w:rsidRPr="002B61F3">
        <w:rPr>
          <w:rFonts w:ascii="David" w:hAnsi="David" w:hint="cs"/>
          <w:u w:val="single"/>
          <w:rtl/>
        </w:rPr>
        <w:t>הכנה</w:t>
      </w:r>
      <w:r>
        <w:rPr>
          <w:rFonts w:ascii="David" w:hAnsi="David" w:hint="cs"/>
          <w:rtl/>
        </w:rPr>
        <w:t xml:space="preserve"> לטיפול והדרך להשלמת הטיפול והשיקום עוד ארוכה. עוד לענין זה יצוין שעברו של הנאשם רווי ב"עליות ומורדות" והוא עבר הליכי גמילה במסגרתם חלה נסיגה במצבו, כך שהפרוגנוזה בעניינו לוטה בערפל.</w:t>
      </w:r>
    </w:p>
    <w:p w14:paraId="2FAFF787" w14:textId="77777777" w:rsidR="00372D2A" w:rsidRDefault="00372D2A" w:rsidP="00372D2A">
      <w:pPr>
        <w:spacing w:line="360" w:lineRule="auto"/>
        <w:ind w:left="720" w:hanging="720"/>
        <w:jc w:val="both"/>
        <w:rPr>
          <w:rFonts w:ascii="David" w:hAnsi="David"/>
          <w:rtl/>
        </w:rPr>
      </w:pPr>
      <w:r>
        <w:rPr>
          <w:rFonts w:ascii="David" w:hAnsi="David" w:hint="cs"/>
          <w:rtl/>
        </w:rPr>
        <w:t>ד.</w:t>
      </w:r>
      <w:r>
        <w:rPr>
          <w:rFonts w:ascii="David" w:hAnsi="David" w:hint="cs"/>
          <w:rtl/>
        </w:rPr>
        <w:tab/>
        <w:t xml:space="preserve">בנסיבות אלה, באתי לכלל מסקנה שחריגה מהותית ממתחם העונש ההולם </w:t>
      </w:r>
      <w:r>
        <w:rPr>
          <w:rFonts w:ascii="David" w:hAnsi="David"/>
          <w:rtl/>
        </w:rPr>
        <w:t>–</w:t>
      </w:r>
      <w:r>
        <w:rPr>
          <w:rFonts w:ascii="David" w:hAnsi="David" w:hint="cs"/>
          <w:rtl/>
        </w:rPr>
        <w:t xml:space="preserve"> נוכח הערכים החברתיים המוגנים, מידת הפגיעה בהם, מדיניות הענישה הנוהגת והצורך הממשי להרתיע את העבריינים בכוח </w:t>
      </w:r>
      <w:r>
        <w:rPr>
          <w:rFonts w:ascii="David" w:hAnsi="David"/>
          <w:rtl/>
        </w:rPr>
        <w:t>–</w:t>
      </w:r>
      <w:r>
        <w:rPr>
          <w:rFonts w:ascii="David" w:hAnsi="David" w:hint="cs"/>
          <w:rtl/>
        </w:rPr>
        <w:t xml:space="preserve"> אינה מאפשרת הימנעות מהטלת עונש מאסר לריצוי מאחורי סורג ובריח, </w:t>
      </w:r>
      <w:r w:rsidRPr="005117AA">
        <w:rPr>
          <w:rFonts w:ascii="David" w:hAnsi="David" w:hint="cs"/>
          <w:b/>
          <w:bCs/>
          <w:rtl/>
        </w:rPr>
        <w:t>כל זאת כאשר ניתן למתן את הפגיעה בנאשם ובדרך הטיפולית שעבר על ידי שיבוצו באגף נקי מסמים בכלא ותוך הקפדה על מתן תחליפי סם</w:t>
      </w:r>
      <w:r>
        <w:rPr>
          <w:rFonts w:ascii="David" w:hAnsi="David" w:hint="cs"/>
          <w:rtl/>
        </w:rPr>
        <w:t>.</w:t>
      </w:r>
    </w:p>
    <w:p w14:paraId="0CB7B643" w14:textId="77777777" w:rsidR="00372D2A" w:rsidRDefault="00372D2A" w:rsidP="00372D2A">
      <w:pPr>
        <w:spacing w:line="360" w:lineRule="auto"/>
        <w:ind w:left="720" w:hanging="720"/>
        <w:jc w:val="both"/>
        <w:rPr>
          <w:rFonts w:ascii="David" w:hAnsi="David"/>
          <w:rtl/>
        </w:rPr>
      </w:pPr>
      <w:r>
        <w:rPr>
          <w:rFonts w:ascii="David" w:hAnsi="David" w:hint="cs"/>
          <w:rtl/>
        </w:rPr>
        <w:t>ה.</w:t>
      </w:r>
      <w:r>
        <w:rPr>
          <w:rFonts w:ascii="David" w:hAnsi="David" w:hint="cs"/>
          <w:rtl/>
        </w:rPr>
        <w:tab/>
        <w:t>כמובן שלקחתי בחשבון גם את הודאתו של הנאשם בכתבי האישום, החסכון בזמן השיפוטי ונטילת האחריות (אם כי בענין זה השתמע מדברו האחרון של הנאשם שרכש את הסם לשימושו העצמי, וזאת בניגוד להוראת החיקוק שיוחסה לו (עמ' 15, ש' 32).</w:t>
      </w:r>
    </w:p>
    <w:p w14:paraId="7ED7CF00" w14:textId="77777777" w:rsidR="00372D2A" w:rsidRDefault="00372D2A" w:rsidP="00372D2A">
      <w:pPr>
        <w:spacing w:line="360" w:lineRule="auto"/>
        <w:ind w:left="720" w:hanging="720"/>
        <w:jc w:val="both"/>
        <w:rPr>
          <w:rFonts w:ascii="David" w:hAnsi="David"/>
          <w:rtl/>
        </w:rPr>
      </w:pPr>
      <w:r>
        <w:rPr>
          <w:rFonts w:ascii="David" w:hAnsi="David" w:hint="cs"/>
          <w:rtl/>
        </w:rPr>
        <w:t>ו.</w:t>
      </w:r>
      <w:r>
        <w:rPr>
          <w:rFonts w:ascii="David" w:hAnsi="David" w:hint="cs"/>
          <w:rtl/>
        </w:rPr>
        <w:tab/>
        <w:t>עוד לקחתי בחשבון את חלוף הזמן מאז ביצוע העבירות ואת העובדה שהנאשם היה עצור בגין תיקים אלה משך 11 יום ולאחר מכן היה נתון בתנאים מגבילים תקופה ארוכה.</w:t>
      </w:r>
    </w:p>
    <w:p w14:paraId="382D28B7" w14:textId="77777777" w:rsidR="00372D2A" w:rsidRDefault="00372D2A" w:rsidP="00372D2A">
      <w:pPr>
        <w:spacing w:line="360" w:lineRule="auto"/>
        <w:ind w:left="720" w:hanging="720"/>
        <w:jc w:val="both"/>
        <w:rPr>
          <w:rFonts w:ascii="David" w:hAnsi="David"/>
          <w:rtl/>
        </w:rPr>
      </w:pPr>
    </w:p>
    <w:p w14:paraId="377FB5BE" w14:textId="77777777" w:rsidR="00372D2A" w:rsidRDefault="00372D2A" w:rsidP="00372D2A">
      <w:pPr>
        <w:spacing w:line="360" w:lineRule="auto"/>
        <w:ind w:left="720" w:hanging="720"/>
        <w:jc w:val="both"/>
        <w:rPr>
          <w:rFonts w:ascii="David" w:hAnsi="David"/>
          <w:rtl/>
        </w:rPr>
      </w:pPr>
    </w:p>
    <w:p w14:paraId="396C1BE1" w14:textId="77777777" w:rsidR="00372D2A" w:rsidRDefault="00372D2A" w:rsidP="00372D2A">
      <w:pPr>
        <w:spacing w:line="360" w:lineRule="auto"/>
        <w:ind w:left="720" w:hanging="720"/>
        <w:jc w:val="both"/>
        <w:rPr>
          <w:rFonts w:ascii="David" w:hAnsi="David"/>
          <w:rtl/>
        </w:rPr>
      </w:pPr>
      <w:r>
        <w:rPr>
          <w:rFonts w:ascii="David" w:hAnsi="David" w:hint="cs"/>
          <w:rtl/>
        </w:rPr>
        <w:t>15.</w:t>
      </w:r>
      <w:r>
        <w:rPr>
          <w:rFonts w:ascii="David" w:hAnsi="David" w:hint="cs"/>
          <w:rtl/>
        </w:rPr>
        <w:tab/>
        <w:t>לאור האמור לעיל, אני גוזר על הנאשם את העונשים הבאים:</w:t>
      </w:r>
    </w:p>
    <w:p w14:paraId="03766920" w14:textId="77777777" w:rsidR="00372D2A" w:rsidRDefault="00372D2A" w:rsidP="00372D2A">
      <w:pPr>
        <w:spacing w:line="360" w:lineRule="auto"/>
        <w:ind w:left="720" w:hanging="720"/>
        <w:jc w:val="both"/>
        <w:rPr>
          <w:rFonts w:ascii="David" w:hAnsi="David"/>
          <w:rtl/>
        </w:rPr>
      </w:pPr>
      <w:r>
        <w:rPr>
          <w:rFonts w:ascii="David" w:hAnsi="David" w:hint="cs"/>
          <w:rtl/>
        </w:rPr>
        <w:t>א.</w:t>
      </w:r>
      <w:r>
        <w:rPr>
          <w:rFonts w:ascii="David" w:hAnsi="David" w:hint="cs"/>
          <w:rtl/>
        </w:rPr>
        <w:tab/>
        <w:t>12 חודשי מאסר בפועל, בניכוי ימי מעצרו: 27.10.19-16.10.19.</w:t>
      </w:r>
    </w:p>
    <w:p w14:paraId="70AB90B1" w14:textId="77777777" w:rsidR="00372D2A" w:rsidRPr="004732A2" w:rsidRDefault="00372D2A" w:rsidP="00372D2A">
      <w:pPr>
        <w:spacing w:line="360" w:lineRule="auto"/>
        <w:ind w:left="720" w:hanging="720"/>
        <w:jc w:val="both"/>
        <w:rPr>
          <w:rFonts w:ascii="David" w:hAnsi="David"/>
          <w:rtl/>
        </w:rPr>
      </w:pPr>
      <w:r>
        <w:rPr>
          <w:rFonts w:ascii="David" w:hAnsi="David"/>
          <w:rtl/>
        </w:rPr>
        <w:tab/>
      </w:r>
      <w:r>
        <w:rPr>
          <w:rFonts w:ascii="David" w:hAnsi="David" w:hint="cs"/>
          <w:b/>
          <w:bCs/>
          <w:rtl/>
        </w:rPr>
        <w:t>הנאשם יתייצב לריצוי מאסרו בבית סוהר "הדרים" ביום 14.11.21 בשעה 10:00 כשבידו תעודת זהות</w:t>
      </w:r>
      <w:r>
        <w:rPr>
          <w:rFonts w:ascii="David" w:hAnsi="David" w:hint="cs"/>
          <w:rtl/>
        </w:rPr>
        <w:t>.</w:t>
      </w:r>
      <w:r>
        <w:rPr>
          <w:rFonts w:ascii="David" w:hAnsi="David" w:hint="cs"/>
          <w:b/>
          <w:bCs/>
          <w:rtl/>
        </w:rPr>
        <w:t xml:space="preserve"> </w:t>
      </w:r>
      <w:r w:rsidRPr="00DE7DA7">
        <w:rPr>
          <w:rFonts w:ascii="David" w:hAnsi="David" w:hint="cs"/>
          <w:b/>
          <w:bCs/>
          <w:rtl/>
        </w:rPr>
        <w:t>התנאים המגבילים והכספיים ימשיכו לחול עד להתייצבות הנאשם לריצוי עונשו.</w:t>
      </w:r>
    </w:p>
    <w:p w14:paraId="00DACC9E" w14:textId="77777777" w:rsidR="00372D2A" w:rsidRDefault="00372D2A" w:rsidP="00372D2A">
      <w:pPr>
        <w:spacing w:line="360" w:lineRule="auto"/>
        <w:ind w:left="720" w:hanging="720"/>
        <w:jc w:val="both"/>
        <w:rPr>
          <w:rFonts w:ascii="David" w:hAnsi="David"/>
          <w:rtl/>
        </w:rPr>
      </w:pPr>
      <w:r>
        <w:rPr>
          <w:rFonts w:ascii="David" w:hAnsi="David" w:hint="cs"/>
          <w:rtl/>
        </w:rPr>
        <w:t>ב.</w:t>
      </w:r>
      <w:r>
        <w:rPr>
          <w:rFonts w:ascii="David" w:hAnsi="David" w:hint="cs"/>
          <w:rtl/>
        </w:rPr>
        <w:tab/>
        <w:t>3 חודשי מאסר על תנאי למשך 3 שנים מיום שחרורו, שלא יעבור עבירת סם מסוג עוון.</w:t>
      </w:r>
    </w:p>
    <w:p w14:paraId="64E875AE" w14:textId="77777777" w:rsidR="00372D2A" w:rsidRDefault="00372D2A" w:rsidP="00372D2A">
      <w:pPr>
        <w:spacing w:line="360" w:lineRule="auto"/>
        <w:ind w:left="720" w:hanging="720"/>
        <w:jc w:val="both"/>
        <w:rPr>
          <w:rFonts w:ascii="David" w:hAnsi="David"/>
          <w:rtl/>
        </w:rPr>
      </w:pPr>
      <w:r>
        <w:rPr>
          <w:rFonts w:ascii="David" w:hAnsi="David" w:hint="cs"/>
          <w:rtl/>
        </w:rPr>
        <w:t>ג.</w:t>
      </w:r>
      <w:r>
        <w:rPr>
          <w:rFonts w:ascii="David" w:hAnsi="David" w:hint="cs"/>
          <w:rtl/>
        </w:rPr>
        <w:tab/>
        <w:t>7 חודשי מאסר על תנאי למשך 3 שנים מיום שחרורו, שלא יעבור עבירת סם מסוג פשע.</w:t>
      </w:r>
    </w:p>
    <w:p w14:paraId="44F77B77" w14:textId="77777777" w:rsidR="00372D2A" w:rsidRDefault="00372D2A" w:rsidP="00372D2A">
      <w:pPr>
        <w:spacing w:line="360" w:lineRule="auto"/>
        <w:ind w:left="720" w:hanging="720"/>
        <w:jc w:val="both"/>
        <w:rPr>
          <w:rFonts w:ascii="David" w:hAnsi="David"/>
          <w:rtl/>
        </w:rPr>
      </w:pPr>
    </w:p>
    <w:p w14:paraId="65484EB5" w14:textId="77777777" w:rsidR="00372D2A" w:rsidRDefault="00372D2A" w:rsidP="00372D2A">
      <w:pPr>
        <w:spacing w:line="360" w:lineRule="auto"/>
        <w:ind w:left="720" w:hanging="720"/>
        <w:jc w:val="both"/>
        <w:rPr>
          <w:rFonts w:ascii="David" w:hAnsi="David"/>
          <w:rtl/>
        </w:rPr>
      </w:pPr>
      <w:r>
        <w:rPr>
          <w:rFonts w:ascii="David" w:hAnsi="David" w:hint="cs"/>
          <w:rtl/>
        </w:rPr>
        <w:t>נוכח מצבו הכלכלי של הנאשם והעובדה שנגזר עליו עונש מאסר בפועל, אמנע מהשתת קנס כספי.</w:t>
      </w:r>
    </w:p>
    <w:p w14:paraId="220064BA" w14:textId="77777777" w:rsidR="00372D2A" w:rsidRDefault="00372D2A" w:rsidP="00372D2A">
      <w:pPr>
        <w:spacing w:line="360" w:lineRule="auto"/>
        <w:ind w:left="720" w:hanging="720"/>
        <w:jc w:val="both"/>
        <w:rPr>
          <w:rFonts w:ascii="David" w:hAnsi="David"/>
          <w:rtl/>
        </w:rPr>
      </w:pPr>
    </w:p>
    <w:p w14:paraId="0424E76D" w14:textId="77777777" w:rsidR="00372D2A" w:rsidRDefault="00372D2A" w:rsidP="00372D2A">
      <w:pPr>
        <w:spacing w:line="360" w:lineRule="auto"/>
        <w:ind w:left="720" w:hanging="720"/>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הסמים יושמדו.</w:t>
      </w:r>
    </w:p>
    <w:p w14:paraId="16CEE863" w14:textId="77777777" w:rsidR="00372D2A" w:rsidRPr="00097BEB" w:rsidRDefault="00097BEB" w:rsidP="00372D2A">
      <w:pPr>
        <w:spacing w:line="360" w:lineRule="auto"/>
        <w:ind w:left="720" w:hanging="720"/>
        <w:jc w:val="both"/>
        <w:rPr>
          <w:rFonts w:ascii="David" w:hAnsi="David"/>
          <w:color w:val="FFFFFF"/>
          <w:sz w:val="2"/>
          <w:szCs w:val="2"/>
          <w:rtl/>
        </w:rPr>
      </w:pPr>
      <w:r w:rsidRPr="00097BEB">
        <w:rPr>
          <w:rFonts w:ascii="David" w:hAnsi="David"/>
          <w:color w:val="FFFFFF"/>
          <w:sz w:val="2"/>
          <w:szCs w:val="2"/>
          <w:rtl/>
        </w:rPr>
        <w:t>5129371</w:t>
      </w:r>
    </w:p>
    <w:p w14:paraId="1AB5E2C0" w14:textId="77777777" w:rsidR="00372D2A" w:rsidRDefault="00097BEB" w:rsidP="00372D2A">
      <w:pPr>
        <w:spacing w:line="360" w:lineRule="auto"/>
        <w:ind w:left="720" w:hanging="720"/>
        <w:jc w:val="both"/>
        <w:rPr>
          <w:rFonts w:ascii="David" w:hAnsi="David"/>
          <w:rtl/>
        </w:rPr>
      </w:pPr>
      <w:r w:rsidRPr="00097BEB">
        <w:rPr>
          <w:rFonts w:ascii="David" w:hAnsi="David"/>
          <w:color w:val="FFFFFF"/>
          <w:sz w:val="2"/>
          <w:szCs w:val="2"/>
          <w:rtl/>
        </w:rPr>
        <w:t>54678313</w:t>
      </w:r>
      <w:r w:rsidR="00372D2A">
        <w:rPr>
          <w:rFonts w:ascii="David" w:hAnsi="David" w:hint="cs"/>
          <w:rtl/>
        </w:rPr>
        <w:t>זכות ערעור לבית המשפט המחוזי מרכז בתוך 45 יום.</w:t>
      </w:r>
    </w:p>
    <w:p w14:paraId="4EC8AFD9" w14:textId="77777777" w:rsidR="00372D2A" w:rsidRDefault="00372D2A" w:rsidP="00372D2A">
      <w:pPr>
        <w:spacing w:line="360" w:lineRule="auto"/>
        <w:ind w:left="720" w:hanging="720"/>
        <w:jc w:val="both"/>
        <w:rPr>
          <w:rFonts w:ascii="David" w:hAnsi="David"/>
          <w:rtl/>
        </w:rPr>
      </w:pPr>
    </w:p>
    <w:p w14:paraId="040EF858" w14:textId="77777777" w:rsidR="00372D2A" w:rsidRPr="00376FAE" w:rsidRDefault="00097BEB" w:rsidP="00372D2A">
      <w:pPr>
        <w:spacing w:line="360" w:lineRule="auto"/>
        <w:rPr>
          <w:rFonts w:ascii="David" w:hAnsi="David"/>
          <w:sz w:val="26"/>
          <w:szCs w:val="26"/>
          <w:rtl/>
        </w:rPr>
      </w:pPr>
      <w:bookmarkStart w:id="8" w:name="Nitan"/>
      <w:r>
        <w:rPr>
          <w:rFonts w:ascii="David" w:hAnsi="David"/>
          <w:b/>
          <w:bCs/>
          <w:rtl/>
        </w:rPr>
        <w:t xml:space="preserve">ניתן היום,  כ"ג תשרי תשפ"ב, 29 ספטמבר 2021, בנוכחות ב"כ המאשימה, הנאשם ובאת-כוחו. </w:t>
      </w:r>
      <w:bookmarkEnd w:id="8"/>
    </w:p>
    <w:p w14:paraId="4D59F9A5" w14:textId="77777777" w:rsidR="00097BEB" w:rsidRDefault="00097BEB" w:rsidP="00097BEB">
      <w:pPr>
        <w:rPr>
          <w:rtl/>
        </w:rPr>
      </w:pPr>
    </w:p>
    <w:p w14:paraId="0FCB1931" w14:textId="77777777" w:rsidR="00097BEB" w:rsidRDefault="00097BEB" w:rsidP="00097BE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D923601" w14:textId="77777777" w:rsidR="006A4CC8" w:rsidRPr="006A4CC8" w:rsidRDefault="006A4CC8" w:rsidP="006A4CC8">
      <w:pPr>
        <w:keepNext/>
        <w:rPr>
          <w:rFonts w:ascii="David" w:hAnsi="David"/>
          <w:color w:val="000000"/>
          <w:sz w:val="22"/>
          <w:szCs w:val="22"/>
          <w:rtl/>
        </w:rPr>
      </w:pPr>
    </w:p>
    <w:p w14:paraId="6D2EAFF5" w14:textId="77777777" w:rsidR="006A4CC8" w:rsidRPr="006A4CC8" w:rsidRDefault="006A4CC8" w:rsidP="006A4CC8">
      <w:pPr>
        <w:keepNext/>
        <w:rPr>
          <w:rFonts w:ascii="David" w:hAnsi="David"/>
          <w:color w:val="000000"/>
          <w:sz w:val="22"/>
          <w:szCs w:val="22"/>
          <w:rtl/>
        </w:rPr>
      </w:pPr>
      <w:r w:rsidRPr="006A4CC8">
        <w:rPr>
          <w:rFonts w:ascii="David" w:hAnsi="David"/>
          <w:color w:val="000000"/>
          <w:sz w:val="22"/>
          <w:szCs w:val="22"/>
          <w:rtl/>
        </w:rPr>
        <w:t>אביב שרון 54678313-/</w:t>
      </w:r>
    </w:p>
    <w:p w14:paraId="332143EA" w14:textId="77777777" w:rsidR="00097BEB" w:rsidRPr="00097BEB" w:rsidRDefault="006A4CC8" w:rsidP="006A4CC8">
      <w:pPr>
        <w:rPr>
          <w:color w:val="0000FF"/>
          <w:u w:val="single"/>
        </w:rPr>
      </w:pPr>
      <w:r w:rsidRPr="006A4CC8">
        <w:rPr>
          <w:color w:val="000000"/>
          <w:u w:val="single"/>
          <w:rtl/>
        </w:rPr>
        <w:t>נוסח מסמך זה כפוף לשינויי ניסוח ועריכה</w:t>
      </w:r>
    </w:p>
    <w:sectPr w:rsidR="00097BEB" w:rsidRPr="00097BEB" w:rsidSect="006A4CC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E8D6D" w14:textId="77777777" w:rsidR="00DA7C58" w:rsidRDefault="00DA7C58" w:rsidP="00531C92">
      <w:r>
        <w:separator/>
      </w:r>
    </w:p>
  </w:endnote>
  <w:endnote w:type="continuationSeparator" w:id="0">
    <w:p w14:paraId="1EDED78E" w14:textId="77777777" w:rsidR="00DA7C58" w:rsidRDefault="00DA7C58" w:rsidP="0053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EC402" w14:textId="77777777" w:rsidR="006A4CC8" w:rsidRDefault="006A4CC8" w:rsidP="006A4C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427BD6" w14:textId="77777777" w:rsidR="009B12EC" w:rsidRPr="006A4CC8" w:rsidRDefault="006A4CC8" w:rsidP="006A4CC8">
    <w:pPr>
      <w:pStyle w:val="a5"/>
      <w:pBdr>
        <w:top w:val="single" w:sz="4" w:space="1" w:color="auto"/>
        <w:between w:val="single" w:sz="4" w:space="0" w:color="auto"/>
      </w:pBdr>
      <w:spacing w:after="60"/>
      <w:jc w:val="center"/>
      <w:rPr>
        <w:rFonts w:ascii="FrankRuehl" w:hAnsi="FrankRuehl" w:cs="FrankRuehl"/>
        <w:color w:val="000000"/>
      </w:rPr>
    </w:pPr>
    <w:r w:rsidRPr="006A4C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C3D0C" w14:textId="77777777" w:rsidR="006A4CC8" w:rsidRDefault="006A4CC8" w:rsidP="006A4C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080B">
      <w:rPr>
        <w:rFonts w:ascii="FrankRuehl" w:hAnsi="FrankRuehl" w:cs="FrankRuehl"/>
        <w:noProof/>
        <w:rtl/>
      </w:rPr>
      <w:t>1</w:t>
    </w:r>
    <w:r>
      <w:rPr>
        <w:rFonts w:ascii="FrankRuehl" w:hAnsi="FrankRuehl" w:cs="FrankRuehl"/>
        <w:rtl/>
      </w:rPr>
      <w:fldChar w:fldCharType="end"/>
    </w:r>
  </w:p>
  <w:p w14:paraId="435ECC5A" w14:textId="77777777" w:rsidR="009B12EC" w:rsidRPr="006A4CC8" w:rsidRDefault="006A4CC8" w:rsidP="006A4CC8">
    <w:pPr>
      <w:pStyle w:val="a5"/>
      <w:pBdr>
        <w:top w:val="single" w:sz="4" w:space="1" w:color="auto"/>
        <w:between w:val="single" w:sz="4" w:space="0" w:color="auto"/>
      </w:pBdr>
      <w:spacing w:after="60"/>
      <w:jc w:val="center"/>
      <w:rPr>
        <w:rFonts w:ascii="FrankRuehl" w:hAnsi="FrankRuehl" w:cs="FrankRuehl"/>
        <w:color w:val="000000"/>
      </w:rPr>
    </w:pPr>
    <w:r w:rsidRPr="006A4CC8">
      <w:rPr>
        <w:rFonts w:ascii="FrankRuehl" w:hAnsi="FrankRuehl" w:cs="FrankRuehl"/>
        <w:color w:val="000000"/>
      </w:rPr>
      <w:pict w14:anchorId="669C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4128B" w14:textId="77777777" w:rsidR="00DA7C58" w:rsidRDefault="00DA7C58" w:rsidP="00531C92">
      <w:r>
        <w:separator/>
      </w:r>
    </w:p>
  </w:footnote>
  <w:footnote w:type="continuationSeparator" w:id="0">
    <w:p w14:paraId="7302DC2C" w14:textId="77777777" w:rsidR="00DA7C58" w:rsidRDefault="00DA7C58" w:rsidP="0053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678E8" w14:textId="77777777" w:rsidR="00097BEB" w:rsidRPr="006A4CC8" w:rsidRDefault="006A4CC8" w:rsidP="006A4C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42164-10-19</w:t>
    </w:r>
    <w:r>
      <w:rPr>
        <w:rFonts w:ascii="David" w:hAnsi="David"/>
        <w:color w:val="000000"/>
        <w:sz w:val="22"/>
        <w:szCs w:val="22"/>
        <w:rtl/>
      </w:rPr>
      <w:tab/>
      <w:t xml:space="preserve"> מדינת ישראל  נ' יונתן אואנונו וענונו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B66BA" w14:textId="77777777" w:rsidR="00097BEB" w:rsidRPr="006A4CC8" w:rsidRDefault="006A4CC8" w:rsidP="006A4C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42164-10-19</w:t>
    </w:r>
    <w:r>
      <w:rPr>
        <w:rFonts w:ascii="David" w:hAnsi="David"/>
        <w:color w:val="000000"/>
        <w:sz w:val="22"/>
        <w:szCs w:val="22"/>
        <w:rtl/>
      </w:rPr>
      <w:tab/>
      <w:t xml:space="preserve"> מדינת ישראל  נ' יונתן אואנונו וענונו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2D2A"/>
    <w:rsid w:val="00097BEB"/>
    <w:rsid w:val="001B5A3B"/>
    <w:rsid w:val="001C205C"/>
    <w:rsid w:val="0023486F"/>
    <w:rsid w:val="0031080B"/>
    <w:rsid w:val="00372D2A"/>
    <w:rsid w:val="00531C92"/>
    <w:rsid w:val="005B379D"/>
    <w:rsid w:val="00616CCD"/>
    <w:rsid w:val="00680507"/>
    <w:rsid w:val="006A4CC8"/>
    <w:rsid w:val="007D09EA"/>
    <w:rsid w:val="009A026A"/>
    <w:rsid w:val="009B12EC"/>
    <w:rsid w:val="00CD300B"/>
    <w:rsid w:val="00DA7C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CD0C84"/>
  <w15:chartTrackingRefBased/>
  <w15:docId w15:val="{9C5CF757-42B3-4698-B0C6-B841E372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2D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2D2A"/>
    <w:pPr>
      <w:tabs>
        <w:tab w:val="center" w:pos="4153"/>
        <w:tab w:val="right" w:pos="8306"/>
      </w:tabs>
    </w:pPr>
  </w:style>
  <w:style w:type="character" w:customStyle="1" w:styleId="a4">
    <w:name w:val="כותרת עליונה תו"/>
    <w:link w:val="a3"/>
    <w:rsid w:val="00372D2A"/>
    <w:rPr>
      <w:rFonts w:ascii="Times New Roman" w:eastAsia="Times New Roman" w:hAnsi="Times New Roman" w:cs="David"/>
      <w:sz w:val="24"/>
      <w:szCs w:val="24"/>
    </w:rPr>
  </w:style>
  <w:style w:type="paragraph" w:styleId="a5">
    <w:name w:val="footer"/>
    <w:basedOn w:val="a"/>
    <w:link w:val="a6"/>
    <w:rsid w:val="00372D2A"/>
    <w:pPr>
      <w:tabs>
        <w:tab w:val="center" w:pos="4153"/>
        <w:tab w:val="right" w:pos="8306"/>
      </w:tabs>
    </w:pPr>
  </w:style>
  <w:style w:type="character" w:customStyle="1" w:styleId="a6">
    <w:name w:val="כותרת תחתונה תו"/>
    <w:link w:val="a5"/>
    <w:rsid w:val="00372D2A"/>
    <w:rPr>
      <w:rFonts w:ascii="Times New Roman" w:eastAsia="Times New Roman" w:hAnsi="Times New Roman" w:cs="David"/>
      <w:sz w:val="24"/>
      <w:szCs w:val="24"/>
    </w:rPr>
  </w:style>
  <w:style w:type="table" w:styleId="a7">
    <w:name w:val="Table Grid"/>
    <w:basedOn w:val="a1"/>
    <w:rsid w:val="00372D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2D2A"/>
  </w:style>
  <w:style w:type="character" w:styleId="Hyperlink">
    <w:name w:val="Hyperlink"/>
    <w:rsid w:val="00097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074585" TargetMode="External"/><Relationship Id="rId18" Type="http://schemas.openxmlformats.org/officeDocument/2006/relationships/hyperlink" Target="http://www.nevo.co.il/case/20412551" TargetMode="External"/><Relationship Id="rId26" Type="http://schemas.openxmlformats.org/officeDocument/2006/relationships/hyperlink" Target="http://www.nevo.co.il/case/26246488" TargetMode="External"/><Relationship Id="rId21" Type="http://schemas.openxmlformats.org/officeDocument/2006/relationships/hyperlink" Target="http://www.nevo.co.il/case/5590128" TargetMode="External"/><Relationship Id="rId34" Type="http://schemas.openxmlformats.org/officeDocument/2006/relationships/header" Target="header2.xml"/><Relationship Id="rId7" Type="http://schemas.openxmlformats.org/officeDocument/2006/relationships/hyperlink" Target="http://www.nevo.co.il/law/4216/7.a." TargetMode="External"/><Relationship Id="rId12" Type="http://schemas.openxmlformats.org/officeDocument/2006/relationships/hyperlink" Target="http://www.nevo.co.il/case/25848205" TargetMode="External"/><Relationship Id="rId17" Type="http://schemas.openxmlformats.org/officeDocument/2006/relationships/hyperlink" Target="http://www.nevo.co.il/case/24959490" TargetMode="External"/><Relationship Id="rId25" Type="http://schemas.openxmlformats.org/officeDocument/2006/relationships/hyperlink" Target="http://www.nevo.co.il/case/2637556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0402486" TargetMode="External"/><Relationship Id="rId20" Type="http://schemas.openxmlformats.org/officeDocument/2006/relationships/hyperlink" Target="http://www.nevo.co.il/case/12063973" TargetMode="External"/><Relationship Id="rId29" Type="http://schemas.openxmlformats.org/officeDocument/2006/relationships/hyperlink" Target="http://www.nevo.co.il/case/1794758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6127709" TargetMode="External"/><Relationship Id="rId24" Type="http://schemas.openxmlformats.org/officeDocument/2006/relationships/hyperlink" Target="http://www.nevo.co.il/case/2006169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698919" TargetMode="External"/><Relationship Id="rId23" Type="http://schemas.openxmlformats.org/officeDocument/2006/relationships/hyperlink" Target="http://www.nevo.co.il/case/7980156" TargetMode="External"/><Relationship Id="rId28" Type="http://schemas.openxmlformats.org/officeDocument/2006/relationships/hyperlink" Target="http://www.nevo.co.il/case/23751286" TargetMode="External"/><Relationship Id="rId36"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case/18753213" TargetMode="External"/><Relationship Id="rId31" Type="http://schemas.openxmlformats.org/officeDocument/2006/relationships/hyperlink" Target="http://www.nevo.co.il/case/5809029" TargetMode="Externa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case/5786821" TargetMode="External"/><Relationship Id="rId22" Type="http://schemas.openxmlformats.org/officeDocument/2006/relationships/hyperlink" Target="http://www.nevo.co.il/case/6180833" TargetMode="External"/><Relationship Id="rId27" Type="http://schemas.openxmlformats.org/officeDocument/2006/relationships/hyperlink" Target="http://www.nevo.co.il/case/12063973" TargetMode="External"/><Relationship Id="rId30" Type="http://schemas.openxmlformats.org/officeDocument/2006/relationships/hyperlink" Target="http://www.nevo.co.il/case/5727295" TargetMode="External"/><Relationship Id="rId35"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2715</Words>
  <Characters>13580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16263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3932279</vt:i4>
      </vt:variant>
      <vt:variant>
        <vt:i4>75</vt:i4>
      </vt:variant>
      <vt:variant>
        <vt:i4>0</vt:i4>
      </vt:variant>
      <vt:variant>
        <vt:i4>5</vt:i4>
      </vt:variant>
      <vt:variant>
        <vt:lpwstr>http://www.nevo.co.il/case/5809029</vt:lpwstr>
      </vt:variant>
      <vt:variant>
        <vt:lpwstr/>
      </vt:variant>
      <vt:variant>
        <vt:i4>3145853</vt:i4>
      </vt:variant>
      <vt:variant>
        <vt:i4>72</vt:i4>
      </vt:variant>
      <vt:variant>
        <vt:i4>0</vt:i4>
      </vt:variant>
      <vt:variant>
        <vt:i4>5</vt:i4>
      </vt:variant>
      <vt:variant>
        <vt:lpwstr>http://www.nevo.co.il/case/5727295</vt:lpwstr>
      </vt:variant>
      <vt:variant>
        <vt:lpwstr/>
      </vt:variant>
      <vt:variant>
        <vt:i4>3604594</vt:i4>
      </vt:variant>
      <vt:variant>
        <vt:i4>69</vt:i4>
      </vt:variant>
      <vt:variant>
        <vt:i4>0</vt:i4>
      </vt:variant>
      <vt:variant>
        <vt:i4>5</vt:i4>
      </vt:variant>
      <vt:variant>
        <vt:lpwstr>http://www.nevo.co.il/case/17947582</vt:lpwstr>
      </vt:variant>
      <vt:variant>
        <vt:lpwstr/>
      </vt:variant>
      <vt:variant>
        <vt:i4>3932272</vt:i4>
      </vt:variant>
      <vt:variant>
        <vt:i4>66</vt:i4>
      </vt:variant>
      <vt:variant>
        <vt:i4>0</vt:i4>
      </vt:variant>
      <vt:variant>
        <vt:i4>5</vt:i4>
      </vt:variant>
      <vt:variant>
        <vt:lpwstr>http://www.nevo.co.il/case/23751286</vt:lpwstr>
      </vt:variant>
      <vt:variant>
        <vt:lpwstr/>
      </vt:variant>
      <vt:variant>
        <vt:i4>3473529</vt:i4>
      </vt:variant>
      <vt:variant>
        <vt:i4>63</vt:i4>
      </vt:variant>
      <vt:variant>
        <vt:i4>0</vt:i4>
      </vt:variant>
      <vt:variant>
        <vt:i4>5</vt:i4>
      </vt:variant>
      <vt:variant>
        <vt:lpwstr>http://www.nevo.co.il/case/12063973</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3276912</vt:i4>
      </vt:variant>
      <vt:variant>
        <vt:i4>57</vt:i4>
      </vt:variant>
      <vt:variant>
        <vt:i4>0</vt:i4>
      </vt:variant>
      <vt:variant>
        <vt:i4>5</vt:i4>
      </vt:variant>
      <vt:variant>
        <vt:lpwstr>http://www.nevo.co.il/case/26375569</vt:lpwstr>
      </vt:variant>
      <vt:variant>
        <vt:lpwstr/>
      </vt:variant>
      <vt:variant>
        <vt:i4>3801204</vt:i4>
      </vt:variant>
      <vt:variant>
        <vt:i4>54</vt:i4>
      </vt:variant>
      <vt:variant>
        <vt:i4>0</vt:i4>
      </vt:variant>
      <vt:variant>
        <vt:i4>5</vt:i4>
      </vt:variant>
      <vt:variant>
        <vt:lpwstr>http://www.nevo.co.il/case/20061696</vt:lpwstr>
      </vt:variant>
      <vt:variant>
        <vt:lpwstr/>
      </vt:variant>
      <vt:variant>
        <vt:i4>3670136</vt:i4>
      </vt:variant>
      <vt:variant>
        <vt:i4>51</vt:i4>
      </vt:variant>
      <vt:variant>
        <vt:i4>0</vt:i4>
      </vt:variant>
      <vt:variant>
        <vt:i4>5</vt:i4>
      </vt:variant>
      <vt:variant>
        <vt:lpwstr>http://www.nevo.co.il/case/7980156</vt:lpwstr>
      </vt:variant>
      <vt:variant>
        <vt:lpwstr/>
      </vt:variant>
      <vt:variant>
        <vt:i4>3473526</vt:i4>
      </vt:variant>
      <vt:variant>
        <vt:i4>48</vt:i4>
      </vt:variant>
      <vt:variant>
        <vt:i4>0</vt:i4>
      </vt:variant>
      <vt:variant>
        <vt:i4>5</vt:i4>
      </vt:variant>
      <vt:variant>
        <vt:lpwstr>http://www.nevo.co.il/case/6180833</vt:lpwstr>
      </vt:variant>
      <vt:variant>
        <vt:lpwstr/>
      </vt:variant>
      <vt:variant>
        <vt:i4>3473523</vt:i4>
      </vt:variant>
      <vt:variant>
        <vt:i4>45</vt:i4>
      </vt:variant>
      <vt:variant>
        <vt:i4>0</vt:i4>
      </vt:variant>
      <vt:variant>
        <vt:i4>5</vt:i4>
      </vt:variant>
      <vt:variant>
        <vt:lpwstr>http://www.nevo.co.il/case/5590128</vt:lpwstr>
      </vt:variant>
      <vt:variant>
        <vt:lpwstr/>
      </vt:variant>
      <vt:variant>
        <vt:i4>3473529</vt:i4>
      </vt:variant>
      <vt:variant>
        <vt:i4>42</vt:i4>
      </vt:variant>
      <vt:variant>
        <vt:i4>0</vt:i4>
      </vt:variant>
      <vt:variant>
        <vt:i4>5</vt:i4>
      </vt:variant>
      <vt:variant>
        <vt:lpwstr>http://www.nevo.co.il/case/12063973</vt:lpwstr>
      </vt:variant>
      <vt:variant>
        <vt:lpwstr/>
      </vt:variant>
      <vt:variant>
        <vt:i4>3407995</vt:i4>
      </vt:variant>
      <vt:variant>
        <vt:i4>39</vt:i4>
      </vt:variant>
      <vt:variant>
        <vt:i4>0</vt:i4>
      </vt:variant>
      <vt:variant>
        <vt:i4>5</vt:i4>
      </vt:variant>
      <vt:variant>
        <vt:lpwstr>http://www.nevo.co.il/case/18753213</vt:lpwstr>
      </vt:variant>
      <vt:variant>
        <vt:lpwstr/>
      </vt:variant>
      <vt:variant>
        <vt:i4>3211376</vt:i4>
      </vt:variant>
      <vt:variant>
        <vt:i4>36</vt:i4>
      </vt:variant>
      <vt:variant>
        <vt:i4>0</vt:i4>
      </vt:variant>
      <vt:variant>
        <vt:i4>5</vt:i4>
      </vt:variant>
      <vt:variant>
        <vt:lpwstr>http://www.nevo.co.il/case/20412551</vt:lpwstr>
      </vt:variant>
      <vt:variant>
        <vt:lpwstr/>
      </vt:variant>
      <vt:variant>
        <vt:i4>3866737</vt:i4>
      </vt:variant>
      <vt:variant>
        <vt:i4>33</vt:i4>
      </vt:variant>
      <vt:variant>
        <vt:i4>0</vt:i4>
      </vt:variant>
      <vt:variant>
        <vt:i4>5</vt:i4>
      </vt:variant>
      <vt:variant>
        <vt:lpwstr>http://www.nevo.co.il/case/24959490</vt:lpwstr>
      </vt:variant>
      <vt:variant>
        <vt:lpwstr/>
      </vt:variant>
      <vt:variant>
        <vt:i4>3932272</vt:i4>
      </vt:variant>
      <vt:variant>
        <vt:i4>30</vt:i4>
      </vt:variant>
      <vt:variant>
        <vt:i4>0</vt:i4>
      </vt:variant>
      <vt:variant>
        <vt:i4>5</vt:i4>
      </vt:variant>
      <vt:variant>
        <vt:lpwstr>http://www.nevo.co.il/case/20402486</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4063347</vt:i4>
      </vt:variant>
      <vt:variant>
        <vt:i4>21</vt:i4>
      </vt:variant>
      <vt:variant>
        <vt:i4>0</vt:i4>
      </vt:variant>
      <vt:variant>
        <vt:i4>5</vt:i4>
      </vt:variant>
      <vt:variant>
        <vt:lpwstr>http://www.nevo.co.il/case/25074585</vt:lpwstr>
      </vt:variant>
      <vt:variant>
        <vt:lpwstr/>
      </vt:variant>
      <vt:variant>
        <vt:i4>3276919</vt:i4>
      </vt:variant>
      <vt:variant>
        <vt:i4>18</vt:i4>
      </vt:variant>
      <vt:variant>
        <vt:i4>0</vt:i4>
      </vt:variant>
      <vt:variant>
        <vt:i4>5</vt:i4>
      </vt:variant>
      <vt:variant>
        <vt:lpwstr>http://www.nevo.co.il/case/25848205</vt:lpwstr>
      </vt:variant>
      <vt:variant>
        <vt:lpwstr/>
      </vt:variant>
      <vt:variant>
        <vt:i4>3407991</vt:i4>
      </vt:variant>
      <vt:variant>
        <vt:i4>15</vt:i4>
      </vt:variant>
      <vt:variant>
        <vt:i4>0</vt:i4>
      </vt:variant>
      <vt:variant>
        <vt:i4>5</vt:i4>
      </vt:variant>
      <vt:variant>
        <vt:lpwstr>http://www.nevo.co.il/case/26127709</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42164;19461;51814</vt:lpwstr>
  </property>
  <property fmtid="{D5CDD505-2E9C-101B-9397-08002B2CF9AE}" pid="6" name="NEWPARTB">
    <vt:lpwstr>10;07;10</vt:lpwstr>
  </property>
  <property fmtid="{D5CDD505-2E9C-101B-9397-08002B2CF9AE}" pid="7" name="NEWPARTC">
    <vt:lpwstr>19;19;18</vt:lpwstr>
  </property>
  <property fmtid="{D5CDD505-2E9C-101B-9397-08002B2CF9AE}" pid="8" name="APPELLANT">
    <vt:lpwstr>מדינת ישראל </vt:lpwstr>
  </property>
  <property fmtid="{D5CDD505-2E9C-101B-9397-08002B2CF9AE}" pid="9" name="APPELLEE">
    <vt:lpwstr>יונתן אואנונו וענונו</vt:lpwstr>
  </property>
  <property fmtid="{D5CDD505-2E9C-101B-9397-08002B2CF9AE}" pid="10" name="LAWYER">
    <vt:lpwstr>ראזי בטחיש;מיכל קורן</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20210929</vt:lpwstr>
  </property>
  <property fmtid="{D5CDD505-2E9C-101B-9397-08002B2CF9AE}" pid="14" name="TYPE_N_DATE">
    <vt:lpwstr>38020210929</vt:lpwstr>
  </property>
  <property fmtid="{D5CDD505-2E9C-101B-9397-08002B2CF9AE}" pid="15" name="WORDNUMPAGES">
    <vt:lpwstr>8</vt:lpwstr>
  </property>
  <property fmtid="{D5CDD505-2E9C-101B-9397-08002B2CF9AE}" pid="16" name="TYPE_ABS_DATE">
    <vt:lpwstr>380020210929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26127709;25848205;25074585;5786821;5698919;20402486;24959490;20412551;18753213;12063973:2;5590128;6180833;7980156;20061696;26375569;26246488;23751286;17947582;5727295;5809029</vt:lpwstr>
  </property>
  <property fmtid="{D5CDD505-2E9C-101B-9397-08002B2CF9AE}" pid="36" name="LAWLISTTMP1">
    <vt:lpwstr>4216/007.a;007.c</vt:lpwstr>
  </property>
</Properties>
</file>