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A4AB8" w:rsidRPr="00217513" w14:paraId="20AC940F" w14:textId="77777777" w:rsidTr="00D90150">
        <w:trPr>
          <w:trHeight w:hRule="exact" w:val="418"/>
          <w:jc w:val="center"/>
        </w:trPr>
        <w:tc>
          <w:tcPr>
            <w:tcW w:w="8721" w:type="dxa"/>
            <w:gridSpan w:val="2"/>
          </w:tcPr>
          <w:p w14:paraId="65239233" w14:textId="77777777" w:rsidR="00AA4AB8" w:rsidRPr="00217513" w:rsidRDefault="00AA4AB8" w:rsidP="00612CC8">
            <w:pPr>
              <w:pStyle w:val="a3"/>
              <w:jc w:val="center"/>
              <w:rPr>
                <w:rFonts w:ascii="Tahoma" w:hAnsi="Tahoma" w:cs="Tahoma"/>
                <w:color w:val="000080"/>
                <w:rtl/>
              </w:rPr>
            </w:pPr>
            <w:bookmarkStart w:id="0" w:name="LastJudge"/>
            <w:r w:rsidRPr="00217513">
              <w:rPr>
                <w:rFonts w:ascii="Tahoma" w:hAnsi="Tahoma" w:cs="Tahoma"/>
                <w:b/>
                <w:bCs/>
                <w:color w:val="000080"/>
                <w:rtl/>
              </w:rPr>
              <w:t>בית משפט השלום ברמלה</w:t>
            </w:r>
          </w:p>
        </w:tc>
      </w:tr>
      <w:tr w:rsidR="00AA4AB8" w:rsidRPr="00B04ABB" w14:paraId="14103512" w14:textId="77777777" w:rsidTr="00D90150">
        <w:trPr>
          <w:trHeight w:val="337"/>
          <w:jc w:val="center"/>
        </w:trPr>
        <w:tc>
          <w:tcPr>
            <w:tcW w:w="5058" w:type="dxa"/>
          </w:tcPr>
          <w:p w14:paraId="17B8BBA6" w14:textId="77777777" w:rsidR="00AA4AB8" w:rsidRPr="00B04ABB" w:rsidRDefault="00AA4AB8" w:rsidP="00612CC8">
            <w:pPr>
              <w:pStyle w:val="a3"/>
              <w:rPr>
                <w:rFonts w:ascii="David" w:hAnsi="David"/>
                <w:b/>
                <w:bCs/>
                <w:sz w:val="26"/>
                <w:szCs w:val="26"/>
                <w:rtl/>
              </w:rPr>
            </w:pPr>
            <w:r w:rsidRPr="00B04ABB">
              <w:rPr>
                <w:rFonts w:ascii="David" w:hAnsi="David"/>
                <w:b/>
                <w:bCs/>
                <w:sz w:val="26"/>
                <w:szCs w:val="26"/>
                <w:rtl/>
              </w:rPr>
              <w:t>ת"פ 24079-11-19 מדינת ישראל נ' אבו חאלד</w:t>
            </w:r>
            <w:r w:rsidR="00B04ABB">
              <w:rPr>
                <w:rFonts w:ascii="David" w:hAnsi="David" w:hint="cs"/>
                <w:b/>
                <w:bCs/>
                <w:sz w:val="26"/>
                <w:szCs w:val="26"/>
                <w:rtl/>
              </w:rPr>
              <w:t xml:space="preserve"> </w:t>
            </w:r>
            <w:r w:rsidRPr="00B04ABB">
              <w:rPr>
                <w:rFonts w:ascii="David" w:hAnsi="David"/>
                <w:b/>
                <w:bCs/>
                <w:sz w:val="26"/>
                <w:szCs w:val="26"/>
                <w:rtl/>
              </w:rPr>
              <w:t>(עציר)</w:t>
            </w:r>
          </w:p>
        </w:tc>
        <w:tc>
          <w:tcPr>
            <w:tcW w:w="3663" w:type="dxa"/>
          </w:tcPr>
          <w:p w14:paraId="25038BA0" w14:textId="77777777" w:rsidR="00AA4AB8" w:rsidRPr="00B04ABB" w:rsidRDefault="00AA4AB8" w:rsidP="00612CC8">
            <w:pPr>
              <w:pStyle w:val="a3"/>
              <w:jc w:val="right"/>
              <w:rPr>
                <w:rFonts w:ascii="David" w:hAnsi="David"/>
                <w:b/>
                <w:bCs/>
                <w:sz w:val="26"/>
                <w:szCs w:val="26"/>
                <w:rtl/>
              </w:rPr>
            </w:pPr>
          </w:p>
        </w:tc>
      </w:tr>
    </w:tbl>
    <w:p w14:paraId="4CD0B301" w14:textId="77777777" w:rsidR="00AA4AB8" w:rsidRPr="00B04ABB" w:rsidRDefault="00AA4AB8" w:rsidP="00AA4AB8">
      <w:pPr>
        <w:pStyle w:val="a3"/>
        <w:rPr>
          <w:rFonts w:ascii="David" w:hAnsi="David"/>
          <w:b/>
          <w:bCs/>
          <w:sz w:val="26"/>
          <w:szCs w:val="26"/>
          <w:rtl/>
        </w:rPr>
      </w:pPr>
      <w:r w:rsidRPr="00B04ABB">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A4AB8" w:rsidRPr="00B04ABB" w14:paraId="30E8BFE0" w14:textId="77777777" w:rsidTr="00AA4AB8">
        <w:trPr>
          <w:trHeight w:val="295"/>
          <w:jc w:val="center"/>
        </w:trPr>
        <w:tc>
          <w:tcPr>
            <w:tcW w:w="923" w:type="dxa"/>
            <w:tcBorders>
              <w:top w:val="nil"/>
              <w:left w:val="nil"/>
              <w:bottom w:val="nil"/>
              <w:right w:val="nil"/>
            </w:tcBorders>
            <w:shd w:val="clear" w:color="auto" w:fill="auto"/>
          </w:tcPr>
          <w:p w14:paraId="7D70016E" w14:textId="77777777" w:rsidR="00AA4AB8" w:rsidRPr="00B04ABB" w:rsidRDefault="00AA4AB8" w:rsidP="00AA4AB8">
            <w:pPr>
              <w:jc w:val="both"/>
              <w:rPr>
                <w:rFonts w:ascii="David" w:hAnsi="David"/>
                <w:b/>
                <w:bCs/>
                <w:sz w:val="26"/>
                <w:szCs w:val="26"/>
              </w:rPr>
            </w:pPr>
            <w:r w:rsidRPr="00B04ABB">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CF3D185" w14:textId="77777777" w:rsidR="00AA4AB8" w:rsidRPr="00B04ABB" w:rsidRDefault="00AA4AB8" w:rsidP="00B04ABB">
            <w:pPr>
              <w:rPr>
                <w:rFonts w:ascii="David" w:hAnsi="David" w:hint="cs"/>
                <w:b/>
                <w:bCs/>
                <w:sz w:val="26"/>
                <w:szCs w:val="26"/>
                <w:rtl/>
              </w:rPr>
            </w:pPr>
            <w:r w:rsidRPr="00B04ABB">
              <w:rPr>
                <w:rFonts w:ascii="David" w:hAnsi="David"/>
                <w:b/>
                <w:bCs/>
                <w:sz w:val="26"/>
                <w:szCs w:val="26"/>
                <w:rtl/>
              </w:rPr>
              <w:t>כבוד השופט  אייל כהן</w:t>
            </w:r>
          </w:p>
          <w:p w14:paraId="40B9BF32" w14:textId="77777777" w:rsidR="00AA4AB8" w:rsidRPr="00B04ABB" w:rsidRDefault="00AA4AB8" w:rsidP="00AA4AB8">
            <w:pPr>
              <w:jc w:val="both"/>
              <w:rPr>
                <w:rFonts w:ascii="David" w:hAnsi="David"/>
                <w:b/>
                <w:bCs/>
                <w:sz w:val="26"/>
                <w:szCs w:val="26"/>
              </w:rPr>
            </w:pPr>
          </w:p>
        </w:tc>
      </w:tr>
      <w:tr w:rsidR="00AA4AB8" w:rsidRPr="00B04ABB" w14:paraId="590ED03D" w14:textId="77777777" w:rsidTr="00AA4AB8">
        <w:trPr>
          <w:trHeight w:val="355"/>
          <w:jc w:val="center"/>
        </w:trPr>
        <w:tc>
          <w:tcPr>
            <w:tcW w:w="923" w:type="dxa"/>
            <w:tcBorders>
              <w:top w:val="nil"/>
              <w:left w:val="nil"/>
              <w:bottom w:val="nil"/>
              <w:right w:val="nil"/>
            </w:tcBorders>
            <w:shd w:val="clear" w:color="auto" w:fill="auto"/>
          </w:tcPr>
          <w:p w14:paraId="6C15BEA0" w14:textId="77777777" w:rsidR="00AA4AB8" w:rsidRPr="00B04ABB" w:rsidRDefault="00AA4AB8" w:rsidP="00AA4AB8">
            <w:pPr>
              <w:jc w:val="both"/>
              <w:rPr>
                <w:rFonts w:ascii="David" w:hAnsi="David"/>
                <w:b/>
                <w:bCs/>
                <w:sz w:val="26"/>
                <w:szCs w:val="26"/>
              </w:rPr>
            </w:pPr>
            <w:bookmarkStart w:id="1" w:name="FirstAppellant"/>
            <w:r w:rsidRPr="00B04ABB">
              <w:rPr>
                <w:rFonts w:ascii="David" w:hAnsi="David"/>
                <w:b/>
                <w:bCs/>
                <w:sz w:val="26"/>
                <w:szCs w:val="26"/>
                <w:rtl/>
              </w:rPr>
              <w:t>בעניין:</w:t>
            </w:r>
          </w:p>
        </w:tc>
        <w:tc>
          <w:tcPr>
            <w:tcW w:w="4126" w:type="dxa"/>
            <w:tcBorders>
              <w:top w:val="nil"/>
              <w:left w:val="nil"/>
              <w:bottom w:val="nil"/>
              <w:right w:val="nil"/>
            </w:tcBorders>
            <w:shd w:val="clear" w:color="auto" w:fill="auto"/>
          </w:tcPr>
          <w:p w14:paraId="193F008E" w14:textId="77777777" w:rsidR="00AA4AB8" w:rsidRPr="00B04ABB" w:rsidRDefault="00AA4AB8" w:rsidP="00612CC8">
            <w:pPr>
              <w:rPr>
                <w:rFonts w:ascii="David" w:hAnsi="David"/>
                <w:b/>
                <w:bCs/>
                <w:sz w:val="26"/>
                <w:szCs w:val="26"/>
              </w:rPr>
            </w:pPr>
            <w:r w:rsidRPr="00B04AB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210507F4" w14:textId="77777777" w:rsidR="00AA4AB8" w:rsidRPr="00B04ABB" w:rsidRDefault="00AA4AB8" w:rsidP="00AA4AB8">
            <w:pPr>
              <w:jc w:val="both"/>
              <w:rPr>
                <w:rFonts w:ascii="David" w:hAnsi="David"/>
                <w:b/>
                <w:bCs/>
                <w:sz w:val="26"/>
                <w:szCs w:val="26"/>
              </w:rPr>
            </w:pPr>
          </w:p>
        </w:tc>
      </w:tr>
      <w:bookmarkEnd w:id="1"/>
      <w:tr w:rsidR="00AA4AB8" w:rsidRPr="00B04ABB" w14:paraId="70ED16B9" w14:textId="77777777" w:rsidTr="00AA4AB8">
        <w:trPr>
          <w:trHeight w:val="355"/>
          <w:jc w:val="center"/>
        </w:trPr>
        <w:tc>
          <w:tcPr>
            <w:tcW w:w="923" w:type="dxa"/>
            <w:tcBorders>
              <w:top w:val="nil"/>
              <w:left w:val="nil"/>
              <w:bottom w:val="nil"/>
              <w:right w:val="nil"/>
            </w:tcBorders>
            <w:shd w:val="clear" w:color="auto" w:fill="auto"/>
          </w:tcPr>
          <w:p w14:paraId="2857A1A2" w14:textId="77777777" w:rsidR="00AA4AB8" w:rsidRPr="00B04ABB" w:rsidRDefault="00AA4AB8" w:rsidP="00AA4AB8">
            <w:pPr>
              <w:jc w:val="both"/>
              <w:rPr>
                <w:rFonts w:ascii="David" w:hAnsi="David"/>
                <w:b/>
                <w:bCs/>
                <w:sz w:val="26"/>
                <w:szCs w:val="26"/>
                <w:rtl/>
              </w:rPr>
            </w:pPr>
          </w:p>
        </w:tc>
        <w:tc>
          <w:tcPr>
            <w:tcW w:w="4126" w:type="dxa"/>
            <w:tcBorders>
              <w:top w:val="nil"/>
              <w:left w:val="nil"/>
              <w:bottom w:val="nil"/>
              <w:right w:val="nil"/>
            </w:tcBorders>
            <w:shd w:val="clear" w:color="auto" w:fill="auto"/>
          </w:tcPr>
          <w:p w14:paraId="44E085CA" w14:textId="77777777" w:rsidR="00AA4AB8" w:rsidRPr="00B04ABB" w:rsidRDefault="00AA4AB8" w:rsidP="00AA4AB8">
            <w:pPr>
              <w:jc w:val="both"/>
              <w:rPr>
                <w:rFonts w:ascii="David" w:hAnsi="David"/>
                <w:b/>
                <w:bCs/>
                <w:sz w:val="26"/>
                <w:szCs w:val="26"/>
                <w:rtl/>
              </w:rPr>
            </w:pPr>
          </w:p>
        </w:tc>
        <w:tc>
          <w:tcPr>
            <w:tcW w:w="3771" w:type="dxa"/>
            <w:tcBorders>
              <w:top w:val="nil"/>
              <w:left w:val="nil"/>
              <w:bottom w:val="nil"/>
              <w:right w:val="nil"/>
            </w:tcBorders>
            <w:shd w:val="clear" w:color="auto" w:fill="auto"/>
          </w:tcPr>
          <w:p w14:paraId="74796A3A" w14:textId="77777777" w:rsidR="00AA4AB8" w:rsidRPr="00B04ABB" w:rsidRDefault="00AA4AB8" w:rsidP="00AA4AB8">
            <w:pPr>
              <w:jc w:val="right"/>
              <w:rPr>
                <w:rFonts w:ascii="David" w:hAnsi="David"/>
                <w:b/>
                <w:bCs/>
                <w:sz w:val="26"/>
                <w:szCs w:val="26"/>
                <w:rtl/>
              </w:rPr>
            </w:pPr>
            <w:r w:rsidRPr="00B04ABB">
              <w:rPr>
                <w:rFonts w:ascii="David" w:hAnsi="David"/>
                <w:b/>
                <w:bCs/>
                <w:sz w:val="26"/>
                <w:szCs w:val="26"/>
                <w:rtl/>
              </w:rPr>
              <w:t>המאשימה</w:t>
            </w:r>
          </w:p>
        </w:tc>
      </w:tr>
      <w:tr w:rsidR="00B04ABB" w:rsidRPr="00B04ABB" w14:paraId="74DAD78D" w14:textId="77777777" w:rsidTr="0030728C">
        <w:trPr>
          <w:trHeight w:val="355"/>
          <w:jc w:val="center"/>
        </w:trPr>
        <w:tc>
          <w:tcPr>
            <w:tcW w:w="8820" w:type="dxa"/>
            <w:gridSpan w:val="3"/>
            <w:tcBorders>
              <w:top w:val="nil"/>
              <w:left w:val="nil"/>
              <w:bottom w:val="nil"/>
              <w:right w:val="nil"/>
            </w:tcBorders>
            <w:shd w:val="clear" w:color="auto" w:fill="auto"/>
          </w:tcPr>
          <w:p w14:paraId="528DA786" w14:textId="77777777" w:rsidR="00B04ABB" w:rsidRPr="00B04ABB" w:rsidRDefault="00B04ABB" w:rsidP="00AA4AB8">
            <w:pPr>
              <w:jc w:val="center"/>
              <w:rPr>
                <w:rFonts w:ascii="David" w:hAnsi="David"/>
                <w:b/>
                <w:bCs/>
                <w:sz w:val="26"/>
                <w:szCs w:val="26"/>
                <w:rtl/>
              </w:rPr>
            </w:pPr>
          </w:p>
          <w:p w14:paraId="1F60A450" w14:textId="77777777" w:rsidR="00B04ABB" w:rsidRPr="00B04ABB" w:rsidRDefault="00B04ABB" w:rsidP="00AA4AB8">
            <w:pPr>
              <w:jc w:val="center"/>
              <w:rPr>
                <w:rFonts w:ascii="David" w:hAnsi="David"/>
                <w:b/>
                <w:bCs/>
                <w:sz w:val="26"/>
                <w:szCs w:val="26"/>
                <w:rtl/>
              </w:rPr>
            </w:pPr>
            <w:r w:rsidRPr="00B04ABB">
              <w:rPr>
                <w:rFonts w:ascii="David" w:hAnsi="David"/>
                <w:b/>
                <w:bCs/>
                <w:sz w:val="26"/>
                <w:szCs w:val="26"/>
                <w:rtl/>
              </w:rPr>
              <w:t>נגד</w:t>
            </w:r>
          </w:p>
          <w:p w14:paraId="598C425D" w14:textId="77777777" w:rsidR="00B04ABB" w:rsidRPr="00B04ABB" w:rsidRDefault="00B04ABB" w:rsidP="00AA4AB8">
            <w:pPr>
              <w:jc w:val="both"/>
              <w:rPr>
                <w:rFonts w:ascii="David" w:hAnsi="David"/>
                <w:b/>
                <w:bCs/>
                <w:sz w:val="26"/>
                <w:szCs w:val="26"/>
              </w:rPr>
            </w:pPr>
          </w:p>
        </w:tc>
      </w:tr>
      <w:tr w:rsidR="00AA4AB8" w:rsidRPr="00B04ABB" w14:paraId="32C32C7A" w14:textId="77777777" w:rsidTr="00AA4AB8">
        <w:trPr>
          <w:trHeight w:val="355"/>
          <w:jc w:val="center"/>
        </w:trPr>
        <w:tc>
          <w:tcPr>
            <w:tcW w:w="923" w:type="dxa"/>
            <w:tcBorders>
              <w:top w:val="nil"/>
              <w:left w:val="nil"/>
              <w:bottom w:val="nil"/>
              <w:right w:val="nil"/>
            </w:tcBorders>
            <w:shd w:val="clear" w:color="auto" w:fill="auto"/>
          </w:tcPr>
          <w:p w14:paraId="0A8C4066" w14:textId="77777777" w:rsidR="00AA4AB8" w:rsidRPr="00B04ABB" w:rsidRDefault="00AA4AB8" w:rsidP="00612CC8">
            <w:pPr>
              <w:rPr>
                <w:rFonts w:ascii="David" w:hAnsi="David"/>
                <w:b/>
                <w:bCs/>
                <w:sz w:val="26"/>
                <w:szCs w:val="26"/>
                <w:rtl/>
              </w:rPr>
            </w:pPr>
          </w:p>
        </w:tc>
        <w:tc>
          <w:tcPr>
            <w:tcW w:w="4126" w:type="dxa"/>
            <w:tcBorders>
              <w:top w:val="nil"/>
              <w:left w:val="nil"/>
              <w:bottom w:val="nil"/>
              <w:right w:val="nil"/>
            </w:tcBorders>
            <w:shd w:val="clear" w:color="auto" w:fill="auto"/>
          </w:tcPr>
          <w:p w14:paraId="418F4C6A" w14:textId="77777777" w:rsidR="00AA4AB8" w:rsidRPr="00B04ABB" w:rsidRDefault="00AA4AB8" w:rsidP="00612CC8">
            <w:pPr>
              <w:rPr>
                <w:rFonts w:ascii="David" w:hAnsi="David"/>
                <w:b/>
                <w:bCs/>
                <w:sz w:val="26"/>
                <w:szCs w:val="26"/>
                <w:rtl/>
              </w:rPr>
            </w:pPr>
            <w:r w:rsidRPr="00B04ABB">
              <w:rPr>
                <w:rFonts w:ascii="David" w:hAnsi="David"/>
                <w:b/>
                <w:bCs/>
                <w:sz w:val="26"/>
                <w:szCs w:val="26"/>
                <w:rtl/>
              </w:rPr>
              <w:t>חאדר אבו חאלד (עציר)</w:t>
            </w:r>
          </w:p>
        </w:tc>
        <w:tc>
          <w:tcPr>
            <w:tcW w:w="3771" w:type="dxa"/>
            <w:tcBorders>
              <w:top w:val="nil"/>
              <w:left w:val="nil"/>
              <w:bottom w:val="nil"/>
              <w:right w:val="nil"/>
            </w:tcBorders>
            <w:shd w:val="clear" w:color="auto" w:fill="auto"/>
          </w:tcPr>
          <w:p w14:paraId="317363AA" w14:textId="77777777" w:rsidR="00AA4AB8" w:rsidRPr="00B04ABB" w:rsidRDefault="00AA4AB8" w:rsidP="00AA4AB8">
            <w:pPr>
              <w:jc w:val="right"/>
              <w:rPr>
                <w:rFonts w:ascii="David" w:hAnsi="David"/>
                <w:b/>
                <w:bCs/>
                <w:sz w:val="26"/>
                <w:szCs w:val="26"/>
              </w:rPr>
            </w:pPr>
          </w:p>
        </w:tc>
      </w:tr>
      <w:tr w:rsidR="00AA4AB8" w:rsidRPr="00B04ABB" w14:paraId="33D59246" w14:textId="77777777" w:rsidTr="00AA4AB8">
        <w:trPr>
          <w:trHeight w:val="355"/>
          <w:jc w:val="center"/>
        </w:trPr>
        <w:tc>
          <w:tcPr>
            <w:tcW w:w="923" w:type="dxa"/>
            <w:tcBorders>
              <w:top w:val="nil"/>
              <w:left w:val="nil"/>
              <w:bottom w:val="nil"/>
              <w:right w:val="nil"/>
            </w:tcBorders>
            <w:shd w:val="clear" w:color="auto" w:fill="auto"/>
          </w:tcPr>
          <w:p w14:paraId="048E153F" w14:textId="77777777" w:rsidR="00AA4AB8" w:rsidRPr="00B04ABB" w:rsidRDefault="00AA4AB8" w:rsidP="00AA4AB8">
            <w:pPr>
              <w:jc w:val="both"/>
              <w:rPr>
                <w:rFonts w:ascii="David" w:hAnsi="David"/>
                <w:b/>
                <w:bCs/>
                <w:sz w:val="26"/>
                <w:szCs w:val="26"/>
                <w:rtl/>
              </w:rPr>
            </w:pPr>
          </w:p>
        </w:tc>
        <w:tc>
          <w:tcPr>
            <w:tcW w:w="4126" w:type="dxa"/>
            <w:tcBorders>
              <w:top w:val="nil"/>
              <w:left w:val="nil"/>
              <w:bottom w:val="nil"/>
              <w:right w:val="nil"/>
            </w:tcBorders>
            <w:shd w:val="clear" w:color="auto" w:fill="auto"/>
          </w:tcPr>
          <w:p w14:paraId="59D1CBF4" w14:textId="77777777" w:rsidR="00AA4AB8" w:rsidRPr="00B04ABB" w:rsidRDefault="00AA4AB8" w:rsidP="00AA4AB8">
            <w:pPr>
              <w:jc w:val="both"/>
              <w:rPr>
                <w:rFonts w:ascii="David" w:hAnsi="David"/>
                <w:b/>
                <w:bCs/>
                <w:sz w:val="26"/>
                <w:szCs w:val="26"/>
                <w:rtl/>
              </w:rPr>
            </w:pPr>
          </w:p>
        </w:tc>
        <w:tc>
          <w:tcPr>
            <w:tcW w:w="3771" w:type="dxa"/>
            <w:tcBorders>
              <w:top w:val="nil"/>
              <w:left w:val="nil"/>
              <w:bottom w:val="nil"/>
              <w:right w:val="nil"/>
            </w:tcBorders>
            <w:shd w:val="clear" w:color="auto" w:fill="auto"/>
          </w:tcPr>
          <w:p w14:paraId="608A4713" w14:textId="77777777" w:rsidR="00AA4AB8" w:rsidRPr="00B04ABB" w:rsidRDefault="00AA4AB8" w:rsidP="00AA4AB8">
            <w:pPr>
              <w:jc w:val="right"/>
              <w:rPr>
                <w:rFonts w:ascii="David" w:hAnsi="David"/>
                <w:b/>
                <w:bCs/>
                <w:sz w:val="26"/>
                <w:szCs w:val="26"/>
              </w:rPr>
            </w:pPr>
            <w:r w:rsidRPr="00B04ABB">
              <w:rPr>
                <w:rFonts w:ascii="David" w:hAnsi="David"/>
                <w:b/>
                <w:bCs/>
                <w:sz w:val="26"/>
                <w:szCs w:val="26"/>
                <w:rtl/>
              </w:rPr>
              <w:t>הנאשם</w:t>
            </w:r>
          </w:p>
        </w:tc>
      </w:tr>
    </w:tbl>
    <w:p w14:paraId="23595043" w14:textId="77777777" w:rsidR="003479F7" w:rsidRPr="00B04ABB" w:rsidRDefault="003479F7" w:rsidP="003479F7">
      <w:pPr>
        <w:spacing w:line="360" w:lineRule="auto"/>
        <w:jc w:val="both"/>
        <w:rPr>
          <w:rFonts w:ascii="David" w:hAnsi="David"/>
          <w:b/>
          <w:bCs/>
          <w:rtl/>
        </w:rPr>
      </w:pPr>
      <w:bookmarkStart w:id="2" w:name="FirstLawyer"/>
      <w:r w:rsidRPr="00B04ABB">
        <w:rPr>
          <w:rFonts w:ascii="David" w:hAnsi="David"/>
          <w:b/>
          <w:bCs/>
          <w:rtl/>
        </w:rPr>
        <w:t>ב"כ</w:t>
      </w:r>
      <w:bookmarkEnd w:id="2"/>
      <w:r w:rsidRPr="00B04ABB">
        <w:rPr>
          <w:rFonts w:ascii="David" w:hAnsi="David"/>
          <w:b/>
          <w:bCs/>
          <w:rtl/>
        </w:rPr>
        <w:t xml:space="preserve"> המאשימה עו"ד גב' דואק</w:t>
      </w:r>
    </w:p>
    <w:p w14:paraId="3468E319" w14:textId="77777777" w:rsidR="003479F7" w:rsidRPr="00B04ABB" w:rsidRDefault="003479F7" w:rsidP="003479F7">
      <w:pPr>
        <w:spacing w:line="360" w:lineRule="auto"/>
        <w:jc w:val="both"/>
        <w:rPr>
          <w:rFonts w:ascii="David" w:hAnsi="David"/>
          <w:b/>
          <w:bCs/>
          <w:rtl/>
        </w:rPr>
      </w:pPr>
      <w:r w:rsidRPr="00B04ABB">
        <w:rPr>
          <w:rFonts w:ascii="David" w:hAnsi="David"/>
          <w:b/>
          <w:bCs/>
          <w:rtl/>
        </w:rPr>
        <w:t>ב"כ הנאשם עו"ד ברגמן</w:t>
      </w:r>
    </w:p>
    <w:p w14:paraId="36DCF7DF" w14:textId="77777777" w:rsidR="00B04ABB" w:rsidRDefault="00B04ABB" w:rsidP="00B04ABB">
      <w:pPr>
        <w:spacing w:before="120" w:after="120" w:line="240" w:lineRule="exact"/>
        <w:ind w:left="283" w:hanging="283"/>
        <w:jc w:val="both"/>
        <w:rPr>
          <w:rFonts w:ascii="FrankRuehl" w:hAnsi="FrankRuehl" w:cs="FrankRuehl" w:hint="cs"/>
          <w:rtl/>
        </w:rPr>
      </w:pPr>
    </w:p>
    <w:p w14:paraId="561DEBEB" w14:textId="77777777" w:rsidR="00B04ABB" w:rsidRPr="00B04ABB" w:rsidRDefault="00B04ABB" w:rsidP="00B04ABB">
      <w:pPr>
        <w:spacing w:before="120" w:after="120" w:line="240" w:lineRule="exact"/>
        <w:ind w:left="283" w:hanging="283"/>
        <w:jc w:val="both"/>
        <w:rPr>
          <w:rFonts w:ascii="FrankRuehl" w:hAnsi="FrankRuehl" w:cs="FrankRuehl"/>
          <w:rtl/>
        </w:rPr>
      </w:pPr>
      <w:r w:rsidRPr="00B04ABB">
        <w:rPr>
          <w:rFonts w:ascii="FrankRuehl" w:hAnsi="FrankRuehl" w:cs="FrankRuehl"/>
          <w:rtl/>
        </w:rPr>
        <w:t xml:space="preserve">חקיקה שאוזכרה: </w:t>
      </w:r>
    </w:p>
    <w:p w14:paraId="54F08244" w14:textId="77777777" w:rsidR="00B04ABB" w:rsidRPr="00B04ABB" w:rsidRDefault="00B04ABB" w:rsidP="00B04ABB">
      <w:pPr>
        <w:spacing w:before="120" w:after="120" w:line="240" w:lineRule="exact"/>
        <w:ind w:left="283" w:hanging="283"/>
        <w:jc w:val="both"/>
        <w:rPr>
          <w:rFonts w:ascii="FrankRuehl" w:hAnsi="FrankRuehl" w:cs="FrankRuehl"/>
          <w:color w:val="0000FF"/>
          <w:rtl/>
        </w:rPr>
      </w:pPr>
      <w:hyperlink r:id="rId7" w:history="1">
        <w:r w:rsidRPr="00B04ABB">
          <w:rPr>
            <w:rStyle w:val="Hyperlink"/>
            <w:rFonts w:ascii="FrankRuehl" w:hAnsi="FrankRuehl" w:cs="FrankRuehl"/>
            <w:color w:val="0000FF"/>
            <w:rtl/>
          </w:rPr>
          <w:t>פקודת הסמים המסוכנים [נוסח חדש], תשל"ג-1973</w:t>
        </w:r>
      </w:hyperlink>
      <w:r w:rsidRPr="00B04ABB">
        <w:rPr>
          <w:rFonts w:ascii="FrankRuehl" w:hAnsi="FrankRuehl" w:cs="FrankRuehl"/>
          <w:color w:val="0000FF"/>
          <w:u w:val="single"/>
          <w:rtl/>
        </w:rPr>
        <w:t xml:space="preserve">: סע'  </w:t>
      </w:r>
      <w:hyperlink r:id="rId8" w:history="1">
        <w:r w:rsidRPr="00B04ABB">
          <w:rPr>
            <w:rStyle w:val="Hyperlink"/>
            <w:rFonts w:ascii="FrankRuehl" w:hAnsi="FrankRuehl" w:cs="FrankRuehl"/>
            <w:color w:val="0000FF"/>
          </w:rPr>
          <w:t>7</w:t>
        </w:r>
      </w:hyperlink>
      <w:r w:rsidRPr="00B04ABB">
        <w:rPr>
          <w:rFonts w:ascii="FrankRuehl" w:hAnsi="FrankRuehl" w:cs="FrankRuehl"/>
          <w:color w:val="0000FF"/>
          <w:rtl/>
        </w:rPr>
        <w:t xml:space="preserve">(א), </w:t>
      </w:r>
      <w:hyperlink r:id="rId9" w:history="1">
        <w:r w:rsidRPr="00B04ABB">
          <w:rPr>
            <w:rStyle w:val="Hyperlink"/>
            <w:rFonts w:ascii="FrankRuehl" w:hAnsi="FrankRuehl" w:cs="FrankRuehl"/>
            <w:color w:val="0000FF"/>
          </w:rPr>
          <w:t>(</w:t>
        </w:r>
        <w:r w:rsidRPr="00B04ABB">
          <w:rPr>
            <w:rStyle w:val="Hyperlink"/>
            <w:rFonts w:ascii="FrankRuehl" w:hAnsi="FrankRuehl" w:cs="FrankRuehl"/>
            <w:color w:val="0000FF"/>
            <w:rtl/>
          </w:rPr>
          <w:t>ג</w:t>
        </w:r>
        <w:r w:rsidRPr="00B04ABB">
          <w:rPr>
            <w:rStyle w:val="Hyperlink"/>
            <w:rFonts w:ascii="FrankRuehl" w:hAnsi="FrankRuehl" w:cs="FrankRuehl"/>
            <w:color w:val="0000FF"/>
          </w:rPr>
          <w:t>)</w:t>
        </w:r>
      </w:hyperlink>
      <w:r w:rsidRPr="00B04ABB">
        <w:rPr>
          <w:rFonts w:ascii="FrankRuehl" w:hAnsi="FrankRuehl" w:cs="FrankRuehl"/>
          <w:color w:val="0000FF"/>
          <w:rtl/>
        </w:rPr>
        <w:t xml:space="preserve">, </w:t>
      </w:r>
      <w:hyperlink r:id="rId10" w:history="1">
        <w:r w:rsidRPr="00B04ABB">
          <w:rPr>
            <w:rStyle w:val="Hyperlink"/>
            <w:rFonts w:ascii="FrankRuehl" w:hAnsi="FrankRuehl" w:cs="FrankRuehl"/>
            <w:color w:val="0000FF"/>
          </w:rPr>
          <w:t>13</w:t>
        </w:r>
      </w:hyperlink>
      <w:r w:rsidRPr="00B04ABB">
        <w:rPr>
          <w:rFonts w:ascii="FrankRuehl" w:hAnsi="FrankRuehl" w:cs="FrankRuehl"/>
          <w:color w:val="0000FF"/>
          <w:rtl/>
        </w:rPr>
        <w:t xml:space="preserve">, </w:t>
      </w:r>
      <w:hyperlink r:id="rId11" w:history="1">
        <w:r w:rsidRPr="00B04ABB">
          <w:rPr>
            <w:rStyle w:val="Hyperlink"/>
            <w:rFonts w:ascii="FrankRuehl" w:hAnsi="FrankRuehl" w:cs="FrankRuehl"/>
            <w:color w:val="0000FF"/>
          </w:rPr>
          <w:t>19</w:t>
        </w:r>
        <w:r w:rsidRPr="00B04ABB">
          <w:rPr>
            <w:rStyle w:val="Hyperlink"/>
            <w:rFonts w:ascii="FrankRuehl" w:hAnsi="FrankRuehl" w:cs="FrankRuehl"/>
            <w:color w:val="0000FF"/>
            <w:rtl/>
          </w:rPr>
          <w:t>א</w:t>
        </w:r>
      </w:hyperlink>
      <w:r w:rsidRPr="00B04ABB">
        <w:rPr>
          <w:rFonts w:ascii="FrankRuehl" w:hAnsi="FrankRuehl" w:cs="FrankRuehl"/>
          <w:color w:val="0000FF"/>
          <w:rtl/>
        </w:rPr>
        <w:t xml:space="preserve">, </w:t>
      </w:r>
      <w:hyperlink r:id="rId12" w:history="1">
        <w:r w:rsidRPr="00B04ABB">
          <w:rPr>
            <w:rStyle w:val="Hyperlink"/>
            <w:rFonts w:ascii="FrankRuehl" w:hAnsi="FrankRuehl" w:cs="FrankRuehl"/>
            <w:color w:val="0000FF"/>
          </w:rPr>
          <w:t>31</w:t>
        </w:r>
      </w:hyperlink>
      <w:r w:rsidRPr="00B04ABB">
        <w:rPr>
          <w:rFonts w:ascii="FrankRuehl" w:hAnsi="FrankRuehl" w:cs="FrankRuehl"/>
          <w:color w:val="0000FF"/>
          <w:rtl/>
        </w:rPr>
        <w:t xml:space="preserve">(6), </w:t>
      </w:r>
      <w:hyperlink r:id="rId13" w:history="1">
        <w:r w:rsidRPr="00B04ABB">
          <w:rPr>
            <w:rStyle w:val="Hyperlink"/>
            <w:rFonts w:ascii="FrankRuehl" w:hAnsi="FrankRuehl" w:cs="FrankRuehl"/>
            <w:color w:val="0000FF"/>
          </w:rPr>
          <w:t>36</w:t>
        </w:r>
        <w:r w:rsidRPr="00B04ABB">
          <w:rPr>
            <w:rStyle w:val="Hyperlink"/>
            <w:rFonts w:ascii="FrankRuehl" w:hAnsi="FrankRuehl" w:cs="FrankRuehl"/>
            <w:color w:val="0000FF"/>
            <w:rtl/>
          </w:rPr>
          <w:t>א</w:t>
        </w:r>
      </w:hyperlink>
    </w:p>
    <w:p w14:paraId="29C25A20" w14:textId="77777777" w:rsidR="00B04ABB" w:rsidRPr="00B04ABB" w:rsidRDefault="00B04ABB" w:rsidP="00B04ABB">
      <w:pPr>
        <w:spacing w:before="120" w:after="120" w:line="240" w:lineRule="exact"/>
        <w:ind w:left="283" w:hanging="283"/>
        <w:jc w:val="both"/>
        <w:rPr>
          <w:rFonts w:ascii="FrankRuehl" w:hAnsi="FrankRuehl" w:cs="FrankRuehl"/>
          <w:color w:val="0000FF"/>
          <w:u w:val="single"/>
          <w:rtl/>
        </w:rPr>
      </w:pPr>
      <w:hyperlink r:id="rId14" w:history="1">
        <w:r w:rsidRPr="00B04ABB">
          <w:rPr>
            <w:rStyle w:val="Hyperlink"/>
            <w:rFonts w:ascii="FrankRuehl" w:hAnsi="FrankRuehl" w:cs="FrankRuehl"/>
            <w:color w:val="0000FF"/>
            <w:rtl/>
          </w:rPr>
          <w:t>חוק העונשין, תשל"ז-1977</w:t>
        </w:r>
      </w:hyperlink>
      <w:r w:rsidRPr="00B04ABB">
        <w:rPr>
          <w:rFonts w:ascii="FrankRuehl" w:hAnsi="FrankRuehl" w:cs="FrankRuehl"/>
          <w:color w:val="0000FF"/>
          <w:u w:val="single"/>
          <w:rtl/>
        </w:rPr>
        <w:t xml:space="preserve">: סע'  </w:t>
      </w:r>
      <w:hyperlink r:id="rId15" w:history="1">
        <w:r w:rsidRPr="00B04ABB">
          <w:rPr>
            <w:rStyle w:val="Hyperlink"/>
            <w:rFonts w:ascii="FrankRuehl" w:hAnsi="FrankRuehl" w:cs="FrankRuehl"/>
            <w:color w:val="0000FF"/>
          </w:rPr>
          <w:t>40</w:t>
        </w:r>
        <w:r w:rsidRPr="00B04ABB">
          <w:rPr>
            <w:rStyle w:val="Hyperlink"/>
            <w:rFonts w:ascii="FrankRuehl" w:hAnsi="FrankRuehl" w:cs="FrankRuehl"/>
            <w:color w:val="0000FF"/>
            <w:rtl/>
          </w:rPr>
          <w:t>א</w:t>
        </w:r>
      </w:hyperlink>
      <w:r w:rsidRPr="00B04ABB">
        <w:rPr>
          <w:rFonts w:ascii="FrankRuehl" w:hAnsi="FrankRuehl" w:cs="FrankRuehl"/>
          <w:color w:val="0000FF"/>
          <w:u w:val="single"/>
          <w:rtl/>
        </w:rPr>
        <w:t xml:space="preserve">, </w:t>
      </w:r>
      <w:hyperlink r:id="rId16" w:history="1">
        <w:r w:rsidRPr="00B04ABB">
          <w:rPr>
            <w:rStyle w:val="Hyperlink"/>
            <w:rFonts w:ascii="FrankRuehl" w:hAnsi="FrankRuehl" w:cs="FrankRuehl"/>
            <w:color w:val="0000FF"/>
          </w:rPr>
          <w:t>34</w:t>
        </w:r>
        <w:r w:rsidRPr="00B04ABB">
          <w:rPr>
            <w:rStyle w:val="Hyperlink"/>
            <w:rFonts w:ascii="FrankRuehl" w:hAnsi="FrankRuehl" w:cs="FrankRuehl"/>
            <w:color w:val="0000FF"/>
            <w:rtl/>
          </w:rPr>
          <w:t>כא</w:t>
        </w:r>
      </w:hyperlink>
      <w:r w:rsidRPr="00B04ABB">
        <w:rPr>
          <w:rFonts w:ascii="FrankRuehl" w:hAnsi="FrankRuehl" w:cs="FrankRuehl"/>
          <w:color w:val="0000FF"/>
          <w:u w:val="single"/>
          <w:rtl/>
        </w:rPr>
        <w:t xml:space="preserve">, </w:t>
      </w:r>
      <w:hyperlink r:id="rId17" w:history="1">
        <w:r w:rsidRPr="00B04ABB">
          <w:rPr>
            <w:rStyle w:val="Hyperlink"/>
            <w:rFonts w:ascii="FrankRuehl" w:hAnsi="FrankRuehl" w:cs="FrankRuehl"/>
            <w:color w:val="0000FF"/>
          </w:rPr>
          <w:t xml:space="preserve">40 </w:t>
        </w:r>
        <w:r w:rsidRPr="00B04ABB">
          <w:rPr>
            <w:rStyle w:val="Hyperlink"/>
            <w:rFonts w:ascii="FrankRuehl" w:hAnsi="FrankRuehl" w:cs="FrankRuehl"/>
            <w:color w:val="0000FF"/>
            <w:rtl/>
          </w:rPr>
          <w:t>יג</w:t>
        </w:r>
      </w:hyperlink>
    </w:p>
    <w:p w14:paraId="200834ED" w14:textId="77777777" w:rsidR="00217513" w:rsidRDefault="00217513" w:rsidP="00B04ABB">
      <w:pPr>
        <w:spacing w:line="360" w:lineRule="auto"/>
        <w:jc w:val="center"/>
        <w:rPr>
          <w:rFonts w:ascii="Arial" w:hAnsi="Arial" w:cs="FrankRuehl" w:hint="cs"/>
          <w:sz w:val="32"/>
          <w:szCs w:val="32"/>
          <w:rtl/>
        </w:rPr>
      </w:pPr>
      <w:bookmarkStart w:id="3" w:name="LawTable_End"/>
      <w:bookmarkEnd w:id="3"/>
    </w:p>
    <w:p w14:paraId="75E31D85" w14:textId="77777777" w:rsidR="00E44B12" w:rsidRDefault="00E44B12" w:rsidP="00E44B12">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24F064B7"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E44B12">
        <w:rPr>
          <w:rFonts w:cs="FrankRuehl"/>
          <w:szCs w:val="26"/>
          <w:rtl/>
        </w:rPr>
        <w:t>עניינו של גזר הדין בענישה בגין עבירות סחר סם והחזקת סם שלא לצריכה עצמית. בין היתר, נדונה השאלה האם מאסר מותנה הכולל תנאי לפיו הנאשם לא יעבור על העבירה גידול סם מסוכן, יכול ויופעל מקום בו הנאשם ביצע עבירה נוספת, שעניינה החזקת סמים שלא לצריכה עצמית.</w:t>
      </w:r>
    </w:p>
    <w:p w14:paraId="35547B73" w14:textId="77777777" w:rsidR="00E44B12" w:rsidRDefault="00E44B12" w:rsidP="00E44B1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מתחם הענישה</w:t>
      </w:r>
    </w:p>
    <w:p w14:paraId="0510C2BF" w14:textId="77777777" w:rsidR="00E44B12" w:rsidRDefault="00E44B12" w:rsidP="00E44B12">
      <w:pPr>
        <w:pBdr>
          <w:top w:val="single" w:sz="4" w:space="1" w:color="auto"/>
          <w:bottom w:val="single" w:sz="4" w:space="1" w:color="auto"/>
        </w:pBdr>
        <w:spacing w:after="120" w:line="320" w:lineRule="exact"/>
        <w:jc w:val="both"/>
        <w:rPr>
          <w:rFonts w:cs="FrankRuehl"/>
          <w:szCs w:val="26"/>
          <w:rtl/>
        </w:rPr>
      </w:pPr>
      <w:r>
        <w:rPr>
          <w:rFonts w:cs="FrankRuehl"/>
          <w:szCs w:val="26"/>
          <w:rtl/>
        </w:rPr>
        <w:t>* פרשנות – מונחים – אירוע</w:t>
      </w:r>
    </w:p>
    <w:p w14:paraId="6F0BD64D" w14:textId="77777777" w:rsidR="00E44B12" w:rsidRDefault="00E44B12" w:rsidP="00E44B1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שיקום</w:t>
      </w:r>
    </w:p>
    <w:p w14:paraId="34293BAA" w14:textId="77777777" w:rsidR="00E44B12" w:rsidRDefault="00E44B12" w:rsidP="00E44B1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תסקיר שירות מבחן</w:t>
      </w:r>
    </w:p>
    <w:p w14:paraId="2CE2AD9E" w14:textId="77777777" w:rsidR="00E44B12" w:rsidRDefault="00E44B12" w:rsidP="00E44B1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0F2B5D78" w14:textId="77777777" w:rsidR="00E44B12" w:rsidRDefault="00E44B12" w:rsidP="00E44B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DAD7A9F"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hint="cs"/>
          <w:szCs w:val="26"/>
          <w:rtl/>
        </w:rPr>
        <w:t xml:space="preserve">בית המשפט נדרש לגזור את דינו של </w:t>
      </w:r>
      <w:r w:rsidRPr="00E44B12">
        <w:rPr>
          <w:rFonts w:cs="FrankRuehl"/>
          <w:szCs w:val="26"/>
          <w:rtl/>
        </w:rPr>
        <w:t xml:space="preserve">הנאשם הורשע על פי הודאתו, בהסדר טיעון, בכתב אישום מתוקן, המייחס לו עבירות של החזקת סם שלא לצריכה עצמית, לפי </w:t>
      </w:r>
      <w:hyperlink r:id="rId18" w:history="1">
        <w:r w:rsidRPr="00E44B12">
          <w:rPr>
            <w:rStyle w:val="Hyperlink"/>
            <w:rFonts w:cs="FrankRuehl"/>
            <w:color w:val="auto"/>
            <w:szCs w:val="26"/>
            <w:u w:val="none"/>
            <w:rtl/>
          </w:rPr>
          <w:t>סע' 7(א)</w:t>
        </w:r>
      </w:hyperlink>
      <w:r w:rsidRPr="00E44B12">
        <w:rPr>
          <w:rFonts w:cs="FrankRuehl"/>
          <w:szCs w:val="26"/>
          <w:rtl/>
        </w:rPr>
        <w:t xml:space="preserve"> ו-</w:t>
      </w:r>
      <w:hyperlink r:id="rId19" w:history="1">
        <w:r w:rsidRPr="00E44B12">
          <w:rPr>
            <w:rStyle w:val="Hyperlink"/>
            <w:rFonts w:cs="FrankRuehl"/>
            <w:color w:val="auto"/>
            <w:szCs w:val="26"/>
            <w:u w:val="none"/>
            <w:rtl/>
          </w:rPr>
          <w:t>(ג)</w:t>
        </w:r>
      </w:hyperlink>
      <w:r w:rsidRPr="00E44B12">
        <w:rPr>
          <w:rFonts w:cs="FrankRuehl"/>
          <w:szCs w:val="26"/>
          <w:rtl/>
        </w:rPr>
        <w:t xml:space="preserve"> רישא ל</w:t>
      </w:r>
      <w:hyperlink r:id="rId20" w:history="1">
        <w:r w:rsidRPr="00E44B12">
          <w:rPr>
            <w:rFonts w:cs="FrankRuehl"/>
            <w:szCs w:val="26"/>
            <w:rtl/>
          </w:rPr>
          <w:t>פקודת הסמים המסוכנים</w:t>
        </w:r>
      </w:hyperlink>
      <w:r w:rsidRPr="00E44B12">
        <w:rPr>
          <w:rFonts w:cs="FrankRuehl"/>
          <w:szCs w:val="26"/>
          <w:rtl/>
        </w:rPr>
        <w:t xml:space="preserve"> (נוסח חדש) וסחר בסמים לפי </w:t>
      </w:r>
      <w:hyperlink r:id="rId21" w:history="1">
        <w:r w:rsidRPr="00E44B12">
          <w:rPr>
            <w:rStyle w:val="Hyperlink"/>
            <w:rFonts w:cs="FrankRuehl"/>
            <w:color w:val="auto"/>
            <w:szCs w:val="26"/>
            <w:u w:val="none"/>
            <w:rtl/>
          </w:rPr>
          <w:t>סע</w:t>
        </w:r>
        <w:r>
          <w:rPr>
            <w:rStyle w:val="Hyperlink"/>
            <w:rFonts w:cs="FrankRuehl" w:hint="cs"/>
            <w:color w:val="auto"/>
            <w:szCs w:val="26"/>
            <w:u w:val="none"/>
            <w:rtl/>
          </w:rPr>
          <w:t>יפים</w:t>
        </w:r>
        <w:r w:rsidRPr="00E44B12">
          <w:rPr>
            <w:rStyle w:val="Hyperlink"/>
            <w:rFonts w:cs="FrankRuehl"/>
            <w:color w:val="auto"/>
            <w:szCs w:val="26"/>
            <w:u w:val="none"/>
            <w:rtl/>
          </w:rPr>
          <w:t xml:space="preserve"> 13</w:t>
        </w:r>
      </w:hyperlink>
      <w:r w:rsidRPr="00E44B12">
        <w:rPr>
          <w:rFonts w:cs="FrankRuehl"/>
          <w:szCs w:val="26"/>
          <w:rtl/>
        </w:rPr>
        <w:t xml:space="preserve"> ו-</w:t>
      </w:r>
      <w:hyperlink r:id="rId22" w:history="1">
        <w:r w:rsidRPr="00E44B12">
          <w:rPr>
            <w:rStyle w:val="Hyperlink"/>
            <w:rFonts w:cs="FrankRuehl"/>
            <w:color w:val="auto"/>
            <w:szCs w:val="26"/>
            <w:u w:val="none"/>
            <w:rtl/>
          </w:rPr>
          <w:t>19א</w:t>
        </w:r>
      </w:hyperlink>
      <w:r w:rsidRPr="00E44B12">
        <w:rPr>
          <w:rFonts w:cs="FrankRuehl"/>
          <w:szCs w:val="26"/>
          <w:rtl/>
        </w:rPr>
        <w:t xml:space="preserve">' לפקודה (15 עבירות). </w:t>
      </w:r>
      <w:r w:rsidRPr="00E44B12">
        <w:rPr>
          <w:rFonts w:cs="FrankRuehl" w:hint="cs"/>
          <w:szCs w:val="26"/>
          <w:rtl/>
        </w:rPr>
        <w:t xml:space="preserve">כמו כן הצדדים חלוקים סביב השאלה: </w:t>
      </w:r>
      <w:r w:rsidRPr="00E44B12">
        <w:rPr>
          <w:rFonts w:cs="FrankRuehl"/>
          <w:szCs w:val="26"/>
          <w:rtl/>
        </w:rPr>
        <w:t>האם תנאי שעניינו גידול סם מסוכן יכול ויופעל מקום בו הנאשם ביצע עבירה נוספת שעניינה החזקת סמים שלא לצריכה עצמית.</w:t>
      </w:r>
    </w:p>
    <w:p w14:paraId="5345D7D0" w14:textId="77777777" w:rsidR="00E44B12" w:rsidRPr="00E44B12" w:rsidRDefault="00E44B12" w:rsidP="00E44B1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9752D4A"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szCs w:val="26"/>
          <w:rtl/>
        </w:rPr>
        <w:t>בית המשפט פסק כלהלן:</w:t>
      </w:r>
    </w:p>
    <w:p w14:paraId="5F574AD8"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hint="cs"/>
          <w:szCs w:val="26"/>
          <w:rtl/>
        </w:rPr>
        <w:lastRenderedPageBreak/>
        <w:t>בנסיבותיו של עניין זה,</w:t>
      </w:r>
      <w:r w:rsidRPr="00E44B12">
        <w:rPr>
          <w:rFonts w:cs="FrankRuehl"/>
          <w:szCs w:val="26"/>
          <w:rtl/>
        </w:rPr>
        <w:t xml:space="preserve"> יש לראות בכל אישום אירוע נפרד. </w:t>
      </w:r>
    </w:p>
    <w:p w14:paraId="32DF2DF1"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szCs w:val="26"/>
          <w:rtl/>
        </w:rPr>
        <w:t>מדיניות הענישה הנוהגת בעבירות אלה מלמדת ככלל על ענישה מחמירה, הכוללת מאסרים ממושכים מאחורי סורג ובריח. מדיניות זו מגלמת את הקביעות החוזרות ונשנות בפסיקה בדבר העדפת שיקולי ההרתעה על פני שיקולי שיקומו של הנאשם</w:t>
      </w:r>
      <w:r w:rsidRPr="00E44B12">
        <w:rPr>
          <w:rFonts w:cs="FrankRuehl" w:hint="cs"/>
          <w:szCs w:val="26"/>
          <w:rtl/>
        </w:rPr>
        <w:t>.</w:t>
      </w:r>
    </w:p>
    <w:p w14:paraId="36F2387D"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hint="cs"/>
          <w:szCs w:val="26"/>
          <w:rtl/>
        </w:rPr>
        <w:t xml:space="preserve">יש </w:t>
      </w:r>
      <w:r w:rsidRPr="00E44B12">
        <w:rPr>
          <w:rFonts w:cs="FrankRuehl"/>
          <w:szCs w:val="26"/>
          <w:rtl/>
        </w:rPr>
        <w:t xml:space="preserve">לקבוע </w:t>
      </w:r>
      <w:r w:rsidRPr="00E44B12">
        <w:rPr>
          <w:rFonts w:cs="FrankRuehl" w:hint="cs"/>
          <w:szCs w:val="26"/>
          <w:rtl/>
        </w:rPr>
        <w:t xml:space="preserve">את </w:t>
      </w:r>
      <w:r w:rsidRPr="00E44B12">
        <w:rPr>
          <w:rFonts w:cs="FrankRuehl"/>
          <w:szCs w:val="26"/>
          <w:rtl/>
        </w:rPr>
        <w:t>מתחמי ענישה כלדקמן:</w:t>
      </w:r>
      <w:r w:rsidRPr="00E44B12">
        <w:rPr>
          <w:rFonts w:cs="FrankRuehl" w:hint="cs"/>
          <w:szCs w:val="26"/>
          <w:rtl/>
        </w:rPr>
        <w:t xml:space="preserve"> </w:t>
      </w:r>
      <w:r w:rsidRPr="00E44B12">
        <w:rPr>
          <w:rFonts w:cs="FrankRuehl"/>
          <w:szCs w:val="26"/>
          <w:rtl/>
        </w:rPr>
        <w:t>בגין האישום הראשון, שעניינו בעבירת הסחר (מכירה לשוטרת) והחזקת סמים (הירואין וקוקאין) שלא לצריכה עצמית</w:t>
      </w:r>
      <w:r>
        <w:rPr>
          <w:rFonts w:cs="FrankRuehl"/>
          <w:szCs w:val="26"/>
          <w:rtl/>
        </w:rPr>
        <w:t xml:space="preserve"> –</w:t>
      </w:r>
      <w:r w:rsidRPr="00E44B12">
        <w:rPr>
          <w:rFonts w:cs="FrankRuehl"/>
          <w:szCs w:val="26"/>
          <w:rtl/>
        </w:rPr>
        <w:t xml:space="preserve"> מתחם ענישה הנע בין 8 ל-22 חודשי מאסר בפועל.</w:t>
      </w:r>
      <w:r w:rsidRPr="00E44B12">
        <w:rPr>
          <w:rFonts w:cs="FrankRuehl" w:hint="cs"/>
          <w:szCs w:val="26"/>
          <w:rtl/>
        </w:rPr>
        <w:t xml:space="preserve"> </w:t>
      </w:r>
      <w:r w:rsidRPr="00E44B12">
        <w:rPr>
          <w:rFonts w:cs="FrankRuehl"/>
          <w:szCs w:val="26"/>
          <w:rtl/>
        </w:rPr>
        <w:t>בגין האישום השני, שעניינו ב-5 עסקאות מכר קוקאין</w:t>
      </w:r>
      <w:r>
        <w:rPr>
          <w:rFonts w:cs="FrankRuehl" w:hint="cs"/>
          <w:szCs w:val="26"/>
          <w:rtl/>
        </w:rPr>
        <w:t xml:space="preserve"> – </w:t>
      </w:r>
      <w:r w:rsidRPr="00E44B12">
        <w:rPr>
          <w:rFonts w:cs="FrankRuehl"/>
          <w:szCs w:val="26"/>
          <w:rtl/>
        </w:rPr>
        <w:t>מתחם הנע בין 8 ל-18 חודשי מאסר בפועל.</w:t>
      </w:r>
      <w:r w:rsidRPr="00E44B12">
        <w:rPr>
          <w:rFonts w:cs="FrankRuehl" w:hint="cs"/>
          <w:szCs w:val="26"/>
          <w:rtl/>
        </w:rPr>
        <w:t xml:space="preserve"> </w:t>
      </w:r>
      <w:r w:rsidRPr="00E44B12">
        <w:rPr>
          <w:rFonts w:cs="FrankRuehl"/>
          <w:szCs w:val="26"/>
          <w:rtl/>
        </w:rPr>
        <w:t>בגין האישום השלישי, שעניינו ב-7 עסקאות מכר קוקאין</w:t>
      </w:r>
      <w:r>
        <w:rPr>
          <w:rFonts w:cs="FrankRuehl" w:hint="cs"/>
          <w:szCs w:val="26"/>
          <w:rtl/>
        </w:rPr>
        <w:t xml:space="preserve"> – </w:t>
      </w:r>
      <w:r w:rsidRPr="00E44B12">
        <w:rPr>
          <w:rFonts w:cs="FrankRuehl"/>
          <w:szCs w:val="26"/>
          <w:rtl/>
        </w:rPr>
        <w:t>מתחם הנע בין 10 ל-20 חודשי מאסר.</w:t>
      </w:r>
      <w:r w:rsidRPr="00E44B12">
        <w:rPr>
          <w:rFonts w:cs="FrankRuehl" w:hint="cs"/>
          <w:szCs w:val="26"/>
          <w:rtl/>
        </w:rPr>
        <w:t xml:space="preserve"> </w:t>
      </w:r>
      <w:r w:rsidRPr="00E44B12">
        <w:rPr>
          <w:rFonts w:cs="FrankRuehl"/>
          <w:szCs w:val="26"/>
          <w:rtl/>
        </w:rPr>
        <w:t>בגין האישומים הרביעי והחמישי, שעניינו של כל אחד מהם בעסקת מכר אחת של קוקאין</w:t>
      </w:r>
      <w:r>
        <w:rPr>
          <w:rFonts w:cs="FrankRuehl"/>
          <w:szCs w:val="26"/>
          <w:rtl/>
        </w:rPr>
        <w:t xml:space="preserve"> –</w:t>
      </w:r>
      <w:r w:rsidRPr="00E44B12">
        <w:rPr>
          <w:rFonts w:cs="FrankRuehl"/>
          <w:szCs w:val="26"/>
          <w:rtl/>
        </w:rPr>
        <w:t xml:space="preserve"> מתחם הנע בין 3 ל-12 חודשי מאסר בפועל, לכל אישום.</w:t>
      </w:r>
    </w:p>
    <w:p w14:paraId="056DE742"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szCs w:val="26"/>
          <w:rtl/>
        </w:rPr>
        <w:t xml:space="preserve">יש להשית על הנאשם עונש בחלקו האמצעי-גבוה של המתחם. </w:t>
      </w:r>
    </w:p>
    <w:p w14:paraId="644D8C44"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hint="cs"/>
          <w:szCs w:val="26"/>
          <w:rtl/>
        </w:rPr>
        <w:t>באשר ל</w:t>
      </w:r>
      <w:r w:rsidRPr="00E44B12">
        <w:rPr>
          <w:rFonts w:cs="FrankRuehl"/>
          <w:szCs w:val="26"/>
          <w:rtl/>
        </w:rPr>
        <w:t>שאלת חלותו של המאסר המותנה</w:t>
      </w:r>
      <w:r w:rsidRPr="00E44B12">
        <w:rPr>
          <w:rFonts w:cs="FrankRuehl" w:hint="cs"/>
          <w:szCs w:val="26"/>
          <w:rtl/>
        </w:rPr>
        <w:t>,</w:t>
      </w:r>
      <w:r w:rsidRPr="00E44B12">
        <w:rPr>
          <w:rFonts w:cs="FrankRuehl"/>
          <w:szCs w:val="26"/>
          <w:rtl/>
        </w:rPr>
        <w:t xml:space="preserve"> תנאי שעניינו גידול סם מסוכן יכול ויופעל מקום בו הנאשם ביצע עבירה נוספת שעניינה החזקת סמים שלא לצריכה עצמית וכי המאסר המותנה הוא למצער בר הפעלה בענייננו.</w:t>
      </w:r>
    </w:p>
    <w:p w14:paraId="0E0AFCE0" w14:textId="77777777" w:rsidR="00E44B12" w:rsidRPr="00E44B12" w:rsidRDefault="00E44B12" w:rsidP="00E44B12">
      <w:pPr>
        <w:pBdr>
          <w:top w:val="single" w:sz="4" w:space="1" w:color="auto"/>
          <w:bottom w:val="single" w:sz="4" w:space="1" w:color="auto"/>
        </w:pBdr>
        <w:spacing w:after="120" w:line="320" w:lineRule="exact"/>
        <w:jc w:val="both"/>
        <w:rPr>
          <w:rFonts w:cs="FrankRuehl"/>
          <w:szCs w:val="26"/>
          <w:rtl/>
        </w:rPr>
      </w:pPr>
      <w:r w:rsidRPr="00E44B12">
        <w:rPr>
          <w:rFonts w:cs="FrankRuehl"/>
          <w:szCs w:val="26"/>
          <w:rtl/>
        </w:rPr>
        <w:t>בהינתן חומרת העבירות בהן הורשע הנאשם, עברו הפלילי המכביד והישנות העבירות בסמיכות זמנים למאסר המותנה</w:t>
      </w:r>
      <w:r w:rsidRPr="00E44B12">
        <w:rPr>
          <w:rFonts w:cs="FrankRuehl" w:hint="cs"/>
          <w:szCs w:val="26"/>
          <w:rtl/>
        </w:rPr>
        <w:t>, אין</w:t>
      </w:r>
      <w:r w:rsidRPr="00E44B12">
        <w:rPr>
          <w:rFonts w:cs="FrankRuehl"/>
          <w:szCs w:val="26"/>
          <w:rtl/>
        </w:rPr>
        <w:t xml:space="preserve"> כל הצדקה לחפוף את המאסרים המותנים והם ירוצו במצטבר לעונש המאסר שיושת, כמו גם במצטבר האחד לאחר.</w:t>
      </w:r>
    </w:p>
    <w:p w14:paraId="5693CDA1" w14:textId="77777777" w:rsidR="00E44B12" w:rsidRPr="00B04ABB" w:rsidRDefault="00E44B12" w:rsidP="00B04ABB">
      <w:pPr>
        <w:spacing w:line="360" w:lineRule="auto"/>
        <w:jc w:val="center"/>
        <w:rPr>
          <w:rFonts w:ascii="Arial" w:hAnsi="Arial" w:cs="FrankRuehl" w:hint="cs"/>
          <w:sz w:val="32"/>
          <w:szCs w:val="32"/>
          <w:rtl/>
        </w:rPr>
      </w:pPr>
      <w:bookmarkStart w:id="5" w:name="ABSTRACT_END"/>
      <w:bookmarkEnd w:id="5"/>
    </w:p>
    <w:p w14:paraId="7F44726D" w14:textId="77777777" w:rsidR="00217513" w:rsidRPr="00217513" w:rsidRDefault="00217513" w:rsidP="00217513">
      <w:pPr>
        <w:spacing w:line="360" w:lineRule="auto"/>
        <w:jc w:val="center"/>
        <w:rPr>
          <w:rFonts w:ascii="Arial" w:hAnsi="Arial" w:cs="FrankRuehl"/>
          <w:b/>
          <w:bCs/>
          <w:sz w:val="32"/>
          <w:szCs w:val="32"/>
          <w:u w:val="single"/>
          <w:rtl/>
        </w:rPr>
      </w:pPr>
      <w:bookmarkStart w:id="6" w:name="PsakDin"/>
      <w:bookmarkEnd w:id="0"/>
      <w:r w:rsidRPr="00217513">
        <w:rPr>
          <w:rFonts w:ascii="Arial" w:hAnsi="Arial" w:cs="FrankRuehl"/>
          <w:b/>
          <w:bCs/>
          <w:sz w:val="32"/>
          <w:szCs w:val="32"/>
          <w:u w:val="single"/>
          <w:rtl/>
        </w:rPr>
        <w:t>גזר דין</w:t>
      </w:r>
    </w:p>
    <w:bookmarkEnd w:id="6"/>
    <w:p w14:paraId="7FE6B0BC" w14:textId="77777777" w:rsidR="00AA4AB8" w:rsidRPr="00FC4298" w:rsidRDefault="00AA4AB8" w:rsidP="00AA4AB8">
      <w:pPr>
        <w:spacing w:line="360" w:lineRule="auto"/>
        <w:jc w:val="both"/>
        <w:rPr>
          <w:rFonts w:ascii="David" w:hAnsi="David"/>
          <w:rtl/>
        </w:rPr>
      </w:pPr>
      <w:r w:rsidRPr="00FC4298">
        <w:rPr>
          <w:rFonts w:ascii="David" w:hAnsi="David"/>
          <w:rtl/>
        </w:rPr>
        <w:t>עניינו של גזר הדין בענישה בגין עבירות סחר סם והחזקת סם שלא לצריכה עצמית. בין היתר, נדונה השאלה האם מאסר מותנה הכולל תנאי לפיו הנאשם לא יעבור על העבירה גידול סם מסוכן, יכול ויופעל מקום בו הנאשם ביצע עבירה נוספת, שעניינה החזקת סמים שלא לצריכה עצמית.</w:t>
      </w:r>
    </w:p>
    <w:p w14:paraId="5017274A" w14:textId="77777777" w:rsidR="00AA4AB8" w:rsidRPr="00FC4298" w:rsidRDefault="00AA4AB8" w:rsidP="00AA4AB8">
      <w:pPr>
        <w:spacing w:line="360" w:lineRule="auto"/>
        <w:jc w:val="both"/>
        <w:rPr>
          <w:rFonts w:ascii="David" w:hAnsi="David"/>
          <w:rtl/>
        </w:rPr>
      </w:pPr>
    </w:p>
    <w:p w14:paraId="234B19A0" w14:textId="77777777" w:rsidR="00AA4AB8" w:rsidRPr="00FC4298" w:rsidRDefault="00AA4AB8" w:rsidP="00AA4AB8">
      <w:pPr>
        <w:spacing w:line="360" w:lineRule="auto"/>
        <w:jc w:val="both"/>
        <w:rPr>
          <w:rFonts w:ascii="David" w:hAnsi="David"/>
          <w:b/>
          <w:bCs/>
          <w:u w:val="single"/>
          <w:rtl/>
        </w:rPr>
      </w:pPr>
      <w:r w:rsidRPr="00FC4298">
        <w:rPr>
          <w:rFonts w:ascii="David" w:hAnsi="David"/>
          <w:b/>
          <w:bCs/>
          <w:rtl/>
        </w:rPr>
        <w:t xml:space="preserve">1. </w:t>
      </w:r>
      <w:r w:rsidRPr="00FC4298">
        <w:rPr>
          <w:rFonts w:ascii="David" w:hAnsi="David"/>
          <w:b/>
          <w:bCs/>
          <w:u w:val="single"/>
          <w:rtl/>
        </w:rPr>
        <w:t>כתב האישום והסדר הטיעון</w:t>
      </w:r>
    </w:p>
    <w:p w14:paraId="1322DD81" w14:textId="77777777" w:rsidR="00AA4AB8" w:rsidRPr="00FC4298" w:rsidRDefault="00AA4AB8" w:rsidP="00AA4AB8">
      <w:pPr>
        <w:spacing w:line="360" w:lineRule="auto"/>
        <w:jc w:val="both"/>
        <w:rPr>
          <w:rFonts w:ascii="David" w:hAnsi="David"/>
          <w:rtl/>
        </w:rPr>
      </w:pPr>
      <w:r w:rsidRPr="00FC4298">
        <w:rPr>
          <w:rFonts w:ascii="David" w:hAnsi="David"/>
          <w:rtl/>
        </w:rPr>
        <w:t xml:space="preserve">הנאשם הורשע על פי הודאתו, בהסדר טיעון, בכתב אישום מתוקן (במ/1), המייחס לו עבירות של החזקת סם שלא לצריכה עצמית, לפי </w:t>
      </w:r>
      <w:hyperlink r:id="rId23" w:history="1">
        <w:r w:rsidR="00D90150" w:rsidRPr="00D90150">
          <w:rPr>
            <w:rStyle w:val="Hyperlink"/>
            <w:rFonts w:ascii="David" w:hAnsi="David"/>
            <w:color w:val="0000FF"/>
            <w:rtl/>
          </w:rPr>
          <w:t>סע' 7(א)</w:t>
        </w:r>
      </w:hyperlink>
      <w:r w:rsidRPr="00FC4298">
        <w:rPr>
          <w:rFonts w:ascii="David" w:hAnsi="David"/>
          <w:rtl/>
        </w:rPr>
        <w:t xml:space="preserve"> ו-</w:t>
      </w:r>
      <w:hyperlink r:id="rId24" w:history="1">
        <w:r w:rsidR="00D90150" w:rsidRPr="00D90150">
          <w:rPr>
            <w:rStyle w:val="Hyperlink"/>
            <w:rFonts w:ascii="David" w:hAnsi="David"/>
            <w:color w:val="0000FF"/>
            <w:rtl/>
          </w:rPr>
          <w:t>(ג)</w:t>
        </w:r>
      </w:hyperlink>
      <w:r w:rsidRPr="00FC4298">
        <w:rPr>
          <w:rFonts w:ascii="David" w:hAnsi="David"/>
          <w:rtl/>
        </w:rPr>
        <w:t xml:space="preserve"> רישא ל</w:t>
      </w:r>
      <w:hyperlink r:id="rId25" w:history="1">
        <w:r w:rsidR="00217513" w:rsidRPr="00217513">
          <w:rPr>
            <w:rFonts w:ascii="David" w:hAnsi="David"/>
            <w:color w:val="0000FF"/>
            <w:u w:val="single"/>
            <w:rtl/>
          </w:rPr>
          <w:t>פקודת הסמים המסוכנים</w:t>
        </w:r>
      </w:hyperlink>
      <w:r w:rsidRPr="00FC4298">
        <w:rPr>
          <w:rFonts w:ascii="David" w:hAnsi="David"/>
          <w:rtl/>
        </w:rPr>
        <w:t xml:space="preserve"> (נוסח חדש) תשל"ג -1973 (</w:t>
      </w:r>
      <w:r w:rsidRPr="00FC4298">
        <w:rPr>
          <w:rFonts w:ascii="David" w:hAnsi="David"/>
          <w:b/>
          <w:bCs/>
          <w:rtl/>
        </w:rPr>
        <w:t>להלן גם: "הפקודה"</w:t>
      </w:r>
      <w:r w:rsidRPr="00FC4298">
        <w:rPr>
          <w:rFonts w:ascii="David" w:hAnsi="David"/>
          <w:rtl/>
        </w:rPr>
        <w:t xml:space="preserve">) ו- סחר בסמים לפי </w:t>
      </w:r>
      <w:hyperlink r:id="rId26" w:history="1">
        <w:r w:rsidR="00D90150" w:rsidRPr="00D90150">
          <w:rPr>
            <w:rStyle w:val="Hyperlink"/>
            <w:rFonts w:ascii="David" w:hAnsi="David"/>
            <w:color w:val="0000FF"/>
            <w:rtl/>
          </w:rPr>
          <w:t>סע' 13</w:t>
        </w:r>
      </w:hyperlink>
      <w:r w:rsidRPr="00FC4298">
        <w:rPr>
          <w:rFonts w:ascii="David" w:hAnsi="David"/>
          <w:rtl/>
        </w:rPr>
        <w:t xml:space="preserve"> ו- </w:t>
      </w:r>
      <w:hyperlink r:id="rId27" w:history="1">
        <w:r w:rsidR="00D90150" w:rsidRPr="00D90150">
          <w:rPr>
            <w:rStyle w:val="Hyperlink"/>
            <w:rFonts w:ascii="David" w:hAnsi="David"/>
            <w:color w:val="0000FF"/>
            <w:rtl/>
          </w:rPr>
          <w:t>19א</w:t>
        </w:r>
      </w:hyperlink>
      <w:r w:rsidRPr="00FC4298">
        <w:rPr>
          <w:rFonts w:ascii="David" w:hAnsi="David"/>
          <w:rtl/>
        </w:rPr>
        <w:t xml:space="preserve">' לפקודה (15 עבירות). </w:t>
      </w:r>
    </w:p>
    <w:p w14:paraId="3B985131" w14:textId="77777777" w:rsidR="00AA4AB8" w:rsidRPr="00FC4298" w:rsidRDefault="00AA4AB8" w:rsidP="00AA4AB8">
      <w:pPr>
        <w:spacing w:line="360" w:lineRule="auto"/>
        <w:jc w:val="both"/>
        <w:rPr>
          <w:rFonts w:ascii="David" w:hAnsi="David"/>
          <w:rtl/>
        </w:rPr>
      </w:pPr>
    </w:p>
    <w:p w14:paraId="5D6F8889" w14:textId="77777777" w:rsidR="00AA4AB8" w:rsidRPr="00FC4298" w:rsidRDefault="00AA4AB8" w:rsidP="00AA4AB8">
      <w:pPr>
        <w:spacing w:line="360" w:lineRule="auto"/>
        <w:jc w:val="both"/>
        <w:rPr>
          <w:rFonts w:ascii="David" w:hAnsi="David"/>
          <w:rtl/>
        </w:rPr>
      </w:pPr>
      <w:r w:rsidRPr="00FC4298">
        <w:rPr>
          <w:rFonts w:ascii="David" w:hAnsi="David"/>
          <w:rtl/>
        </w:rPr>
        <w:t xml:space="preserve">על פי כתב האישום בו הודה, במועדים הרלבנטיים התגורר הנאשם בלוד וסחר בסמים מסוג הירואין וקוקאין, באמצעות טלפון סלולארי שפרטיו צוינו. </w:t>
      </w:r>
    </w:p>
    <w:p w14:paraId="1AD5D167" w14:textId="77777777" w:rsidR="00AA4AB8" w:rsidRPr="00FC4298" w:rsidRDefault="00AA4AB8" w:rsidP="00AA4AB8">
      <w:pPr>
        <w:spacing w:line="360" w:lineRule="auto"/>
        <w:jc w:val="both"/>
        <w:rPr>
          <w:rFonts w:ascii="David" w:hAnsi="David"/>
          <w:rtl/>
        </w:rPr>
      </w:pPr>
    </w:p>
    <w:p w14:paraId="17CF29E6" w14:textId="77777777" w:rsidR="00AA4AB8" w:rsidRPr="00FC4298" w:rsidRDefault="00AA4AB8" w:rsidP="00AA4AB8">
      <w:pPr>
        <w:spacing w:line="360" w:lineRule="auto"/>
        <w:jc w:val="both"/>
        <w:rPr>
          <w:rFonts w:ascii="David" w:hAnsi="David"/>
          <w:rtl/>
        </w:rPr>
      </w:pPr>
      <w:r w:rsidRPr="00FC4298">
        <w:rPr>
          <w:rFonts w:ascii="David" w:hAnsi="David"/>
          <w:u w:val="single"/>
          <w:rtl/>
        </w:rPr>
        <w:t>על פי האישום הראשון</w:t>
      </w:r>
      <w:r w:rsidRPr="00FC4298">
        <w:rPr>
          <w:rFonts w:ascii="David" w:hAnsi="David"/>
          <w:rtl/>
        </w:rPr>
        <w:t xml:space="preserve">, ביום 30.10.19 בסמוך לשעה 16:07, הגיעה שוטרת לבית הנאשם, לאחר שתיאמה עימו טלפונית רכישת שתי מנות סם מסוג </w:t>
      </w:r>
      <w:r w:rsidRPr="00FC4298">
        <w:rPr>
          <w:rFonts w:ascii="David" w:hAnsi="David"/>
          <w:b/>
          <w:bCs/>
          <w:rtl/>
        </w:rPr>
        <w:t>הרואין</w:t>
      </w:r>
      <w:r w:rsidRPr="00FC4298">
        <w:rPr>
          <w:rFonts w:ascii="David" w:hAnsi="David"/>
          <w:rtl/>
        </w:rPr>
        <w:t xml:space="preserve">. באותן נסיבות מכר הנאשם לשוטרת את שתי המנות, במשקל 1.69 גרם נטו, בתמורה לתשלום סך 200 ₪. </w:t>
      </w:r>
    </w:p>
    <w:p w14:paraId="018708FE" w14:textId="77777777" w:rsidR="00AA4AB8" w:rsidRPr="00FC4298" w:rsidRDefault="00AA4AB8" w:rsidP="00AA4AB8">
      <w:pPr>
        <w:spacing w:line="360" w:lineRule="auto"/>
        <w:jc w:val="both"/>
        <w:rPr>
          <w:rFonts w:ascii="David" w:hAnsi="David"/>
          <w:rtl/>
        </w:rPr>
      </w:pPr>
    </w:p>
    <w:p w14:paraId="3470A0BC" w14:textId="77777777" w:rsidR="00AA4AB8" w:rsidRPr="00FC4298" w:rsidRDefault="00AA4AB8" w:rsidP="00AA4AB8">
      <w:pPr>
        <w:spacing w:line="360" w:lineRule="auto"/>
        <w:jc w:val="both"/>
        <w:rPr>
          <w:rFonts w:ascii="David" w:hAnsi="David"/>
          <w:rtl/>
        </w:rPr>
      </w:pPr>
      <w:r w:rsidRPr="00FC4298">
        <w:rPr>
          <w:rFonts w:ascii="David" w:hAnsi="David"/>
          <w:rtl/>
        </w:rPr>
        <w:lastRenderedPageBreak/>
        <w:t xml:space="preserve">עוד באותו יום, החזיק הנאשם בביתו ארבע מנות סם מסוכן מסוג </w:t>
      </w:r>
      <w:r w:rsidRPr="00FC4298">
        <w:rPr>
          <w:rFonts w:ascii="David" w:hAnsi="David"/>
          <w:b/>
          <w:bCs/>
          <w:rtl/>
        </w:rPr>
        <w:t>הירואין</w:t>
      </w:r>
      <w:r w:rsidRPr="00FC4298">
        <w:rPr>
          <w:rFonts w:ascii="David" w:hAnsi="David"/>
          <w:rtl/>
        </w:rPr>
        <w:t xml:space="preserve">, במשקל כולל של 3.81 גרם נטו; סם מסוכן מסוג </w:t>
      </w:r>
      <w:r w:rsidRPr="00FC4298">
        <w:rPr>
          <w:rFonts w:ascii="David" w:hAnsi="David"/>
          <w:b/>
          <w:bCs/>
          <w:rtl/>
        </w:rPr>
        <w:t>קוקאין</w:t>
      </w:r>
      <w:r w:rsidRPr="00FC4298">
        <w:rPr>
          <w:rFonts w:ascii="David" w:hAnsi="David"/>
          <w:rtl/>
        </w:rPr>
        <w:t xml:space="preserve">, במשקל 8.03 גרם נטו, וכן משקל אלקטרוני. בנוסף החזיק את הסך ששילמה השוטרת ומזומן בסך 3,630 ₪. </w:t>
      </w:r>
    </w:p>
    <w:p w14:paraId="5FD3296F" w14:textId="77777777" w:rsidR="00AA4AB8" w:rsidRPr="00FC4298" w:rsidRDefault="00AA4AB8" w:rsidP="00AA4AB8">
      <w:pPr>
        <w:spacing w:line="360" w:lineRule="auto"/>
        <w:jc w:val="both"/>
        <w:rPr>
          <w:rFonts w:ascii="David" w:hAnsi="David"/>
          <w:rtl/>
        </w:rPr>
      </w:pPr>
      <w:r w:rsidRPr="00FC4298">
        <w:rPr>
          <w:rFonts w:ascii="David" w:hAnsi="David"/>
          <w:rtl/>
        </w:rPr>
        <w:br/>
      </w:r>
      <w:r w:rsidRPr="00FC4298">
        <w:rPr>
          <w:rFonts w:ascii="David" w:hAnsi="David"/>
          <w:u w:val="single"/>
          <w:rtl/>
        </w:rPr>
        <w:t>על פי האישום השני</w:t>
      </w:r>
      <w:r w:rsidRPr="00FC4298">
        <w:rPr>
          <w:rFonts w:ascii="David" w:hAnsi="David"/>
          <w:rtl/>
        </w:rPr>
        <w:t>, בין החודשים ספטמבר - אוקטובר 2019, ב- 5 הזדמנויות שונות, במועדים שאינם ידועים במדויק, מכר הנאשם לפולינה פלטוב סם מוכן מסוג קוקאין, תמורת 100 ₪ למנת סם. הסחר בוצע בקרבה לבית הנאשם, במקום מוסכם.</w:t>
      </w:r>
    </w:p>
    <w:p w14:paraId="42E96433" w14:textId="77777777" w:rsidR="00AA4AB8" w:rsidRPr="00FC4298" w:rsidRDefault="00AA4AB8" w:rsidP="00AA4AB8">
      <w:pPr>
        <w:spacing w:line="360" w:lineRule="auto"/>
        <w:jc w:val="both"/>
        <w:rPr>
          <w:rFonts w:ascii="David" w:hAnsi="David"/>
          <w:rtl/>
        </w:rPr>
      </w:pPr>
    </w:p>
    <w:p w14:paraId="0EB5C4A8" w14:textId="77777777" w:rsidR="00AA4AB8" w:rsidRPr="00FC4298" w:rsidRDefault="00AA4AB8" w:rsidP="00AA4AB8">
      <w:pPr>
        <w:spacing w:line="360" w:lineRule="auto"/>
        <w:jc w:val="both"/>
        <w:rPr>
          <w:rFonts w:ascii="David" w:hAnsi="David"/>
        </w:rPr>
      </w:pPr>
      <w:r w:rsidRPr="00FC4298">
        <w:rPr>
          <w:rFonts w:ascii="David" w:hAnsi="David"/>
          <w:u w:val="single"/>
          <w:rtl/>
        </w:rPr>
        <w:t>על פי האישום השלישי</w:t>
      </w:r>
      <w:r w:rsidRPr="00FC4298">
        <w:rPr>
          <w:rFonts w:ascii="David" w:hAnsi="David"/>
          <w:rtl/>
        </w:rPr>
        <w:t xml:space="preserve">, בין החודשים ספטמבר – אוקטובר 2019, ב- 7 הזדמנויות שונות, במועדים שאינם ידועים במדויק, מכר הנאשם למאיה הופמקלר סם מסוכן מסוג קוקאין תמורת 100 ₪ למנת סם. הסחר בוצע בקרבה לבית הנאשם, במקום מוסכם. באופן המתואר מכר הנאשם למאיה ביום 14.10.19 חצי מנת סם תמורת 50 ₪. </w:t>
      </w:r>
      <w:r w:rsidRPr="00FC4298">
        <w:rPr>
          <w:rFonts w:ascii="David" w:hAnsi="David"/>
          <w:rtl/>
        </w:rPr>
        <w:tab/>
      </w:r>
      <w:r w:rsidRPr="00FC4298">
        <w:rPr>
          <w:rFonts w:ascii="David" w:hAnsi="David"/>
          <w:rtl/>
        </w:rPr>
        <w:br/>
      </w:r>
    </w:p>
    <w:p w14:paraId="6E46297C" w14:textId="77777777" w:rsidR="00AA4AB8" w:rsidRPr="00FC4298" w:rsidRDefault="00AA4AB8" w:rsidP="00AA4AB8">
      <w:pPr>
        <w:spacing w:line="360" w:lineRule="auto"/>
        <w:jc w:val="both"/>
        <w:rPr>
          <w:rFonts w:ascii="David" w:hAnsi="David"/>
          <w:rtl/>
        </w:rPr>
      </w:pPr>
      <w:r w:rsidRPr="00FC4298">
        <w:rPr>
          <w:rFonts w:ascii="David" w:hAnsi="David"/>
          <w:u w:val="single"/>
          <w:rtl/>
        </w:rPr>
        <w:t>על פי האישום הרביעי</w:t>
      </w:r>
      <w:r w:rsidRPr="00FC4298">
        <w:rPr>
          <w:rFonts w:ascii="David" w:hAnsi="David"/>
          <w:rtl/>
        </w:rPr>
        <w:t xml:space="preserve">, ביום 17.9.19, בבית הנאשם, מכר הנאשם לעוזי רוטבם סם מסוכן מסוג קוקאין תמורת 100 ₪. </w:t>
      </w:r>
    </w:p>
    <w:p w14:paraId="14B26CB1" w14:textId="77777777" w:rsidR="00AA4AB8" w:rsidRPr="00FC4298" w:rsidRDefault="00AA4AB8" w:rsidP="00AA4AB8">
      <w:pPr>
        <w:spacing w:line="360" w:lineRule="auto"/>
        <w:jc w:val="both"/>
        <w:rPr>
          <w:rFonts w:ascii="David" w:hAnsi="David"/>
        </w:rPr>
      </w:pPr>
    </w:p>
    <w:p w14:paraId="1C00727B" w14:textId="77777777" w:rsidR="00AA4AB8" w:rsidRPr="00FC4298" w:rsidRDefault="00AA4AB8" w:rsidP="00AA4AB8">
      <w:pPr>
        <w:spacing w:line="360" w:lineRule="auto"/>
        <w:jc w:val="both"/>
        <w:rPr>
          <w:rFonts w:ascii="David" w:hAnsi="David"/>
          <w:rtl/>
        </w:rPr>
      </w:pPr>
      <w:r w:rsidRPr="00FC4298">
        <w:rPr>
          <w:rFonts w:ascii="David" w:hAnsi="David"/>
          <w:u w:val="single"/>
          <w:rtl/>
        </w:rPr>
        <w:t>על פי האישום החמישי</w:t>
      </w:r>
      <w:r w:rsidRPr="00FC4298">
        <w:rPr>
          <w:rFonts w:ascii="David" w:hAnsi="David"/>
          <w:rtl/>
        </w:rPr>
        <w:t>, ביום 4.9.19, בבית הנאשם, מכר הנאשם לדמיטרי סבורוב סם מסוכן מסוג קוקאין תמורת 100 ₪.</w:t>
      </w:r>
    </w:p>
    <w:p w14:paraId="5834AAA7" w14:textId="77777777" w:rsidR="00AA4AB8" w:rsidRPr="00FC4298" w:rsidRDefault="00AA4AB8" w:rsidP="00AA4AB8">
      <w:pPr>
        <w:spacing w:line="360" w:lineRule="auto"/>
        <w:jc w:val="both"/>
        <w:rPr>
          <w:rFonts w:ascii="David" w:hAnsi="David"/>
          <w:b/>
          <w:bCs/>
          <w:u w:val="single"/>
          <w:rtl/>
        </w:rPr>
      </w:pPr>
      <w:r w:rsidRPr="00FC4298">
        <w:rPr>
          <w:rFonts w:ascii="David" w:hAnsi="David"/>
          <w:b/>
          <w:bCs/>
          <w:rtl/>
        </w:rPr>
        <w:t xml:space="preserve">2. </w:t>
      </w:r>
      <w:r w:rsidRPr="00FC4298">
        <w:rPr>
          <w:rFonts w:ascii="David" w:hAnsi="David"/>
          <w:b/>
          <w:bCs/>
          <w:u w:val="single"/>
          <w:rtl/>
        </w:rPr>
        <w:t>קורות ההליך</w:t>
      </w:r>
    </w:p>
    <w:p w14:paraId="7783BDED" w14:textId="77777777" w:rsidR="00AA4AB8" w:rsidRPr="00FC4298" w:rsidRDefault="00AA4AB8" w:rsidP="00AA4AB8">
      <w:pPr>
        <w:spacing w:line="360" w:lineRule="auto"/>
        <w:jc w:val="both"/>
        <w:rPr>
          <w:rFonts w:ascii="David" w:hAnsi="David"/>
          <w:rtl/>
        </w:rPr>
      </w:pPr>
      <w:r w:rsidRPr="00FC4298">
        <w:rPr>
          <w:rFonts w:ascii="David" w:hAnsi="David"/>
          <w:rtl/>
        </w:rPr>
        <w:t>הנאשם נתון במעצר מיום 30.10.19. בהתאם להסדר הטיעון, הוריתי על קבלת תסקיר שירות המבחן, בשים לב לבקשת ההגנה כי תיבחן אפשרות שליחת הנאשם לגמילה מסמים.</w:t>
      </w:r>
    </w:p>
    <w:p w14:paraId="141A3791" w14:textId="77777777" w:rsidR="00AA4AB8" w:rsidRPr="00FC4298" w:rsidRDefault="00AA4AB8" w:rsidP="00AA4AB8">
      <w:pPr>
        <w:spacing w:line="360" w:lineRule="auto"/>
        <w:jc w:val="both"/>
        <w:rPr>
          <w:rFonts w:ascii="David" w:hAnsi="David"/>
          <w:rtl/>
        </w:rPr>
      </w:pPr>
    </w:p>
    <w:p w14:paraId="4CD282ED" w14:textId="77777777" w:rsidR="00AA4AB8" w:rsidRPr="00FC4298" w:rsidRDefault="00AA4AB8" w:rsidP="00AA4AB8">
      <w:pPr>
        <w:spacing w:line="360" w:lineRule="auto"/>
        <w:jc w:val="both"/>
        <w:rPr>
          <w:rFonts w:ascii="David" w:hAnsi="David"/>
          <w:rtl/>
        </w:rPr>
      </w:pPr>
      <w:r w:rsidRPr="00FC4298">
        <w:rPr>
          <w:rFonts w:ascii="David" w:hAnsi="David"/>
          <w:rtl/>
        </w:rPr>
        <w:t>בישיבת יום 21.6.20, אשר התקיימה בשל מגבלות הקורונה באופן שבו הנאשם שומע טלפונית את הדיון ממקום מעצרו, שמעתי את בקשת בא כוחו הקודם להתפטר מייצוג. מיניתי לבקשת הנאשם את הסניגוריה הציבורית לייצגו. ביום 24.6.20 התקבל תסקיר שירות המבחן בעניינו של הנאשם (להלן). בישיבת יום 7.7.20 התייצב בא כוחו הנוכחי של הנאשם. נעתרתי לבקשתו לדחייה על מנת להיערך להגנת מרשו. בישיבת יום 2.8.20 נשמעו טיעונים לעונש. הנאשם הובא לדיון באמצעות שב"ס. בשל פגרת הקיץ נדחה הדיון ליום 15.9.20 ולאחר מכן נדחה דחיה קצרה נוספת, בשל טעמים הנובעים מעבודת בית המשפט.</w:t>
      </w:r>
    </w:p>
    <w:p w14:paraId="42F5A25A" w14:textId="77777777" w:rsidR="00AA4AB8" w:rsidRPr="00FC4298" w:rsidRDefault="00AA4AB8" w:rsidP="00AA4AB8">
      <w:pPr>
        <w:spacing w:line="360" w:lineRule="auto"/>
        <w:jc w:val="both"/>
        <w:rPr>
          <w:rFonts w:ascii="David" w:hAnsi="David"/>
          <w:b/>
          <w:bCs/>
          <w:u w:val="single"/>
          <w:rtl/>
        </w:rPr>
      </w:pPr>
    </w:p>
    <w:p w14:paraId="646231E2" w14:textId="77777777" w:rsidR="00AA4AB8" w:rsidRPr="00FC4298" w:rsidRDefault="00AA4AB8" w:rsidP="00AA4AB8">
      <w:pPr>
        <w:spacing w:line="360" w:lineRule="auto"/>
        <w:jc w:val="both"/>
        <w:rPr>
          <w:rFonts w:ascii="David" w:hAnsi="David"/>
          <w:b/>
          <w:bCs/>
          <w:u w:val="single"/>
          <w:rtl/>
        </w:rPr>
      </w:pPr>
      <w:r w:rsidRPr="00FC4298">
        <w:rPr>
          <w:rFonts w:ascii="David" w:hAnsi="David"/>
          <w:b/>
          <w:bCs/>
          <w:rtl/>
        </w:rPr>
        <w:t xml:space="preserve">3. </w:t>
      </w:r>
      <w:r w:rsidRPr="00FC4298">
        <w:rPr>
          <w:rFonts w:ascii="David" w:hAnsi="David"/>
          <w:b/>
          <w:bCs/>
          <w:u w:val="single"/>
          <w:rtl/>
        </w:rPr>
        <w:t>תסקיר שירות המבחן</w:t>
      </w:r>
    </w:p>
    <w:p w14:paraId="2620871E" w14:textId="77777777" w:rsidR="00AA4AB8" w:rsidRPr="00FC4298" w:rsidRDefault="00AA4AB8" w:rsidP="00AA4AB8">
      <w:pPr>
        <w:spacing w:line="360" w:lineRule="auto"/>
        <w:jc w:val="both"/>
        <w:rPr>
          <w:rFonts w:ascii="David" w:hAnsi="David"/>
          <w:rtl/>
        </w:rPr>
      </w:pPr>
      <w:r w:rsidRPr="00FC4298">
        <w:rPr>
          <w:rFonts w:ascii="David" w:hAnsi="David"/>
          <w:rtl/>
        </w:rPr>
        <w:t xml:space="preserve">מן התסקיר עולה כי הנאשם כבן 38, נשוי ואב לתינוקת כבת שנה, סיים 4 שנות לימוד. לנאשם 10 הרשעות קודמות. בהיותו כבן 14 נידון לראשונה למאסר בן 9 שנים, בגין רצח נער כבן גילו. בעת מאסרו התמכר לשימוש בחומרים פסיכואקטיביים ולסמים מסוגים שונים. הנאשם ניהל אורח חיים התמכרותי ועברייני, וערך מספר ניסיונות גמילה שכשלו. בשנת 2006 הופנה לשירות המבחן ואולם התקשה לשתף פעולה. לדבריו, צרך בעבר סמים, לרבות הרואין וקוקאין, אך משנת 2018 נגמל מאלה ומאז הוא צורך רק קנאביס. עוד ציין כי השתתף בעבר בטיפול בשליטה בכעסים. </w:t>
      </w:r>
    </w:p>
    <w:p w14:paraId="48EC3F79" w14:textId="77777777" w:rsidR="00AA4AB8" w:rsidRPr="00FC4298" w:rsidRDefault="00AA4AB8" w:rsidP="00AA4AB8">
      <w:pPr>
        <w:spacing w:line="360" w:lineRule="auto"/>
        <w:jc w:val="both"/>
        <w:rPr>
          <w:rFonts w:ascii="David" w:hAnsi="David"/>
          <w:rtl/>
        </w:rPr>
      </w:pPr>
    </w:p>
    <w:p w14:paraId="2A4BD9ED" w14:textId="77777777" w:rsidR="00AA4AB8" w:rsidRPr="00FC4298" w:rsidRDefault="00AA4AB8" w:rsidP="00AA4AB8">
      <w:pPr>
        <w:spacing w:line="360" w:lineRule="auto"/>
        <w:jc w:val="both"/>
        <w:rPr>
          <w:rFonts w:ascii="David" w:hAnsi="David"/>
          <w:rtl/>
        </w:rPr>
      </w:pPr>
      <w:r w:rsidRPr="00FC4298">
        <w:rPr>
          <w:rFonts w:ascii="David" w:hAnsi="David"/>
          <w:rtl/>
        </w:rPr>
        <w:t>בהתייחסו לעבירות, מסר הנאשם אינפורמציה מצומצמת ומגמתית. השירות התרשם כי הנאשם גיבש דפוסים עברייניים וכוחניים ובתוך כך, התפתה לרווח כלכלי קל. עוד התרשם השירות מקשיי הנאשם בשליטה עצמית ובמתן אמון, כמו גם מרגשות כעס ותסכול כלפי גורמי סמכות. מסגרת בית המעצר מהווה עבורו מסגרת מוכרת בעלת גבולות ברורים, בלעדיה הוא מתקשה להתמודד. לנאשם קושי להכיר בקשייו, הוא בעל נוקשות חשיבתית ומחזיק בעמדות הנותנות לגיטימציה לביצוע עבירות במצבי מצוקה כלכלית. הנאשם ממוקד בקשייו ובהתמכרותו וגורמי אכיפת החוק אינם מהווים עבורו גורם מרתיע.</w:t>
      </w:r>
    </w:p>
    <w:p w14:paraId="3AF43230" w14:textId="77777777" w:rsidR="00AA4AB8" w:rsidRPr="00FC4298" w:rsidRDefault="00AA4AB8" w:rsidP="00AA4AB8">
      <w:pPr>
        <w:spacing w:line="360" w:lineRule="auto"/>
        <w:jc w:val="both"/>
        <w:rPr>
          <w:rFonts w:ascii="David" w:hAnsi="David"/>
          <w:rtl/>
        </w:rPr>
      </w:pPr>
    </w:p>
    <w:p w14:paraId="45363427" w14:textId="77777777" w:rsidR="00AA4AB8" w:rsidRPr="00FC4298" w:rsidRDefault="00AA4AB8" w:rsidP="00AA4AB8">
      <w:pPr>
        <w:spacing w:line="360" w:lineRule="auto"/>
        <w:jc w:val="both"/>
        <w:rPr>
          <w:rFonts w:ascii="David" w:hAnsi="David"/>
        </w:rPr>
      </w:pPr>
      <w:r w:rsidRPr="00FC4298">
        <w:rPr>
          <w:rFonts w:ascii="David" w:hAnsi="David"/>
          <w:rtl/>
        </w:rPr>
        <w:t>נוכח האמור התרשם שירות המבחן כי קיים סיכון להישנות עבירות, וכי הנאשם אינו בעל יכולת להשתלב בטיפול גמילה מסמים. לפיכך לא בא בהמלצה טיפולית, אלא המליץ על הטלת עונש מוחשי שיחדד לו את גבולות החוק.</w:t>
      </w:r>
    </w:p>
    <w:p w14:paraId="4B7B9868" w14:textId="77777777" w:rsidR="00AA4AB8" w:rsidRPr="00FC4298" w:rsidRDefault="00AA4AB8" w:rsidP="00AA4AB8">
      <w:pPr>
        <w:spacing w:line="360" w:lineRule="auto"/>
        <w:jc w:val="both"/>
        <w:rPr>
          <w:rFonts w:ascii="David" w:hAnsi="David"/>
          <w:rtl/>
        </w:rPr>
      </w:pPr>
    </w:p>
    <w:p w14:paraId="5F929842" w14:textId="77777777" w:rsidR="00AA4AB8" w:rsidRPr="00FC4298" w:rsidRDefault="00AA4AB8" w:rsidP="00AA4AB8">
      <w:pPr>
        <w:spacing w:line="360" w:lineRule="auto"/>
        <w:jc w:val="both"/>
        <w:rPr>
          <w:rFonts w:ascii="David" w:hAnsi="David"/>
          <w:b/>
          <w:bCs/>
          <w:u w:val="single"/>
          <w:rtl/>
        </w:rPr>
      </w:pPr>
      <w:r w:rsidRPr="00FC4298">
        <w:rPr>
          <w:rFonts w:ascii="David" w:hAnsi="David"/>
          <w:b/>
          <w:bCs/>
          <w:rtl/>
        </w:rPr>
        <w:t xml:space="preserve">4. </w:t>
      </w:r>
      <w:r w:rsidRPr="00FC4298">
        <w:rPr>
          <w:rFonts w:ascii="David" w:hAnsi="David"/>
          <w:b/>
          <w:bCs/>
          <w:u w:val="single"/>
          <w:rtl/>
        </w:rPr>
        <w:t>הטיעון לעונש</w:t>
      </w:r>
    </w:p>
    <w:p w14:paraId="15E80AF3" w14:textId="77777777" w:rsidR="00AA4AB8" w:rsidRPr="00FC4298" w:rsidRDefault="00AA4AB8" w:rsidP="00AA4AB8">
      <w:pPr>
        <w:spacing w:line="360" w:lineRule="auto"/>
        <w:jc w:val="both"/>
        <w:rPr>
          <w:rFonts w:ascii="David" w:hAnsi="David"/>
          <w:rtl/>
        </w:rPr>
      </w:pPr>
      <w:r w:rsidRPr="00FC4298">
        <w:rPr>
          <w:rFonts w:ascii="David" w:hAnsi="David"/>
          <w:b/>
          <w:bCs/>
          <w:rtl/>
        </w:rPr>
        <w:t>ב"כ המאשימה טענה</w:t>
      </w:r>
      <w:r w:rsidRPr="00FC4298">
        <w:rPr>
          <w:rFonts w:ascii="David" w:hAnsi="David"/>
          <w:rtl/>
        </w:rPr>
        <w:t xml:space="preserve"> כי אין מקום לראות את כתב האישום כולו כמסכת עובדתית אחת, אלא כמספר אירועים שונים, אשר יש לקבוע בגין כל אחד מהם מתחם עונש נפרד. לשיטתה, מתחם העונש מושא האישום הראשון נע בין 20 ל- 42 חודשי מאסר; מתחמי העונש מושא האישומים 2 ו-3 נע בין 12 ל- 24 חודשי מאסר, בגין כל אחד מהם ואילו מתחמי העונש מושא האישומים 4 ו- 5 נעים בין 8 ל- 18 חודשי מאסר, בגין כל אישום. </w:t>
      </w:r>
    </w:p>
    <w:p w14:paraId="01F8C022" w14:textId="77777777" w:rsidR="00AA4AB8" w:rsidRPr="00FC4298" w:rsidRDefault="00AA4AB8" w:rsidP="00AA4AB8">
      <w:pPr>
        <w:spacing w:line="360" w:lineRule="auto"/>
        <w:jc w:val="both"/>
        <w:rPr>
          <w:rFonts w:ascii="David" w:hAnsi="David"/>
          <w:rtl/>
        </w:rPr>
      </w:pPr>
    </w:p>
    <w:p w14:paraId="3EEF8024" w14:textId="77777777" w:rsidR="00AA4AB8" w:rsidRPr="00FC4298" w:rsidRDefault="00AA4AB8" w:rsidP="00AA4AB8">
      <w:pPr>
        <w:spacing w:line="360" w:lineRule="auto"/>
        <w:jc w:val="both"/>
        <w:rPr>
          <w:rFonts w:ascii="David" w:hAnsi="David"/>
          <w:rtl/>
        </w:rPr>
      </w:pPr>
      <w:r w:rsidRPr="00FC4298">
        <w:rPr>
          <w:rFonts w:ascii="David" w:hAnsi="David"/>
          <w:rtl/>
        </w:rPr>
        <w:t>לנאשם 10 ה"ק (</w:t>
      </w:r>
      <w:r w:rsidRPr="00FC4298">
        <w:rPr>
          <w:rFonts w:ascii="David" w:hAnsi="David"/>
          <w:b/>
          <w:bCs/>
          <w:rtl/>
        </w:rPr>
        <w:t>ת/1</w:t>
      </w:r>
      <w:r w:rsidRPr="00FC4298">
        <w:rPr>
          <w:rFonts w:ascii="David" w:hAnsi="David"/>
          <w:rtl/>
        </w:rPr>
        <w:t>) שעניינן ברצח, בגינו נדון למאסר בן 9 שנים, עוד בהיותו קטין, וכן עבירות מתחום הסמים והרכוש, לרבות שוד. הוא נדון למאסרים שונים לתקופה מצטברת שמעל ל- 80 חודשי מאסר ולחובתו הרשעות גם מתחום התעבורה (</w:t>
      </w:r>
      <w:r w:rsidRPr="00FC4298">
        <w:rPr>
          <w:rFonts w:ascii="David" w:hAnsi="David"/>
          <w:b/>
          <w:bCs/>
          <w:rtl/>
        </w:rPr>
        <w:t>ת/2</w:t>
      </w:r>
      <w:r w:rsidRPr="00FC4298">
        <w:rPr>
          <w:rFonts w:ascii="David" w:hAnsi="David"/>
          <w:rtl/>
        </w:rPr>
        <w:t xml:space="preserve">). הנאשם השתחרר ממאסרו האחרון ביום  20.9.18 ובחלוף תקופה קצרה שב לבצע עבירות. </w:t>
      </w:r>
    </w:p>
    <w:p w14:paraId="0513A9DE" w14:textId="77777777" w:rsidR="00AA4AB8" w:rsidRPr="00FC4298" w:rsidRDefault="00AA4AB8" w:rsidP="00AA4AB8">
      <w:pPr>
        <w:spacing w:line="360" w:lineRule="auto"/>
        <w:jc w:val="both"/>
        <w:rPr>
          <w:rFonts w:ascii="David" w:hAnsi="David"/>
          <w:rtl/>
        </w:rPr>
      </w:pPr>
    </w:p>
    <w:p w14:paraId="5E686A63" w14:textId="77777777" w:rsidR="00AA4AB8" w:rsidRPr="00FC4298" w:rsidRDefault="00AA4AB8" w:rsidP="00AA4AB8">
      <w:pPr>
        <w:spacing w:line="360" w:lineRule="auto"/>
        <w:jc w:val="both"/>
        <w:rPr>
          <w:rFonts w:ascii="David" w:hAnsi="David"/>
          <w:rtl/>
        </w:rPr>
      </w:pPr>
      <w:r w:rsidRPr="00FC4298">
        <w:rPr>
          <w:rFonts w:ascii="David" w:hAnsi="David"/>
          <w:rtl/>
        </w:rPr>
        <w:t>לחובת הנאשם שני מאסרים מותנים ברי הפעלה (</w:t>
      </w:r>
      <w:r w:rsidRPr="00FC4298">
        <w:rPr>
          <w:rFonts w:ascii="David" w:hAnsi="David"/>
          <w:b/>
          <w:bCs/>
          <w:rtl/>
        </w:rPr>
        <w:t>ת/3 ו- ת/4</w:t>
      </w:r>
      <w:r w:rsidRPr="00FC4298">
        <w:rPr>
          <w:rFonts w:ascii="David" w:hAnsi="David"/>
          <w:rtl/>
        </w:rPr>
        <w:t>) אשר לא היה בהם כדי להרתיעו מלבצע את העבירות. ביום 8.9.18, עובר לגזירת דינו בהליך מושא ת/3, ציין הנאשם בשלב הטיעון לעונש, בפני המותב שגזר את דינו, כי הוא ערך שינוי באורחות חייו וכי הוא נקי מסמים. בחלוף 9 ימים מעת שהשמיע מילים אלה, ביצע את עבירת סחר הסם, מושא האישום הרביעי.</w:t>
      </w:r>
    </w:p>
    <w:p w14:paraId="66C62F67" w14:textId="77777777" w:rsidR="00AA4AB8" w:rsidRPr="00FC4298" w:rsidRDefault="00AA4AB8" w:rsidP="00AA4AB8">
      <w:pPr>
        <w:spacing w:line="360" w:lineRule="auto"/>
        <w:jc w:val="both"/>
        <w:rPr>
          <w:rFonts w:ascii="David" w:hAnsi="David"/>
          <w:rtl/>
        </w:rPr>
      </w:pPr>
    </w:p>
    <w:p w14:paraId="5C1581A5" w14:textId="77777777" w:rsidR="00AA4AB8" w:rsidRPr="00FC4298" w:rsidRDefault="00AA4AB8" w:rsidP="00AA4AB8">
      <w:pPr>
        <w:spacing w:line="360" w:lineRule="auto"/>
        <w:jc w:val="both"/>
        <w:rPr>
          <w:rFonts w:ascii="David" w:hAnsi="David"/>
          <w:rtl/>
        </w:rPr>
      </w:pPr>
      <w:r w:rsidRPr="00FC4298">
        <w:rPr>
          <w:rFonts w:ascii="David" w:hAnsi="David"/>
          <w:rtl/>
        </w:rPr>
        <w:t>לשיטת המאשימה, המאסר המותנה מושא ת/4 בר הפעלה בעניינו של הנאשם. באותו הליך הושת על הנאשם, בין היתר, עונש מאסר על תנאי בן 6 חודשים למשך 3 שנים, שלא יעבור על העבירה בה הורשע, קרי: גידול סם. בענייננו הורשע הנאשם בעבירת החזקת סמים שלא לצריכה עצמית. בנסיבות אלה יש להפעיל את המאסר המותנה, בשים לב לכך כי התכלית מושא שתי הוראות החיקוק, היא לחימה בנגע הסמים. הדבר נלמד מפסיקה אותה הציגה. בין היתר, הפניתה התובעת לפסיקה מכוחה תנאי "שלא יעבור עבירת אלימות" הופעל גם מקום בו הושמעו איומים בעת שוד וכן, באופן דומה, נקבע כי עבירת נשק באה אף היא בגדר "אלימות" לעניין זה.</w:t>
      </w:r>
    </w:p>
    <w:p w14:paraId="401B811D" w14:textId="77777777" w:rsidR="00AA4AB8" w:rsidRPr="00FC4298" w:rsidRDefault="00AA4AB8" w:rsidP="00AA4AB8">
      <w:pPr>
        <w:spacing w:line="360" w:lineRule="auto"/>
        <w:jc w:val="both"/>
        <w:rPr>
          <w:rFonts w:ascii="David" w:hAnsi="David"/>
          <w:rtl/>
        </w:rPr>
      </w:pPr>
    </w:p>
    <w:p w14:paraId="7A351E22" w14:textId="77777777" w:rsidR="00AA4AB8" w:rsidRPr="00FC4298" w:rsidRDefault="00AA4AB8" w:rsidP="00AA4AB8">
      <w:pPr>
        <w:spacing w:line="360" w:lineRule="auto"/>
        <w:jc w:val="both"/>
        <w:rPr>
          <w:rFonts w:ascii="David" w:hAnsi="David"/>
          <w:rtl/>
        </w:rPr>
      </w:pPr>
      <w:r w:rsidRPr="00FC4298">
        <w:rPr>
          <w:rFonts w:ascii="David" w:hAnsi="David"/>
          <w:rtl/>
        </w:rPr>
        <w:t>עוד הפניתה המאשימה לכלל האמור בתסקיר, כמו גם לכך כי הנאשם עודנו צורך סמים ואינו מורתע מן החוק. בשים לב לפסיקה אותה הציגה, סבורה המאשימה כי יש למקם את עונשו של הנאשם בחלקו הגבוה של כל מתחם, ולהפעיל את המאסרים המותנים במצטבר, כך שמאסרו לא יפחת מ- 5 שנות מאסר. עוד עתרה להשתת מאסר מותנה, קנס גבוה, פסילת רישיון נהיגה בפועל ופסילה על תנאי, וכן להכריז על הנאשם סוחר סמים ולחלט בהתאם סך 3,930 ₪ וטלפון סלולארי שנתפסו בחזקתו.</w:t>
      </w:r>
    </w:p>
    <w:p w14:paraId="62D1EE11" w14:textId="77777777" w:rsidR="00AA4AB8" w:rsidRPr="00FC4298" w:rsidRDefault="00AA4AB8" w:rsidP="00AA4AB8">
      <w:pPr>
        <w:spacing w:line="360" w:lineRule="auto"/>
        <w:jc w:val="both"/>
        <w:rPr>
          <w:rFonts w:ascii="David" w:hAnsi="David"/>
          <w:rtl/>
        </w:rPr>
      </w:pPr>
    </w:p>
    <w:p w14:paraId="2AA6FBC9" w14:textId="77777777" w:rsidR="00AA4AB8" w:rsidRPr="00FC4298" w:rsidRDefault="00AA4AB8" w:rsidP="00AA4AB8">
      <w:pPr>
        <w:spacing w:line="360" w:lineRule="auto"/>
        <w:jc w:val="both"/>
        <w:rPr>
          <w:rFonts w:ascii="David" w:hAnsi="David"/>
          <w:rtl/>
        </w:rPr>
      </w:pPr>
      <w:r w:rsidRPr="00FC4298">
        <w:rPr>
          <w:rFonts w:ascii="David" w:hAnsi="David"/>
          <w:b/>
          <w:bCs/>
          <w:rtl/>
        </w:rPr>
        <w:t xml:space="preserve">ב"כ הנאשם </w:t>
      </w:r>
      <w:r w:rsidRPr="00FC4298">
        <w:rPr>
          <w:rFonts w:ascii="David" w:hAnsi="David"/>
          <w:rtl/>
        </w:rPr>
        <w:t>עתר להשתת עונש שלא יעלה על 24 חודשי מאסר בפועל, החל מיום מעצרו של הנאשם, וזאת לאחר הפעלת מאסר מותנה בן 3 חודשים (ת/3).</w:t>
      </w:r>
    </w:p>
    <w:p w14:paraId="6316204A" w14:textId="77777777" w:rsidR="00AA4AB8" w:rsidRPr="00FC4298" w:rsidRDefault="00AA4AB8" w:rsidP="00AA4AB8">
      <w:pPr>
        <w:spacing w:line="360" w:lineRule="auto"/>
        <w:jc w:val="both"/>
        <w:rPr>
          <w:rFonts w:ascii="David" w:hAnsi="David"/>
          <w:rtl/>
        </w:rPr>
      </w:pPr>
      <w:r w:rsidRPr="00FC4298">
        <w:rPr>
          <w:rFonts w:ascii="David" w:hAnsi="David"/>
          <w:rtl/>
        </w:rPr>
        <w:t xml:space="preserve">לשיטת ההגנה, יש לקבוע מתחם עונש אחד כולל לכלל עבירות הסחר בסמים וכן מתחם עונש נפרד לעבירת החזקת הסמים מושא האישום הראשון. מדובר במעשים בעלי אופי והיקף דומים, שבוצעו במהלך תקופת זמן מצומצמת, כאשר סוג הסמים זהה וכך גם הרווחים שהופקו. </w:t>
      </w:r>
    </w:p>
    <w:p w14:paraId="62E1A1A7" w14:textId="77777777" w:rsidR="00AA4AB8" w:rsidRPr="00FC4298" w:rsidRDefault="00AA4AB8" w:rsidP="00AA4AB8">
      <w:pPr>
        <w:spacing w:line="360" w:lineRule="auto"/>
        <w:jc w:val="both"/>
        <w:rPr>
          <w:rFonts w:ascii="David" w:hAnsi="David"/>
          <w:rtl/>
        </w:rPr>
      </w:pPr>
      <w:r w:rsidRPr="00FC4298">
        <w:rPr>
          <w:rFonts w:ascii="David" w:hAnsi="David"/>
          <w:rtl/>
        </w:rPr>
        <w:t>אין עסקינן בסוחר סמים "מדופלם", אלא ב"עבריינות רחוב", שטיבה רווחים מינימאליים שלא עלו על סך 1,600 ₪, בכלל האישומים.  בשים לב לפסיקה אליה הפנה, טען הסניגור כי יש לקבוע מתחם עונש כולל שנע בין 6 ל- 18 חודשי מאסר. את עונשו של הנאשם יש למקם ברף התחתון של המתחם, בשים לב להודייתו אשר חסכה זמן שיפוטי ניכר.</w:t>
      </w:r>
    </w:p>
    <w:p w14:paraId="05037DA8" w14:textId="77777777" w:rsidR="00AA4AB8" w:rsidRPr="00FC4298" w:rsidRDefault="00AA4AB8" w:rsidP="00AA4AB8">
      <w:pPr>
        <w:spacing w:line="360" w:lineRule="auto"/>
        <w:jc w:val="both"/>
        <w:rPr>
          <w:rFonts w:ascii="David" w:hAnsi="David"/>
          <w:rtl/>
        </w:rPr>
      </w:pPr>
    </w:p>
    <w:p w14:paraId="71F83E6A" w14:textId="77777777" w:rsidR="00AA4AB8" w:rsidRPr="00FC4298" w:rsidRDefault="00AA4AB8" w:rsidP="00AA4AB8">
      <w:pPr>
        <w:spacing w:line="360" w:lineRule="auto"/>
        <w:jc w:val="both"/>
        <w:rPr>
          <w:rFonts w:ascii="David" w:hAnsi="David"/>
          <w:rtl/>
        </w:rPr>
      </w:pPr>
      <w:r w:rsidRPr="00FC4298">
        <w:rPr>
          <w:rFonts w:ascii="David" w:hAnsi="David"/>
          <w:rtl/>
        </w:rPr>
        <w:t>באשר למאסר המותנה ת/4, עמדת ההגנה היא כי אין הוא בר הפעלה בנסיבות. אין כל הצדקה לקבוע כי התנאי שלא לגדל סם יוחל מקום בו החזיק הנאשם בסמים שלא לצריכה עצמית. מדובר ברציונאלים שונים ולא בכדי נמנעה המאשימה מלהציג פסיקה המלמדת כי על צדקת טיעונה. העבירה בה הורשע הנאשם אינה נבלעת בעבירת התנאי.</w:t>
      </w:r>
    </w:p>
    <w:p w14:paraId="5B7F650A" w14:textId="77777777" w:rsidR="00AA4AB8" w:rsidRPr="00FC4298" w:rsidRDefault="00AA4AB8" w:rsidP="00AA4AB8">
      <w:pPr>
        <w:spacing w:line="360" w:lineRule="auto"/>
        <w:jc w:val="both"/>
        <w:rPr>
          <w:rFonts w:ascii="David" w:hAnsi="David"/>
          <w:rtl/>
        </w:rPr>
      </w:pPr>
      <w:r w:rsidRPr="00FC4298">
        <w:rPr>
          <w:rFonts w:ascii="David" w:hAnsi="David"/>
          <w:rtl/>
        </w:rPr>
        <w:t>באשר לנסיבותיו האישיות של הנאשם, עסקינן באדם נשוי ואב לתינוקת, המעוניין לערוך שינוי באורחות חייו. יש להקל בדינו וליתן לו פתח של תקווה לעתיד.</w:t>
      </w:r>
    </w:p>
    <w:p w14:paraId="41540647" w14:textId="77777777" w:rsidR="00AA4AB8" w:rsidRPr="00FC4298" w:rsidRDefault="00AA4AB8" w:rsidP="00AA4AB8">
      <w:pPr>
        <w:spacing w:line="360" w:lineRule="auto"/>
        <w:jc w:val="both"/>
        <w:rPr>
          <w:rFonts w:ascii="David" w:hAnsi="David"/>
          <w:rtl/>
        </w:rPr>
      </w:pPr>
    </w:p>
    <w:p w14:paraId="4F819CDF" w14:textId="77777777" w:rsidR="00AA4AB8" w:rsidRPr="00FC4298" w:rsidRDefault="00AA4AB8" w:rsidP="00AA4AB8">
      <w:pPr>
        <w:spacing w:line="360" w:lineRule="auto"/>
        <w:jc w:val="both"/>
        <w:rPr>
          <w:rFonts w:ascii="David" w:hAnsi="David"/>
          <w:rtl/>
        </w:rPr>
      </w:pPr>
      <w:r w:rsidRPr="00FC4298">
        <w:rPr>
          <w:rFonts w:ascii="David" w:hAnsi="David"/>
          <w:rtl/>
        </w:rPr>
        <w:t>באשר לחילוט המבוקש, עמדת ההגנה היא כי יש לחלט סך חלקי מן הסך שנתפס וכן את הפלאפון, ולא מעבר לכך. הטעם לכך הוא כי נתפס סך גבוה יותר מך הרווח מושא האישומים. בנסיבות אלה ולו לפנים משורת הדין, בשים לב למצבה הכלכלי הקשה של המשפחה ולקיומה של התינוקת, יש להיעתר לבקשה זו. מטעמים אלה ממש יש להימנע מהטלת קנס ולחילופין להשית קנס מינימלי בלבד.</w:t>
      </w:r>
    </w:p>
    <w:p w14:paraId="3A6BF100" w14:textId="77777777" w:rsidR="00AA4AB8" w:rsidRPr="00FC4298" w:rsidRDefault="00AA4AB8" w:rsidP="00AA4AB8">
      <w:pPr>
        <w:spacing w:line="360" w:lineRule="auto"/>
        <w:jc w:val="both"/>
        <w:rPr>
          <w:rFonts w:ascii="David" w:hAnsi="David"/>
          <w:rtl/>
        </w:rPr>
      </w:pPr>
    </w:p>
    <w:p w14:paraId="5A096C9B" w14:textId="77777777" w:rsidR="00AA4AB8" w:rsidRPr="00FC4298" w:rsidRDefault="00AA4AB8" w:rsidP="00AA4AB8">
      <w:pPr>
        <w:spacing w:line="360" w:lineRule="auto"/>
        <w:jc w:val="both"/>
        <w:rPr>
          <w:rFonts w:ascii="David" w:hAnsi="David"/>
          <w:rtl/>
        </w:rPr>
      </w:pPr>
      <w:r w:rsidRPr="00FC4298">
        <w:rPr>
          <w:rFonts w:ascii="David" w:hAnsi="David"/>
          <w:b/>
          <w:bCs/>
          <w:rtl/>
        </w:rPr>
        <w:t>הנאשם</w:t>
      </w:r>
      <w:r w:rsidRPr="00FC4298">
        <w:rPr>
          <w:rFonts w:ascii="David" w:hAnsi="David"/>
          <w:rtl/>
        </w:rPr>
        <w:t xml:space="preserve"> הביע חרטה על מעשיו והצהיר כי לראשונה בחייו הוא מבקש לנסות ולהשתקם על מנת להיות אב לבתו. עוד ביקש כי בית המשפט ימליץ לשב"ס לשלבו בהליך גמילה מסמים.</w:t>
      </w:r>
    </w:p>
    <w:p w14:paraId="36986DD2" w14:textId="77777777" w:rsidR="00AA4AB8" w:rsidRPr="00FC4298" w:rsidRDefault="00AA4AB8" w:rsidP="00AA4AB8">
      <w:pPr>
        <w:spacing w:line="360" w:lineRule="auto"/>
        <w:jc w:val="both"/>
        <w:rPr>
          <w:rFonts w:ascii="David" w:hAnsi="David"/>
          <w:rtl/>
        </w:rPr>
      </w:pPr>
    </w:p>
    <w:p w14:paraId="10B9E044" w14:textId="77777777" w:rsidR="00AA4AB8" w:rsidRPr="00FC4298" w:rsidRDefault="00AA4AB8" w:rsidP="00AA4AB8">
      <w:pPr>
        <w:spacing w:line="360" w:lineRule="auto"/>
        <w:jc w:val="both"/>
        <w:rPr>
          <w:rFonts w:ascii="David" w:hAnsi="David"/>
          <w:b/>
          <w:bCs/>
          <w:u w:val="single"/>
          <w:rtl/>
        </w:rPr>
      </w:pPr>
      <w:r w:rsidRPr="00FC4298">
        <w:rPr>
          <w:rFonts w:ascii="David" w:hAnsi="David"/>
          <w:b/>
          <w:bCs/>
          <w:rtl/>
        </w:rPr>
        <w:t xml:space="preserve">5. </w:t>
      </w:r>
      <w:r w:rsidRPr="00FC4298">
        <w:rPr>
          <w:rFonts w:ascii="David" w:hAnsi="David"/>
          <w:b/>
          <w:bCs/>
          <w:u w:val="single"/>
          <w:rtl/>
        </w:rPr>
        <w:t>דיון וגזירת הדין</w:t>
      </w:r>
    </w:p>
    <w:p w14:paraId="45DD556A" w14:textId="77777777" w:rsidR="00AA4AB8" w:rsidRPr="00FC4298" w:rsidRDefault="00AA4AB8" w:rsidP="00AA4AB8">
      <w:pPr>
        <w:spacing w:line="360" w:lineRule="auto"/>
        <w:jc w:val="both"/>
        <w:rPr>
          <w:rFonts w:ascii="David" w:hAnsi="David"/>
          <w:b/>
          <w:bCs/>
          <w:u w:val="single"/>
          <w:rtl/>
        </w:rPr>
      </w:pPr>
    </w:p>
    <w:p w14:paraId="57228CA3"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5.1 </w:t>
      </w:r>
      <w:r w:rsidRPr="00FC4298">
        <w:rPr>
          <w:rFonts w:ascii="David" w:hAnsi="David"/>
          <w:b/>
          <w:bCs/>
          <w:u w:val="single"/>
          <w:rtl/>
        </w:rPr>
        <w:t>עקרון ההלימה</w:t>
      </w:r>
      <w:r w:rsidRPr="00FC4298">
        <w:rPr>
          <w:rFonts w:ascii="David" w:hAnsi="David"/>
          <w:u w:val="single"/>
          <w:rtl/>
        </w:rPr>
        <w:t xml:space="preserve"> </w:t>
      </w:r>
    </w:p>
    <w:p w14:paraId="637A2DD7" w14:textId="77777777" w:rsidR="00AA4AB8" w:rsidRPr="00FC4298" w:rsidRDefault="00AA4AB8" w:rsidP="00AA4AB8">
      <w:pPr>
        <w:spacing w:line="360" w:lineRule="auto"/>
        <w:jc w:val="both"/>
        <w:rPr>
          <w:rFonts w:ascii="David" w:hAnsi="David"/>
          <w:rtl/>
        </w:rPr>
      </w:pPr>
      <w:r w:rsidRPr="00FC4298">
        <w:rPr>
          <w:rFonts w:ascii="David" w:hAnsi="David"/>
          <w:rtl/>
        </w:rPr>
        <w:t xml:space="preserve">הבניית שיקול הדעת השיפוטי בענישה מבקשת לקבוע את העקרונות והשיקולים המנחים בה, המשקל שיש לתת להם והיחס ביניהם, לשם גזירת עונשו של נאשם בנסיבות העבירה. העיקרון המנחה הוא עקרון ההלימה, שבהתאם לו נקבע מתחם העונש ההולם, תוך התחשבות בערך החברתי שנפגע מביצוע העבירה, במידת הפגיעה בו, במדיניות הענישה הנהוגה ובנסיבות הקשורות בביצוע העבירה (ראו </w:t>
      </w:r>
      <w:hyperlink r:id="rId28" w:history="1">
        <w:r w:rsidR="00D90150" w:rsidRPr="00D90150">
          <w:rPr>
            <w:rStyle w:val="Hyperlink"/>
            <w:rFonts w:ascii="David" w:hAnsi="David"/>
            <w:color w:val="0000FF"/>
            <w:rtl/>
          </w:rPr>
          <w:t>סע' 40א</w:t>
        </w:r>
      </w:hyperlink>
      <w:r w:rsidRPr="00FC4298">
        <w:rPr>
          <w:rFonts w:ascii="David" w:hAnsi="David"/>
          <w:rtl/>
        </w:rPr>
        <w:t xml:space="preserve"> ואילך ל</w:t>
      </w:r>
      <w:hyperlink r:id="rId29" w:history="1">
        <w:r w:rsidR="00217513" w:rsidRPr="00217513">
          <w:rPr>
            <w:rFonts w:ascii="David" w:hAnsi="David"/>
            <w:color w:val="0000FF"/>
            <w:u w:val="single"/>
            <w:rtl/>
          </w:rPr>
          <w:t>חוק העונשין</w:t>
        </w:r>
      </w:hyperlink>
      <w:r w:rsidRPr="00FC4298">
        <w:rPr>
          <w:rFonts w:ascii="David" w:hAnsi="David"/>
          <w:rtl/>
        </w:rPr>
        <w:t xml:space="preserve">, התשל"ז - 1977 ולהמחשה: </w:t>
      </w:r>
      <w:hyperlink r:id="rId30" w:history="1">
        <w:r w:rsidR="00217513" w:rsidRPr="00217513">
          <w:rPr>
            <w:rFonts w:ascii="David" w:hAnsi="David"/>
            <w:color w:val="0000FF"/>
            <w:u w:val="single"/>
            <w:rtl/>
          </w:rPr>
          <w:t>ע"פ 8641/12</w:t>
        </w:r>
      </w:hyperlink>
      <w:r w:rsidRPr="00FC4298">
        <w:rPr>
          <w:rFonts w:ascii="David" w:hAnsi="David"/>
          <w:rtl/>
        </w:rPr>
        <w:t xml:space="preserve"> </w:t>
      </w:r>
      <w:r w:rsidRPr="00FC4298">
        <w:rPr>
          <w:rFonts w:ascii="David" w:hAnsi="David"/>
          <w:b/>
          <w:bCs/>
          <w:rtl/>
        </w:rPr>
        <w:t>מוחמד סעד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5.8.13).</w:t>
      </w:r>
    </w:p>
    <w:p w14:paraId="613D8F22" w14:textId="77777777" w:rsidR="00AA4AB8" w:rsidRPr="00FC4298" w:rsidRDefault="00AA4AB8" w:rsidP="00AA4AB8">
      <w:pPr>
        <w:spacing w:line="360" w:lineRule="auto"/>
        <w:jc w:val="both"/>
        <w:rPr>
          <w:rFonts w:ascii="David" w:hAnsi="David"/>
          <w:rtl/>
        </w:rPr>
      </w:pPr>
    </w:p>
    <w:p w14:paraId="11A8F920"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5.2 </w:t>
      </w:r>
      <w:r w:rsidRPr="00FC4298">
        <w:rPr>
          <w:rFonts w:ascii="David" w:hAnsi="David"/>
          <w:b/>
          <w:bCs/>
          <w:u w:val="single"/>
          <w:rtl/>
        </w:rPr>
        <w:t>אירוע אחד או מספר אירועים</w:t>
      </w:r>
    </w:p>
    <w:p w14:paraId="1A69F813" w14:textId="77777777" w:rsidR="00AA4AB8" w:rsidRPr="00FC4298" w:rsidRDefault="00D90150" w:rsidP="00AA4AB8">
      <w:pPr>
        <w:spacing w:line="360" w:lineRule="auto"/>
        <w:jc w:val="both"/>
        <w:rPr>
          <w:rFonts w:ascii="David" w:hAnsi="David"/>
          <w:rtl/>
        </w:rPr>
      </w:pPr>
      <w:hyperlink r:id="rId31" w:history="1">
        <w:r w:rsidRPr="00D90150">
          <w:rPr>
            <w:rStyle w:val="Hyperlink"/>
            <w:rFonts w:ascii="David" w:hAnsi="David"/>
            <w:color w:val="0000FF"/>
            <w:rtl/>
          </w:rPr>
          <w:t>סע' 40 יג</w:t>
        </w:r>
      </w:hyperlink>
      <w:r w:rsidR="00AA4AB8" w:rsidRPr="00FC4298">
        <w:rPr>
          <w:rFonts w:ascii="David" w:hAnsi="David"/>
          <w:rtl/>
        </w:rPr>
        <w:t xml:space="preserve"> ל</w:t>
      </w:r>
      <w:hyperlink r:id="rId32" w:history="1">
        <w:r w:rsidR="00217513" w:rsidRPr="00217513">
          <w:rPr>
            <w:rFonts w:ascii="David" w:hAnsi="David"/>
            <w:color w:val="0000FF"/>
            <w:u w:val="single"/>
            <w:rtl/>
          </w:rPr>
          <w:t>חוק העונשין</w:t>
        </w:r>
      </w:hyperlink>
      <w:r w:rsidR="00AA4AB8" w:rsidRPr="00FC4298">
        <w:rPr>
          <w:rFonts w:ascii="David" w:hAnsi="David"/>
          <w:rtl/>
        </w:rPr>
        <w:t xml:space="preserve">, התשל"ז- 1977, שעניינו </w:t>
      </w:r>
      <w:r w:rsidR="00AA4AB8" w:rsidRPr="00FC4298">
        <w:rPr>
          <w:rFonts w:ascii="David" w:hAnsi="David"/>
          <w:b/>
          <w:bCs/>
          <w:rtl/>
        </w:rPr>
        <w:t>ריבוי עבירות</w:t>
      </w:r>
      <w:r w:rsidR="00AA4AB8" w:rsidRPr="00FC4298">
        <w:rPr>
          <w:rFonts w:ascii="David" w:hAnsi="David"/>
          <w:rtl/>
        </w:rPr>
        <w:t>, קובע:</w:t>
      </w:r>
    </w:p>
    <w:p w14:paraId="6E5EB443" w14:textId="77777777" w:rsidR="00AA4AB8" w:rsidRPr="00FC4298" w:rsidRDefault="00AA4AB8" w:rsidP="00AA4AB8">
      <w:pPr>
        <w:spacing w:line="360" w:lineRule="auto"/>
        <w:jc w:val="both"/>
        <w:rPr>
          <w:rFonts w:ascii="David" w:hAnsi="David"/>
          <w:rtl/>
        </w:rPr>
      </w:pPr>
    </w:p>
    <w:p w14:paraId="4236537E"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"(א) הרשיע בית המשפט נאשם בכמה עבירות המהוות אירוע אחד, יקבע מתחם עונש הולם כאמור בסעיף 40ג(א) לאירוע כולו, ויגזור עונש כולל לכל העבירות בשל אותו אירוע.</w:t>
      </w:r>
    </w:p>
    <w:p w14:paraId="392DEB01"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 xml:space="preserve"> (ב) 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319D6439"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 xml:space="preserve"> (ג)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7E1AB6E5" w14:textId="77777777" w:rsidR="00AA4AB8" w:rsidRPr="00FC4298" w:rsidRDefault="00AA4AB8" w:rsidP="00AA4AB8">
      <w:pPr>
        <w:spacing w:line="360" w:lineRule="auto"/>
        <w:jc w:val="both"/>
        <w:rPr>
          <w:rFonts w:ascii="David" w:hAnsi="David"/>
          <w:rtl/>
        </w:rPr>
      </w:pPr>
      <w:r w:rsidRPr="00FC4298">
        <w:rPr>
          <w:rFonts w:ascii="David" w:hAnsi="David"/>
          <w:rtl/>
        </w:rPr>
        <w:t xml:space="preserve"> </w:t>
      </w:r>
    </w:p>
    <w:p w14:paraId="61E76760" w14:textId="77777777" w:rsidR="00AA4AB8" w:rsidRPr="00FC4298" w:rsidRDefault="00AA4AB8" w:rsidP="00AA4AB8">
      <w:pPr>
        <w:spacing w:line="360" w:lineRule="auto"/>
        <w:jc w:val="both"/>
        <w:rPr>
          <w:rFonts w:ascii="David" w:hAnsi="David"/>
          <w:rtl/>
        </w:rPr>
      </w:pPr>
      <w:r w:rsidRPr="00FC4298">
        <w:rPr>
          <w:rFonts w:ascii="David" w:hAnsi="David"/>
          <w:rtl/>
        </w:rPr>
        <w:t>הלכה היא, כי תכלית הוראת חוק זו היא לקדם את האחידות בענישה ולשפר את ההלימה. תכלית זו מוגשמת ע"י אבחנה בין "אירוע אחד" ל"מספר אירועים". עבירות המקיימות את מבחן "הקשר ההדוק", במובן זה שהן בוצעו בסמיכות זמנים והן חלק מתכנית עבריינית אחת, ייחשבו לאירוע אחד (</w:t>
      </w:r>
      <w:hyperlink r:id="rId33" w:history="1">
        <w:r w:rsidR="00217513" w:rsidRPr="00217513">
          <w:rPr>
            <w:rFonts w:ascii="David" w:hAnsi="David"/>
            <w:color w:val="0000FF"/>
            <w:u w:val="single"/>
            <w:rtl/>
          </w:rPr>
          <w:t>ע"פ 4910/13</w:t>
        </w:r>
      </w:hyperlink>
      <w:r w:rsidRPr="00FC4298">
        <w:rPr>
          <w:rFonts w:ascii="David" w:hAnsi="David"/>
          <w:rtl/>
        </w:rPr>
        <w:t xml:space="preserve"> </w:t>
      </w:r>
      <w:r w:rsidRPr="00FC4298">
        <w:rPr>
          <w:rFonts w:ascii="David" w:hAnsi="David"/>
          <w:b/>
          <w:bCs/>
          <w:rtl/>
        </w:rPr>
        <w:t>ג'אבר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 xml:space="preserve">מיום 29.10.14). </w:t>
      </w:r>
    </w:p>
    <w:p w14:paraId="0575B534" w14:textId="77777777" w:rsidR="00AA4AB8" w:rsidRPr="00FC4298" w:rsidRDefault="00AA4AB8" w:rsidP="00AA4AB8">
      <w:pPr>
        <w:spacing w:line="360" w:lineRule="auto"/>
        <w:jc w:val="both"/>
        <w:rPr>
          <w:rFonts w:ascii="David" w:hAnsi="David"/>
          <w:rtl/>
        </w:rPr>
      </w:pPr>
    </w:p>
    <w:p w14:paraId="0FB551E0" w14:textId="77777777" w:rsidR="00AA4AB8" w:rsidRPr="00FC4298" w:rsidRDefault="00AA4AB8" w:rsidP="00AA4AB8">
      <w:pPr>
        <w:spacing w:line="360" w:lineRule="auto"/>
        <w:jc w:val="both"/>
        <w:rPr>
          <w:rFonts w:ascii="David" w:hAnsi="David"/>
          <w:rtl/>
        </w:rPr>
      </w:pPr>
      <w:r w:rsidRPr="00FC4298">
        <w:rPr>
          <w:rFonts w:ascii="David" w:hAnsi="David"/>
          <w:rtl/>
        </w:rPr>
        <w:t xml:space="preserve">עצמת הקשר בין העבירות נלמדת מנסיבות כל מקרה, המהוות מבחני עזר לקביעתה. בין היתר, ניתן לבחון האם ביצוע העבירות מאופיין בתכנון; האם ניתן להצביע על שיטתיות בביצוען; האם העבירות התרחשו בסמיכות של זמן או מקום; האם ביצועה של עבירה אחת נועד לאפשר את ביצועה של האחרת, או את ההימלטות לאחר ביצועה, וכיוצ"ב. קיומה של נסיבה אחת או יותר מנסיבות אלו (שאינן רשימה סגורה) עשוי להעיד על קשר הדוק בין העבירות השונות, המלמד כי באירוע אחד עסקינן. </w:t>
      </w:r>
    </w:p>
    <w:p w14:paraId="3A12CAE1" w14:textId="77777777" w:rsidR="00AA4AB8" w:rsidRPr="00FC4298" w:rsidRDefault="00AA4AB8" w:rsidP="00AA4AB8">
      <w:pPr>
        <w:spacing w:line="360" w:lineRule="auto"/>
        <w:jc w:val="both"/>
        <w:rPr>
          <w:rFonts w:ascii="David" w:hAnsi="David"/>
          <w:rtl/>
        </w:rPr>
      </w:pPr>
    </w:p>
    <w:p w14:paraId="7DFDDEAB" w14:textId="77777777" w:rsidR="00AA4AB8" w:rsidRPr="00FC4298" w:rsidRDefault="00AA4AB8" w:rsidP="00AA4AB8">
      <w:pPr>
        <w:spacing w:line="360" w:lineRule="auto"/>
        <w:jc w:val="both"/>
        <w:rPr>
          <w:rFonts w:ascii="David" w:hAnsi="David"/>
          <w:rtl/>
        </w:rPr>
      </w:pPr>
      <w:r w:rsidRPr="00FC4298">
        <w:rPr>
          <w:rFonts w:ascii="David" w:hAnsi="David"/>
          <w:rtl/>
        </w:rPr>
        <w:t>עוד על בית המשפט לבחון, האם השקפה על העבירות כעל כמה אירועים תהא מלאכותית, באופן שיגרע ממהות העניין בכללותו, או שלא ישקף את סיפור המעשה כהווייתו. במקרים חריגים בהם יישׂום מבחן הקשר ההדוק לא יוביל למסקנה ברורה האם עסקינן באירוע אחד או בכמה אירועים, כגון כאשר עבירה אחת 'נובעת' מעבירה אחרת או 'נלווית' לה, יינתן מקום גם לשקילת שיקולים נורמטיביים ומדיניות משפטית (</w:t>
      </w:r>
      <w:hyperlink r:id="rId34" w:history="1">
        <w:r w:rsidR="00217513" w:rsidRPr="00217513">
          <w:rPr>
            <w:rFonts w:ascii="David" w:hAnsi="David"/>
            <w:color w:val="0000FF"/>
            <w:u w:val="single"/>
            <w:rtl/>
          </w:rPr>
          <w:t>ע"פ 1261/15</w:t>
        </w:r>
      </w:hyperlink>
      <w:r w:rsidRPr="00FC4298">
        <w:rPr>
          <w:rFonts w:ascii="David" w:hAnsi="David"/>
          <w:rtl/>
        </w:rPr>
        <w:t xml:space="preserve"> </w:t>
      </w:r>
      <w:r w:rsidRPr="00FC4298">
        <w:rPr>
          <w:rFonts w:ascii="David" w:hAnsi="David"/>
          <w:b/>
          <w:bCs/>
          <w:rtl/>
        </w:rPr>
        <w:t>מדינת ישראל נ' דלאל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3.9.15 והאסמכתאות שם).</w:t>
      </w:r>
    </w:p>
    <w:p w14:paraId="0F544A86" w14:textId="77777777" w:rsidR="00AA4AB8" w:rsidRPr="00FC4298" w:rsidRDefault="00AA4AB8" w:rsidP="00AA4AB8">
      <w:pPr>
        <w:spacing w:line="360" w:lineRule="auto"/>
        <w:jc w:val="both"/>
        <w:rPr>
          <w:rFonts w:ascii="David" w:hAnsi="David"/>
          <w:rtl/>
        </w:rPr>
      </w:pPr>
    </w:p>
    <w:p w14:paraId="2FBBA8A8" w14:textId="77777777" w:rsidR="00AA4AB8" w:rsidRPr="00FC4298" w:rsidRDefault="00AA4AB8" w:rsidP="00AA4AB8">
      <w:pPr>
        <w:spacing w:line="360" w:lineRule="auto"/>
        <w:jc w:val="both"/>
        <w:rPr>
          <w:rFonts w:ascii="David" w:hAnsi="David"/>
          <w:rtl/>
        </w:rPr>
      </w:pPr>
      <w:r w:rsidRPr="00FC4298">
        <w:rPr>
          <w:rFonts w:ascii="David" w:hAnsi="David"/>
          <w:rtl/>
        </w:rPr>
        <w:t>כאשר אירוע אחד כולל מספר "מעשים", תקרת מתחם הענישה הפוטנציאלי תיקבע לפי הצטברות עונשי המקסימום בכל אחד מהמעשים. הצטברות זו מהווה את תקרת המתחם האפשרית, אך אין היא מהווה בהכרח את הרף העליון (</w:t>
      </w:r>
      <w:hyperlink r:id="rId35" w:history="1">
        <w:r w:rsidR="00217513" w:rsidRPr="00217513">
          <w:rPr>
            <w:rFonts w:ascii="David" w:hAnsi="David"/>
            <w:color w:val="0000FF"/>
            <w:u w:val="single"/>
            <w:rtl/>
          </w:rPr>
          <w:t>ע"פ 8457/15</w:t>
        </w:r>
      </w:hyperlink>
      <w:r w:rsidRPr="00FC4298">
        <w:rPr>
          <w:rFonts w:ascii="David" w:hAnsi="David"/>
          <w:rtl/>
        </w:rPr>
        <w:t xml:space="preserve"> </w:t>
      </w:r>
      <w:r w:rsidRPr="00FC4298">
        <w:rPr>
          <w:rFonts w:ascii="David" w:hAnsi="David"/>
          <w:b/>
          <w:bCs/>
          <w:rtl/>
        </w:rPr>
        <w:t>מדינת ישראל נ' ווזווז</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1.11.18).</w:t>
      </w:r>
    </w:p>
    <w:p w14:paraId="4D4214CA" w14:textId="77777777" w:rsidR="00AA4AB8" w:rsidRPr="00FC4298" w:rsidRDefault="00AA4AB8" w:rsidP="00AA4AB8">
      <w:pPr>
        <w:spacing w:line="360" w:lineRule="auto"/>
        <w:jc w:val="both"/>
        <w:rPr>
          <w:rFonts w:ascii="David" w:hAnsi="David"/>
          <w:rtl/>
        </w:rPr>
      </w:pPr>
    </w:p>
    <w:p w14:paraId="7B246877" w14:textId="77777777" w:rsidR="00AA4AB8" w:rsidRPr="00FC4298" w:rsidRDefault="00AA4AB8" w:rsidP="00AA4AB8">
      <w:pPr>
        <w:spacing w:line="360" w:lineRule="auto"/>
        <w:jc w:val="both"/>
        <w:rPr>
          <w:rFonts w:ascii="David" w:hAnsi="David"/>
          <w:rtl/>
        </w:rPr>
      </w:pPr>
      <w:r w:rsidRPr="00FC4298">
        <w:rPr>
          <w:rFonts w:ascii="David" w:hAnsi="David"/>
          <w:rtl/>
        </w:rPr>
        <w:t xml:space="preserve">יישום מבחני הפסיקה בענייננו מביא למסקנה כי יש לראות בכל אישום אירוע נפרד. </w:t>
      </w:r>
    </w:p>
    <w:p w14:paraId="3EC88A54" w14:textId="77777777" w:rsidR="00AA4AB8" w:rsidRPr="00FC4298" w:rsidRDefault="00AA4AB8" w:rsidP="00AA4AB8">
      <w:pPr>
        <w:spacing w:line="360" w:lineRule="auto"/>
        <w:jc w:val="both"/>
        <w:rPr>
          <w:rFonts w:ascii="David" w:hAnsi="David"/>
          <w:rtl/>
        </w:rPr>
      </w:pPr>
    </w:p>
    <w:p w14:paraId="2E6F7DFA" w14:textId="77777777" w:rsidR="00AA4AB8" w:rsidRPr="00FC4298" w:rsidRDefault="00AA4AB8" w:rsidP="00AA4AB8">
      <w:pPr>
        <w:spacing w:line="360" w:lineRule="auto"/>
        <w:jc w:val="both"/>
        <w:rPr>
          <w:rFonts w:ascii="David" w:hAnsi="David"/>
          <w:rtl/>
        </w:rPr>
      </w:pPr>
      <w:r w:rsidRPr="00FC4298">
        <w:rPr>
          <w:rFonts w:ascii="David" w:hAnsi="David"/>
          <w:rtl/>
        </w:rPr>
        <w:t>באשר לאישום הראשון, אפשרות פיצולו לשני אירועים נפרדים- האחד סחר והאחר החזקת הסמים- סבירה ואפשרית. עם זאת, קיימת סמיכות זמנים בין החזקת הסמים לסחר בהם. קיימת זיקה בינהם, שכן הסמים הוחזקו בכמות שאינה לצריכה עצמית לשם ביצוע הסחר. בהתאם, כנלמד גם מכלל "פועלו" של הנאשם באישומים האחרים, כסוחר סמים, מתקיים מבחן הקשר ההידוק.  משכך, אראה באישום הראשון כאירוע אחד.</w:t>
      </w:r>
    </w:p>
    <w:p w14:paraId="0640A1E9" w14:textId="77777777" w:rsidR="00AA4AB8" w:rsidRPr="00FC4298" w:rsidRDefault="00AA4AB8" w:rsidP="00AA4AB8">
      <w:pPr>
        <w:spacing w:line="360" w:lineRule="auto"/>
        <w:jc w:val="both"/>
        <w:rPr>
          <w:rFonts w:ascii="David" w:hAnsi="David"/>
          <w:rtl/>
        </w:rPr>
      </w:pPr>
    </w:p>
    <w:p w14:paraId="7890230F" w14:textId="77777777" w:rsidR="00AA4AB8" w:rsidRPr="00FC4298" w:rsidRDefault="00AA4AB8" w:rsidP="00AA4AB8">
      <w:pPr>
        <w:spacing w:line="360" w:lineRule="auto"/>
        <w:jc w:val="both"/>
        <w:rPr>
          <w:rFonts w:ascii="David" w:hAnsi="David"/>
          <w:rtl/>
        </w:rPr>
      </w:pPr>
      <w:r w:rsidRPr="00FC4298">
        <w:rPr>
          <w:rFonts w:ascii="David" w:hAnsi="David"/>
          <w:rtl/>
        </w:rPr>
        <w:t>באשר ליתר האישומים, אמנם קיים מכנה משותף בינהם, בדמות ביצוע עבירות סחר בקוקאין בתמורה לאותו סך כספי בכל פעם והכל במשך כחודשיים. עם זאת, בהינתן כי האישומים נבדלים בינהם, הן בכך שעניינו של כל אישום בקונה סם אחר, והן בכך שלרוב מדובר בכמות שונה של עבירות, הרי שאין מדובר ב"ארוע אחד". תוצאה מעין זו תהא מלאכותית ומרחיקת לכת. בהינתן השונות בין הקונים ובין כמות העבירות, כמו גם מועדי ביצוען, יש לראות בכל אישום כאירוע נפרד.</w:t>
      </w:r>
    </w:p>
    <w:p w14:paraId="4C9DF839" w14:textId="77777777" w:rsidR="00AA4AB8" w:rsidRPr="00FC4298" w:rsidRDefault="00AA4AB8" w:rsidP="00AA4AB8">
      <w:pPr>
        <w:spacing w:line="360" w:lineRule="auto"/>
        <w:jc w:val="both"/>
        <w:rPr>
          <w:rFonts w:ascii="David" w:hAnsi="David"/>
          <w:rtl/>
        </w:rPr>
      </w:pPr>
    </w:p>
    <w:p w14:paraId="6348939F" w14:textId="77777777" w:rsidR="00AA4AB8" w:rsidRPr="00FC4298" w:rsidRDefault="00AA4AB8" w:rsidP="00AA4AB8">
      <w:pPr>
        <w:spacing w:line="360" w:lineRule="auto"/>
        <w:jc w:val="both"/>
        <w:rPr>
          <w:rFonts w:ascii="David" w:hAnsi="David"/>
          <w:rtl/>
        </w:rPr>
      </w:pPr>
      <w:r w:rsidRPr="00FC4298">
        <w:rPr>
          <w:rFonts w:ascii="David" w:hAnsi="David"/>
          <w:rtl/>
        </w:rPr>
        <w:t>פועל יוצא מן האמור הוא, כי יש לקבוע מתחם ענישה נפרד לכל אישום.</w:t>
      </w:r>
    </w:p>
    <w:p w14:paraId="725430B2" w14:textId="77777777" w:rsidR="00AA4AB8" w:rsidRPr="00FC4298" w:rsidRDefault="00AA4AB8" w:rsidP="00AA4AB8">
      <w:pPr>
        <w:spacing w:line="360" w:lineRule="auto"/>
        <w:jc w:val="both"/>
        <w:rPr>
          <w:rFonts w:ascii="David" w:hAnsi="David"/>
          <w:rtl/>
        </w:rPr>
      </w:pPr>
    </w:p>
    <w:p w14:paraId="22DD191F"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5.3 </w:t>
      </w:r>
      <w:r w:rsidRPr="00FC4298">
        <w:rPr>
          <w:rFonts w:ascii="David" w:hAnsi="David"/>
          <w:b/>
          <w:bCs/>
          <w:u w:val="single"/>
          <w:rtl/>
        </w:rPr>
        <w:t>קביעת מתחמי העונש ההולמים</w:t>
      </w:r>
    </w:p>
    <w:p w14:paraId="171988DD" w14:textId="77777777" w:rsidR="00AA4AB8" w:rsidRPr="00FC4298" w:rsidRDefault="00AA4AB8" w:rsidP="00AA4AB8">
      <w:pPr>
        <w:spacing w:line="360" w:lineRule="auto"/>
        <w:jc w:val="both"/>
        <w:rPr>
          <w:rFonts w:ascii="David" w:hAnsi="David"/>
          <w:rtl/>
        </w:rPr>
      </w:pPr>
      <w:r w:rsidRPr="00FC4298">
        <w:rPr>
          <w:rFonts w:ascii="David" w:hAnsi="David"/>
          <w:b/>
          <w:bCs/>
          <w:rtl/>
        </w:rPr>
        <w:t>הערכים החברתיים</w:t>
      </w:r>
      <w:r w:rsidRPr="00FC4298">
        <w:rPr>
          <w:rFonts w:ascii="David" w:hAnsi="David"/>
          <w:rtl/>
        </w:rPr>
        <w:t xml:space="preserve"> המוגנים אשר נפגעו כתוצאה ממעשי הנאשם הם הגנה על הציבור מפני נגע הסמים והפצתם, הן בפן הבריאותי והן בפן הכלכלי. עבירות הסמים בכלל והפצתם בפרט מגבירות פשע ויוצרות מעגלי עבריינות נוספים בתחום הרכוש ובתחום האלימות.</w:t>
      </w:r>
    </w:p>
    <w:p w14:paraId="49A44E84" w14:textId="77777777" w:rsidR="00AA4AB8" w:rsidRPr="00FC4298" w:rsidRDefault="00AA4AB8" w:rsidP="00AA4AB8">
      <w:pPr>
        <w:spacing w:line="360" w:lineRule="auto"/>
        <w:jc w:val="both"/>
        <w:rPr>
          <w:rFonts w:ascii="David" w:hAnsi="David"/>
          <w:rtl/>
        </w:rPr>
      </w:pPr>
    </w:p>
    <w:p w14:paraId="3F64FBB0" w14:textId="77777777" w:rsidR="00AA4AB8" w:rsidRPr="00FC4298" w:rsidRDefault="00AA4AB8" w:rsidP="00AA4AB8">
      <w:pPr>
        <w:spacing w:line="360" w:lineRule="auto"/>
        <w:jc w:val="both"/>
        <w:rPr>
          <w:rFonts w:ascii="David" w:hAnsi="David"/>
          <w:rtl/>
        </w:rPr>
      </w:pPr>
      <w:r w:rsidRPr="00FC4298">
        <w:rPr>
          <w:rFonts w:ascii="David" w:hAnsi="David"/>
          <w:b/>
          <w:bCs/>
          <w:rtl/>
        </w:rPr>
        <w:t>הפגיעה בערך המוגן</w:t>
      </w:r>
      <w:r w:rsidRPr="00FC4298">
        <w:rPr>
          <w:rFonts w:ascii="David" w:hAnsi="David"/>
          <w:rtl/>
        </w:rPr>
        <w:t xml:space="preserve"> כתוצאה מסחר בסמים קשים- הירואין וקוקאין -  מצויה ברף משמעותי. כמויות העסקאות שנעשו ותדירותן הגבוהה בתוך תקופת זמן קצרה, כמו גם כמויות הסמים וסוגיהם שנתפסו בבית הנאשם כשהם מחולקים למנות, בד בבד עם משקל אלקטרוני, מלמדים ללא עוררין על כוונה לסחור בהם..</w:t>
      </w:r>
    </w:p>
    <w:p w14:paraId="201871B2" w14:textId="77777777" w:rsidR="00AA4AB8" w:rsidRPr="00FC4298" w:rsidRDefault="00AA4AB8" w:rsidP="00AA4AB8">
      <w:pPr>
        <w:spacing w:line="360" w:lineRule="auto"/>
        <w:jc w:val="both"/>
        <w:rPr>
          <w:rFonts w:ascii="David" w:hAnsi="David"/>
          <w:rtl/>
        </w:rPr>
      </w:pPr>
    </w:p>
    <w:p w14:paraId="64CE7C93" w14:textId="77777777" w:rsidR="00AA4AB8" w:rsidRPr="00FC4298" w:rsidRDefault="00AA4AB8" w:rsidP="00AA4AB8">
      <w:pPr>
        <w:spacing w:line="360" w:lineRule="auto"/>
        <w:jc w:val="both"/>
        <w:rPr>
          <w:rFonts w:ascii="David" w:hAnsi="David"/>
          <w:rtl/>
        </w:rPr>
      </w:pPr>
      <w:r w:rsidRPr="00FC4298">
        <w:rPr>
          <w:rFonts w:ascii="David" w:hAnsi="David"/>
          <w:b/>
          <w:bCs/>
          <w:rtl/>
        </w:rPr>
        <w:t>נסיבות ביצוע העבירות</w:t>
      </w:r>
      <w:r w:rsidRPr="00FC4298">
        <w:rPr>
          <w:rFonts w:ascii="David" w:hAnsi="David"/>
          <w:rtl/>
        </w:rPr>
        <w:t xml:space="preserve"> הן ביצוע לא פחות מ- 15 עסקאות שונות של מכירת סמים מסוג קוקאין, בעלות של 100 ₪ לכל עסקה (מלבד עסקה אחת בעלות של 50 ₪), לקונים שונים. לכל העסקאות קדם תכנון. הנאשם תיאם טלפונית אם המפגשים עם רוכשי הסמים. אלה הגיעו לביתו או למקום מפגש, בתיאום עימו. בד בבד, כמות הסם שנמכרה בעבירות מושא אישומים 2-5 אינה ידועה.  בשים לב לסך הרווח מכל עסקה, הדעת נותנת כי אין מדובר בכמות גדולה של סם. בנוסף, החזיק הנאשם כאמור הן הירואין והן קוקאין, במשקל מצטבר של כ- 12 גרם ובעוד ההירואין מחולק למנות. </w:t>
      </w:r>
    </w:p>
    <w:p w14:paraId="608DF51B" w14:textId="77777777" w:rsidR="00AA4AB8" w:rsidRPr="00FC4298" w:rsidRDefault="00AA4AB8" w:rsidP="00AA4AB8">
      <w:pPr>
        <w:spacing w:line="360" w:lineRule="auto"/>
        <w:jc w:val="both"/>
        <w:rPr>
          <w:rFonts w:ascii="David" w:hAnsi="David"/>
          <w:rtl/>
        </w:rPr>
      </w:pPr>
    </w:p>
    <w:p w14:paraId="4101079E" w14:textId="77777777" w:rsidR="00AA4AB8" w:rsidRPr="00FC4298" w:rsidRDefault="00AA4AB8" w:rsidP="00AA4AB8">
      <w:pPr>
        <w:spacing w:line="360" w:lineRule="auto"/>
        <w:jc w:val="both"/>
        <w:rPr>
          <w:rFonts w:ascii="David" w:hAnsi="David"/>
          <w:rtl/>
        </w:rPr>
      </w:pPr>
      <w:r w:rsidRPr="00FC4298">
        <w:rPr>
          <w:rFonts w:ascii="David" w:hAnsi="David"/>
          <w:b/>
          <w:bCs/>
          <w:rtl/>
        </w:rPr>
        <w:t>מדיניות הענישה הנוהגת</w:t>
      </w:r>
      <w:r w:rsidRPr="00FC4298">
        <w:rPr>
          <w:rFonts w:ascii="David" w:hAnsi="David"/>
          <w:rtl/>
        </w:rPr>
        <w:t xml:space="preserve"> בעבירות אלה מלמדת ככלל על ענישה מחמירה, הכוללת מאסרים ממושכים מאחורי סורג ובריח. מדיניות זו מגלמת את הקביעות החוזרות ונשנות בפסיקה בדבר העדפת שיקולי ההרתעה על פני שיקולי שיקומו של הנאשם:</w:t>
      </w:r>
    </w:p>
    <w:p w14:paraId="5F8E0712" w14:textId="77777777" w:rsidR="00AA4AB8" w:rsidRPr="00FC4298" w:rsidRDefault="00AA4AB8" w:rsidP="00AA4AB8">
      <w:pPr>
        <w:spacing w:line="360" w:lineRule="auto"/>
        <w:jc w:val="both"/>
        <w:rPr>
          <w:rFonts w:ascii="David" w:hAnsi="David"/>
          <w:rtl/>
        </w:rPr>
      </w:pPr>
      <w:r w:rsidRPr="00FC4298">
        <w:rPr>
          <w:rFonts w:ascii="David" w:hAnsi="David"/>
          <w:rtl/>
        </w:rPr>
        <w:t xml:space="preserve"> </w:t>
      </w:r>
    </w:p>
    <w:p w14:paraId="66B23319"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36" w:history="1">
        <w:r w:rsidR="00217513" w:rsidRPr="00217513">
          <w:rPr>
            <w:rFonts w:ascii="David" w:hAnsi="David"/>
            <w:color w:val="0000FF"/>
            <w:u w:val="single"/>
            <w:rtl/>
          </w:rPr>
          <w:t>רע"פ 126/15</w:t>
        </w:r>
      </w:hyperlink>
      <w:r w:rsidRPr="00FC4298">
        <w:rPr>
          <w:rFonts w:ascii="David" w:hAnsi="David"/>
          <w:rtl/>
        </w:rPr>
        <w:t xml:space="preserve"> </w:t>
      </w:r>
      <w:r w:rsidRPr="00FC4298">
        <w:rPr>
          <w:rFonts w:ascii="David" w:hAnsi="David"/>
          <w:b/>
          <w:bCs/>
          <w:rtl/>
        </w:rPr>
        <w:t>חביף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(13.1.15) נדחתה בקשת רשות ערעורו של נאשם שהורשע בסחר בסם מסוכן מסוג קוקאין בשלוש הזדמנויות במשקל 0.39, 0.81 ו-2.5 גרם נטו. בית המשפט המחוזי דחה את ערעורו על גזר דינו של בית משפט השלום, אשר קבע מתחם שנע בין 8 ל-18 חודשי מאסר בגין כל עבירת סחר. לאחר התחשבות משמעותית לקולה בהליך שיקום אותו עבר, נידון הנאשם ל-16 חודשי מאסר בפועל, וכן הופעל מאסר מותנה בן 4 חודשים (סה"כ 20 חודשים), ועונשים נוספים.</w:t>
      </w:r>
    </w:p>
    <w:p w14:paraId="5D5F460F"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37" w:history="1">
        <w:r w:rsidR="00217513" w:rsidRPr="00217513">
          <w:rPr>
            <w:rFonts w:ascii="David" w:hAnsi="David"/>
            <w:color w:val="0000FF"/>
            <w:u w:val="single"/>
            <w:rtl/>
          </w:rPr>
          <w:t>רע"פ 8408/15</w:t>
        </w:r>
      </w:hyperlink>
      <w:r w:rsidRPr="00FC4298">
        <w:rPr>
          <w:rFonts w:ascii="David" w:hAnsi="David"/>
          <w:rtl/>
        </w:rPr>
        <w:t xml:space="preserve"> </w:t>
      </w:r>
      <w:r w:rsidRPr="00FC4298">
        <w:rPr>
          <w:rFonts w:ascii="David" w:hAnsi="David"/>
          <w:b/>
          <w:bCs/>
          <w:rtl/>
        </w:rPr>
        <w:t>חביב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(9.12.15), נדחתה בקשת רשות ערעור של נאשם אשר הורשע בשתי עבירות של סחר בסם מסוכן (כ- 6 גרם קוקאין, במצטבר) והחזקת סם מסוכן שלא לצריכה עצמית (כ- 15 גרם קוקאין). בית המשפט המחוזי דחה את ערעורו על גזר דינו של בית משפט השלום, אשר קבע מתחם שנע בין 8 ל- 18 חודשי מאסר בפועל, לכל אחד מהאישומים. לנאשם עבר פלילי אך לאור הליך שיקומי שעבר המליץ שירות המבחן על הקלה בעונשו. הנאשם נידון ל- 17 חודשי מאסר בפועל ועונשים נלווים.</w:t>
      </w:r>
    </w:p>
    <w:p w14:paraId="2B0F9095"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38" w:history="1">
        <w:r w:rsidR="00217513" w:rsidRPr="00217513">
          <w:rPr>
            <w:rFonts w:ascii="David" w:hAnsi="David"/>
            <w:color w:val="0000FF"/>
            <w:u w:val="single"/>
            <w:rtl/>
          </w:rPr>
          <w:t>רע"פ 7681/13</w:t>
        </w:r>
      </w:hyperlink>
      <w:r w:rsidRPr="00FC4298">
        <w:rPr>
          <w:rFonts w:ascii="David" w:hAnsi="David"/>
          <w:rtl/>
        </w:rPr>
        <w:t xml:space="preserve"> </w:t>
      </w:r>
      <w:r w:rsidRPr="00FC4298">
        <w:rPr>
          <w:rFonts w:ascii="David" w:hAnsi="David"/>
          <w:b/>
          <w:bCs/>
          <w:rtl/>
        </w:rPr>
        <w:t>דקה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(21.1.14) נדחתה בקשת רשות ערעור של נאשם אשר הורשע בשתי עבירות של סחר בסמים, לאחר שמכר לסוכן משטרתי מנות הרואין במשקל מצטבר של כ- 2.8 גרם. לנאשם עבר רלוונטי ישן מאוד והוא השתתף בטיפול גמילה מסמים. בית המשפט המחוזי דחה את ערעורו על גזר דינו של בית משפט השלום, אשר קבע מתחם שנע בין 6 ל- 12 חודשים ודן אותו ל-10 חודשי מאסר בפועל ולענישה נלווית.</w:t>
      </w:r>
    </w:p>
    <w:p w14:paraId="0F2A6386"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39" w:history="1">
        <w:r w:rsidR="00217513" w:rsidRPr="00217513">
          <w:rPr>
            <w:rFonts w:ascii="David" w:hAnsi="David"/>
            <w:color w:val="0000FF"/>
            <w:u w:val="single"/>
            <w:rtl/>
          </w:rPr>
          <w:t>רע"פ 2122/13</w:t>
        </w:r>
      </w:hyperlink>
      <w:r w:rsidRPr="00FC4298">
        <w:rPr>
          <w:rFonts w:ascii="David" w:hAnsi="David"/>
          <w:rtl/>
        </w:rPr>
        <w:t xml:space="preserve"> </w:t>
      </w:r>
      <w:r w:rsidRPr="00FC4298">
        <w:rPr>
          <w:rFonts w:ascii="David" w:hAnsi="David"/>
          <w:b/>
          <w:bCs/>
          <w:rtl/>
        </w:rPr>
        <w:t>דבש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(9.5.13) נדחתה בקשת רשות ערעור של נאשם אשר הורשע בשתי עבירות סחר סם (קוקאין במשקל 2.47 גרם ו- 3.95 גרם) וכן אספקת סם (3 "שורות" קוקאין). בית המשפט המחוזי דחה את ערעורו על גזר דינו של בית משפט השלום, אשר גזר עליו 16 חודשי מאסר בפועל בגין כל אחד מאישומי הסחר ו- 8 חודשי מאסר בפועל בגין האישום האחרון. הנאשם נידון ל- 40 חודשי מאסר בפועל וכן להפעלת 6 חודשי מאסר על תנאי, במצטבר.</w:t>
      </w:r>
    </w:p>
    <w:p w14:paraId="6838B26A"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40" w:history="1">
        <w:r w:rsidR="00217513" w:rsidRPr="00217513">
          <w:rPr>
            <w:rFonts w:ascii="David" w:hAnsi="David"/>
            <w:color w:val="0000FF"/>
            <w:u w:val="single"/>
            <w:rtl/>
          </w:rPr>
          <w:t>רע"פ 1473/18</w:t>
        </w:r>
      </w:hyperlink>
      <w:r w:rsidRPr="00FC4298">
        <w:rPr>
          <w:rFonts w:ascii="David" w:hAnsi="David"/>
          <w:rtl/>
        </w:rPr>
        <w:t xml:space="preserve"> </w:t>
      </w:r>
      <w:r w:rsidRPr="00FC4298">
        <w:rPr>
          <w:rFonts w:ascii="David" w:hAnsi="David"/>
          <w:b/>
          <w:bCs/>
          <w:rtl/>
        </w:rPr>
        <w:t>אוחיון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(22.4.18) נדחתה בקשת רשות ערעור של נאשם על פסק דינו של בית המשפט המחוזי, אשר קיבל את ערעור המדינה על גזר דינו של בית משפט השלום. הנאשם, צעיר נעדר עבר פלילי, הורשע בהחזקת כ- 2 גרם קוקאין. ערכאת הערעור קבעה כי מתחם העונש נע בין 6 ל- 12 חודשי מאסר, אם כי מצאה לחרוג לקולה מטעמי שיקום באופן שבו הושת מאסר בן חודשיים לריצוי בעבודות שירות וענישה נלווית.</w:t>
      </w:r>
    </w:p>
    <w:p w14:paraId="62218930"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41" w:history="1">
        <w:r w:rsidR="00217513" w:rsidRPr="00217513">
          <w:rPr>
            <w:rFonts w:ascii="David" w:hAnsi="David"/>
            <w:color w:val="0000FF"/>
            <w:u w:val="single"/>
            <w:rtl/>
          </w:rPr>
          <w:t>עפ"ג (מח' מרכז) 33119-07-17</w:t>
        </w:r>
      </w:hyperlink>
      <w:r w:rsidRPr="00FC4298">
        <w:rPr>
          <w:rFonts w:ascii="David" w:hAnsi="David"/>
          <w:rtl/>
        </w:rPr>
        <w:t xml:space="preserve"> </w:t>
      </w:r>
      <w:r w:rsidRPr="00FC4298">
        <w:rPr>
          <w:rFonts w:ascii="David" w:hAnsi="David"/>
          <w:b/>
          <w:bCs/>
          <w:rtl/>
        </w:rPr>
        <w:t>סלאמה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(26.12.17) נדחה ערעורו של נאשם, נעדר עבר פלילי, אשר הורשע על פי הודאתו בסחר בקוקאין במשקל 1.77 גרם ובסיוע לסחר בקוקאין במשקל 5 גרם. בית משפט השלום קבע מתחם הנע בין 12 ל- 28 חודשי מאסר בפועל והשית עליו שנת מאסר.</w:t>
      </w:r>
    </w:p>
    <w:p w14:paraId="3B98D9DE" w14:textId="77777777" w:rsidR="00AA4AB8" w:rsidRPr="00FC4298" w:rsidRDefault="00AA4AB8" w:rsidP="00AA4AB8">
      <w:pPr>
        <w:numPr>
          <w:ilvl w:val="0"/>
          <w:numId w:val="2"/>
        </w:numPr>
        <w:spacing w:line="360" w:lineRule="auto"/>
        <w:contextualSpacing/>
        <w:jc w:val="both"/>
        <w:rPr>
          <w:rFonts w:ascii="David" w:hAnsi="David"/>
        </w:rPr>
      </w:pPr>
      <w:r w:rsidRPr="00FC4298">
        <w:rPr>
          <w:rFonts w:ascii="David" w:hAnsi="David"/>
          <w:rtl/>
        </w:rPr>
        <w:t>ב</w:t>
      </w:r>
      <w:hyperlink r:id="rId42" w:history="1">
        <w:r w:rsidR="00217513" w:rsidRPr="00217513">
          <w:rPr>
            <w:rFonts w:ascii="David" w:hAnsi="David"/>
            <w:color w:val="0000FF"/>
            <w:u w:val="single"/>
            <w:rtl/>
          </w:rPr>
          <w:t>עפ"ג (מח' מרכז) 5501-09-17</w:t>
        </w:r>
      </w:hyperlink>
      <w:r w:rsidRPr="00FC4298">
        <w:rPr>
          <w:rFonts w:ascii="David" w:hAnsi="David"/>
          <w:rtl/>
        </w:rPr>
        <w:t xml:space="preserve"> </w:t>
      </w:r>
      <w:r w:rsidRPr="00FC4298">
        <w:rPr>
          <w:rFonts w:ascii="David" w:hAnsi="David"/>
          <w:b/>
          <w:bCs/>
          <w:rtl/>
        </w:rPr>
        <w:t>סמאדה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(6.2.18) נדחה ערעור הנאשם (למעט באשר לקנס). הנאשם הורשע על פי הודאתו ב- 3 עבירות סחר בקוקאין, עת מכר כ- 10, כ- 23 וכ- 15 גרם. נקבע מתחם עונש הנע בין 12 ל- 24 חודשי מאסר לכל אישום והושת עונש מאסר בפועל בן 35 חודשים.</w:t>
      </w:r>
    </w:p>
    <w:p w14:paraId="71EAF4E9" w14:textId="77777777" w:rsidR="00AA4AB8" w:rsidRPr="00FC4298" w:rsidRDefault="00AA4AB8" w:rsidP="00AA4AB8">
      <w:pPr>
        <w:spacing w:line="360" w:lineRule="auto"/>
        <w:jc w:val="both"/>
        <w:rPr>
          <w:rFonts w:ascii="David" w:hAnsi="David"/>
          <w:rtl/>
        </w:rPr>
      </w:pPr>
    </w:p>
    <w:p w14:paraId="5DC271A0" w14:textId="77777777" w:rsidR="00AA4AB8" w:rsidRPr="00FC4298" w:rsidRDefault="00AA4AB8" w:rsidP="00AA4AB8">
      <w:pPr>
        <w:spacing w:line="360" w:lineRule="auto"/>
        <w:jc w:val="both"/>
        <w:rPr>
          <w:rFonts w:ascii="David" w:hAnsi="David"/>
          <w:rtl/>
        </w:rPr>
      </w:pPr>
      <w:r w:rsidRPr="00FC4298">
        <w:rPr>
          <w:rFonts w:ascii="David" w:hAnsi="David"/>
          <w:rtl/>
        </w:rPr>
        <w:t xml:space="preserve">נתתי דעתי לפסקי הדין אותם הציגה ההגנה ואולם לא מצאתי כי יש בהם כדי לסייע לטיעונה. מבלי למצות אציין, כי מרביתה של הפסיקה שהוצגה ניתנה ע"י בתי משפט השלום. עניינו של </w:t>
      </w:r>
      <w:hyperlink r:id="rId43" w:history="1">
        <w:r w:rsidR="00217513" w:rsidRPr="00217513">
          <w:rPr>
            <w:rFonts w:ascii="David" w:hAnsi="David"/>
            <w:color w:val="0000FF"/>
            <w:u w:val="single"/>
            <w:rtl/>
          </w:rPr>
          <w:t>רע"פ 5353/17</w:t>
        </w:r>
      </w:hyperlink>
      <w:r w:rsidRPr="00FC4298">
        <w:rPr>
          <w:rFonts w:ascii="David" w:hAnsi="David"/>
          <w:rtl/>
        </w:rPr>
        <w:t xml:space="preserve"> </w:t>
      </w:r>
      <w:r w:rsidRPr="00FC4298">
        <w:rPr>
          <w:rFonts w:ascii="David" w:hAnsi="David"/>
          <w:b/>
          <w:bCs/>
          <w:rtl/>
        </w:rPr>
        <w:t>דגו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(18.9.17) בנאשם נעדר עבר פלילי שבעניינו ניתנה המלצת שיקום. ב</w:t>
      </w:r>
      <w:hyperlink r:id="rId44" w:history="1">
        <w:r w:rsidR="00217513" w:rsidRPr="00217513">
          <w:rPr>
            <w:rFonts w:ascii="David" w:hAnsi="David"/>
            <w:color w:val="0000FF"/>
            <w:u w:val="single"/>
            <w:rtl/>
          </w:rPr>
          <w:t>ת"פ (ת"א) 39400-05-15</w:t>
        </w:r>
      </w:hyperlink>
      <w:r w:rsidRPr="00FC4298">
        <w:rPr>
          <w:rFonts w:ascii="David" w:hAnsi="David"/>
          <w:rtl/>
        </w:rPr>
        <w:t xml:space="preserve"> </w:t>
      </w:r>
      <w:r w:rsidRPr="00FC4298">
        <w:rPr>
          <w:rFonts w:ascii="David" w:hAnsi="David"/>
          <w:b/>
          <w:bCs/>
          <w:rtl/>
        </w:rPr>
        <w:t>מדינת ישראל נ' לב</w:t>
      </w:r>
      <w:r w:rsidRPr="00FC4298">
        <w:rPr>
          <w:rFonts w:ascii="David" w:hAnsi="David"/>
          <w:rtl/>
        </w:rPr>
        <w:t xml:space="preserve"> </w:t>
      </w:r>
      <w:r w:rsidR="00B04ABB" w:rsidRPr="00B04ABB">
        <w:rPr>
          <w:sz w:val="22"/>
          <w:rtl/>
        </w:rPr>
        <w:t xml:space="preserve">[פורסם בנבו] </w:t>
      </w:r>
      <w:r w:rsidRPr="00FC4298">
        <w:rPr>
          <w:rFonts w:ascii="David" w:hAnsi="David"/>
          <w:rtl/>
        </w:rPr>
        <w:t>(5.11.17) דובר בנאשם שלחובתו הרשעה קודמת בעבירת שבל"ר והפרעה לשוטר ואשר עבר הליך טיפולי משמעותי על פני חודשים רבים. ב</w:t>
      </w:r>
      <w:hyperlink r:id="rId45" w:history="1">
        <w:r w:rsidR="00217513" w:rsidRPr="00217513">
          <w:rPr>
            <w:rFonts w:ascii="David" w:hAnsi="David"/>
            <w:color w:val="0000FF"/>
            <w:u w:val="single"/>
            <w:rtl/>
          </w:rPr>
          <w:t>ת"פ (רמ') 28270-11-15</w:t>
        </w:r>
      </w:hyperlink>
      <w:r w:rsidRPr="00FC4298">
        <w:rPr>
          <w:rFonts w:ascii="David" w:hAnsi="David"/>
          <w:rtl/>
        </w:rPr>
        <w:t xml:space="preserve"> </w:t>
      </w:r>
      <w:r w:rsidRPr="00FC4298">
        <w:rPr>
          <w:rFonts w:ascii="David" w:hAnsi="David"/>
          <w:b/>
          <w:bCs/>
          <w:rtl/>
        </w:rPr>
        <w:t>מדינת ישראל נ' בוקובזה</w:t>
      </w:r>
      <w:r w:rsidRPr="00FC4298">
        <w:rPr>
          <w:rFonts w:ascii="David" w:hAnsi="David"/>
          <w:rtl/>
        </w:rPr>
        <w:t xml:space="preserve"> </w:t>
      </w:r>
      <w:r w:rsidR="00B04ABB" w:rsidRPr="00B04ABB">
        <w:rPr>
          <w:sz w:val="22"/>
          <w:rtl/>
        </w:rPr>
        <w:t xml:space="preserve">[פורסם בנבו] </w:t>
      </w:r>
      <w:r w:rsidRPr="00FC4298">
        <w:rPr>
          <w:rFonts w:ascii="David" w:hAnsi="David"/>
          <w:rtl/>
        </w:rPr>
        <w:t>(2.4.17) דובר על נאשם צעיר אשר התנהל באורח תקין ועבר הליך שיקומי. ב</w:t>
      </w:r>
      <w:hyperlink r:id="rId46" w:history="1">
        <w:r w:rsidR="00217513" w:rsidRPr="00217513">
          <w:rPr>
            <w:rFonts w:ascii="David" w:hAnsi="David"/>
            <w:color w:val="0000FF"/>
            <w:u w:val="single"/>
            <w:rtl/>
          </w:rPr>
          <w:t>ת"פ (רמ') 37255-05-14</w:t>
        </w:r>
      </w:hyperlink>
      <w:r w:rsidRPr="00FC4298">
        <w:rPr>
          <w:rFonts w:ascii="David" w:hAnsi="David"/>
          <w:rtl/>
        </w:rPr>
        <w:t xml:space="preserve"> </w:t>
      </w:r>
      <w:r w:rsidRPr="00FC4298">
        <w:rPr>
          <w:rFonts w:ascii="David" w:hAnsi="David"/>
          <w:b/>
          <w:bCs/>
          <w:rtl/>
        </w:rPr>
        <w:t>מדינת ישראל נ' בנעים</w:t>
      </w:r>
      <w:r w:rsidRPr="00FC4298">
        <w:rPr>
          <w:rFonts w:ascii="David" w:hAnsi="David"/>
          <w:rtl/>
        </w:rPr>
        <w:t xml:space="preserve"> </w:t>
      </w:r>
      <w:r w:rsidR="00B04ABB" w:rsidRPr="00B04ABB">
        <w:rPr>
          <w:sz w:val="22"/>
          <w:rtl/>
        </w:rPr>
        <w:t xml:space="preserve">[פורסם בנבו] </w:t>
      </w:r>
      <w:r w:rsidRPr="00FC4298">
        <w:rPr>
          <w:rFonts w:ascii="David" w:hAnsi="David"/>
          <w:rtl/>
        </w:rPr>
        <w:t>דובר בהחזקת סם ולא בסחר סם.</w:t>
      </w:r>
    </w:p>
    <w:p w14:paraId="078DDF05" w14:textId="77777777" w:rsidR="00AA4AB8" w:rsidRPr="00FC4298" w:rsidRDefault="00AA4AB8" w:rsidP="00AA4AB8">
      <w:pPr>
        <w:spacing w:line="360" w:lineRule="auto"/>
        <w:jc w:val="both"/>
        <w:rPr>
          <w:rFonts w:ascii="David" w:hAnsi="David"/>
          <w:rtl/>
        </w:rPr>
      </w:pPr>
    </w:p>
    <w:p w14:paraId="68B178C3" w14:textId="77777777" w:rsidR="00AA4AB8" w:rsidRPr="00FC4298" w:rsidRDefault="00AA4AB8" w:rsidP="00AA4AB8">
      <w:pPr>
        <w:spacing w:line="360" w:lineRule="auto"/>
        <w:jc w:val="both"/>
        <w:rPr>
          <w:rFonts w:ascii="David" w:hAnsi="David"/>
          <w:rtl/>
        </w:rPr>
      </w:pPr>
      <w:r w:rsidRPr="00FC4298">
        <w:rPr>
          <w:rFonts w:ascii="David" w:hAnsi="David"/>
          <w:b/>
          <w:bCs/>
          <w:rtl/>
        </w:rPr>
        <w:t>קביעת מתחמי הענישה</w:t>
      </w:r>
      <w:r w:rsidRPr="00FC4298">
        <w:rPr>
          <w:rFonts w:ascii="David" w:hAnsi="David"/>
          <w:rtl/>
        </w:rPr>
        <w:t xml:space="preserve"> - בשים לב לכל המתואר מעלה, מצאתי לקבוע מתחמי ענישה כלדקמן:</w:t>
      </w:r>
    </w:p>
    <w:p w14:paraId="7B72C8A6" w14:textId="77777777" w:rsidR="00AA4AB8" w:rsidRPr="00FC4298" w:rsidRDefault="00AA4AB8" w:rsidP="00AA4AB8">
      <w:pPr>
        <w:spacing w:line="360" w:lineRule="auto"/>
        <w:jc w:val="both"/>
        <w:rPr>
          <w:rFonts w:ascii="David" w:hAnsi="David"/>
          <w:rtl/>
        </w:rPr>
      </w:pPr>
    </w:p>
    <w:p w14:paraId="7D887326" w14:textId="77777777" w:rsidR="00AA4AB8" w:rsidRPr="00FC4298" w:rsidRDefault="00AA4AB8" w:rsidP="00AA4AB8">
      <w:pPr>
        <w:spacing w:line="360" w:lineRule="auto"/>
        <w:jc w:val="both"/>
        <w:rPr>
          <w:rFonts w:ascii="David" w:hAnsi="David"/>
          <w:rtl/>
        </w:rPr>
      </w:pPr>
      <w:r w:rsidRPr="00FC4298">
        <w:rPr>
          <w:rFonts w:ascii="David" w:hAnsi="David"/>
          <w:u w:val="single"/>
          <w:rtl/>
        </w:rPr>
        <w:t>בגין האישום הראשון</w:t>
      </w:r>
      <w:r w:rsidRPr="00FC4298">
        <w:rPr>
          <w:rFonts w:ascii="David" w:hAnsi="David"/>
          <w:rtl/>
        </w:rPr>
        <w:t>, שעניינו בעבירת הסחר (מכירה לשוטרת) והחזקת סמים (הירואין וקוקאין) שלא לצריכה עצמית- מתחם ענישה הנע בין 8 ל- 22 חודשי מאסר בפועל.</w:t>
      </w:r>
    </w:p>
    <w:p w14:paraId="76B679E7" w14:textId="77777777" w:rsidR="00AA4AB8" w:rsidRPr="00FC4298" w:rsidRDefault="00AA4AB8" w:rsidP="00AA4AB8">
      <w:pPr>
        <w:spacing w:line="360" w:lineRule="auto"/>
        <w:jc w:val="both"/>
        <w:rPr>
          <w:rFonts w:ascii="David" w:hAnsi="David"/>
          <w:rtl/>
        </w:rPr>
      </w:pPr>
      <w:r w:rsidRPr="00FC4298">
        <w:rPr>
          <w:rFonts w:ascii="David" w:hAnsi="David"/>
          <w:u w:val="single"/>
          <w:rtl/>
        </w:rPr>
        <w:t>בגין האישום השני</w:t>
      </w:r>
      <w:r w:rsidRPr="00FC4298">
        <w:rPr>
          <w:rFonts w:ascii="David" w:hAnsi="David"/>
          <w:rtl/>
        </w:rPr>
        <w:t>, שעניינו ב- 5 עסקאות מכר קוקאין- מתחם הנע בין 8 ל- 18 חודשי מאסר בפועל.</w:t>
      </w:r>
    </w:p>
    <w:p w14:paraId="516F91EC" w14:textId="77777777" w:rsidR="00AA4AB8" w:rsidRPr="00FC4298" w:rsidRDefault="00AA4AB8" w:rsidP="00AA4AB8">
      <w:pPr>
        <w:spacing w:line="360" w:lineRule="auto"/>
        <w:jc w:val="both"/>
        <w:rPr>
          <w:rFonts w:ascii="David" w:hAnsi="David"/>
          <w:rtl/>
        </w:rPr>
      </w:pPr>
      <w:r w:rsidRPr="00FC4298">
        <w:rPr>
          <w:rFonts w:ascii="David" w:hAnsi="David"/>
          <w:u w:val="single"/>
          <w:rtl/>
        </w:rPr>
        <w:t>בגין האישום השלישי</w:t>
      </w:r>
      <w:r w:rsidRPr="00FC4298">
        <w:rPr>
          <w:rFonts w:ascii="David" w:hAnsi="David"/>
          <w:rtl/>
        </w:rPr>
        <w:t>, שעניינו ב- 7 עסקאות מכר קוקאין- מתחם הנע בין 10 ל- 20 חודשי מאסר.</w:t>
      </w:r>
    </w:p>
    <w:p w14:paraId="403DE014" w14:textId="77777777" w:rsidR="00AA4AB8" w:rsidRPr="00FC4298" w:rsidRDefault="00AA4AB8" w:rsidP="00AA4AB8">
      <w:pPr>
        <w:spacing w:line="360" w:lineRule="auto"/>
        <w:jc w:val="both"/>
        <w:rPr>
          <w:rFonts w:ascii="David" w:hAnsi="David"/>
          <w:rtl/>
        </w:rPr>
      </w:pPr>
      <w:r w:rsidRPr="00FC4298">
        <w:rPr>
          <w:rFonts w:ascii="David" w:hAnsi="David"/>
          <w:u w:val="single"/>
          <w:rtl/>
        </w:rPr>
        <w:t>בגין האישומים הרביעי והחמישי</w:t>
      </w:r>
      <w:r w:rsidRPr="00FC4298">
        <w:rPr>
          <w:rFonts w:ascii="David" w:hAnsi="David"/>
          <w:rtl/>
        </w:rPr>
        <w:t>, שעניינו של כל אחד מהם בעסקת מכר אחת של קוקאין- מתחם הנע בין 3 ל- 12 חודשי מאסר בפועל, לכל אישום.</w:t>
      </w:r>
    </w:p>
    <w:p w14:paraId="20CA34D6" w14:textId="77777777" w:rsidR="00AA4AB8" w:rsidRPr="00FC4298" w:rsidRDefault="00AA4AB8" w:rsidP="00AA4AB8">
      <w:pPr>
        <w:spacing w:line="360" w:lineRule="auto"/>
        <w:jc w:val="both"/>
        <w:rPr>
          <w:rFonts w:ascii="David" w:hAnsi="David"/>
          <w:rtl/>
        </w:rPr>
      </w:pPr>
    </w:p>
    <w:p w14:paraId="0859B9DB" w14:textId="77777777" w:rsidR="00AA4AB8" w:rsidRPr="00FC4298" w:rsidRDefault="00AA4AB8" w:rsidP="00AA4AB8">
      <w:pPr>
        <w:spacing w:line="360" w:lineRule="auto"/>
        <w:jc w:val="both"/>
        <w:rPr>
          <w:rFonts w:ascii="David" w:hAnsi="David"/>
          <w:rtl/>
        </w:rPr>
      </w:pPr>
      <w:r w:rsidRPr="00FC4298">
        <w:rPr>
          <w:rFonts w:ascii="David" w:hAnsi="David"/>
          <w:rtl/>
        </w:rPr>
        <w:t xml:space="preserve">במאמר מוסגר אציין כי גם לו קבעתי כפי טענת ההגנה כי יש לראות את כלל עבירות הסחר כאירוע אחד, לא היה בכך כדי להשפיע על העונש הסופי, הואיל ובקביעת מתחם עונש היה מקום להתחשב במספר העבירות ולקבוע מתחם עונשי גבוה מהמתחם שנקבע לעיל לכל אירוע בנפרד (השוו: </w:t>
      </w:r>
      <w:hyperlink r:id="rId47" w:history="1">
        <w:r w:rsidR="00217513" w:rsidRPr="00217513">
          <w:rPr>
            <w:rFonts w:ascii="David" w:hAnsi="David"/>
            <w:color w:val="0000FF"/>
            <w:u w:val="single"/>
            <w:rtl/>
          </w:rPr>
          <w:t>ע"פ 2454/18</w:t>
        </w:r>
      </w:hyperlink>
      <w:r w:rsidRPr="00FC4298">
        <w:rPr>
          <w:rFonts w:ascii="David" w:hAnsi="David"/>
          <w:rtl/>
        </w:rPr>
        <w:t xml:space="preserve"> </w:t>
      </w:r>
      <w:r w:rsidRPr="00FC4298">
        <w:rPr>
          <w:rFonts w:ascii="David" w:hAnsi="David"/>
          <w:b/>
          <w:bCs/>
          <w:rtl/>
        </w:rPr>
        <w:t>שיינברג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2.12.18, סע' 20 לחוו"ד כב' השופט פוגלמן).</w:t>
      </w:r>
    </w:p>
    <w:p w14:paraId="753BBE4D" w14:textId="77777777" w:rsidR="00AA4AB8" w:rsidRPr="00FC4298" w:rsidRDefault="00AA4AB8" w:rsidP="00AA4AB8">
      <w:pPr>
        <w:spacing w:line="360" w:lineRule="auto"/>
        <w:jc w:val="both"/>
        <w:rPr>
          <w:rFonts w:ascii="David" w:hAnsi="David"/>
          <w:rtl/>
        </w:rPr>
      </w:pPr>
    </w:p>
    <w:p w14:paraId="10009593"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5.4 </w:t>
      </w:r>
      <w:r w:rsidRPr="00FC4298">
        <w:rPr>
          <w:rFonts w:ascii="David" w:hAnsi="David"/>
          <w:b/>
          <w:bCs/>
          <w:u w:val="single"/>
          <w:rtl/>
        </w:rPr>
        <w:t xml:space="preserve">קביעת העונש המתאים </w:t>
      </w:r>
    </w:p>
    <w:p w14:paraId="0176D6C9" w14:textId="77777777" w:rsidR="00AA4AB8" w:rsidRPr="00FC4298" w:rsidRDefault="00AA4AB8" w:rsidP="00AA4AB8">
      <w:pPr>
        <w:spacing w:line="360" w:lineRule="auto"/>
        <w:jc w:val="both"/>
        <w:rPr>
          <w:rFonts w:ascii="David" w:hAnsi="David"/>
          <w:rtl/>
        </w:rPr>
      </w:pPr>
      <w:r w:rsidRPr="00FC4298">
        <w:rPr>
          <w:rFonts w:ascii="David" w:hAnsi="David"/>
          <w:rtl/>
        </w:rPr>
        <w:t xml:space="preserve">בקביעת העונש המתאים רשאי בית המשפט להתחשב בנסיבות שאינן קשורות בביצוע העבירה. </w:t>
      </w:r>
    </w:p>
    <w:p w14:paraId="471AA134" w14:textId="77777777" w:rsidR="00AA4AB8" w:rsidRPr="00FC4298" w:rsidRDefault="00AA4AB8" w:rsidP="00AA4AB8">
      <w:pPr>
        <w:spacing w:line="360" w:lineRule="auto"/>
        <w:jc w:val="both"/>
        <w:rPr>
          <w:rFonts w:ascii="David" w:hAnsi="David"/>
          <w:rtl/>
        </w:rPr>
      </w:pPr>
      <w:r w:rsidRPr="00FC4298">
        <w:rPr>
          <w:rFonts w:ascii="David" w:hAnsi="David"/>
          <w:b/>
          <w:bCs/>
          <w:rtl/>
        </w:rPr>
        <w:t>לחומרה</w:t>
      </w:r>
      <w:r w:rsidRPr="00FC4298">
        <w:rPr>
          <w:rFonts w:ascii="David" w:hAnsi="David"/>
          <w:rtl/>
        </w:rPr>
        <w:t xml:space="preserve"> נתתי דעתי לכל אלה: </w:t>
      </w:r>
    </w:p>
    <w:p w14:paraId="63A72CF8" w14:textId="77777777" w:rsidR="00AA4AB8" w:rsidRPr="00FC4298" w:rsidRDefault="00AA4AB8" w:rsidP="00AA4AB8">
      <w:pPr>
        <w:spacing w:line="360" w:lineRule="auto"/>
        <w:jc w:val="both"/>
        <w:rPr>
          <w:rFonts w:ascii="David" w:hAnsi="David"/>
          <w:rtl/>
        </w:rPr>
      </w:pPr>
      <w:r w:rsidRPr="00FC4298">
        <w:rPr>
          <w:rFonts w:ascii="David" w:hAnsi="David"/>
          <w:rtl/>
        </w:rPr>
        <w:t>לחובת הנאשם עבר פלילי "עשיר", אשר החל בביצוע עבירת רצח, עוד בהיותו קטין. לחובתו 10 הרשעות קודמות בגין עבירות מתחום הסמים האלימות והרכוש, לרבות תקיפת שוטר, בריחה ממעצר, שוד מזויין ועוד. בגין אלה ריצה הנאשם כאמור מאסרים ממושכים.</w:t>
      </w:r>
    </w:p>
    <w:p w14:paraId="1F750CAC" w14:textId="77777777" w:rsidR="00AA4AB8" w:rsidRPr="00FC4298" w:rsidRDefault="00AA4AB8" w:rsidP="00AA4AB8">
      <w:pPr>
        <w:spacing w:line="360" w:lineRule="auto"/>
        <w:jc w:val="both"/>
        <w:rPr>
          <w:rFonts w:ascii="David" w:hAnsi="David"/>
          <w:rtl/>
        </w:rPr>
      </w:pPr>
      <w:r w:rsidRPr="00FC4298">
        <w:rPr>
          <w:rFonts w:ascii="David" w:hAnsi="David"/>
          <w:rtl/>
        </w:rPr>
        <w:t xml:space="preserve">הנאשם ניהל ומנהל אורח חיים התמכרותי ועברייני והוא לא השכיל לנצל הזדמנויות שניתנו לו לאורך השנים, לשם עריכת שינוי בחייו. </w:t>
      </w:r>
    </w:p>
    <w:p w14:paraId="6873EF82" w14:textId="77777777" w:rsidR="00AA4AB8" w:rsidRPr="00FC4298" w:rsidRDefault="00AA4AB8" w:rsidP="00AA4AB8">
      <w:pPr>
        <w:spacing w:line="360" w:lineRule="auto"/>
        <w:jc w:val="both"/>
        <w:rPr>
          <w:rFonts w:ascii="David" w:hAnsi="David"/>
          <w:rtl/>
        </w:rPr>
      </w:pPr>
      <w:r w:rsidRPr="00FC4298">
        <w:rPr>
          <w:rFonts w:ascii="David" w:hAnsi="David"/>
          <w:rtl/>
        </w:rPr>
        <w:t>אין חולק כי תלוי ועומד נגדו מאסר על תנאי בן 3 חודשים חב הפעלה מ</w:t>
      </w:r>
      <w:hyperlink r:id="rId48" w:history="1">
        <w:r w:rsidR="00217513" w:rsidRPr="00217513">
          <w:rPr>
            <w:rFonts w:ascii="David" w:hAnsi="David"/>
            <w:color w:val="0000FF"/>
            <w:u w:val="single"/>
            <w:rtl/>
          </w:rPr>
          <w:t>ת"פ (רמ') 21205-0</w:t>
        </w:r>
        <w:r w:rsidR="00217513" w:rsidRPr="00217513">
          <w:rPr>
            <w:rFonts w:ascii="David" w:hAnsi="David"/>
            <w:color w:val="0000FF"/>
            <w:u w:val="single"/>
            <w:rtl/>
          </w:rPr>
          <w:t>8</w:t>
        </w:r>
        <w:r w:rsidR="00217513" w:rsidRPr="00217513">
          <w:rPr>
            <w:rFonts w:ascii="David" w:hAnsi="David"/>
            <w:color w:val="0000FF"/>
            <w:u w:val="single"/>
            <w:rtl/>
          </w:rPr>
          <w:t>-18</w:t>
        </w:r>
      </w:hyperlink>
      <w:r w:rsidRPr="00FC4298">
        <w:rPr>
          <w:rFonts w:ascii="David" w:hAnsi="David"/>
          <w:rtl/>
        </w:rPr>
        <w:t xml:space="preserve"> (מיום 8.9.19, ת/3) בגין החזקת סם (שתי מנות הירואין). במעמד גזירת עונשו באותו הליך הצהיר הנאשם בפני בית המשפט כי הוא ביצע את העבירות בשל התמכרותו לסמים וכי נכון למועד גזירת הדין הוא נקי מסמים. בחלוף 9 ימים בלבד ביצע את עבירת הסחר מושא אישום 4 ובחלוף מספר קצר של שבועות ביצע את מרביתן המכרעת של העבירות בהן הודה בהליך זה. את העבירה מושא האישום החמישי ביצע 4 ימים בטרם הצהיר את שהצהיר. </w:t>
      </w:r>
    </w:p>
    <w:p w14:paraId="42B843F0" w14:textId="77777777" w:rsidR="00AA4AB8" w:rsidRPr="00FC4298" w:rsidRDefault="00AA4AB8" w:rsidP="00AA4AB8">
      <w:pPr>
        <w:spacing w:line="360" w:lineRule="auto"/>
        <w:jc w:val="both"/>
        <w:rPr>
          <w:rFonts w:ascii="David" w:hAnsi="David"/>
          <w:rtl/>
        </w:rPr>
      </w:pPr>
      <w:r w:rsidRPr="00FC4298">
        <w:rPr>
          <w:rFonts w:ascii="David" w:hAnsi="David"/>
          <w:rtl/>
        </w:rPr>
        <w:t>כל אלה מלמדים על העדר כנות והעדר מורא. עוד תלוי ועומד נגדו מאסר מותנה בן 6 חודשים, אשר הצדדים חלוקים באשר לצדקת הפעלתו, אם כי מצאתי כי הדין עם המאשימה במחלוקת זו (כמפורט להלן).</w:t>
      </w:r>
    </w:p>
    <w:p w14:paraId="321335BD" w14:textId="77777777" w:rsidR="00AA4AB8" w:rsidRPr="00FC4298" w:rsidRDefault="00AA4AB8" w:rsidP="00AA4AB8">
      <w:pPr>
        <w:spacing w:line="360" w:lineRule="auto"/>
        <w:jc w:val="both"/>
        <w:rPr>
          <w:rFonts w:ascii="David" w:hAnsi="David"/>
          <w:rtl/>
        </w:rPr>
      </w:pPr>
    </w:p>
    <w:p w14:paraId="26016E8D" w14:textId="77777777" w:rsidR="00AA4AB8" w:rsidRPr="00FC4298" w:rsidRDefault="00AA4AB8" w:rsidP="00AA4AB8">
      <w:pPr>
        <w:spacing w:line="360" w:lineRule="auto"/>
        <w:jc w:val="both"/>
        <w:rPr>
          <w:rFonts w:ascii="David" w:hAnsi="David"/>
          <w:rtl/>
        </w:rPr>
      </w:pPr>
      <w:r w:rsidRPr="00FC4298">
        <w:rPr>
          <w:rFonts w:ascii="David" w:hAnsi="David"/>
          <w:rtl/>
        </w:rPr>
        <w:t>לאור האמור עסקינן במי שהסמים והסחר בהם מהווים עיסוק מרכזי בחייו ומשכך מהווה הוא סיכון לחברה.</w:t>
      </w:r>
    </w:p>
    <w:p w14:paraId="1FFAD75D" w14:textId="77777777" w:rsidR="00AA4AB8" w:rsidRPr="00FC4298" w:rsidRDefault="00AA4AB8" w:rsidP="00AA4AB8">
      <w:pPr>
        <w:spacing w:line="360" w:lineRule="auto"/>
        <w:jc w:val="both"/>
        <w:rPr>
          <w:rFonts w:ascii="David" w:hAnsi="David"/>
          <w:rtl/>
        </w:rPr>
      </w:pPr>
    </w:p>
    <w:p w14:paraId="7524D0D7" w14:textId="77777777" w:rsidR="00AA4AB8" w:rsidRPr="00FC4298" w:rsidRDefault="00AA4AB8" w:rsidP="00AA4AB8">
      <w:pPr>
        <w:spacing w:line="360" w:lineRule="auto"/>
        <w:jc w:val="both"/>
        <w:rPr>
          <w:rFonts w:ascii="David" w:hAnsi="David"/>
          <w:rtl/>
        </w:rPr>
      </w:pPr>
      <w:r w:rsidRPr="00FC4298">
        <w:rPr>
          <w:rFonts w:ascii="David" w:hAnsi="David"/>
          <w:b/>
          <w:bCs/>
          <w:rtl/>
        </w:rPr>
        <w:t>לקולה</w:t>
      </w:r>
      <w:r w:rsidRPr="00FC4298">
        <w:rPr>
          <w:rFonts w:ascii="David" w:hAnsi="David"/>
          <w:rtl/>
        </w:rPr>
        <w:t xml:space="preserve"> נתתי דעתי לכך כי הנאשם הודה במיוחס לו, הביע חרטה ונטל אחריות למעשיו. בכך חסך בזמן שיפוטי יקר. נסיבות חייו אינן פשוטות, ורבים מימיו "בילה" מאחורי סורג ובריח. הנאשם נשוי ואב לתינוקת, השוהה במעצר מזה למעלה מ- 10 חודשים. על אף שלא הוצגה כל ראיה לדבר, אניח כי אכן מצבה הכלכלי של משפחתו אינו שפיר. מכל מקום אין ספק כי השתת מאסר בפועל תשליך לחומרה על מצב משפחתו, בכל מובן.</w:t>
      </w:r>
    </w:p>
    <w:p w14:paraId="206CC1F1" w14:textId="77777777" w:rsidR="00AA4AB8" w:rsidRPr="00FC4298" w:rsidRDefault="00AA4AB8" w:rsidP="00AA4AB8">
      <w:pPr>
        <w:spacing w:line="360" w:lineRule="auto"/>
        <w:jc w:val="both"/>
        <w:rPr>
          <w:rFonts w:ascii="David" w:hAnsi="David"/>
          <w:rtl/>
        </w:rPr>
      </w:pPr>
      <w:r w:rsidRPr="00FC4298">
        <w:rPr>
          <w:rFonts w:ascii="David" w:hAnsi="David"/>
          <w:rtl/>
        </w:rPr>
        <w:t xml:space="preserve">בנוסף, הרווח הכספי כתוצאה מן העבירות בהן הורשע זניח למדיי וכי ככל הנראה אין מדובר בכמויות סם גדולות. </w:t>
      </w:r>
    </w:p>
    <w:p w14:paraId="0758FB84" w14:textId="77777777" w:rsidR="00AA4AB8" w:rsidRPr="00FC4298" w:rsidRDefault="00AA4AB8" w:rsidP="00AA4AB8">
      <w:pPr>
        <w:spacing w:line="360" w:lineRule="auto"/>
        <w:jc w:val="both"/>
        <w:rPr>
          <w:rFonts w:ascii="David" w:hAnsi="David"/>
          <w:rtl/>
        </w:rPr>
      </w:pPr>
    </w:p>
    <w:p w14:paraId="7BB5BCEF" w14:textId="77777777" w:rsidR="00AA4AB8" w:rsidRPr="00FC4298" w:rsidRDefault="00AA4AB8" w:rsidP="00AA4AB8">
      <w:pPr>
        <w:spacing w:line="360" w:lineRule="auto"/>
        <w:jc w:val="both"/>
        <w:rPr>
          <w:rFonts w:ascii="David" w:hAnsi="David"/>
          <w:rtl/>
        </w:rPr>
      </w:pPr>
      <w:r w:rsidRPr="00FC4298">
        <w:rPr>
          <w:rFonts w:ascii="David" w:hAnsi="David"/>
          <w:b/>
          <w:bCs/>
          <w:rtl/>
        </w:rPr>
        <w:t>בשקלול הנתונים</w:t>
      </w:r>
      <w:r w:rsidRPr="00FC4298">
        <w:rPr>
          <w:rFonts w:ascii="David" w:hAnsi="David"/>
          <w:rtl/>
        </w:rPr>
        <w:t xml:space="preserve"> אציין, כי מקלדות רבות נשברו ונהרות דיו נשפכו, עת שבו וציינו בתי המשפט לדורותיהם את החומרה המופלגת שבעבירות הסמים בכלל, הסחר בהם בפרט והצורך להילחם בנגע זה.</w:t>
      </w:r>
    </w:p>
    <w:p w14:paraId="061E0FB1" w14:textId="77777777" w:rsidR="00AA4AB8" w:rsidRPr="00FC4298" w:rsidRDefault="00AA4AB8" w:rsidP="00AA4AB8">
      <w:pPr>
        <w:spacing w:line="360" w:lineRule="auto"/>
        <w:jc w:val="both"/>
        <w:rPr>
          <w:rFonts w:ascii="David" w:hAnsi="David"/>
          <w:rtl/>
        </w:rPr>
      </w:pPr>
    </w:p>
    <w:p w14:paraId="4A4CBE4F" w14:textId="77777777" w:rsidR="00AA4AB8" w:rsidRPr="00FC4298" w:rsidRDefault="00AA4AB8" w:rsidP="00AA4AB8">
      <w:pPr>
        <w:spacing w:line="360" w:lineRule="auto"/>
        <w:jc w:val="both"/>
        <w:rPr>
          <w:rFonts w:ascii="David" w:hAnsi="David"/>
          <w:rtl/>
        </w:rPr>
      </w:pPr>
      <w:r w:rsidRPr="00FC4298">
        <w:rPr>
          <w:rFonts w:ascii="David" w:hAnsi="David"/>
          <w:rtl/>
        </w:rPr>
        <w:t>את הטיעון בדבר אי היותו של הנאשם בגדר סוחר סמים "מדופלם", כדברי בא כוחו, יש לבחון בספקנות רבה. מהי אותה "דיפלומה" לא ידעתי. מנגד ידענו, כי גם סוחר סמים "פשוט" יכול להסב ואכן מסב נזק רב ביותר לחברה. בהינתן כי לא חל הליך שיקום מחד ולאור הרצדיביזם מנגד, אין בנמצא טעם להקלה משמעותית בדינו של הנאשם. איני מוצא ליתן משקל מכריע לקולה, לטיעון ההגנה בדבר כמויות הסם והרווח המועט שבא בצידן בנסיבות. אין להקל ראש במכר סמים קשים ומסוכנים, למספר קונים, במספר הזדמנויות. מילים הולמות, שאין ענישה מוחשית והולמת בצידן, כמוהן כקצף על פני המים. משכך, ראוי הנאשם למאסר מאחורי סורג ובריח משמעותי למדיי, אם כי מידתי.</w:t>
      </w:r>
    </w:p>
    <w:p w14:paraId="7D2DC1B3" w14:textId="77777777" w:rsidR="00AA4AB8" w:rsidRPr="00FC4298" w:rsidRDefault="00AA4AB8" w:rsidP="00AA4AB8">
      <w:pPr>
        <w:spacing w:line="360" w:lineRule="auto"/>
        <w:jc w:val="both"/>
        <w:rPr>
          <w:rFonts w:ascii="David" w:hAnsi="David"/>
          <w:rtl/>
        </w:rPr>
      </w:pPr>
    </w:p>
    <w:p w14:paraId="5F6CEA89" w14:textId="77777777" w:rsidR="00AA4AB8" w:rsidRPr="00FC4298" w:rsidRDefault="00AA4AB8" w:rsidP="00AA4AB8">
      <w:pPr>
        <w:spacing w:line="360" w:lineRule="auto"/>
        <w:jc w:val="both"/>
        <w:rPr>
          <w:rFonts w:ascii="David" w:hAnsi="David"/>
          <w:rtl/>
        </w:rPr>
      </w:pPr>
      <w:r w:rsidRPr="00FC4298">
        <w:rPr>
          <w:rFonts w:ascii="David" w:hAnsi="David"/>
          <w:rtl/>
        </w:rPr>
        <w:t>בשים לב לענישה הכוללת אותה מצאתי להשית על הנאשם, כמו גם מצבה הכלכלי הנטען של משפחתו, אמנע מהשתת קנס כספי.</w:t>
      </w:r>
    </w:p>
    <w:p w14:paraId="706E6302" w14:textId="77777777" w:rsidR="00AA4AB8" w:rsidRPr="00FC4298" w:rsidRDefault="00AA4AB8" w:rsidP="00AA4AB8">
      <w:pPr>
        <w:spacing w:line="360" w:lineRule="auto"/>
        <w:jc w:val="both"/>
        <w:rPr>
          <w:rFonts w:ascii="David" w:hAnsi="David"/>
          <w:rtl/>
        </w:rPr>
      </w:pPr>
    </w:p>
    <w:p w14:paraId="55D92A61" w14:textId="77777777" w:rsidR="00AA4AB8" w:rsidRPr="00FC4298" w:rsidRDefault="00AA4AB8" w:rsidP="00AA4AB8">
      <w:pPr>
        <w:spacing w:line="360" w:lineRule="auto"/>
        <w:jc w:val="both"/>
        <w:rPr>
          <w:rFonts w:ascii="David" w:hAnsi="David"/>
          <w:rtl/>
        </w:rPr>
      </w:pPr>
      <w:r w:rsidRPr="00FC4298">
        <w:rPr>
          <w:rFonts w:ascii="David" w:hAnsi="David"/>
          <w:rtl/>
        </w:rPr>
        <w:t xml:space="preserve">נוכח האמור סבורני כי יש להשית על הנאשם עונש בחלקו האמצעי-גבוה של המתחם. </w:t>
      </w:r>
    </w:p>
    <w:p w14:paraId="073B9F63" w14:textId="77777777" w:rsidR="00AA4AB8" w:rsidRPr="00FC4298" w:rsidRDefault="00AA4AB8" w:rsidP="00AA4AB8">
      <w:pPr>
        <w:spacing w:line="360" w:lineRule="auto"/>
        <w:jc w:val="both"/>
        <w:rPr>
          <w:rFonts w:ascii="David" w:hAnsi="David"/>
          <w:rtl/>
        </w:rPr>
      </w:pPr>
    </w:p>
    <w:p w14:paraId="155E4BC5"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5.5 </w:t>
      </w:r>
      <w:r w:rsidRPr="00FC4298">
        <w:rPr>
          <w:rFonts w:ascii="David" w:hAnsi="David"/>
          <w:b/>
          <w:bCs/>
          <w:u w:val="single"/>
          <w:rtl/>
        </w:rPr>
        <w:t xml:space="preserve">שאלת חלותו של המאסר המותנה ת/4 </w:t>
      </w:r>
    </w:p>
    <w:p w14:paraId="5D8D7DE3" w14:textId="77777777" w:rsidR="00AA4AB8" w:rsidRPr="00FC4298" w:rsidRDefault="00AA4AB8" w:rsidP="00AA4AB8">
      <w:pPr>
        <w:spacing w:line="360" w:lineRule="auto"/>
        <w:jc w:val="both"/>
        <w:rPr>
          <w:rFonts w:ascii="David" w:hAnsi="David"/>
          <w:rtl/>
        </w:rPr>
      </w:pPr>
      <w:r w:rsidRPr="00FC4298">
        <w:rPr>
          <w:rFonts w:ascii="David" w:hAnsi="David"/>
          <w:rtl/>
        </w:rPr>
        <w:t>כאמור לעיל, נגד הנאשם תלוי ועומד מאסר על תנאי בן 6 חודשים מ</w:t>
      </w:r>
      <w:hyperlink r:id="rId49" w:history="1">
        <w:r w:rsidR="00217513" w:rsidRPr="00217513">
          <w:rPr>
            <w:rFonts w:ascii="David" w:hAnsi="David"/>
            <w:color w:val="0000FF"/>
            <w:u w:val="single"/>
            <w:rtl/>
          </w:rPr>
          <w:t>ת"פ (רמ') 33780-03-1</w:t>
        </w:r>
        <w:r w:rsidR="00217513" w:rsidRPr="00217513">
          <w:rPr>
            <w:rFonts w:ascii="David" w:hAnsi="David"/>
            <w:color w:val="0000FF"/>
            <w:u w:val="single"/>
            <w:rtl/>
          </w:rPr>
          <w:t>8</w:t>
        </w:r>
      </w:hyperlink>
      <w:r w:rsidRPr="00FC4298">
        <w:rPr>
          <w:rFonts w:ascii="David" w:hAnsi="David"/>
          <w:rtl/>
        </w:rPr>
        <w:t xml:space="preserve"> (מיום 19.6.18). מאסר מותנה זה יופעל אם יעבור הנאשם בתוך 3 שנים מיום שחרורו, על "העבירה בה הורשע", קרי- גידול סם מסוכן.</w:t>
      </w:r>
    </w:p>
    <w:p w14:paraId="18234595" w14:textId="77777777" w:rsidR="00AA4AB8" w:rsidRPr="00FC4298" w:rsidRDefault="00AA4AB8" w:rsidP="00AA4AB8">
      <w:pPr>
        <w:spacing w:line="360" w:lineRule="auto"/>
        <w:jc w:val="both"/>
        <w:rPr>
          <w:rFonts w:ascii="David" w:hAnsi="David"/>
          <w:rtl/>
        </w:rPr>
      </w:pPr>
    </w:p>
    <w:p w14:paraId="1C312FFC" w14:textId="77777777" w:rsidR="00AA4AB8" w:rsidRPr="00FC4298" w:rsidRDefault="00AA4AB8" w:rsidP="00AA4AB8">
      <w:pPr>
        <w:spacing w:line="360" w:lineRule="auto"/>
        <w:jc w:val="both"/>
        <w:rPr>
          <w:rFonts w:ascii="David" w:hAnsi="David"/>
          <w:rtl/>
        </w:rPr>
      </w:pPr>
      <w:r w:rsidRPr="00FC4298">
        <w:rPr>
          <w:rFonts w:ascii="David" w:hAnsi="David"/>
          <w:rtl/>
        </w:rPr>
        <w:t>הצדדים חלוקים כאמור בשאלה האם תנאי שעניינו גידול סם מסוכן יכול ויופעל מקום בו הנאשם ביצע עבירה נוספת שעניינה החזקת סמים שלא לצריכה עצמית.</w:t>
      </w:r>
    </w:p>
    <w:p w14:paraId="260A9BA2" w14:textId="77777777" w:rsidR="00AA4AB8" w:rsidRPr="00FC4298" w:rsidRDefault="00AA4AB8" w:rsidP="00AA4AB8">
      <w:pPr>
        <w:spacing w:line="360" w:lineRule="auto"/>
        <w:jc w:val="both"/>
        <w:rPr>
          <w:rFonts w:ascii="David" w:hAnsi="David"/>
          <w:rtl/>
        </w:rPr>
      </w:pPr>
    </w:p>
    <w:p w14:paraId="00015B77" w14:textId="77777777" w:rsidR="00AA4AB8" w:rsidRPr="00FC4298" w:rsidRDefault="00AA4AB8" w:rsidP="00AA4AB8">
      <w:pPr>
        <w:spacing w:line="360" w:lineRule="auto"/>
        <w:jc w:val="both"/>
        <w:rPr>
          <w:rFonts w:ascii="David" w:hAnsi="David"/>
          <w:rtl/>
        </w:rPr>
      </w:pPr>
      <w:r w:rsidRPr="00FC4298">
        <w:rPr>
          <w:rFonts w:ascii="David" w:hAnsi="David"/>
          <w:rtl/>
        </w:rPr>
        <w:t>ב</w:t>
      </w:r>
      <w:hyperlink r:id="rId50" w:history="1">
        <w:r w:rsidR="00217513" w:rsidRPr="00217513">
          <w:rPr>
            <w:rFonts w:ascii="David" w:hAnsi="David"/>
            <w:color w:val="0000FF"/>
            <w:u w:val="single"/>
            <w:rtl/>
          </w:rPr>
          <w:t>ע"פ 49/80 מסילתי נ' מדינת ישראל, פ"ד לד</w:t>
        </w:r>
      </w:hyperlink>
      <w:r w:rsidRPr="00FC4298">
        <w:rPr>
          <w:rFonts w:ascii="David" w:hAnsi="David"/>
          <w:rtl/>
        </w:rPr>
        <w:t xml:space="preserve">(3), 808, נקבע כי המבחן להפעלת התנאי אינו טכני- פורמאלי, אלא מהותי- ענייני. ההשוואה הראויה אינה בין יסודות עבירת התנאי ולבין יסודות העבירה בה הורשע הנאשם, כניסוחן בחוק. ההשוואה הראויה היא בין יסודות עבירת התנאי כפי ניסוחה בחוק, לבין היסודות המתקיימים בהתנהגות הנאשם, כפי שהורשע בעבירה הנוספת. התנאי יופעל כל אימת שהעבירות בהן הורשע הנאשם מכילות גרעין זהה לאחת מעבירות התנאי, או שעבירת התנאי נבלעת בתוך העבירה הנוספת אותה ביצע הנאשם (ראו: </w:t>
      </w:r>
      <w:hyperlink r:id="rId51" w:history="1">
        <w:r w:rsidR="00217513" w:rsidRPr="00217513">
          <w:rPr>
            <w:rFonts w:ascii="David" w:hAnsi="David"/>
            <w:color w:val="0000FF"/>
            <w:u w:val="single"/>
            <w:rtl/>
          </w:rPr>
          <w:t>רע"פ 2472/15</w:t>
        </w:r>
      </w:hyperlink>
      <w:r w:rsidRPr="00FC4298">
        <w:rPr>
          <w:rFonts w:ascii="David" w:hAnsi="David"/>
          <w:rtl/>
        </w:rPr>
        <w:t xml:space="preserve"> </w:t>
      </w:r>
      <w:r w:rsidRPr="00FC4298">
        <w:rPr>
          <w:rFonts w:ascii="David" w:hAnsi="David"/>
          <w:b/>
          <w:bCs/>
          <w:rtl/>
        </w:rPr>
        <w:t>שורצמן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21.5.15). השאלה אם העבירה הנוספת באה בגדרי התנאי נבחנת גם על פי הערך החברתי עליו באה העבירה להגן (</w:t>
      </w:r>
      <w:hyperlink r:id="rId52" w:history="1">
        <w:r w:rsidR="00217513" w:rsidRPr="00217513">
          <w:rPr>
            <w:rFonts w:ascii="David" w:hAnsi="David"/>
            <w:color w:val="0000FF"/>
            <w:u w:val="single"/>
            <w:rtl/>
          </w:rPr>
          <w:t>ע"פ 412/84 דוויק נ' מדינת ישראל, פ"ד לט</w:t>
        </w:r>
      </w:hyperlink>
      <w:r w:rsidRPr="00FC4298">
        <w:rPr>
          <w:rFonts w:ascii="David" w:hAnsi="David"/>
          <w:rtl/>
        </w:rPr>
        <w:t>(2), 49).</w:t>
      </w:r>
    </w:p>
    <w:p w14:paraId="4F1E8DE4" w14:textId="77777777" w:rsidR="00AA4AB8" w:rsidRPr="00AA4AB8" w:rsidRDefault="00AA4AB8" w:rsidP="00AA4AB8">
      <w:pPr>
        <w:spacing w:line="360" w:lineRule="auto"/>
        <w:jc w:val="both"/>
        <w:rPr>
          <w:rFonts w:ascii="Calibri" w:hAnsi="Calibri" w:cs="FrankRuehl"/>
          <w:sz w:val="28"/>
          <w:szCs w:val="28"/>
          <w:rtl/>
        </w:rPr>
      </w:pPr>
    </w:p>
    <w:p w14:paraId="62363D5E" w14:textId="77777777" w:rsidR="00AA4AB8" w:rsidRPr="00FC4298" w:rsidRDefault="00AA4AB8" w:rsidP="00AA4AB8">
      <w:pPr>
        <w:spacing w:line="360" w:lineRule="auto"/>
        <w:jc w:val="both"/>
        <w:rPr>
          <w:rFonts w:ascii="David" w:hAnsi="David"/>
          <w:rtl/>
        </w:rPr>
      </w:pPr>
      <w:r w:rsidRPr="00FC4298">
        <w:rPr>
          <w:rFonts w:ascii="David" w:hAnsi="David"/>
          <w:rtl/>
        </w:rPr>
        <w:t xml:space="preserve">באופן בלתי ממצה אציין כי בהתאם לכך, קבעה הפסיקה כי תנאי שעניינו עבירות תקיפה ותקיפה הגורמת חבלה, יופעל מקום בו הורשע הנאשם בגרם חבלה חמורה (עניין </w:t>
      </w:r>
      <w:r w:rsidRPr="00FC4298">
        <w:rPr>
          <w:rFonts w:ascii="David" w:hAnsi="David"/>
          <w:b/>
          <w:bCs/>
          <w:rtl/>
        </w:rPr>
        <w:t>מסילתי</w:t>
      </w:r>
      <w:r w:rsidRPr="00FC4298">
        <w:rPr>
          <w:rFonts w:ascii="David" w:hAnsi="David"/>
          <w:rtl/>
        </w:rPr>
        <w:t>); כי תנאי שעניינו עבירות סמים מסוג עוון אפשר ויופעל מקום בו הורשע הנאשם בעבירת סמים מסוג פשע (</w:t>
      </w:r>
      <w:hyperlink r:id="rId53" w:history="1">
        <w:r w:rsidR="00217513" w:rsidRPr="00217513">
          <w:rPr>
            <w:rFonts w:ascii="David" w:hAnsi="David"/>
            <w:color w:val="0000FF"/>
            <w:u w:val="single"/>
            <w:rtl/>
          </w:rPr>
          <w:t>ע"פ 7176/04</w:t>
        </w:r>
      </w:hyperlink>
      <w:r w:rsidRPr="00FC4298">
        <w:rPr>
          <w:rFonts w:ascii="David" w:hAnsi="David"/>
          <w:rtl/>
        </w:rPr>
        <w:t xml:space="preserve"> </w:t>
      </w:r>
      <w:r w:rsidRPr="00FC4298">
        <w:rPr>
          <w:rFonts w:ascii="David" w:hAnsi="David"/>
          <w:b/>
          <w:bCs/>
          <w:rtl/>
        </w:rPr>
        <w:t>תלמי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 xml:space="preserve">מיום 2.2.06; רע"פ </w:t>
      </w:r>
      <w:r w:rsidRPr="00FC4298">
        <w:rPr>
          <w:rFonts w:ascii="David" w:hAnsi="David"/>
          <w:b/>
          <w:bCs/>
          <w:rtl/>
        </w:rPr>
        <w:t xml:space="preserve">שורצמן </w:t>
      </w:r>
      <w:r w:rsidRPr="00FC4298">
        <w:rPr>
          <w:rFonts w:ascii="David" w:hAnsi="David"/>
          <w:rtl/>
        </w:rPr>
        <w:t>הנ"ל); תנאי שעניינו עבירת "חבלה ברשלנות" יופעל מקום בו הנאשם הורשע בהפקרה לאחר פגיעה (</w:t>
      </w:r>
      <w:hyperlink r:id="rId54" w:history="1">
        <w:r w:rsidR="00217513" w:rsidRPr="00217513">
          <w:rPr>
            <w:rFonts w:ascii="David" w:hAnsi="David"/>
            <w:color w:val="0000FF"/>
            <w:u w:val="single"/>
            <w:rtl/>
          </w:rPr>
          <w:t>ע"פ 2352/19</w:t>
        </w:r>
      </w:hyperlink>
      <w:r w:rsidRPr="00FC4298">
        <w:rPr>
          <w:rFonts w:ascii="David" w:hAnsi="David"/>
          <w:rtl/>
        </w:rPr>
        <w:t xml:space="preserve"> </w:t>
      </w:r>
      <w:r w:rsidRPr="00FC4298">
        <w:rPr>
          <w:rFonts w:ascii="David" w:hAnsi="David"/>
          <w:b/>
          <w:bCs/>
          <w:rtl/>
        </w:rPr>
        <w:t>דנילוב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15.10.19); תנאי שעניינו החזקת נכס חשוד יופעל מקום בו הנאשם הורשע בעבירת שוד (</w:t>
      </w:r>
      <w:hyperlink r:id="rId55" w:history="1">
        <w:r w:rsidR="00217513" w:rsidRPr="00217513">
          <w:rPr>
            <w:rFonts w:ascii="David" w:hAnsi="David"/>
            <w:color w:val="0000FF"/>
            <w:u w:val="single"/>
            <w:rtl/>
          </w:rPr>
          <w:t>ע"פ 5328/02</w:t>
        </w:r>
      </w:hyperlink>
      <w:r w:rsidRPr="00FC4298">
        <w:rPr>
          <w:rFonts w:ascii="David" w:hAnsi="David"/>
          <w:rtl/>
        </w:rPr>
        <w:t xml:space="preserve"> </w:t>
      </w:r>
      <w:r w:rsidRPr="00FC4298">
        <w:rPr>
          <w:rFonts w:ascii="David" w:hAnsi="David"/>
          <w:b/>
          <w:bCs/>
          <w:rtl/>
        </w:rPr>
        <w:t>עבוד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9.4.03); תנאי שעניינו "שלא יעבור כל עבירת אלימות" יופעל מקום בו העבירה הנוספת היא איומים באלימות במהלך שוד (</w:t>
      </w:r>
      <w:hyperlink r:id="rId56" w:history="1">
        <w:r w:rsidR="00217513" w:rsidRPr="00217513">
          <w:rPr>
            <w:rFonts w:ascii="David" w:hAnsi="David"/>
            <w:color w:val="0000FF"/>
            <w:u w:val="single"/>
            <w:rtl/>
          </w:rPr>
          <w:t>ע"פ 6420/10</w:t>
        </w:r>
      </w:hyperlink>
      <w:r w:rsidRPr="00FC4298">
        <w:rPr>
          <w:rFonts w:ascii="David" w:hAnsi="David"/>
          <w:rtl/>
        </w:rPr>
        <w:t xml:space="preserve"> </w:t>
      </w:r>
      <w:r w:rsidRPr="00FC4298">
        <w:rPr>
          <w:rFonts w:ascii="David" w:hAnsi="David"/>
          <w:b/>
          <w:bCs/>
          <w:rtl/>
        </w:rPr>
        <w:t>סלסנר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23.8.11), או מקום בו העבירה הנוספת היא החזקת נשק (</w:t>
      </w:r>
      <w:hyperlink r:id="rId57" w:history="1">
        <w:r w:rsidR="00217513" w:rsidRPr="00217513">
          <w:rPr>
            <w:rFonts w:ascii="David" w:hAnsi="David"/>
            <w:color w:val="0000FF"/>
            <w:u w:val="single"/>
            <w:rtl/>
          </w:rPr>
          <w:t>ת.פ. (מח' ב"ש) 54607-07-19</w:t>
        </w:r>
      </w:hyperlink>
      <w:r w:rsidRPr="00FC4298">
        <w:rPr>
          <w:rFonts w:ascii="David" w:hAnsi="David"/>
          <w:rtl/>
        </w:rPr>
        <w:t xml:space="preserve"> </w:t>
      </w:r>
      <w:r w:rsidRPr="00FC4298">
        <w:rPr>
          <w:rFonts w:ascii="David" w:hAnsi="David"/>
          <w:b/>
          <w:bCs/>
          <w:rtl/>
        </w:rPr>
        <w:t>מדינת ישראל נ' ג'בור</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20.1.20); וכי תנאי שעניינו "שלא יעבור עבירה שיש בה יסוד של אלימות והיא פשע", יופעל מקום בו העבירות הנוספות הן חבלה במזיד ברכב וניסיון גניבת רכב (</w:t>
      </w:r>
      <w:hyperlink r:id="rId58" w:history="1">
        <w:r w:rsidR="00217513" w:rsidRPr="00217513">
          <w:rPr>
            <w:rFonts w:ascii="David" w:hAnsi="David"/>
            <w:color w:val="0000FF"/>
            <w:u w:val="single"/>
            <w:rtl/>
          </w:rPr>
          <w:t>רע"פ 6352/12</w:t>
        </w:r>
      </w:hyperlink>
      <w:r w:rsidRPr="00FC4298">
        <w:rPr>
          <w:rFonts w:ascii="David" w:hAnsi="David"/>
          <w:rtl/>
        </w:rPr>
        <w:t xml:space="preserve"> </w:t>
      </w:r>
      <w:r w:rsidRPr="00FC4298">
        <w:rPr>
          <w:rFonts w:ascii="David" w:hAnsi="David"/>
          <w:b/>
          <w:bCs/>
          <w:rtl/>
        </w:rPr>
        <w:t>סעדה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23.9.12).</w:t>
      </w:r>
    </w:p>
    <w:p w14:paraId="55DD292C" w14:textId="77777777" w:rsidR="00AA4AB8" w:rsidRPr="00FC4298" w:rsidRDefault="00AA4AB8" w:rsidP="00AA4AB8">
      <w:pPr>
        <w:spacing w:line="360" w:lineRule="auto"/>
        <w:jc w:val="both"/>
        <w:rPr>
          <w:rFonts w:ascii="David" w:hAnsi="David"/>
          <w:rtl/>
        </w:rPr>
      </w:pPr>
    </w:p>
    <w:p w14:paraId="208157A6" w14:textId="77777777" w:rsidR="00AA4AB8" w:rsidRPr="00FC4298" w:rsidRDefault="00AA4AB8" w:rsidP="00AA4AB8">
      <w:pPr>
        <w:spacing w:line="360" w:lineRule="auto"/>
        <w:jc w:val="both"/>
        <w:rPr>
          <w:rFonts w:ascii="David" w:hAnsi="David"/>
          <w:rtl/>
        </w:rPr>
      </w:pPr>
      <w:r w:rsidRPr="00FC4298">
        <w:rPr>
          <w:rFonts w:ascii="David" w:hAnsi="David"/>
          <w:rtl/>
        </w:rPr>
        <w:t>ולענייננו.</w:t>
      </w:r>
    </w:p>
    <w:p w14:paraId="1D0C4CE7" w14:textId="77777777" w:rsidR="00AA4AB8" w:rsidRPr="00FC4298" w:rsidRDefault="00AA4AB8" w:rsidP="00AA4AB8">
      <w:pPr>
        <w:spacing w:line="360" w:lineRule="auto"/>
        <w:jc w:val="both"/>
        <w:rPr>
          <w:rFonts w:ascii="David" w:hAnsi="David"/>
          <w:rtl/>
        </w:rPr>
      </w:pPr>
    </w:p>
    <w:p w14:paraId="7BEF0C56" w14:textId="77777777" w:rsidR="00AA4AB8" w:rsidRPr="00B75205" w:rsidRDefault="00AA4AB8" w:rsidP="00AA4AB8">
      <w:pPr>
        <w:spacing w:line="360" w:lineRule="auto"/>
        <w:jc w:val="both"/>
        <w:rPr>
          <w:rFonts w:ascii="David" w:hAnsi="David"/>
          <w:rtl/>
        </w:rPr>
      </w:pPr>
      <w:r w:rsidRPr="00B75205">
        <w:rPr>
          <w:rFonts w:ascii="David" w:hAnsi="David"/>
          <w:rtl/>
        </w:rPr>
        <w:t xml:space="preserve">עיון בעבירות מושא </w:t>
      </w:r>
      <w:hyperlink r:id="rId59" w:history="1">
        <w:r w:rsidR="00217513" w:rsidRPr="00217513">
          <w:rPr>
            <w:rFonts w:ascii="David" w:hAnsi="David"/>
            <w:color w:val="0000FF"/>
            <w:u w:val="single"/>
            <w:rtl/>
          </w:rPr>
          <w:t>פקודת הסמים המסוכנים</w:t>
        </w:r>
      </w:hyperlink>
      <w:r w:rsidRPr="00B75205">
        <w:rPr>
          <w:rFonts w:ascii="David" w:hAnsi="David"/>
          <w:rtl/>
        </w:rPr>
        <w:t xml:space="preserve"> מעלה, כי זולת העבירה שעניינה החזקת סם מסוכן לצריכה עצמית (</w:t>
      </w:r>
      <w:hyperlink r:id="rId60" w:history="1">
        <w:r w:rsidR="00D90150" w:rsidRPr="00D90150">
          <w:rPr>
            <w:rStyle w:val="Hyperlink"/>
            <w:rFonts w:ascii="David" w:hAnsi="David"/>
            <w:color w:val="0000FF"/>
            <w:rtl/>
          </w:rPr>
          <w:t>סע' 7(ג)</w:t>
        </w:r>
      </w:hyperlink>
      <w:r w:rsidRPr="00B75205">
        <w:rPr>
          <w:rFonts w:ascii="David" w:hAnsi="David"/>
          <w:rtl/>
        </w:rPr>
        <w:t xml:space="preserve"> סיפא לפקודה), יתר העבירות, מסוג פשע, נועדו לתכלית של מניעת נגע הסמים על צורותיו השונות. במובן בסיסי זה, ייצוא סם, ייבואו, אספקתו, תיווך לעסקה בו, טלטולו במעבר, החזקתו שלא לצריכה עצמית- כל אלה תצורות התנהגות שונות שעניינן בהפצת סם, לשם השגת רווח כספי. לכל אלה יסוד נפשי בסיסי משותף שעניינו מודעות העושה לביצוע האמור. לא בכדי העונש הקבוע בצידן זהה- עשרים שנות מאסר וככל שעסקינן בהדחת קטין לסם- אף למעלה מכך.</w:t>
      </w:r>
    </w:p>
    <w:p w14:paraId="1CB937F4" w14:textId="77777777" w:rsidR="00AA4AB8" w:rsidRDefault="00AA4AB8" w:rsidP="00AA4AB8">
      <w:pPr>
        <w:spacing w:line="360" w:lineRule="auto"/>
        <w:jc w:val="both"/>
        <w:rPr>
          <w:rFonts w:ascii="David" w:hAnsi="David"/>
          <w:rtl/>
        </w:rPr>
      </w:pPr>
    </w:p>
    <w:p w14:paraId="08A45719" w14:textId="77777777" w:rsidR="00AA4AB8" w:rsidRPr="00FC4298" w:rsidRDefault="00AA4AB8" w:rsidP="00AA4AB8">
      <w:pPr>
        <w:spacing w:line="360" w:lineRule="auto"/>
        <w:jc w:val="both"/>
        <w:rPr>
          <w:rFonts w:ascii="David" w:hAnsi="David"/>
          <w:rtl/>
        </w:rPr>
      </w:pPr>
    </w:p>
    <w:p w14:paraId="23AE0A30" w14:textId="77777777" w:rsidR="00AA4AB8" w:rsidRPr="00FC4298" w:rsidRDefault="00AA4AB8" w:rsidP="00AA4AB8">
      <w:pPr>
        <w:spacing w:line="360" w:lineRule="auto"/>
        <w:jc w:val="both"/>
        <w:rPr>
          <w:rFonts w:ascii="David" w:hAnsi="David"/>
          <w:rtl/>
        </w:rPr>
      </w:pPr>
      <w:r w:rsidRPr="00FC4298">
        <w:rPr>
          <w:rFonts w:ascii="David" w:hAnsi="David"/>
          <w:rtl/>
        </w:rPr>
        <w:t xml:space="preserve">מי המגדל סם, בהכרח מחזיק בסם, בפועל או בכוח. בהינתן האמור, ככל שקיים תנאי שמהותו איסור גידול סם, והעבירה הנוספת היא החזקת סם </w:t>
      </w:r>
      <w:r w:rsidRPr="00FC4298">
        <w:rPr>
          <w:rFonts w:ascii="David" w:hAnsi="David"/>
          <w:i/>
          <w:iCs/>
          <w:rtl/>
        </w:rPr>
        <w:t>לצריכה עצמית</w:t>
      </w:r>
      <w:r w:rsidRPr="00FC4298">
        <w:rPr>
          <w:rFonts w:ascii="David" w:hAnsi="David"/>
          <w:rtl/>
        </w:rPr>
        <w:t>- קרי, עבירה מסוג עוון, לא ניתן להלום כי העבירה הנוספת מפעילה את התנאי האמור, שכן המועט אינו מכיל את המרובה. העבירה הנוספת בנסיבות מעין אלה אינה כוללת את כלל יסודותיה המהותיים של עבירת הגידול.</w:t>
      </w:r>
    </w:p>
    <w:p w14:paraId="66C99E70" w14:textId="77777777" w:rsidR="00AA4AB8" w:rsidRPr="00FC4298" w:rsidRDefault="00AA4AB8" w:rsidP="00AA4AB8">
      <w:pPr>
        <w:spacing w:line="360" w:lineRule="auto"/>
        <w:jc w:val="both"/>
        <w:rPr>
          <w:rFonts w:ascii="David" w:hAnsi="David"/>
          <w:rtl/>
        </w:rPr>
      </w:pPr>
    </w:p>
    <w:p w14:paraId="5FD02812" w14:textId="77777777" w:rsidR="00AA4AB8" w:rsidRPr="00FC4298" w:rsidRDefault="00AA4AB8" w:rsidP="00AA4AB8">
      <w:pPr>
        <w:spacing w:line="360" w:lineRule="auto"/>
        <w:jc w:val="both"/>
        <w:rPr>
          <w:rFonts w:ascii="David" w:hAnsi="David"/>
          <w:rtl/>
        </w:rPr>
      </w:pPr>
      <w:r w:rsidRPr="00FC4298">
        <w:rPr>
          <w:rFonts w:ascii="David" w:hAnsi="David"/>
          <w:rtl/>
        </w:rPr>
        <w:t>שונים הדברים כאשר עניינה של העבירה הנוספת בהחזקת סם שלא לצריכה עצמית, כבענייננו. בנסיבות אלה, הן העבירה הנ"ל והן עבירת הגידול שתיהן עבירות מסוג פשע, המצויות באותה קטגוריה ובאותו רף חומרה עקרוני. יתרה מכך, הרציונל המניעתי העומד ביסודן- זהה: מניעת הפצת נגע הסמים. המבחן המהותי מושא הלכת מסילתי והפסיקה בעקבותיה מחייבים מסקנה זו. אכן, אין זהות ביסודות העבירות כפי ניסוחן בחוק, אך קיימת זהות בין יסודות עבירת הגידול כניסוחה בחוק, ולבין היסודות המתקיימים בהתנהגות הנאשם, כפי העבירה הנוספת.</w:t>
      </w:r>
    </w:p>
    <w:p w14:paraId="4F9E1E45" w14:textId="77777777" w:rsidR="00AA4AB8" w:rsidRPr="00FC4298" w:rsidRDefault="00AA4AB8" w:rsidP="00AA4AB8">
      <w:pPr>
        <w:spacing w:line="360" w:lineRule="auto"/>
        <w:jc w:val="both"/>
        <w:rPr>
          <w:rFonts w:ascii="David" w:hAnsi="David"/>
          <w:rtl/>
        </w:rPr>
      </w:pPr>
    </w:p>
    <w:p w14:paraId="7FFC0DD6" w14:textId="77777777" w:rsidR="00AA4AB8" w:rsidRPr="00FC4298" w:rsidRDefault="00AA4AB8" w:rsidP="00AA4AB8">
      <w:pPr>
        <w:spacing w:line="360" w:lineRule="auto"/>
        <w:jc w:val="both"/>
        <w:rPr>
          <w:rFonts w:ascii="David" w:hAnsi="David"/>
          <w:rtl/>
        </w:rPr>
      </w:pPr>
      <w:r w:rsidRPr="00FC4298">
        <w:rPr>
          <w:rFonts w:ascii="David" w:hAnsi="David"/>
          <w:rtl/>
        </w:rPr>
        <w:t>מקל וחומר נכונים הדברים בענייננו, שכן עבירת הגידול מושא המאסר המותנה ת/4, עניינה בגידול למעלה מ- 460 גרם נטו של סם מסוכן מסוג קנאבוס, במתחם "מעבדה" שיועד לשם כך, הכולל מערכת השקיה ואיוורור, כמתואר באותו אישום. ברי כי אין מדובר בגידול לשימוש עצמי בלבד והדבר אף לא נטען. יתרה מכך, העבירה הנוספת מושא ההליך שלפניי, עניינה כאמור בהחזקת שני סוגים שונים של סמים קשים- הירואין וקוקאין, במשקל העולה עשרות מונים על זה המוגדר כחזקה לשימוש עצמי והוא בעל זיקה ישירה לאישומי הסחר, כמבואר למצער באישום הראשון.</w:t>
      </w:r>
    </w:p>
    <w:p w14:paraId="03ABC39B" w14:textId="77777777" w:rsidR="00AA4AB8" w:rsidRPr="00FC4298" w:rsidRDefault="00AA4AB8" w:rsidP="00AA4AB8">
      <w:pPr>
        <w:spacing w:line="360" w:lineRule="auto"/>
        <w:jc w:val="both"/>
        <w:rPr>
          <w:rFonts w:ascii="David" w:hAnsi="David"/>
          <w:rtl/>
        </w:rPr>
      </w:pPr>
    </w:p>
    <w:p w14:paraId="6F7BC455" w14:textId="77777777" w:rsidR="00AA4AB8" w:rsidRPr="00FC4298" w:rsidRDefault="00AA4AB8" w:rsidP="00AA4AB8">
      <w:pPr>
        <w:spacing w:line="360" w:lineRule="auto"/>
        <w:jc w:val="both"/>
        <w:rPr>
          <w:rFonts w:ascii="David" w:hAnsi="David"/>
          <w:rtl/>
        </w:rPr>
      </w:pPr>
      <w:r w:rsidRPr="00FC4298">
        <w:rPr>
          <w:rFonts w:ascii="David" w:hAnsi="David"/>
          <w:rtl/>
        </w:rPr>
        <w:t xml:space="preserve">זאת ועוד. </w:t>
      </w:r>
      <w:hyperlink r:id="rId61" w:history="1">
        <w:r w:rsidR="00D90150" w:rsidRPr="00D90150">
          <w:rPr>
            <w:rStyle w:val="Hyperlink"/>
            <w:rFonts w:ascii="David" w:hAnsi="David"/>
            <w:color w:val="0000FF"/>
            <w:rtl/>
          </w:rPr>
          <w:t>סע' 34כא</w:t>
        </w:r>
      </w:hyperlink>
      <w:r w:rsidRPr="00FC4298">
        <w:rPr>
          <w:rFonts w:ascii="David" w:hAnsi="David"/>
          <w:rtl/>
        </w:rPr>
        <w:t xml:space="preserve"> ל</w:t>
      </w:r>
      <w:hyperlink r:id="rId62" w:history="1">
        <w:r w:rsidR="00217513" w:rsidRPr="00217513">
          <w:rPr>
            <w:rFonts w:ascii="David" w:hAnsi="David"/>
            <w:color w:val="0000FF"/>
            <w:u w:val="single"/>
            <w:rtl/>
          </w:rPr>
          <w:t>חוק העונשין</w:t>
        </w:r>
      </w:hyperlink>
      <w:r w:rsidRPr="00FC4298">
        <w:rPr>
          <w:rFonts w:ascii="David" w:hAnsi="David"/>
          <w:rtl/>
        </w:rPr>
        <w:t>, התשל"ז- 1977, קובע כי מקום בו ניתן דין לפירושים סבירים אחדים לפי תכליתו, יוכרע העניין לפי הפירוש המקל ביותר עם הנאשם לפי אותו דין. סע' חוק זה חל גם על נורמות המתייחסות לשלב הענישה (</w:t>
      </w:r>
      <w:hyperlink r:id="rId63" w:history="1">
        <w:r w:rsidR="00217513" w:rsidRPr="00217513">
          <w:rPr>
            <w:rFonts w:ascii="David" w:hAnsi="David"/>
            <w:color w:val="0000FF"/>
            <w:u w:val="single"/>
            <w:rtl/>
          </w:rPr>
          <w:t>דנ"פ 8086/01</w:t>
        </w:r>
      </w:hyperlink>
      <w:r w:rsidRPr="00FC4298">
        <w:rPr>
          <w:rFonts w:ascii="David" w:hAnsi="David"/>
          <w:rtl/>
        </w:rPr>
        <w:t xml:space="preserve"> </w:t>
      </w:r>
      <w:r w:rsidRPr="00FC4298">
        <w:rPr>
          <w:rFonts w:ascii="David" w:hAnsi="David"/>
          <w:b/>
          <w:bCs/>
          <w:rtl/>
        </w:rPr>
        <w:t>אייזן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3.3.05, סע' 30 לחוו"ד כב' השופט מצא) ולשם כך פסק דין כמוהו כ"דין" (</w:t>
      </w:r>
      <w:hyperlink r:id="rId64" w:history="1">
        <w:r w:rsidR="00217513" w:rsidRPr="00217513">
          <w:rPr>
            <w:rFonts w:ascii="David" w:hAnsi="David"/>
            <w:color w:val="0000FF"/>
            <w:u w:val="single"/>
            <w:rtl/>
          </w:rPr>
          <w:t>ע"פ 5877/13</w:t>
        </w:r>
      </w:hyperlink>
      <w:r w:rsidRPr="00FC4298">
        <w:rPr>
          <w:rFonts w:ascii="David" w:hAnsi="David"/>
          <w:rtl/>
        </w:rPr>
        <w:t xml:space="preserve"> </w:t>
      </w:r>
      <w:r w:rsidRPr="00FC4298">
        <w:rPr>
          <w:rFonts w:ascii="David" w:hAnsi="David"/>
          <w:b/>
          <w:bCs/>
          <w:rtl/>
        </w:rPr>
        <w:t>בדארנה גאלב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2.4.15).</w:t>
      </w:r>
    </w:p>
    <w:p w14:paraId="7A27E577" w14:textId="77777777" w:rsidR="00AA4AB8" w:rsidRPr="00FC4298" w:rsidRDefault="00AA4AB8" w:rsidP="00AA4AB8">
      <w:pPr>
        <w:spacing w:line="360" w:lineRule="auto"/>
        <w:jc w:val="both"/>
        <w:rPr>
          <w:rFonts w:ascii="David" w:hAnsi="David"/>
          <w:rtl/>
        </w:rPr>
      </w:pPr>
      <w:r w:rsidRPr="00FC4298">
        <w:rPr>
          <w:rFonts w:ascii="David" w:hAnsi="David"/>
          <w:rtl/>
        </w:rPr>
        <w:t xml:space="preserve">על מנת להחיל את הכלל הפרשני מושא הוראת חוק זו, אין די בקיומן של מספר אפשרויות לשוניות, אלא נדרש להראות כי ישנן מספר אפשרויות סבירות מבחינת התאמתן לתכלית הנורמה ורק אז לבחור בפירוש המקל. לא מצאתי כי הפרשנות המוצעת ע"י ההגנה בהקשר זה סבירה, בהיותה טכנית גרידא ומנוגדת לתכלית עבירת התנאי והעבירה הנוספת גם יחד (וראו: </w:t>
      </w:r>
      <w:hyperlink r:id="rId65" w:history="1">
        <w:r w:rsidR="00217513" w:rsidRPr="00217513">
          <w:rPr>
            <w:rFonts w:ascii="David" w:hAnsi="David"/>
            <w:color w:val="0000FF"/>
            <w:u w:val="single"/>
            <w:rtl/>
          </w:rPr>
          <w:t>דנ"פ 10987/07 מדינת ישראל נ' ברק כהן, פ"ד סג</w:t>
        </w:r>
      </w:hyperlink>
      <w:r w:rsidRPr="00FC4298">
        <w:rPr>
          <w:rFonts w:ascii="David" w:hAnsi="David"/>
          <w:rtl/>
        </w:rPr>
        <w:t>(1), 644).</w:t>
      </w:r>
    </w:p>
    <w:p w14:paraId="679AF858" w14:textId="77777777" w:rsidR="00AA4AB8" w:rsidRPr="00FC4298" w:rsidRDefault="00AA4AB8" w:rsidP="00AA4AB8">
      <w:pPr>
        <w:spacing w:line="360" w:lineRule="auto"/>
        <w:jc w:val="both"/>
        <w:rPr>
          <w:rFonts w:ascii="David" w:hAnsi="David"/>
          <w:rtl/>
        </w:rPr>
      </w:pPr>
    </w:p>
    <w:p w14:paraId="3F363A62" w14:textId="77777777" w:rsidR="00AA4AB8" w:rsidRPr="00FC4298" w:rsidRDefault="00AA4AB8" w:rsidP="00AA4AB8">
      <w:pPr>
        <w:spacing w:line="360" w:lineRule="auto"/>
        <w:jc w:val="both"/>
        <w:rPr>
          <w:rFonts w:ascii="David" w:hAnsi="David"/>
          <w:rtl/>
        </w:rPr>
      </w:pPr>
      <w:r w:rsidRPr="00FC4298">
        <w:rPr>
          <w:rFonts w:ascii="David" w:hAnsi="David"/>
          <w:rtl/>
        </w:rPr>
        <w:t>לאור כל האמור באתי לכלל מסקנה לפיה תנאי שעניינו גידול סם מסוכן יכול ויופעל מקום בו הנאשם ביצע עבירה נוספת שעניינה החזקת סמים שלא לצריכה עצמית וכי המאסר המותנה מושא ת/4 הוא למצער בר הפעלה בענייננו.</w:t>
      </w:r>
    </w:p>
    <w:p w14:paraId="1E6AA974" w14:textId="77777777" w:rsidR="00AA4AB8" w:rsidRPr="00FC4298" w:rsidRDefault="00AA4AB8" w:rsidP="00AA4AB8">
      <w:pPr>
        <w:spacing w:line="360" w:lineRule="auto"/>
        <w:jc w:val="both"/>
        <w:rPr>
          <w:rFonts w:ascii="David" w:hAnsi="David"/>
          <w:rtl/>
        </w:rPr>
      </w:pPr>
    </w:p>
    <w:p w14:paraId="7CF39789"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5.6 </w:t>
      </w:r>
      <w:r w:rsidRPr="00FC4298">
        <w:rPr>
          <w:rFonts w:ascii="David" w:hAnsi="David"/>
          <w:b/>
          <w:bCs/>
          <w:u w:val="single"/>
          <w:rtl/>
        </w:rPr>
        <w:t>עונשי מאסר בפועל- הצטברות או שמא חפיפה</w:t>
      </w:r>
    </w:p>
    <w:p w14:paraId="28095F27" w14:textId="77777777" w:rsidR="00AA4AB8" w:rsidRPr="00FC4298" w:rsidRDefault="00AA4AB8" w:rsidP="00AA4AB8">
      <w:pPr>
        <w:spacing w:line="360" w:lineRule="auto"/>
        <w:jc w:val="both"/>
        <w:rPr>
          <w:rFonts w:ascii="David" w:hAnsi="David"/>
          <w:rtl/>
        </w:rPr>
      </w:pPr>
      <w:r w:rsidRPr="00FC4298">
        <w:rPr>
          <w:rFonts w:ascii="David" w:hAnsi="David"/>
          <w:rtl/>
        </w:rPr>
        <w:t xml:space="preserve">בפסיקה שלאחר תיקון 113 לחוק, נקבע כי הכלל הוא </w:t>
      </w:r>
      <w:r w:rsidRPr="00FC4298">
        <w:rPr>
          <w:rFonts w:ascii="David" w:hAnsi="David"/>
          <w:u w:val="single"/>
          <w:rtl/>
        </w:rPr>
        <w:t>הצטברות</w:t>
      </w:r>
      <w:r w:rsidRPr="00FC4298">
        <w:rPr>
          <w:rFonts w:ascii="David" w:hAnsi="David"/>
          <w:rtl/>
        </w:rPr>
        <w:t xml:space="preserve"> של עונשי מאסר בפועל, במיוחד כאשר מדובר באירועים עברייניים נפרדים ושונים, ואילו החריג הוא חפיפה בינהם, בהתקיים נסיבות מיוחדות ובכפוף להנמקה מתאימה (</w:t>
      </w:r>
      <w:hyperlink r:id="rId66" w:history="1">
        <w:r w:rsidR="00217513" w:rsidRPr="00217513">
          <w:rPr>
            <w:rFonts w:ascii="David" w:hAnsi="David"/>
            <w:color w:val="0000FF"/>
            <w:u w:val="single"/>
            <w:rtl/>
          </w:rPr>
          <w:t>ע"פ 7907/14</w:t>
        </w:r>
      </w:hyperlink>
      <w:r w:rsidRPr="00FC4298">
        <w:rPr>
          <w:rFonts w:ascii="David" w:hAnsi="David"/>
          <w:rtl/>
        </w:rPr>
        <w:t xml:space="preserve"> </w:t>
      </w:r>
      <w:r w:rsidRPr="00FC4298">
        <w:rPr>
          <w:rFonts w:ascii="David" w:hAnsi="David"/>
          <w:b/>
          <w:bCs/>
          <w:rtl/>
        </w:rPr>
        <w:t>ואזנה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 xml:space="preserve">מיום 22.2.15, סע' 8-18 לחוו"ד כב' השופט מזוז; </w:t>
      </w:r>
      <w:hyperlink r:id="rId67" w:history="1">
        <w:r w:rsidR="00217513" w:rsidRPr="00217513">
          <w:rPr>
            <w:rFonts w:ascii="David" w:hAnsi="David"/>
            <w:color w:val="0000FF"/>
            <w:u w:val="single"/>
            <w:rtl/>
          </w:rPr>
          <w:t>ע"פ 1552/15</w:t>
        </w:r>
      </w:hyperlink>
      <w:r w:rsidRPr="00FC4298">
        <w:rPr>
          <w:rFonts w:ascii="David" w:hAnsi="David"/>
          <w:rtl/>
        </w:rPr>
        <w:t xml:space="preserve"> </w:t>
      </w:r>
      <w:r w:rsidRPr="00FC4298">
        <w:rPr>
          <w:rFonts w:ascii="David" w:hAnsi="David"/>
          <w:b/>
          <w:bCs/>
          <w:rtl/>
        </w:rPr>
        <w:t>גואל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4.6.15, סע' 8 חוו"ד כב' השופט פוגלמן).</w:t>
      </w:r>
    </w:p>
    <w:p w14:paraId="0A9422BA" w14:textId="77777777" w:rsidR="00AA4AB8" w:rsidRPr="00FC4298" w:rsidRDefault="00AA4AB8" w:rsidP="00AA4AB8">
      <w:pPr>
        <w:spacing w:line="360" w:lineRule="auto"/>
        <w:jc w:val="both"/>
        <w:rPr>
          <w:rFonts w:ascii="David" w:hAnsi="David"/>
          <w:rtl/>
        </w:rPr>
      </w:pPr>
    </w:p>
    <w:p w14:paraId="7004FEF4" w14:textId="77777777" w:rsidR="00AA4AB8" w:rsidRPr="00FC4298" w:rsidRDefault="00AA4AB8" w:rsidP="00AA4AB8">
      <w:pPr>
        <w:spacing w:line="360" w:lineRule="auto"/>
        <w:jc w:val="both"/>
        <w:rPr>
          <w:rFonts w:ascii="David" w:hAnsi="David"/>
          <w:rtl/>
        </w:rPr>
      </w:pPr>
      <w:r w:rsidRPr="00FC4298">
        <w:rPr>
          <w:rFonts w:ascii="David" w:hAnsi="David"/>
          <w:rtl/>
        </w:rPr>
        <w:t>בנוסף, ככל שגדלה מידת הזיקה בין העבירה הנוכחית לבין העבירה בגינה הוטל המאסר המותנה כך תיטה הכף לטובת החלת ברירת המחדל של צבירת עונשים על פני החלתם בחופף (</w:t>
      </w:r>
      <w:hyperlink r:id="rId68" w:history="1">
        <w:r w:rsidR="00217513" w:rsidRPr="00217513">
          <w:rPr>
            <w:rFonts w:ascii="David" w:hAnsi="David"/>
            <w:color w:val="0000FF"/>
            <w:u w:val="single"/>
            <w:rtl/>
          </w:rPr>
          <w:t>ע"פ 2336/16</w:t>
        </w:r>
      </w:hyperlink>
      <w:r w:rsidRPr="00FC4298">
        <w:rPr>
          <w:rFonts w:ascii="David" w:hAnsi="David"/>
          <w:rtl/>
        </w:rPr>
        <w:t xml:space="preserve"> </w:t>
      </w:r>
      <w:r w:rsidRPr="00FC4298">
        <w:rPr>
          <w:rFonts w:ascii="David" w:hAnsi="David"/>
          <w:b/>
          <w:bCs/>
          <w:rtl/>
        </w:rPr>
        <w:t>מזראייב נ' מדינת ישראל</w:t>
      </w:r>
      <w:r w:rsidRPr="00FC4298">
        <w:rPr>
          <w:rFonts w:ascii="David" w:hAnsi="David"/>
          <w:rtl/>
        </w:rPr>
        <w:t xml:space="preserve">, </w:t>
      </w:r>
      <w:r w:rsidR="00B04ABB" w:rsidRPr="00B04ABB">
        <w:rPr>
          <w:sz w:val="22"/>
          <w:rtl/>
        </w:rPr>
        <w:t xml:space="preserve">[פורסם בנבו] </w:t>
      </w:r>
      <w:r w:rsidRPr="00FC4298">
        <w:rPr>
          <w:rFonts w:ascii="David" w:hAnsi="David"/>
          <w:rtl/>
        </w:rPr>
        <w:t>מיום 14.12.17).</w:t>
      </w:r>
    </w:p>
    <w:p w14:paraId="0AB5B820" w14:textId="77777777" w:rsidR="00AA4AB8" w:rsidRPr="00FC4298" w:rsidRDefault="00AA4AB8" w:rsidP="00AA4AB8">
      <w:pPr>
        <w:spacing w:line="360" w:lineRule="auto"/>
        <w:jc w:val="both"/>
        <w:rPr>
          <w:rFonts w:ascii="David" w:hAnsi="David"/>
          <w:rtl/>
        </w:rPr>
      </w:pPr>
    </w:p>
    <w:p w14:paraId="7865633C" w14:textId="77777777" w:rsidR="00AA4AB8" w:rsidRPr="00FC4298" w:rsidRDefault="00AA4AB8" w:rsidP="00AA4AB8">
      <w:pPr>
        <w:spacing w:line="360" w:lineRule="auto"/>
        <w:jc w:val="both"/>
        <w:rPr>
          <w:rFonts w:ascii="David" w:hAnsi="David"/>
          <w:rtl/>
        </w:rPr>
      </w:pPr>
      <w:r w:rsidRPr="00FC4298">
        <w:rPr>
          <w:rFonts w:ascii="David" w:hAnsi="David"/>
          <w:rtl/>
        </w:rPr>
        <w:t>בהינתן חומרת העבירות בהן הורשע הנאשם, עברו הפלילי המכביד והישנות העבירות בסמיכות זמנים למאסר המותנה מושא ת/4, לא מצאתי כל הצדקה לחפוף את המאסרים המותנים והם ירוצו במצטבר לעונש המאסר שיושת, כמו גם במצטבר האחד לאחר.</w:t>
      </w:r>
    </w:p>
    <w:p w14:paraId="649CFD2A" w14:textId="77777777" w:rsidR="00AA4AB8" w:rsidRPr="00FC4298" w:rsidRDefault="00AA4AB8" w:rsidP="00AA4AB8">
      <w:pPr>
        <w:spacing w:line="360" w:lineRule="auto"/>
        <w:jc w:val="both"/>
        <w:rPr>
          <w:rFonts w:ascii="David" w:hAnsi="David"/>
          <w:rtl/>
        </w:rPr>
      </w:pPr>
    </w:p>
    <w:p w14:paraId="75A92493" w14:textId="77777777" w:rsidR="00AA4AB8" w:rsidRPr="00FC4298" w:rsidRDefault="00AA4AB8" w:rsidP="00AA4AB8">
      <w:pPr>
        <w:spacing w:line="360" w:lineRule="auto"/>
        <w:jc w:val="both"/>
        <w:rPr>
          <w:rFonts w:ascii="David" w:hAnsi="David"/>
          <w:u w:val="single"/>
          <w:rtl/>
        </w:rPr>
      </w:pPr>
      <w:r w:rsidRPr="00FC4298">
        <w:rPr>
          <w:rFonts w:ascii="David" w:hAnsi="David"/>
          <w:b/>
          <w:bCs/>
          <w:rtl/>
        </w:rPr>
        <w:t xml:space="preserve">5.7 </w:t>
      </w:r>
      <w:r w:rsidRPr="00FC4298">
        <w:rPr>
          <w:rFonts w:ascii="David" w:hAnsi="David"/>
          <w:b/>
          <w:bCs/>
          <w:u w:val="single"/>
          <w:rtl/>
        </w:rPr>
        <w:t>אכרזה כסוחר סמים</w:t>
      </w:r>
    </w:p>
    <w:p w14:paraId="74ECFFF4" w14:textId="77777777" w:rsidR="00AA4AB8" w:rsidRPr="00FC4298" w:rsidRDefault="00AA4AB8" w:rsidP="00AA4AB8">
      <w:pPr>
        <w:spacing w:line="360" w:lineRule="auto"/>
        <w:jc w:val="both"/>
        <w:rPr>
          <w:rFonts w:ascii="David" w:hAnsi="David"/>
          <w:u w:val="single"/>
          <w:rtl/>
        </w:rPr>
      </w:pPr>
    </w:p>
    <w:p w14:paraId="43242ADA" w14:textId="77777777" w:rsidR="00AA4AB8" w:rsidRPr="00FC4298" w:rsidRDefault="00D90150" w:rsidP="00AA4AB8">
      <w:pPr>
        <w:spacing w:line="360" w:lineRule="auto"/>
        <w:jc w:val="both"/>
        <w:rPr>
          <w:rFonts w:ascii="David" w:hAnsi="David"/>
          <w:rtl/>
        </w:rPr>
      </w:pPr>
      <w:hyperlink r:id="rId69" w:history="1">
        <w:r w:rsidRPr="00D90150">
          <w:rPr>
            <w:rStyle w:val="Hyperlink"/>
            <w:rFonts w:ascii="David" w:hAnsi="David"/>
            <w:color w:val="0000FF"/>
            <w:rtl/>
          </w:rPr>
          <w:t>סעיף 36א</w:t>
        </w:r>
      </w:hyperlink>
      <w:r w:rsidR="00AA4AB8" w:rsidRPr="00FC4298">
        <w:rPr>
          <w:rFonts w:ascii="David" w:hAnsi="David"/>
          <w:rtl/>
        </w:rPr>
        <w:t xml:space="preserve"> לפקודה קובע:</w:t>
      </w:r>
    </w:p>
    <w:p w14:paraId="5D8CC6BC" w14:textId="77777777" w:rsidR="00AA4AB8" w:rsidRPr="00FC4298" w:rsidRDefault="00AA4AB8" w:rsidP="00AA4AB8">
      <w:pPr>
        <w:spacing w:line="360" w:lineRule="auto"/>
        <w:jc w:val="both"/>
        <w:rPr>
          <w:rFonts w:ascii="David" w:hAnsi="David"/>
        </w:rPr>
      </w:pPr>
    </w:p>
    <w:p w14:paraId="7CB0F675"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"(א) הורשע אדם בעבירה של עסקת סמים, יצווה בית המשפט, זולת אם סבר שלא לעשות כן מנימוקים מיוחדים שיפרט, כי בנוסף לכל עונש יחולט לאוצר המדינה כל רכוש שהוא-</w:t>
      </w:r>
    </w:p>
    <w:p w14:paraId="2BEBD061"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(1) רכוש ששימש או נועד לשמש כאמצעי לביצוע העבירה או ששימש או נועד לשמש כדי לאפשר את ביצוע העבירה;</w:t>
      </w:r>
    </w:p>
    <w:p w14:paraId="10A5E60B"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(2) רכוש שהושג, במישרין או בעקיפין, כשכר העבירה או כתוצאה מביצוע העבירה, או שיועד לכך.</w:t>
      </w:r>
    </w:p>
    <w:p w14:paraId="4776EE71"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w:t>
      </w:r>
    </w:p>
    <w:p w14:paraId="38A6329A" w14:textId="77777777" w:rsidR="00AA4AB8" w:rsidRPr="00FC4298" w:rsidRDefault="00AA4AB8" w:rsidP="00AA4AB8">
      <w:pPr>
        <w:spacing w:line="360" w:lineRule="auto"/>
        <w:ind w:left="720"/>
        <w:jc w:val="both"/>
        <w:rPr>
          <w:rFonts w:ascii="David" w:hAnsi="David"/>
          <w:b/>
          <w:bCs/>
          <w:sz w:val="22"/>
          <w:szCs w:val="22"/>
          <w:rtl/>
        </w:rPr>
      </w:pPr>
      <w:r w:rsidRPr="00FC4298">
        <w:rPr>
          <w:rFonts w:ascii="David" w:hAnsi="David"/>
          <w:b/>
          <w:bCs/>
          <w:sz w:val="22"/>
          <w:szCs w:val="22"/>
          <w:rtl/>
        </w:rPr>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5AF017B5" w14:textId="77777777" w:rsidR="00AA4AB8" w:rsidRPr="00FC4298" w:rsidRDefault="00AA4AB8" w:rsidP="00AA4AB8">
      <w:pPr>
        <w:spacing w:line="360" w:lineRule="auto"/>
        <w:jc w:val="both"/>
        <w:rPr>
          <w:rFonts w:ascii="David" w:hAnsi="David"/>
          <w:rtl/>
        </w:rPr>
      </w:pPr>
    </w:p>
    <w:p w14:paraId="47CA6BD2" w14:textId="77777777" w:rsidR="00AA4AB8" w:rsidRPr="00FC4298" w:rsidRDefault="00AA4AB8" w:rsidP="00AA4AB8">
      <w:pPr>
        <w:spacing w:line="360" w:lineRule="auto"/>
        <w:jc w:val="both"/>
        <w:rPr>
          <w:rFonts w:ascii="David" w:hAnsi="David"/>
          <w:rtl/>
        </w:rPr>
      </w:pPr>
      <w:r w:rsidRPr="00FC4298">
        <w:rPr>
          <w:rFonts w:ascii="David" w:hAnsi="David"/>
          <w:rtl/>
        </w:rPr>
        <w:t xml:space="preserve">הוראת </w:t>
      </w:r>
      <w:hyperlink r:id="rId70" w:history="1">
        <w:r w:rsidR="00D90150" w:rsidRPr="00D90150">
          <w:rPr>
            <w:rStyle w:val="Hyperlink"/>
            <w:rFonts w:ascii="David" w:hAnsi="David"/>
            <w:color w:val="0000FF"/>
            <w:rtl/>
          </w:rPr>
          <w:t>סע' 31(6)</w:t>
        </w:r>
      </w:hyperlink>
      <w:r w:rsidRPr="00FC4298">
        <w:rPr>
          <w:rFonts w:ascii="David" w:hAnsi="David"/>
          <w:rtl/>
        </w:rPr>
        <w:t xml:space="preserve"> לפקודה קובעת חזקה לפיה רכושו של סוחר הסמים הושג בעבירה אלא אם הלה יוכיח (במאזן הסתברויות אזרחי) כי הרכוש הושג באמצעי חוקי. בנסיבות, הנאשם לא סתר את החזקה האמורה ולא התיימר לסותרה.</w:t>
      </w:r>
    </w:p>
    <w:p w14:paraId="3B9734CD" w14:textId="77777777" w:rsidR="00AA4AB8" w:rsidRPr="00FC4298" w:rsidRDefault="00AA4AB8" w:rsidP="00AA4AB8">
      <w:pPr>
        <w:spacing w:line="360" w:lineRule="auto"/>
        <w:jc w:val="both"/>
        <w:rPr>
          <w:rFonts w:ascii="David" w:hAnsi="David"/>
          <w:rtl/>
        </w:rPr>
      </w:pPr>
    </w:p>
    <w:p w14:paraId="32D16A53" w14:textId="77777777" w:rsidR="00AA4AB8" w:rsidRPr="00FC4298" w:rsidRDefault="00AA4AB8" w:rsidP="00AA4AB8">
      <w:pPr>
        <w:spacing w:line="360" w:lineRule="auto"/>
        <w:jc w:val="both"/>
        <w:rPr>
          <w:rFonts w:ascii="David" w:hAnsi="David"/>
          <w:rtl/>
        </w:rPr>
      </w:pPr>
      <w:r w:rsidRPr="00FC4298">
        <w:rPr>
          <w:rFonts w:ascii="David" w:hAnsi="David"/>
          <w:rtl/>
        </w:rPr>
        <w:t>לא מצאתי כל הצדקה לחלט אך את חלקו של הסך שנתפס, שממילא אינו גבוה כלל ועיקר. משכך אני מורה על חילוט מכשיר הטלפון אשר שימש את הנאשם לביצוע עסקאות הסמים וכן את סך המזומן שנתפס, בשלמותו.</w:t>
      </w:r>
    </w:p>
    <w:p w14:paraId="26E8C16E" w14:textId="77777777" w:rsidR="00AA4AB8" w:rsidRDefault="00AA4AB8" w:rsidP="00AA4AB8">
      <w:pPr>
        <w:spacing w:line="360" w:lineRule="auto"/>
        <w:jc w:val="both"/>
        <w:rPr>
          <w:rFonts w:ascii="David" w:hAnsi="David"/>
          <w:rtl/>
        </w:rPr>
      </w:pPr>
    </w:p>
    <w:p w14:paraId="4A51532E" w14:textId="77777777" w:rsidR="00AA4AB8" w:rsidRDefault="00AA4AB8" w:rsidP="00AA4AB8">
      <w:pPr>
        <w:spacing w:line="360" w:lineRule="auto"/>
        <w:jc w:val="both"/>
        <w:rPr>
          <w:rFonts w:ascii="David" w:hAnsi="David"/>
          <w:rtl/>
        </w:rPr>
      </w:pPr>
    </w:p>
    <w:p w14:paraId="2CF0EAB9" w14:textId="77777777" w:rsidR="00AA4AB8" w:rsidRPr="00FC4298" w:rsidRDefault="00AA4AB8" w:rsidP="00AA4AB8">
      <w:pPr>
        <w:spacing w:line="360" w:lineRule="auto"/>
        <w:jc w:val="both"/>
        <w:rPr>
          <w:rFonts w:ascii="David" w:hAnsi="David"/>
          <w:rtl/>
        </w:rPr>
      </w:pPr>
    </w:p>
    <w:p w14:paraId="31697AF9" w14:textId="77777777" w:rsidR="00AA4AB8" w:rsidRPr="00FC4298" w:rsidRDefault="00AA4AB8" w:rsidP="00AA4AB8">
      <w:pPr>
        <w:spacing w:line="360" w:lineRule="auto"/>
        <w:jc w:val="both"/>
        <w:rPr>
          <w:rFonts w:ascii="David" w:hAnsi="David"/>
          <w:b/>
          <w:bCs/>
          <w:u w:val="single"/>
          <w:rtl/>
        </w:rPr>
      </w:pPr>
      <w:r w:rsidRPr="00FC4298">
        <w:rPr>
          <w:rFonts w:ascii="David" w:hAnsi="David"/>
          <w:b/>
          <w:bCs/>
          <w:u w:val="single"/>
          <w:rtl/>
        </w:rPr>
        <w:t>גזירת העונש</w:t>
      </w:r>
    </w:p>
    <w:p w14:paraId="369F6C0A" w14:textId="77777777" w:rsidR="00AA4AB8" w:rsidRPr="00FC4298" w:rsidRDefault="00AA4AB8" w:rsidP="00AA4AB8">
      <w:pPr>
        <w:spacing w:line="360" w:lineRule="auto"/>
        <w:jc w:val="both"/>
        <w:rPr>
          <w:rFonts w:ascii="David" w:hAnsi="David"/>
          <w:b/>
          <w:bCs/>
          <w:rtl/>
        </w:rPr>
      </w:pPr>
      <w:r w:rsidRPr="00FC4298">
        <w:rPr>
          <w:rFonts w:ascii="David" w:hAnsi="David"/>
          <w:b/>
          <w:bCs/>
          <w:rtl/>
        </w:rPr>
        <w:t>אשר על כן אני גוזר על הנאשם את העונשים הבאים:</w:t>
      </w:r>
    </w:p>
    <w:p w14:paraId="1D007D59" w14:textId="77777777" w:rsidR="00AA4AB8" w:rsidRPr="00FC4298" w:rsidRDefault="00AA4AB8" w:rsidP="00AA4AB8">
      <w:pPr>
        <w:spacing w:line="360" w:lineRule="auto"/>
        <w:jc w:val="both"/>
        <w:rPr>
          <w:rFonts w:ascii="David" w:hAnsi="David"/>
          <w:b/>
          <w:bCs/>
          <w:rtl/>
        </w:rPr>
      </w:pPr>
    </w:p>
    <w:p w14:paraId="36D57E46" w14:textId="77777777" w:rsidR="00AA4AB8" w:rsidRPr="00FC4298" w:rsidRDefault="00AA4AB8" w:rsidP="00AA4AB8">
      <w:pPr>
        <w:numPr>
          <w:ilvl w:val="0"/>
          <w:numId w:val="1"/>
        </w:numPr>
        <w:spacing w:line="360" w:lineRule="auto"/>
        <w:contextualSpacing/>
        <w:jc w:val="both"/>
        <w:rPr>
          <w:rFonts w:ascii="David" w:hAnsi="David"/>
        </w:rPr>
      </w:pPr>
      <w:r w:rsidRPr="00FC4298">
        <w:rPr>
          <w:rFonts w:ascii="David" w:hAnsi="David"/>
          <w:rtl/>
        </w:rPr>
        <w:t xml:space="preserve">מאסר בפועל למשך 41 חודשים. </w:t>
      </w:r>
    </w:p>
    <w:p w14:paraId="375A0D16" w14:textId="77777777" w:rsidR="00AA4AB8" w:rsidRPr="00FC4298" w:rsidRDefault="00AA4AB8" w:rsidP="00AA4AB8">
      <w:pPr>
        <w:numPr>
          <w:ilvl w:val="0"/>
          <w:numId w:val="1"/>
        </w:numPr>
        <w:spacing w:line="360" w:lineRule="auto"/>
        <w:contextualSpacing/>
        <w:jc w:val="both"/>
        <w:rPr>
          <w:rFonts w:ascii="David" w:hAnsi="David"/>
        </w:rPr>
      </w:pPr>
      <w:r w:rsidRPr="00FC4298">
        <w:rPr>
          <w:rFonts w:ascii="David" w:hAnsi="David"/>
          <w:rtl/>
        </w:rPr>
        <w:t>הפעלת מאסר על תנאי בן 3 חודשים מ</w:t>
      </w:r>
      <w:hyperlink r:id="rId71" w:history="1">
        <w:r w:rsidR="00217513" w:rsidRPr="00217513">
          <w:rPr>
            <w:rFonts w:ascii="David" w:hAnsi="David"/>
            <w:color w:val="0000FF"/>
            <w:u w:val="single"/>
            <w:rtl/>
          </w:rPr>
          <w:t>ת"פ (רמ') 21205-08-18</w:t>
        </w:r>
      </w:hyperlink>
      <w:r w:rsidRPr="00FC4298">
        <w:rPr>
          <w:rFonts w:ascii="David" w:hAnsi="David"/>
          <w:rtl/>
        </w:rPr>
        <w:t xml:space="preserve"> (מיום 8.9.19).</w:t>
      </w:r>
    </w:p>
    <w:p w14:paraId="14B4CDAD" w14:textId="77777777" w:rsidR="00AA4AB8" w:rsidRPr="00FC4298" w:rsidRDefault="00AA4AB8" w:rsidP="00AA4AB8">
      <w:pPr>
        <w:numPr>
          <w:ilvl w:val="0"/>
          <w:numId w:val="1"/>
        </w:numPr>
        <w:spacing w:line="360" w:lineRule="auto"/>
        <w:contextualSpacing/>
        <w:jc w:val="both"/>
        <w:rPr>
          <w:rFonts w:ascii="David" w:hAnsi="David"/>
        </w:rPr>
      </w:pPr>
      <w:r w:rsidRPr="00FC4298">
        <w:rPr>
          <w:rFonts w:ascii="David" w:hAnsi="David"/>
          <w:rtl/>
        </w:rPr>
        <w:t>הפעלת מאסר על תנאי בן 6 חודשים מ</w:t>
      </w:r>
      <w:hyperlink r:id="rId72" w:history="1">
        <w:r w:rsidR="00217513" w:rsidRPr="00217513">
          <w:rPr>
            <w:rFonts w:ascii="David" w:hAnsi="David"/>
            <w:color w:val="0000FF"/>
            <w:u w:val="single"/>
            <w:rtl/>
          </w:rPr>
          <w:t>ת"פ (רמ') 33780-03-18</w:t>
        </w:r>
      </w:hyperlink>
      <w:r w:rsidRPr="00FC4298">
        <w:rPr>
          <w:rFonts w:ascii="David" w:hAnsi="David"/>
          <w:rtl/>
        </w:rPr>
        <w:t xml:space="preserve"> (מיום 19.6.18).</w:t>
      </w:r>
    </w:p>
    <w:p w14:paraId="774320AA" w14:textId="77777777" w:rsidR="00AA4AB8" w:rsidRPr="00FC4298" w:rsidRDefault="00AA4AB8" w:rsidP="00AA4AB8">
      <w:pPr>
        <w:spacing w:line="360" w:lineRule="auto"/>
        <w:ind w:left="720"/>
        <w:contextualSpacing/>
        <w:jc w:val="both"/>
        <w:rPr>
          <w:rFonts w:ascii="David" w:hAnsi="David"/>
        </w:rPr>
      </w:pPr>
      <w:r w:rsidRPr="00FC4298">
        <w:rPr>
          <w:rFonts w:ascii="David" w:hAnsi="David"/>
          <w:rtl/>
        </w:rPr>
        <w:t xml:space="preserve">כלל המאסרים ירוצו במצטבר האחד לאחר באופן שבו סה"כ ירצה הנאשם 50 חודשי מאסר החל מיום מעצרו 30.10.19. </w:t>
      </w:r>
    </w:p>
    <w:p w14:paraId="65490A26"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 xml:space="preserve">9 חודשי מאסר על תנאי, למשך 3 שנים מיום שחרורו ממאסר, שלא יעבור כל עבירה לפי </w:t>
      </w:r>
      <w:hyperlink r:id="rId73" w:history="1">
        <w:r w:rsidR="00217513" w:rsidRPr="00217513">
          <w:rPr>
            <w:rFonts w:ascii="David" w:hAnsi="David"/>
            <w:color w:val="0000FF"/>
            <w:u w:val="single"/>
            <w:rtl/>
          </w:rPr>
          <w:t>פקודת הסמים המסוכנים</w:t>
        </w:r>
      </w:hyperlink>
      <w:r w:rsidRPr="00FC4298">
        <w:rPr>
          <w:rFonts w:ascii="David" w:hAnsi="David"/>
          <w:rtl/>
        </w:rPr>
        <w:t xml:space="preserve">, מסוג פשע. </w:t>
      </w:r>
    </w:p>
    <w:p w14:paraId="3E173F54"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4 חודשי מאסר על תנאי, למשך 3 שנים מיום שחרורו ממאסר, שלא יעבור עבירה לפי פקודת הסמים מסוג עוון.</w:t>
      </w:r>
    </w:p>
    <w:p w14:paraId="1CE54618"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אני מכריז על הנאשם כסוחר סמים. סך של 3,</w:t>
      </w:r>
      <w:r>
        <w:rPr>
          <w:rFonts w:ascii="David" w:hAnsi="David" w:hint="cs"/>
          <w:rtl/>
        </w:rPr>
        <w:t>9</w:t>
      </w:r>
      <w:r w:rsidRPr="00FC4298">
        <w:rPr>
          <w:rFonts w:ascii="David" w:hAnsi="David"/>
          <w:rtl/>
        </w:rPr>
        <w:t>30 ש"ח ומכשיר הטלפון שנתפסו יחולטו בהתאם לטובת אוצר המדינה.</w:t>
      </w:r>
    </w:p>
    <w:p w14:paraId="22BED2A0"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6 חודשי פסילה בפועל, מלקבל או להחזיק ברישיון נהיגה, מיום שחרורו ממאסר.</w:t>
      </w:r>
    </w:p>
    <w:p w14:paraId="0DA2F7AE"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6 חודשי מאסר על תנאי, למשך 3 שנים מיום שחרורו ממאסר, שלא יעבור עבירה לפי פקודת הסמים.</w:t>
      </w:r>
    </w:p>
    <w:p w14:paraId="4004807D" w14:textId="77777777" w:rsidR="00AA4AB8" w:rsidRPr="00FC4298" w:rsidRDefault="00AA4AB8" w:rsidP="00AA4AB8">
      <w:pPr>
        <w:keepLines/>
        <w:numPr>
          <w:ilvl w:val="0"/>
          <w:numId w:val="1"/>
        </w:numPr>
        <w:spacing w:line="360" w:lineRule="auto"/>
        <w:contextualSpacing/>
        <w:jc w:val="both"/>
        <w:rPr>
          <w:rFonts w:ascii="David" w:hAnsi="David"/>
        </w:rPr>
      </w:pPr>
      <w:r w:rsidRPr="00FC4298">
        <w:rPr>
          <w:rFonts w:ascii="David" w:hAnsi="David"/>
          <w:rtl/>
        </w:rPr>
        <w:t>ככל שקיים בידי הנאשם רישיון נהיגה יופקד הוא בתוך 14 יום מהיום.</w:t>
      </w:r>
    </w:p>
    <w:p w14:paraId="07C210AF" w14:textId="77777777" w:rsidR="00AA4AB8" w:rsidRPr="00FC4298" w:rsidRDefault="00AA4AB8" w:rsidP="00AA4AB8">
      <w:pPr>
        <w:keepLines/>
        <w:spacing w:line="360" w:lineRule="auto"/>
        <w:contextualSpacing/>
        <w:jc w:val="both"/>
        <w:rPr>
          <w:rFonts w:ascii="David" w:hAnsi="David"/>
        </w:rPr>
      </w:pPr>
    </w:p>
    <w:p w14:paraId="3B06B1D0" w14:textId="77777777" w:rsidR="00AA4AB8" w:rsidRPr="00FC4298" w:rsidRDefault="00AA4AB8" w:rsidP="00AA4AB8">
      <w:pPr>
        <w:spacing w:line="360" w:lineRule="auto"/>
        <w:jc w:val="both"/>
        <w:rPr>
          <w:rFonts w:ascii="David" w:hAnsi="David"/>
          <w:b/>
          <w:bCs/>
          <w:rtl/>
        </w:rPr>
      </w:pPr>
      <w:r w:rsidRPr="00FC4298">
        <w:rPr>
          <w:rFonts w:ascii="David" w:hAnsi="David"/>
          <w:b/>
          <w:bCs/>
          <w:rtl/>
        </w:rPr>
        <w:t>זכות ערעור כחוק, תוך 45 ימים, לבית המשפט המחוזי- מרכז.</w:t>
      </w:r>
    </w:p>
    <w:p w14:paraId="0AE040CC" w14:textId="77777777" w:rsidR="00AA4AB8" w:rsidRPr="00FC4298" w:rsidRDefault="00AA4AB8" w:rsidP="00AA4AB8">
      <w:pPr>
        <w:spacing w:line="360" w:lineRule="auto"/>
        <w:jc w:val="both"/>
        <w:rPr>
          <w:rtl/>
        </w:rPr>
      </w:pPr>
    </w:p>
    <w:p w14:paraId="5822897B" w14:textId="77777777" w:rsidR="00AA4AB8" w:rsidRPr="00B05847" w:rsidRDefault="00AA4AB8" w:rsidP="00AA4AB8">
      <w:pPr>
        <w:rPr>
          <w:rtl/>
        </w:rPr>
      </w:pPr>
    </w:p>
    <w:p w14:paraId="40011670" w14:textId="77777777" w:rsidR="00AA4AB8" w:rsidRPr="00B05847" w:rsidRDefault="00217513" w:rsidP="00AA4AB8">
      <w:pPr>
        <w:spacing w:line="360" w:lineRule="auto"/>
        <w:jc w:val="both"/>
        <w:rPr>
          <w:rtl/>
        </w:rPr>
      </w:pPr>
      <w:bookmarkStart w:id="7" w:name="Nitan"/>
      <w:r w:rsidRPr="00217513">
        <w:rPr>
          <w:rFonts w:ascii="Arial" w:hAnsi="Arial"/>
          <w:color w:val="FFFFFF"/>
          <w:sz w:val="2"/>
          <w:szCs w:val="2"/>
          <w:rtl/>
        </w:rPr>
        <w:t>5129371</w:t>
      </w:r>
      <w:r>
        <w:rPr>
          <w:rFonts w:ascii="Arial" w:hAnsi="Arial"/>
          <w:rtl/>
        </w:rPr>
        <w:t xml:space="preserve">ניתן היום,  ד' תשרי תשפ"א, 22 ספטמבר 2020. בהינתן כי הנאשם נתון כעת בבידוד בשל הקורונה, </w:t>
      </w:r>
      <w:bookmarkEnd w:id="7"/>
      <w:r w:rsidR="00AA4AB8" w:rsidRPr="00FC4298">
        <w:rPr>
          <w:rtl/>
        </w:rPr>
        <w:t xml:space="preserve">בבית המעצר- גזר הדין </w:t>
      </w:r>
      <w:r w:rsidR="00AA4AB8" w:rsidRPr="00FC4298">
        <w:rPr>
          <w:rFonts w:ascii="David" w:hAnsi="David"/>
          <w:rtl/>
        </w:rPr>
        <w:t>ניתן והודע במעמד ב"כ הצדדים וכאשר הנאשם שומע את גזר הדין באמצעות היוועדות חזותית.</w:t>
      </w:r>
    </w:p>
    <w:p w14:paraId="04C6AFF7" w14:textId="77777777" w:rsidR="00AA4AB8" w:rsidRPr="00217513" w:rsidRDefault="00217513" w:rsidP="00AA4AB8">
      <w:pPr>
        <w:spacing w:line="360" w:lineRule="auto"/>
        <w:jc w:val="both"/>
        <w:rPr>
          <w:rFonts w:cs="FrankRuehl"/>
          <w:color w:val="FFFFFF"/>
          <w:sz w:val="2"/>
          <w:szCs w:val="2"/>
          <w:rtl/>
        </w:rPr>
      </w:pPr>
      <w:r w:rsidRPr="00217513">
        <w:rPr>
          <w:rFonts w:cs="FrankRuehl"/>
          <w:color w:val="FFFFFF"/>
          <w:sz w:val="2"/>
          <w:szCs w:val="2"/>
          <w:rtl/>
        </w:rPr>
        <w:t>54678313</w:t>
      </w:r>
    </w:p>
    <w:p w14:paraId="55595213" w14:textId="77777777" w:rsidR="00AA4AB8" w:rsidRDefault="00AA4AB8" w:rsidP="0021751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AE7758" w14:textId="77777777" w:rsidR="00AA4AB8" w:rsidRDefault="00AA4AB8" w:rsidP="00AA4AB8">
      <w:pPr>
        <w:pStyle w:val="a3"/>
        <w:jc w:val="center"/>
        <w:rPr>
          <w:rtl/>
        </w:rPr>
      </w:pPr>
    </w:p>
    <w:p w14:paraId="66256001" w14:textId="77777777" w:rsidR="00AC6C04" w:rsidRPr="00217513" w:rsidRDefault="00AC6C04" w:rsidP="00217513">
      <w:pPr>
        <w:keepNext/>
        <w:rPr>
          <w:rFonts w:ascii="David" w:hAnsi="David"/>
          <w:color w:val="000000"/>
          <w:sz w:val="22"/>
          <w:szCs w:val="22"/>
          <w:rtl/>
        </w:rPr>
      </w:pPr>
    </w:p>
    <w:p w14:paraId="42E0FBED" w14:textId="77777777" w:rsidR="00217513" w:rsidRPr="00217513" w:rsidRDefault="00217513" w:rsidP="00217513">
      <w:pPr>
        <w:keepNext/>
        <w:rPr>
          <w:rFonts w:ascii="David" w:hAnsi="David"/>
          <w:color w:val="000000"/>
          <w:sz w:val="22"/>
          <w:szCs w:val="22"/>
          <w:rtl/>
        </w:rPr>
      </w:pPr>
      <w:r w:rsidRPr="00217513">
        <w:rPr>
          <w:rFonts w:ascii="David" w:hAnsi="David"/>
          <w:color w:val="000000"/>
          <w:sz w:val="22"/>
          <w:szCs w:val="22"/>
          <w:rtl/>
        </w:rPr>
        <w:t>אייל כהן 54678313</w:t>
      </w:r>
    </w:p>
    <w:p w14:paraId="4C2D8CB6" w14:textId="77777777" w:rsidR="00217513" w:rsidRDefault="00217513" w:rsidP="00217513">
      <w:r w:rsidRPr="00217513">
        <w:rPr>
          <w:color w:val="000000"/>
          <w:rtl/>
        </w:rPr>
        <w:t>נוסח מסמך זה כפוף לשינויי ניסוח ועריכה</w:t>
      </w:r>
    </w:p>
    <w:p w14:paraId="0A7C0540" w14:textId="77777777" w:rsidR="00217513" w:rsidRDefault="00217513" w:rsidP="00217513">
      <w:pPr>
        <w:rPr>
          <w:rtl/>
        </w:rPr>
      </w:pPr>
    </w:p>
    <w:p w14:paraId="52E227A3" w14:textId="77777777" w:rsidR="00217513" w:rsidRDefault="00217513" w:rsidP="00217513">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49178BAE" w14:textId="77777777" w:rsidR="00217513" w:rsidRPr="00217513" w:rsidRDefault="00217513" w:rsidP="00217513">
      <w:pPr>
        <w:jc w:val="center"/>
        <w:rPr>
          <w:color w:val="0000FF"/>
          <w:u w:val="single"/>
        </w:rPr>
      </w:pPr>
    </w:p>
    <w:sectPr w:rsidR="00217513" w:rsidRPr="00217513" w:rsidSect="00217513">
      <w:headerReference w:type="even" r:id="rId75"/>
      <w:headerReference w:type="default" r:id="rId76"/>
      <w:footerReference w:type="even" r:id="rId77"/>
      <w:footerReference w:type="default" r:id="rId78"/>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74070" w14:textId="77777777" w:rsidR="008427F9" w:rsidRDefault="008427F9">
      <w:r>
        <w:separator/>
      </w:r>
    </w:p>
  </w:endnote>
  <w:endnote w:type="continuationSeparator" w:id="0">
    <w:p w14:paraId="12FE4E17" w14:textId="77777777" w:rsidR="008427F9" w:rsidRDefault="0084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7EADD" w14:textId="77777777" w:rsidR="00217513" w:rsidRDefault="00217513" w:rsidP="002175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59F8DA" w14:textId="77777777" w:rsidR="00612CC8" w:rsidRPr="00217513" w:rsidRDefault="00217513" w:rsidP="002175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687DC" w14:textId="77777777" w:rsidR="00217513" w:rsidRDefault="00217513" w:rsidP="002175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010A">
      <w:rPr>
        <w:rFonts w:ascii="FrankRuehl" w:hAnsi="FrankRuehl" w:cs="FrankRuehl"/>
        <w:noProof/>
        <w:rtl/>
      </w:rPr>
      <w:t>1</w:t>
    </w:r>
    <w:r>
      <w:rPr>
        <w:rFonts w:ascii="FrankRuehl" w:hAnsi="FrankRuehl" w:cs="FrankRuehl"/>
        <w:rtl/>
      </w:rPr>
      <w:fldChar w:fldCharType="end"/>
    </w:r>
  </w:p>
  <w:p w14:paraId="62A6CAC7" w14:textId="77777777" w:rsidR="00612CC8" w:rsidRPr="00217513" w:rsidRDefault="00217513" w:rsidP="002175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15B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4E679" w14:textId="77777777" w:rsidR="008427F9" w:rsidRDefault="008427F9">
      <w:r>
        <w:separator/>
      </w:r>
    </w:p>
  </w:footnote>
  <w:footnote w:type="continuationSeparator" w:id="0">
    <w:p w14:paraId="2EFBC653" w14:textId="77777777" w:rsidR="008427F9" w:rsidRDefault="00842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44AE" w14:textId="77777777" w:rsidR="00217513" w:rsidRPr="00217513" w:rsidRDefault="00217513" w:rsidP="002175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24079-11-19</w:t>
    </w:r>
    <w:r>
      <w:rPr>
        <w:rFonts w:ascii="David" w:hAnsi="David"/>
        <w:color w:val="000000"/>
        <w:sz w:val="22"/>
        <w:szCs w:val="22"/>
        <w:rtl/>
      </w:rPr>
      <w:tab/>
      <w:t xml:space="preserve"> מדינת ישראל נ' חאדר אבו חאלד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8EA51" w14:textId="77777777" w:rsidR="00217513" w:rsidRPr="00217513" w:rsidRDefault="00217513" w:rsidP="002175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24079-11-19</w:t>
    </w:r>
    <w:r>
      <w:rPr>
        <w:rFonts w:ascii="David" w:hAnsi="David"/>
        <w:color w:val="000000"/>
        <w:sz w:val="22"/>
        <w:szCs w:val="22"/>
        <w:rtl/>
      </w:rPr>
      <w:tab/>
      <w:t xml:space="preserve"> מדינת ישראל נ' חאדר אבו חאלד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373C6"/>
    <w:multiLevelType w:val="hybridMultilevel"/>
    <w:tmpl w:val="542818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7610E11"/>
    <w:multiLevelType w:val="hybridMultilevel"/>
    <w:tmpl w:val="E056E310"/>
    <w:lvl w:ilvl="0" w:tplc="14545BD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13917502">
    <w:abstractNumId w:val="0"/>
  </w:num>
  <w:num w:numId="2" w16cid:durableId="4090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4AB8"/>
    <w:rsid w:val="00217513"/>
    <w:rsid w:val="0030728C"/>
    <w:rsid w:val="003479F7"/>
    <w:rsid w:val="0037015A"/>
    <w:rsid w:val="00612CC8"/>
    <w:rsid w:val="008427F9"/>
    <w:rsid w:val="0088010A"/>
    <w:rsid w:val="008942C0"/>
    <w:rsid w:val="008B0F0C"/>
    <w:rsid w:val="008C0E02"/>
    <w:rsid w:val="00AA4AB8"/>
    <w:rsid w:val="00AC6C04"/>
    <w:rsid w:val="00B04ABB"/>
    <w:rsid w:val="00C274F4"/>
    <w:rsid w:val="00C501AB"/>
    <w:rsid w:val="00D90150"/>
    <w:rsid w:val="00E44B12"/>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A0CFFC"/>
  <w15:chartTrackingRefBased/>
  <w15:docId w15:val="{6E2D73C0-75A3-44A8-B98F-F8EFDAF9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4AB8"/>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AA4AB8"/>
    <w:pPr>
      <w:tabs>
        <w:tab w:val="center" w:pos="4153"/>
        <w:tab w:val="right" w:pos="8306"/>
      </w:tabs>
    </w:pPr>
  </w:style>
  <w:style w:type="character" w:customStyle="1" w:styleId="a4">
    <w:name w:val="כותרת עליונה תו"/>
    <w:link w:val="a3"/>
    <w:rsid w:val="00AA4AB8"/>
    <w:rPr>
      <w:rFonts w:ascii="Times New Roman" w:eastAsia="Times New Roman" w:hAnsi="Times New Roman" w:cs="David"/>
      <w:sz w:val="24"/>
      <w:szCs w:val="24"/>
    </w:rPr>
  </w:style>
  <w:style w:type="paragraph" w:styleId="a5">
    <w:name w:val="footer"/>
    <w:basedOn w:val="a"/>
    <w:link w:val="a6"/>
    <w:rsid w:val="00AA4AB8"/>
    <w:pPr>
      <w:tabs>
        <w:tab w:val="center" w:pos="4153"/>
        <w:tab w:val="right" w:pos="8306"/>
      </w:tabs>
    </w:pPr>
  </w:style>
  <w:style w:type="character" w:customStyle="1" w:styleId="a6">
    <w:name w:val="כותרת תחתונה תו"/>
    <w:link w:val="a5"/>
    <w:rsid w:val="00AA4AB8"/>
    <w:rPr>
      <w:rFonts w:ascii="Times New Roman" w:eastAsia="Times New Roman" w:hAnsi="Times New Roman" w:cs="David"/>
      <w:sz w:val="24"/>
      <w:szCs w:val="24"/>
    </w:rPr>
  </w:style>
  <w:style w:type="table" w:styleId="a7">
    <w:name w:val="Table Grid"/>
    <w:basedOn w:val="a1"/>
    <w:rsid w:val="00AA4A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4AB8"/>
  </w:style>
  <w:style w:type="character" w:styleId="Hyperlink">
    <w:name w:val="Hyperlink"/>
    <w:rsid w:val="002175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13" TargetMode="External"/><Relationship Id="rId42" Type="http://schemas.openxmlformats.org/officeDocument/2006/relationships/hyperlink" Target="http://www.nevo.co.il/case/23133293" TargetMode="External"/><Relationship Id="rId47" Type="http://schemas.openxmlformats.org/officeDocument/2006/relationships/hyperlink" Target="http://www.nevo.co.il/case/23825973" TargetMode="External"/><Relationship Id="rId63" Type="http://schemas.openxmlformats.org/officeDocument/2006/relationships/hyperlink" Target="http://www.nevo.co.il/case/5857460" TargetMode="External"/><Relationship Id="rId68" Type="http://schemas.openxmlformats.org/officeDocument/2006/relationships/hyperlink" Target="http://www.nevo.co.il/case/21053257" TargetMode="External"/><Relationship Id="rId16" Type="http://schemas.openxmlformats.org/officeDocument/2006/relationships/hyperlink" Target="http://www.nevo.co.il/law/70301/34ka"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787902" TargetMode="External"/><Relationship Id="rId40" Type="http://schemas.openxmlformats.org/officeDocument/2006/relationships/hyperlink" Target="http://www.nevo.co.il/case/23750765" TargetMode="External"/><Relationship Id="rId45" Type="http://schemas.openxmlformats.org/officeDocument/2006/relationships/hyperlink" Target="http://www.nevo.co.il/case/20724222" TargetMode="External"/><Relationship Id="rId53" Type="http://schemas.openxmlformats.org/officeDocument/2006/relationships/hyperlink" Target="http://www.nevo.co.il/case/6097496" TargetMode="External"/><Relationship Id="rId58" Type="http://schemas.openxmlformats.org/officeDocument/2006/relationships/hyperlink" Target="http://www.nevo.co.il/case/5594340" TargetMode="External"/><Relationship Id="rId66" Type="http://schemas.openxmlformats.org/officeDocument/2006/relationships/hyperlink" Target="http://www.nevo.co.il/case/18654248"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70301/34ka"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4216/19a" TargetMode="External"/><Relationship Id="rId30" Type="http://schemas.openxmlformats.org/officeDocument/2006/relationships/hyperlink" Target="http://www.nevo.co.il/case/5573417" TargetMode="External"/><Relationship Id="rId35" Type="http://schemas.openxmlformats.org/officeDocument/2006/relationships/hyperlink" Target="http://www.nevo.co.il/case/20787919" TargetMode="External"/><Relationship Id="rId43" Type="http://schemas.openxmlformats.org/officeDocument/2006/relationships/hyperlink" Target="http://www.nevo.co.il/case/22797714" TargetMode="External"/><Relationship Id="rId48" Type="http://schemas.openxmlformats.org/officeDocument/2006/relationships/hyperlink" Target="http://www.nevo.co.il/case/24908832" TargetMode="External"/><Relationship Id="rId56" Type="http://schemas.openxmlformats.org/officeDocument/2006/relationships/hyperlink" Target="http://www.nevo.co.il/case/6065628" TargetMode="External"/><Relationship Id="rId64" Type="http://schemas.openxmlformats.org/officeDocument/2006/relationships/hyperlink" Target="http://www.nevo.co.il/case/7977559" TargetMode="External"/><Relationship Id="rId69" Type="http://schemas.openxmlformats.org/officeDocument/2006/relationships/hyperlink" Target="http://www.nevo.co.il/law/4216/36a" TargetMode="External"/><Relationship Id="rId77"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case/20178093" TargetMode="External"/><Relationship Id="rId72" Type="http://schemas.openxmlformats.org/officeDocument/2006/relationships/hyperlink" Target="http://www.nevo.co.il/case/2379232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case/10459115" TargetMode="External"/><Relationship Id="rId46" Type="http://schemas.openxmlformats.org/officeDocument/2006/relationships/hyperlink" Target="http://www.nevo.co.il/case/16945484" TargetMode="External"/><Relationship Id="rId59" Type="http://schemas.openxmlformats.org/officeDocument/2006/relationships/hyperlink" Target="http://www.nevo.co.il/law/4216" TargetMode="External"/><Relationship Id="rId67" Type="http://schemas.openxmlformats.org/officeDocument/2006/relationships/hyperlink" Target="http://www.nevo.co.il/case/20060571"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2832600" TargetMode="External"/><Relationship Id="rId54" Type="http://schemas.openxmlformats.org/officeDocument/2006/relationships/hyperlink" Target="http://www.nevo.co.il/case/25585562" TargetMode="External"/><Relationship Id="rId62" Type="http://schemas.openxmlformats.org/officeDocument/2006/relationships/hyperlink" Target="http://www.nevo.co.il/law/70301" TargetMode="External"/><Relationship Id="rId70" Type="http://schemas.openxmlformats.org/officeDocument/2006/relationships/hyperlink" Target="http://www.nevo.co.il/law/4216/31.6"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a" TargetMode="External"/><Relationship Id="rId36" Type="http://schemas.openxmlformats.org/officeDocument/2006/relationships/hyperlink" Target="http://www.nevo.co.il/case/18793360" TargetMode="External"/><Relationship Id="rId49" Type="http://schemas.openxmlformats.org/officeDocument/2006/relationships/hyperlink" Target="http://www.nevo.co.il/case/23792321" TargetMode="External"/><Relationship Id="rId57" Type="http://schemas.openxmlformats.org/officeDocument/2006/relationships/hyperlink" Target="http://www.nevo.co.il/case/25890687"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case/20299976" TargetMode="External"/><Relationship Id="rId52" Type="http://schemas.openxmlformats.org/officeDocument/2006/relationships/hyperlink" Target="http://www.nevo.co.il/case/17922152" TargetMode="External"/><Relationship Id="rId60" Type="http://schemas.openxmlformats.org/officeDocument/2006/relationships/hyperlink" Target="http://www.nevo.co.il/law/4216/7.c" TargetMode="External"/><Relationship Id="rId65" Type="http://schemas.openxmlformats.org/officeDocument/2006/relationships/hyperlink" Target="http://www.nevo.co.il/case/5698660" TargetMode="External"/><Relationship Id="rId73" Type="http://schemas.openxmlformats.org/officeDocument/2006/relationships/hyperlink" Target="http://www.nevo.co.il/law/4216"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16997614" TargetMode="External"/><Relationship Id="rId34" Type="http://schemas.openxmlformats.org/officeDocument/2006/relationships/hyperlink" Target="http://www.nevo.co.il/case/20033641" TargetMode="External"/><Relationship Id="rId50" Type="http://schemas.openxmlformats.org/officeDocument/2006/relationships/hyperlink" Target="http://www.nevo.co.il/case/17942576" TargetMode="External"/><Relationship Id="rId55" Type="http://schemas.openxmlformats.org/officeDocument/2006/relationships/hyperlink" Target="http://www.nevo.co.il/case/5779351" TargetMode="External"/><Relationship Id="rId76"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hyperlink" Target="http://www.nevo.co.il/case/24908832"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5516</Words>
  <Characters>27584</Characters>
  <Application>Microsoft Office Word</Application>
  <DocSecurity>0</DocSecurity>
  <Lines>229</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33034</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8257637</vt:i4>
      </vt:variant>
      <vt:variant>
        <vt:i4>198</vt:i4>
      </vt:variant>
      <vt:variant>
        <vt:i4>0</vt:i4>
      </vt:variant>
      <vt:variant>
        <vt:i4>5</vt:i4>
      </vt:variant>
      <vt:variant>
        <vt:lpwstr>http://www.nevo.co.il/law/4216</vt:lpwstr>
      </vt:variant>
      <vt:variant>
        <vt:lpwstr/>
      </vt:variant>
      <vt:variant>
        <vt:i4>3473533</vt:i4>
      </vt:variant>
      <vt:variant>
        <vt:i4>195</vt:i4>
      </vt:variant>
      <vt:variant>
        <vt:i4>0</vt:i4>
      </vt:variant>
      <vt:variant>
        <vt:i4>5</vt:i4>
      </vt:variant>
      <vt:variant>
        <vt:lpwstr>http://www.nevo.co.il/case/23792321</vt:lpwstr>
      </vt:variant>
      <vt:variant>
        <vt:lpwstr/>
      </vt:variant>
      <vt:variant>
        <vt:i4>3145848</vt:i4>
      </vt:variant>
      <vt:variant>
        <vt:i4>192</vt:i4>
      </vt:variant>
      <vt:variant>
        <vt:i4>0</vt:i4>
      </vt:variant>
      <vt:variant>
        <vt:i4>5</vt:i4>
      </vt:variant>
      <vt:variant>
        <vt:lpwstr>http://www.nevo.co.il/case/24908832</vt:lpwstr>
      </vt:variant>
      <vt:variant>
        <vt:lpwstr/>
      </vt:variant>
      <vt:variant>
        <vt:i4>6488187</vt:i4>
      </vt:variant>
      <vt:variant>
        <vt:i4>189</vt:i4>
      </vt:variant>
      <vt:variant>
        <vt:i4>0</vt:i4>
      </vt:variant>
      <vt:variant>
        <vt:i4>5</vt:i4>
      </vt:variant>
      <vt:variant>
        <vt:lpwstr>http://www.nevo.co.il/law/4216/31.6</vt:lpwstr>
      </vt:variant>
      <vt:variant>
        <vt:lpwstr/>
      </vt:variant>
      <vt:variant>
        <vt:i4>2883708</vt:i4>
      </vt:variant>
      <vt:variant>
        <vt:i4>186</vt:i4>
      </vt:variant>
      <vt:variant>
        <vt:i4>0</vt:i4>
      </vt:variant>
      <vt:variant>
        <vt:i4>5</vt:i4>
      </vt:variant>
      <vt:variant>
        <vt:lpwstr>http://www.nevo.co.il/law/4216/36a</vt:lpwstr>
      </vt:variant>
      <vt:variant>
        <vt:lpwstr/>
      </vt:variant>
      <vt:variant>
        <vt:i4>3407986</vt:i4>
      </vt:variant>
      <vt:variant>
        <vt:i4>183</vt:i4>
      </vt:variant>
      <vt:variant>
        <vt:i4>0</vt:i4>
      </vt:variant>
      <vt:variant>
        <vt:i4>5</vt:i4>
      </vt:variant>
      <vt:variant>
        <vt:lpwstr>http://www.nevo.co.il/case/21053257</vt:lpwstr>
      </vt:variant>
      <vt:variant>
        <vt:lpwstr/>
      </vt:variant>
      <vt:variant>
        <vt:i4>3473527</vt:i4>
      </vt:variant>
      <vt:variant>
        <vt:i4>180</vt:i4>
      </vt:variant>
      <vt:variant>
        <vt:i4>0</vt:i4>
      </vt:variant>
      <vt:variant>
        <vt:i4>5</vt:i4>
      </vt:variant>
      <vt:variant>
        <vt:lpwstr>http://www.nevo.co.il/case/20060571</vt:lpwstr>
      </vt:variant>
      <vt:variant>
        <vt:lpwstr/>
      </vt:variant>
      <vt:variant>
        <vt:i4>3604603</vt:i4>
      </vt:variant>
      <vt:variant>
        <vt:i4>177</vt:i4>
      </vt:variant>
      <vt:variant>
        <vt:i4>0</vt:i4>
      </vt:variant>
      <vt:variant>
        <vt:i4>5</vt:i4>
      </vt:variant>
      <vt:variant>
        <vt:lpwstr>http://www.nevo.co.il/case/18654248</vt:lpwstr>
      </vt:variant>
      <vt:variant>
        <vt:lpwstr/>
      </vt:variant>
      <vt:variant>
        <vt:i4>3801212</vt:i4>
      </vt:variant>
      <vt:variant>
        <vt:i4>174</vt:i4>
      </vt:variant>
      <vt:variant>
        <vt:i4>0</vt:i4>
      </vt:variant>
      <vt:variant>
        <vt:i4>5</vt:i4>
      </vt:variant>
      <vt:variant>
        <vt:lpwstr>http://www.nevo.co.il/case/5698660</vt:lpwstr>
      </vt:variant>
      <vt:variant>
        <vt:lpwstr/>
      </vt:variant>
      <vt:variant>
        <vt:i4>3932287</vt:i4>
      </vt:variant>
      <vt:variant>
        <vt:i4>171</vt:i4>
      </vt:variant>
      <vt:variant>
        <vt:i4>0</vt:i4>
      </vt:variant>
      <vt:variant>
        <vt:i4>5</vt:i4>
      </vt:variant>
      <vt:variant>
        <vt:lpwstr>http://www.nevo.co.il/case/7977559</vt:lpwstr>
      </vt:variant>
      <vt:variant>
        <vt:lpwstr/>
      </vt:variant>
      <vt:variant>
        <vt:i4>3407997</vt:i4>
      </vt:variant>
      <vt:variant>
        <vt:i4>168</vt:i4>
      </vt:variant>
      <vt:variant>
        <vt:i4>0</vt:i4>
      </vt:variant>
      <vt:variant>
        <vt:i4>5</vt:i4>
      </vt:variant>
      <vt:variant>
        <vt:lpwstr>http://www.nevo.co.il/case/5857460</vt:lpwstr>
      </vt:variant>
      <vt:variant>
        <vt:lpwstr/>
      </vt:variant>
      <vt:variant>
        <vt:i4>7995492</vt:i4>
      </vt:variant>
      <vt:variant>
        <vt:i4>165</vt:i4>
      </vt:variant>
      <vt:variant>
        <vt:i4>0</vt:i4>
      </vt:variant>
      <vt:variant>
        <vt:i4>5</vt:i4>
      </vt:variant>
      <vt:variant>
        <vt:lpwstr>http://www.nevo.co.il/law/70301</vt:lpwstr>
      </vt:variant>
      <vt:variant>
        <vt:lpwstr/>
      </vt:variant>
      <vt:variant>
        <vt:i4>13</vt:i4>
      </vt:variant>
      <vt:variant>
        <vt:i4>162</vt:i4>
      </vt:variant>
      <vt:variant>
        <vt:i4>0</vt:i4>
      </vt:variant>
      <vt:variant>
        <vt:i4>5</vt:i4>
      </vt:variant>
      <vt:variant>
        <vt:lpwstr>http://www.nevo.co.il/law/70301/34ka</vt:lpwstr>
      </vt:variant>
      <vt:variant>
        <vt:lpwstr/>
      </vt:variant>
      <vt:variant>
        <vt:i4>2752612</vt:i4>
      </vt:variant>
      <vt:variant>
        <vt:i4>159</vt:i4>
      </vt:variant>
      <vt:variant>
        <vt:i4>0</vt:i4>
      </vt:variant>
      <vt:variant>
        <vt:i4>5</vt:i4>
      </vt:variant>
      <vt:variant>
        <vt:lpwstr>http://www.nevo.co.il/law/4216/7.c</vt:lpwstr>
      </vt:variant>
      <vt:variant>
        <vt:lpwstr/>
      </vt:variant>
      <vt:variant>
        <vt:i4>8257637</vt:i4>
      </vt:variant>
      <vt:variant>
        <vt:i4>156</vt:i4>
      </vt:variant>
      <vt:variant>
        <vt:i4>0</vt:i4>
      </vt:variant>
      <vt:variant>
        <vt:i4>5</vt:i4>
      </vt:variant>
      <vt:variant>
        <vt:lpwstr>http://www.nevo.co.il/law/4216</vt:lpwstr>
      </vt:variant>
      <vt:variant>
        <vt:lpwstr/>
      </vt:variant>
      <vt:variant>
        <vt:i4>4128881</vt:i4>
      </vt:variant>
      <vt:variant>
        <vt:i4>153</vt:i4>
      </vt:variant>
      <vt:variant>
        <vt:i4>0</vt:i4>
      </vt:variant>
      <vt:variant>
        <vt:i4>5</vt:i4>
      </vt:variant>
      <vt:variant>
        <vt:lpwstr>http://www.nevo.co.il/case/5594340</vt:lpwstr>
      </vt:variant>
      <vt:variant>
        <vt:lpwstr/>
      </vt:variant>
      <vt:variant>
        <vt:i4>3276926</vt:i4>
      </vt:variant>
      <vt:variant>
        <vt:i4>150</vt:i4>
      </vt:variant>
      <vt:variant>
        <vt:i4>0</vt:i4>
      </vt:variant>
      <vt:variant>
        <vt:i4>5</vt:i4>
      </vt:variant>
      <vt:variant>
        <vt:lpwstr>http://www.nevo.co.il/case/25890687</vt:lpwstr>
      </vt:variant>
      <vt:variant>
        <vt:lpwstr/>
      </vt:variant>
      <vt:variant>
        <vt:i4>4063347</vt:i4>
      </vt:variant>
      <vt:variant>
        <vt:i4>147</vt:i4>
      </vt:variant>
      <vt:variant>
        <vt:i4>0</vt:i4>
      </vt:variant>
      <vt:variant>
        <vt:i4>5</vt:i4>
      </vt:variant>
      <vt:variant>
        <vt:lpwstr>http://www.nevo.co.il/case/6065628</vt:lpwstr>
      </vt:variant>
      <vt:variant>
        <vt:lpwstr/>
      </vt:variant>
      <vt:variant>
        <vt:i4>3145855</vt:i4>
      </vt:variant>
      <vt:variant>
        <vt:i4>144</vt:i4>
      </vt:variant>
      <vt:variant>
        <vt:i4>0</vt:i4>
      </vt:variant>
      <vt:variant>
        <vt:i4>5</vt:i4>
      </vt:variant>
      <vt:variant>
        <vt:lpwstr>http://www.nevo.co.il/case/5779351</vt:lpwstr>
      </vt:variant>
      <vt:variant>
        <vt:lpwstr/>
      </vt:variant>
      <vt:variant>
        <vt:i4>3407996</vt:i4>
      </vt:variant>
      <vt:variant>
        <vt:i4>141</vt:i4>
      </vt:variant>
      <vt:variant>
        <vt:i4>0</vt:i4>
      </vt:variant>
      <vt:variant>
        <vt:i4>5</vt:i4>
      </vt:variant>
      <vt:variant>
        <vt:lpwstr>http://www.nevo.co.il/case/25585562</vt:lpwstr>
      </vt:variant>
      <vt:variant>
        <vt:lpwstr/>
      </vt:variant>
      <vt:variant>
        <vt:i4>3997818</vt:i4>
      </vt:variant>
      <vt:variant>
        <vt:i4>138</vt:i4>
      </vt:variant>
      <vt:variant>
        <vt:i4>0</vt:i4>
      </vt:variant>
      <vt:variant>
        <vt:i4>5</vt:i4>
      </vt:variant>
      <vt:variant>
        <vt:lpwstr>http://www.nevo.co.il/case/6097496</vt:lpwstr>
      </vt:variant>
      <vt:variant>
        <vt:lpwstr/>
      </vt:variant>
      <vt:variant>
        <vt:i4>4128880</vt:i4>
      </vt:variant>
      <vt:variant>
        <vt:i4>135</vt:i4>
      </vt:variant>
      <vt:variant>
        <vt:i4>0</vt:i4>
      </vt:variant>
      <vt:variant>
        <vt:i4>5</vt:i4>
      </vt:variant>
      <vt:variant>
        <vt:lpwstr>http://www.nevo.co.il/case/17922152</vt:lpwstr>
      </vt:variant>
      <vt:variant>
        <vt:lpwstr/>
      </vt:variant>
      <vt:variant>
        <vt:i4>3276915</vt:i4>
      </vt:variant>
      <vt:variant>
        <vt:i4>132</vt:i4>
      </vt:variant>
      <vt:variant>
        <vt:i4>0</vt:i4>
      </vt:variant>
      <vt:variant>
        <vt:i4>5</vt:i4>
      </vt:variant>
      <vt:variant>
        <vt:lpwstr>http://www.nevo.co.il/case/20178093</vt:lpwstr>
      </vt:variant>
      <vt:variant>
        <vt:lpwstr/>
      </vt:variant>
      <vt:variant>
        <vt:i4>3997810</vt:i4>
      </vt:variant>
      <vt:variant>
        <vt:i4>129</vt:i4>
      </vt:variant>
      <vt:variant>
        <vt:i4>0</vt:i4>
      </vt:variant>
      <vt:variant>
        <vt:i4>5</vt:i4>
      </vt:variant>
      <vt:variant>
        <vt:lpwstr>http://www.nevo.co.il/case/17942576</vt:lpwstr>
      </vt:variant>
      <vt:variant>
        <vt:lpwstr/>
      </vt:variant>
      <vt:variant>
        <vt:i4>3473533</vt:i4>
      </vt:variant>
      <vt:variant>
        <vt:i4>126</vt:i4>
      </vt:variant>
      <vt:variant>
        <vt:i4>0</vt:i4>
      </vt:variant>
      <vt:variant>
        <vt:i4>5</vt:i4>
      </vt:variant>
      <vt:variant>
        <vt:lpwstr>http://www.nevo.co.il/case/23792321</vt:lpwstr>
      </vt:variant>
      <vt:variant>
        <vt:lpwstr/>
      </vt:variant>
      <vt:variant>
        <vt:i4>3145848</vt:i4>
      </vt:variant>
      <vt:variant>
        <vt:i4>123</vt:i4>
      </vt:variant>
      <vt:variant>
        <vt:i4>0</vt:i4>
      </vt:variant>
      <vt:variant>
        <vt:i4>5</vt:i4>
      </vt:variant>
      <vt:variant>
        <vt:lpwstr>http://www.nevo.co.il/case/24908832</vt:lpwstr>
      </vt:variant>
      <vt:variant>
        <vt:lpwstr/>
      </vt:variant>
      <vt:variant>
        <vt:i4>3670140</vt:i4>
      </vt:variant>
      <vt:variant>
        <vt:i4>120</vt:i4>
      </vt:variant>
      <vt:variant>
        <vt:i4>0</vt:i4>
      </vt:variant>
      <vt:variant>
        <vt:i4>5</vt:i4>
      </vt:variant>
      <vt:variant>
        <vt:lpwstr>http://www.nevo.co.il/case/23825973</vt:lpwstr>
      </vt:variant>
      <vt:variant>
        <vt:lpwstr/>
      </vt:variant>
      <vt:variant>
        <vt:i4>3473522</vt:i4>
      </vt:variant>
      <vt:variant>
        <vt:i4>117</vt:i4>
      </vt:variant>
      <vt:variant>
        <vt:i4>0</vt:i4>
      </vt:variant>
      <vt:variant>
        <vt:i4>5</vt:i4>
      </vt:variant>
      <vt:variant>
        <vt:lpwstr>http://www.nevo.co.il/case/16945484</vt:lpwstr>
      </vt:variant>
      <vt:variant>
        <vt:lpwstr/>
      </vt:variant>
      <vt:variant>
        <vt:i4>3342452</vt:i4>
      </vt:variant>
      <vt:variant>
        <vt:i4>114</vt:i4>
      </vt:variant>
      <vt:variant>
        <vt:i4>0</vt:i4>
      </vt:variant>
      <vt:variant>
        <vt:i4>5</vt:i4>
      </vt:variant>
      <vt:variant>
        <vt:lpwstr>http://www.nevo.co.il/case/20724222</vt:lpwstr>
      </vt:variant>
      <vt:variant>
        <vt:lpwstr/>
      </vt:variant>
      <vt:variant>
        <vt:i4>4063348</vt:i4>
      </vt:variant>
      <vt:variant>
        <vt:i4>111</vt:i4>
      </vt:variant>
      <vt:variant>
        <vt:i4>0</vt:i4>
      </vt:variant>
      <vt:variant>
        <vt:i4>5</vt:i4>
      </vt:variant>
      <vt:variant>
        <vt:lpwstr>http://www.nevo.co.il/case/20299976</vt:lpwstr>
      </vt:variant>
      <vt:variant>
        <vt:lpwstr/>
      </vt:variant>
      <vt:variant>
        <vt:i4>3342456</vt:i4>
      </vt:variant>
      <vt:variant>
        <vt:i4>108</vt:i4>
      </vt:variant>
      <vt:variant>
        <vt:i4>0</vt:i4>
      </vt:variant>
      <vt:variant>
        <vt:i4>5</vt:i4>
      </vt:variant>
      <vt:variant>
        <vt:lpwstr>http://www.nevo.co.il/case/22797714</vt:lpwstr>
      </vt:variant>
      <vt:variant>
        <vt:lpwstr/>
      </vt:variant>
      <vt:variant>
        <vt:i4>3735670</vt:i4>
      </vt:variant>
      <vt:variant>
        <vt:i4>105</vt:i4>
      </vt:variant>
      <vt:variant>
        <vt:i4>0</vt:i4>
      </vt:variant>
      <vt:variant>
        <vt:i4>5</vt:i4>
      </vt:variant>
      <vt:variant>
        <vt:lpwstr>http://www.nevo.co.il/case/23133293</vt:lpwstr>
      </vt:variant>
      <vt:variant>
        <vt:lpwstr/>
      </vt:variant>
      <vt:variant>
        <vt:i4>3670131</vt:i4>
      </vt:variant>
      <vt:variant>
        <vt:i4>102</vt:i4>
      </vt:variant>
      <vt:variant>
        <vt:i4>0</vt:i4>
      </vt:variant>
      <vt:variant>
        <vt:i4>5</vt:i4>
      </vt:variant>
      <vt:variant>
        <vt:lpwstr>http://www.nevo.co.il/case/22832600</vt:lpwstr>
      </vt:variant>
      <vt:variant>
        <vt:lpwstr/>
      </vt:variant>
      <vt:variant>
        <vt:i4>3342453</vt:i4>
      </vt:variant>
      <vt:variant>
        <vt:i4>99</vt:i4>
      </vt:variant>
      <vt:variant>
        <vt:i4>0</vt:i4>
      </vt:variant>
      <vt:variant>
        <vt:i4>5</vt:i4>
      </vt:variant>
      <vt:variant>
        <vt:lpwstr>http://www.nevo.co.il/case/23750765</vt:lpwstr>
      </vt:variant>
      <vt:variant>
        <vt:lpwstr/>
      </vt:variant>
      <vt:variant>
        <vt:i4>4063357</vt:i4>
      </vt:variant>
      <vt:variant>
        <vt:i4>96</vt:i4>
      </vt:variant>
      <vt:variant>
        <vt:i4>0</vt:i4>
      </vt:variant>
      <vt:variant>
        <vt:i4>5</vt:i4>
      </vt:variant>
      <vt:variant>
        <vt:lpwstr>http://www.nevo.co.il/case/16997614</vt:lpwstr>
      </vt:variant>
      <vt:variant>
        <vt:lpwstr/>
      </vt:variant>
      <vt:variant>
        <vt:i4>3997808</vt:i4>
      </vt:variant>
      <vt:variant>
        <vt:i4>93</vt:i4>
      </vt:variant>
      <vt:variant>
        <vt:i4>0</vt:i4>
      </vt:variant>
      <vt:variant>
        <vt:i4>5</vt:i4>
      </vt:variant>
      <vt:variant>
        <vt:lpwstr>http://www.nevo.co.il/case/10459115</vt:lpwstr>
      </vt:variant>
      <vt:variant>
        <vt:lpwstr/>
      </vt:variant>
      <vt:variant>
        <vt:i4>3276917</vt:i4>
      </vt:variant>
      <vt:variant>
        <vt:i4>90</vt:i4>
      </vt:variant>
      <vt:variant>
        <vt:i4>0</vt:i4>
      </vt:variant>
      <vt:variant>
        <vt:i4>5</vt:i4>
      </vt:variant>
      <vt:variant>
        <vt:lpwstr>http://www.nevo.co.il/case/20787902</vt:lpwstr>
      </vt:variant>
      <vt:variant>
        <vt:lpwstr/>
      </vt:variant>
      <vt:variant>
        <vt:i4>3342454</vt:i4>
      </vt:variant>
      <vt:variant>
        <vt:i4>87</vt:i4>
      </vt:variant>
      <vt:variant>
        <vt:i4>0</vt:i4>
      </vt:variant>
      <vt:variant>
        <vt:i4>5</vt:i4>
      </vt:variant>
      <vt:variant>
        <vt:lpwstr>http://www.nevo.co.il/case/18793360</vt:lpwstr>
      </vt:variant>
      <vt:variant>
        <vt:lpwstr/>
      </vt:variant>
      <vt:variant>
        <vt:i4>3342453</vt:i4>
      </vt:variant>
      <vt:variant>
        <vt:i4>84</vt:i4>
      </vt:variant>
      <vt:variant>
        <vt:i4>0</vt:i4>
      </vt:variant>
      <vt:variant>
        <vt:i4>5</vt:i4>
      </vt:variant>
      <vt:variant>
        <vt:lpwstr>http://www.nevo.co.il/case/20787919</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3211379</vt:i4>
      </vt:variant>
      <vt:variant>
        <vt:i4>69</vt:i4>
      </vt:variant>
      <vt:variant>
        <vt:i4>0</vt:i4>
      </vt:variant>
      <vt:variant>
        <vt:i4>5</vt:i4>
      </vt:variant>
      <vt:variant>
        <vt:lpwstr>http://www.nevo.co.il/case/5573417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http://www.nevo.co.il/law/70301/40a</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13</vt:i4>
      </vt:variant>
      <vt:variant>
        <vt:i4>27</vt:i4>
      </vt:variant>
      <vt:variant>
        <vt:i4>0</vt:i4>
      </vt:variant>
      <vt:variant>
        <vt:i4>5</vt:i4>
      </vt:variant>
      <vt:variant>
        <vt:lpwstr>http://www.nevo.co.il/law/70301/34ka</vt:lpwstr>
      </vt:variant>
      <vt:variant>
        <vt:lpwstr/>
      </vt:variant>
      <vt:variant>
        <vt:i4>6619233</vt:i4>
      </vt:variant>
      <vt:variant>
        <vt:i4>24</vt:i4>
      </vt:variant>
      <vt:variant>
        <vt:i4>0</vt:i4>
      </vt:variant>
      <vt:variant>
        <vt:i4>5</vt:i4>
      </vt:variant>
      <vt:variant>
        <vt:lpwstr>http://www.nevo.co.il/law/70301/40a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24079</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חאדר אבו חאלד</vt:lpwstr>
  </property>
  <property fmtid="{D5CDD505-2E9C-101B-9397-08002B2CF9AE}" pid="10" name="LAWYER">
    <vt:lpwstr>דואק;ברגמן</vt:lpwstr>
  </property>
  <property fmtid="{D5CDD505-2E9C-101B-9397-08002B2CF9AE}" pid="11" name="JUDGE">
    <vt:lpwstr>אייל כהן</vt:lpwstr>
  </property>
  <property fmtid="{D5CDD505-2E9C-101B-9397-08002B2CF9AE}" pid="12" name="CITY">
    <vt:lpwstr>רמ'</vt:lpwstr>
  </property>
  <property fmtid="{D5CDD505-2E9C-101B-9397-08002B2CF9AE}" pid="13" name="DATE">
    <vt:lpwstr>20200922</vt:lpwstr>
  </property>
  <property fmtid="{D5CDD505-2E9C-101B-9397-08002B2CF9AE}" pid="14" name="TYPE_N_DATE">
    <vt:lpwstr>38020200922</vt:lpwstr>
  </property>
  <property fmtid="{D5CDD505-2E9C-101B-9397-08002B2CF9AE}" pid="15" name="WORDNUMPAGES">
    <vt:lpwstr>14</vt:lpwstr>
  </property>
  <property fmtid="{D5CDD505-2E9C-101B-9397-08002B2CF9AE}" pid="16" name="TYPE_ABS_DATE">
    <vt:lpwstr>380120200922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5573417;13093721;20033641;20787919;18793360;20787902;10459115;16997614;23750765;22832600;23133293;22797714;20299976;20724222;16945484;23825973;24908832:2;23792321:2;17942576;20178093;17922152;6097496;25585562;5779351;6065628;25890687;5594340;5857460</vt:lpwstr>
  </property>
  <property fmtid="{D5CDD505-2E9C-101B-9397-08002B2CF9AE}" pid="36" name="CASESLISTTMP2">
    <vt:lpwstr>7977559;5698660;18654248;20060571;21053257</vt:lpwstr>
  </property>
  <property fmtid="{D5CDD505-2E9C-101B-9397-08002B2CF9AE}" pid="37" name="LAWLISTTMP1">
    <vt:lpwstr>4216/007.a;007.c:2;013;019a;036a;031.6</vt:lpwstr>
  </property>
  <property fmtid="{D5CDD505-2E9C-101B-9397-08002B2CF9AE}" pid="38" name="LAWLISTTMP2">
    <vt:lpwstr>70301/040a;40jc;34ka</vt:lpwstr>
  </property>
  <property fmtid="{D5CDD505-2E9C-101B-9397-08002B2CF9AE}" pid="39" name="METAKZER">
    <vt:lpwstr>עומרי</vt:lpwstr>
  </property>
  <property fmtid="{D5CDD505-2E9C-101B-9397-08002B2CF9AE}" pid="40" name="NOSE1ID">
    <vt:lpwstr>77;84;77;77;77</vt:lpwstr>
  </property>
  <property fmtid="{D5CDD505-2E9C-101B-9397-08002B2CF9AE}" pid="41" name="NOSE2ID">
    <vt:lpwstr>1446;1521;1446;1446;1446</vt:lpwstr>
  </property>
  <property fmtid="{D5CDD505-2E9C-101B-9397-08002B2CF9AE}" pid="42" name="NOSE3ID">
    <vt:lpwstr>14985;16053;14346;13182;8991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מתחם הענישה</vt:lpwstr>
  </property>
  <property fmtid="{D5CDD505-2E9C-101B-9397-08002B2CF9AE}" pid="46" name="NOSE12">
    <vt:lpwstr>פרשנות</vt:lpwstr>
  </property>
  <property fmtid="{D5CDD505-2E9C-101B-9397-08002B2CF9AE}" pid="47" name="NOSE22">
    <vt:lpwstr>מונחים</vt:lpwstr>
  </property>
  <property fmtid="{D5CDD505-2E9C-101B-9397-08002B2CF9AE}" pid="48" name="NOSE32">
    <vt:lpwstr>אירוע</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מדיניות ענישה: שיקום</vt:lpwstr>
  </property>
  <property fmtid="{D5CDD505-2E9C-101B-9397-08002B2CF9AE}" pid="52" name="NOSE14">
    <vt:lpwstr>עונשין</vt:lpwstr>
  </property>
  <property fmtid="{D5CDD505-2E9C-101B-9397-08002B2CF9AE}" pid="53" name="NOSE24">
    <vt:lpwstr>ענישה</vt:lpwstr>
  </property>
  <property fmtid="{D5CDD505-2E9C-101B-9397-08002B2CF9AE}" pid="54" name="NOSE34">
    <vt:lpwstr>תסקיר שירות מבחן</vt:lpwstr>
  </property>
  <property fmtid="{D5CDD505-2E9C-101B-9397-08002B2CF9AE}" pid="55" name="NOSE15">
    <vt:lpwstr>עונשין</vt:lpwstr>
  </property>
  <property fmtid="{D5CDD505-2E9C-101B-9397-08002B2CF9AE}" pid="56" name="NOSE25">
    <vt:lpwstr>ענישה</vt:lpwstr>
  </property>
  <property fmtid="{D5CDD505-2E9C-101B-9397-08002B2CF9AE}" pid="57" name="NOSE35">
    <vt:lpwstr>מדיניות ענישה: עבירות סמים</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20201001</vt:lpwstr>
  </property>
</Properties>
</file>