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928"/>
        <w:gridCol w:w="2739"/>
        <w:gridCol w:w="99"/>
      </w:tblGrid>
      <w:tr w:rsidR="001346BD" w:rsidRPr="00972E21" w14:paraId="42771FE6" w14:textId="77777777" w:rsidTr="00BD0A0A">
        <w:trPr>
          <w:gridAfter w:val="1"/>
          <w:wAfter w:w="99" w:type="dxa"/>
          <w:trHeight w:hRule="exact" w:val="418"/>
          <w:jc w:val="center"/>
        </w:trPr>
        <w:tc>
          <w:tcPr>
            <w:tcW w:w="8721" w:type="dxa"/>
            <w:gridSpan w:val="4"/>
          </w:tcPr>
          <w:p w14:paraId="7F3C2C29" w14:textId="77777777" w:rsidR="001346BD" w:rsidRPr="00972E21" w:rsidRDefault="001346BD" w:rsidP="005613B8">
            <w:pPr>
              <w:pStyle w:val="a3"/>
              <w:jc w:val="center"/>
              <w:rPr>
                <w:rFonts w:ascii="Tahoma" w:hAnsi="Tahoma" w:cs="Tahoma"/>
                <w:color w:val="000080"/>
                <w:rtl/>
              </w:rPr>
            </w:pPr>
            <w:bookmarkStart w:id="0" w:name="FirstLawyer"/>
            <w:bookmarkStart w:id="1" w:name="LastJudge"/>
            <w:r w:rsidRPr="00972E21">
              <w:rPr>
                <w:rFonts w:ascii="FrankRuehl" w:hAnsi="FrankRuehl" w:cs="FrankRuehl"/>
                <w:b/>
                <w:bCs/>
                <w:color w:val="000080"/>
                <w:sz w:val="28"/>
                <w:szCs w:val="28"/>
                <w:rtl/>
              </w:rPr>
              <w:t>בית משפט השלום בירושלים</w:t>
            </w:r>
          </w:p>
        </w:tc>
      </w:tr>
      <w:tr w:rsidR="001346BD" w:rsidRPr="00972E21" w14:paraId="72CBFD25" w14:textId="77777777" w:rsidTr="00BD0A0A">
        <w:trPr>
          <w:gridAfter w:val="1"/>
          <w:wAfter w:w="99" w:type="dxa"/>
          <w:trHeight w:val="337"/>
          <w:jc w:val="center"/>
        </w:trPr>
        <w:tc>
          <w:tcPr>
            <w:tcW w:w="5054" w:type="dxa"/>
            <w:gridSpan w:val="2"/>
          </w:tcPr>
          <w:p w14:paraId="6F0F8FE5" w14:textId="77777777" w:rsidR="001346BD" w:rsidRPr="00972E21" w:rsidRDefault="001346BD" w:rsidP="005613B8">
            <w:pPr>
              <w:rPr>
                <w:rFonts w:cs="FrankRuehl"/>
                <w:sz w:val="28"/>
                <w:szCs w:val="28"/>
                <w:rtl/>
              </w:rPr>
            </w:pPr>
            <w:r w:rsidRPr="00972E21">
              <w:rPr>
                <w:rFonts w:cs="FrankRuehl"/>
                <w:sz w:val="28"/>
                <w:szCs w:val="28"/>
                <w:rtl/>
              </w:rPr>
              <w:t>ת"פ</w:t>
            </w:r>
            <w:r w:rsidRPr="00972E21">
              <w:rPr>
                <w:rFonts w:cs="FrankRuehl" w:hint="cs"/>
                <w:sz w:val="28"/>
                <w:szCs w:val="28"/>
                <w:rtl/>
              </w:rPr>
              <w:t xml:space="preserve"> </w:t>
            </w:r>
            <w:r w:rsidRPr="00972E21">
              <w:rPr>
                <w:rFonts w:cs="FrankRuehl"/>
                <w:sz w:val="28"/>
                <w:szCs w:val="28"/>
                <w:rtl/>
              </w:rPr>
              <w:t>26550-11-19</w:t>
            </w:r>
            <w:r w:rsidRPr="00972E21">
              <w:rPr>
                <w:rFonts w:cs="FrankRuehl" w:hint="cs"/>
                <w:sz w:val="28"/>
                <w:szCs w:val="28"/>
                <w:rtl/>
              </w:rPr>
              <w:t xml:space="preserve"> </w:t>
            </w:r>
            <w:r w:rsidRPr="00972E21">
              <w:rPr>
                <w:rFonts w:cs="FrankRuehl"/>
                <w:sz w:val="28"/>
                <w:szCs w:val="28"/>
                <w:rtl/>
              </w:rPr>
              <w:t>מדינת ישראל נ' רגבי</w:t>
            </w:r>
          </w:p>
          <w:p w14:paraId="4310401F" w14:textId="77777777" w:rsidR="001346BD" w:rsidRPr="00972E21" w:rsidRDefault="001346BD" w:rsidP="005613B8">
            <w:pPr>
              <w:pStyle w:val="a3"/>
              <w:rPr>
                <w:rFonts w:cs="FrankRuehl"/>
                <w:sz w:val="28"/>
                <w:szCs w:val="28"/>
                <w:rtl/>
              </w:rPr>
            </w:pPr>
          </w:p>
        </w:tc>
        <w:tc>
          <w:tcPr>
            <w:tcW w:w="3667" w:type="dxa"/>
            <w:gridSpan w:val="2"/>
          </w:tcPr>
          <w:p w14:paraId="6178CFE2" w14:textId="77777777" w:rsidR="001346BD" w:rsidRPr="00972E21" w:rsidRDefault="001346BD" w:rsidP="005613B8">
            <w:pPr>
              <w:pStyle w:val="a3"/>
              <w:jc w:val="right"/>
              <w:rPr>
                <w:rFonts w:cs="FrankRuehl"/>
                <w:sz w:val="28"/>
                <w:szCs w:val="28"/>
                <w:rtl/>
              </w:rPr>
            </w:pPr>
          </w:p>
        </w:tc>
      </w:tr>
      <w:tr w:rsidR="001346BD" w:rsidRPr="00972E21" w14:paraId="01D944AA"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BB71CD" w14:textId="77777777" w:rsidR="001346BD" w:rsidRPr="00972E21" w:rsidRDefault="001346BD" w:rsidP="001346BD">
            <w:pPr>
              <w:jc w:val="both"/>
              <w:rPr>
                <w:rFonts w:ascii="FrankRuehl" w:hAnsi="FrankRuehl" w:cs="FrankRuehl"/>
                <w:b/>
                <w:bCs/>
                <w:sz w:val="28"/>
                <w:szCs w:val="28"/>
              </w:rPr>
            </w:pPr>
            <w:r w:rsidRPr="00972E21">
              <w:rPr>
                <w:rFonts w:hint="cs"/>
                <w:rtl/>
              </w:rPr>
              <w:t xml:space="preserve"> </w:t>
            </w:r>
            <w:r w:rsidRPr="00972E21">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3009749B" w14:textId="77777777" w:rsidR="001346BD" w:rsidRPr="00972E21" w:rsidRDefault="001346BD" w:rsidP="005613B8">
            <w:pPr>
              <w:rPr>
                <w:rFonts w:ascii="FrankRuehl" w:hAnsi="FrankRuehl" w:cs="FrankRuehl"/>
                <w:b/>
                <w:bCs/>
                <w:sz w:val="28"/>
                <w:szCs w:val="28"/>
                <w:rtl/>
              </w:rPr>
            </w:pPr>
            <w:r w:rsidRPr="00972E21">
              <w:rPr>
                <w:rFonts w:ascii="FrankRuehl" w:hAnsi="FrankRuehl" w:cs="FrankRuehl"/>
                <w:b/>
                <w:bCs/>
                <w:sz w:val="28"/>
                <w:szCs w:val="28"/>
                <w:rtl/>
              </w:rPr>
              <w:t>כבוד השופט  דוד שאול גבאי ריכטר</w:t>
            </w:r>
          </w:p>
          <w:p w14:paraId="75CB1B72" w14:textId="77777777" w:rsidR="001346BD" w:rsidRPr="00972E21" w:rsidRDefault="001346BD" w:rsidP="005613B8">
            <w:pPr>
              <w:rPr>
                <w:rFonts w:ascii="FrankRuehl" w:hAnsi="FrankRuehl" w:cs="FrankRuehl"/>
                <w:b/>
                <w:bCs/>
                <w:sz w:val="28"/>
                <w:szCs w:val="28"/>
                <w:rtl/>
              </w:rPr>
            </w:pPr>
          </w:p>
          <w:p w14:paraId="0BE8ED03" w14:textId="77777777" w:rsidR="001346BD" w:rsidRPr="00972E21" w:rsidRDefault="001346BD" w:rsidP="001346BD">
            <w:pPr>
              <w:jc w:val="both"/>
              <w:rPr>
                <w:rFonts w:ascii="FrankRuehl" w:hAnsi="FrankRuehl" w:cs="FrankRuehl"/>
                <w:b/>
                <w:bCs/>
                <w:sz w:val="28"/>
                <w:szCs w:val="28"/>
              </w:rPr>
            </w:pPr>
          </w:p>
        </w:tc>
      </w:tr>
      <w:tr w:rsidR="001346BD" w:rsidRPr="00972E21" w14:paraId="240FDC75"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2BE68F" w14:textId="77777777" w:rsidR="001346BD" w:rsidRPr="00972E21" w:rsidRDefault="001346BD" w:rsidP="001346BD">
            <w:pPr>
              <w:jc w:val="both"/>
              <w:rPr>
                <w:rFonts w:ascii="FrankRuehl" w:hAnsi="FrankRuehl" w:cs="FrankRuehl"/>
                <w:b/>
                <w:bCs/>
                <w:sz w:val="28"/>
                <w:szCs w:val="28"/>
              </w:rPr>
            </w:pPr>
            <w:bookmarkStart w:id="2" w:name="FirstAppellant"/>
            <w:r w:rsidRPr="00972E21">
              <w:rPr>
                <w:rFonts w:ascii="FrankRuehl" w:hAnsi="FrankRuehl" w:cs="FrankRuehl"/>
                <w:b/>
                <w:bCs/>
                <w:sz w:val="28"/>
                <w:szCs w:val="28"/>
                <w:rtl/>
              </w:rPr>
              <w:t>בעניין:</w:t>
            </w:r>
          </w:p>
        </w:tc>
        <w:tc>
          <w:tcPr>
            <w:tcW w:w="5059" w:type="dxa"/>
            <w:gridSpan w:val="2"/>
            <w:tcBorders>
              <w:top w:val="nil"/>
              <w:left w:val="nil"/>
              <w:bottom w:val="nil"/>
              <w:right w:val="nil"/>
            </w:tcBorders>
            <w:shd w:val="clear" w:color="auto" w:fill="auto"/>
          </w:tcPr>
          <w:p w14:paraId="3A38A34A" w14:textId="77777777" w:rsidR="001346BD" w:rsidRPr="00972E21" w:rsidRDefault="001346BD" w:rsidP="005613B8">
            <w:pPr>
              <w:rPr>
                <w:rFonts w:ascii="FrankRuehl" w:hAnsi="FrankRuehl" w:cs="FrankRuehl"/>
                <w:b/>
                <w:bCs/>
                <w:sz w:val="28"/>
                <w:szCs w:val="28"/>
              </w:rPr>
            </w:pPr>
            <w:r w:rsidRPr="00972E21">
              <w:rPr>
                <w:rFonts w:ascii="FrankRuehl" w:hAnsi="FrankRuehl" w:cs="FrankRuehl"/>
                <w:b/>
                <w:bCs/>
                <w:sz w:val="28"/>
                <w:szCs w:val="28"/>
                <w:rtl/>
              </w:rPr>
              <w:t>מדינת ישראל</w:t>
            </w:r>
            <w:r w:rsidRPr="00972E21">
              <w:rPr>
                <w:rFonts w:ascii="FrankRuehl" w:hAnsi="FrankRuehl" w:cs="FrankRuehl"/>
                <w:b/>
                <w:bCs/>
                <w:sz w:val="28"/>
                <w:szCs w:val="28"/>
                <w:rtl/>
              </w:rPr>
              <w:br/>
              <w:t xml:space="preserve">ע"י </w:t>
            </w:r>
            <w:r w:rsidRPr="00972E21">
              <w:rPr>
                <w:rFonts w:ascii="FrankRuehl" w:hAnsi="FrankRuehl" w:cs="FrankRuehl" w:hint="cs"/>
                <w:b/>
                <w:bCs/>
                <w:sz w:val="28"/>
                <w:szCs w:val="28"/>
                <w:rtl/>
              </w:rPr>
              <w:t>הגב' אביה בניסטי, מתמחה מ</w:t>
            </w:r>
            <w:r w:rsidRPr="00972E21">
              <w:rPr>
                <w:rFonts w:ascii="FrankRuehl" w:hAnsi="FrankRuehl" w:cs="FrankRuehl"/>
                <w:b/>
                <w:bCs/>
                <w:sz w:val="28"/>
                <w:szCs w:val="28"/>
                <w:rtl/>
              </w:rPr>
              <w:t>תביעות ירושלים</w:t>
            </w:r>
          </w:p>
        </w:tc>
        <w:tc>
          <w:tcPr>
            <w:tcW w:w="2838" w:type="dxa"/>
            <w:gridSpan w:val="2"/>
            <w:tcBorders>
              <w:top w:val="nil"/>
              <w:left w:val="nil"/>
              <w:bottom w:val="nil"/>
              <w:right w:val="nil"/>
            </w:tcBorders>
            <w:shd w:val="clear" w:color="auto" w:fill="auto"/>
          </w:tcPr>
          <w:p w14:paraId="29DD2637" w14:textId="77777777" w:rsidR="001346BD" w:rsidRPr="00972E21" w:rsidRDefault="001346BD" w:rsidP="001346BD">
            <w:pPr>
              <w:jc w:val="both"/>
              <w:rPr>
                <w:rFonts w:ascii="FrankRuehl" w:hAnsi="FrankRuehl" w:cs="FrankRuehl"/>
                <w:b/>
                <w:bCs/>
                <w:sz w:val="28"/>
                <w:szCs w:val="28"/>
              </w:rPr>
            </w:pPr>
          </w:p>
        </w:tc>
      </w:tr>
      <w:bookmarkEnd w:id="2"/>
      <w:tr w:rsidR="001346BD" w:rsidRPr="00972E21" w14:paraId="0D7D4406"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892B21" w14:textId="77777777" w:rsidR="001346BD" w:rsidRPr="00972E21" w:rsidRDefault="001346BD" w:rsidP="001346BD">
            <w:pPr>
              <w:jc w:val="both"/>
              <w:rPr>
                <w:rFonts w:ascii="FrankRuehl" w:hAnsi="FrankRuehl" w:cs="FrankRuehl"/>
                <w:b/>
                <w:bCs/>
                <w:sz w:val="28"/>
                <w:szCs w:val="28"/>
                <w:rtl/>
              </w:rPr>
            </w:pPr>
          </w:p>
        </w:tc>
        <w:tc>
          <w:tcPr>
            <w:tcW w:w="5059" w:type="dxa"/>
            <w:gridSpan w:val="2"/>
            <w:tcBorders>
              <w:top w:val="nil"/>
              <w:left w:val="nil"/>
              <w:bottom w:val="nil"/>
              <w:right w:val="nil"/>
            </w:tcBorders>
            <w:shd w:val="clear" w:color="auto" w:fill="auto"/>
          </w:tcPr>
          <w:p w14:paraId="1C48546D" w14:textId="77777777" w:rsidR="001346BD" w:rsidRPr="00972E21" w:rsidRDefault="001346BD" w:rsidP="001346BD">
            <w:pPr>
              <w:jc w:val="both"/>
              <w:rPr>
                <w:rFonts w:ascii="FrankRuehl" w:hAnsi="FrankRuehl" w:cs="FrankRuehl"/>
                <w:b/>
                <w:bCs/>
                <w:sz w:val="28"/>
                <w:szCs w:val="28"/>
                <w:rtl/>
              </w:rPr>
            </w:pPr>
          </w:p>
        </w:tc>
        <w:tc>
          <w:tcPr>
            <w:tcW w:w="2838" w:type="dxa"/>
            <w:gridSpan w:val="2"/>
            <w:tcBorders>
              <w:top w:val="nil"/>
              <w:left w:val="nil"/>
              <w:bottom w:val="nil"/>
              <w:right w:val="nil"/>
            </w:tcBorders>
            <w:shd w:val="clear" w:color="auto" w:fill="auto"/>
          </w:tcPr>
          <w:p w14:paraId="1DDB9F5C" w14:textId="77777777" w:rsidR="001346BD" w:rsidRPr="00972E21" w:rsidRDefault="001346BD" w:rsidP="001346BD">
            <w:pPr>
              <w:jc w:val="right"/>
              <w:rPr>
                <w:rFonts w:ascii="FrankRuehl" w:hAnsi="FrankRuehl" w:cs="FrankRuehl"/>
                <w:b/>
                <w:bCs/>
                <w:sz w:val="28"/>
                <w:szCs w:val="28"/>
                <w:rtl/>
              </w:rPr>
            </w:pPr>
            <w:r w:rsidRPr="00972E21">
              <w:rPr>
                <w:rFonts w:ascii="FrankRuehl" w:hAnsi="FrankRuehl" w:cs="FrankRuehl"/>
                <w:b/>
                <w:bCs/>
                <w:sz w:val="28"/>
                <w:szCs w:val="28"/>
                <w:rtl/>
              </w:rPr>
              <w:t>המאשימה</w:t>
            </w:r>
          </w:p>
        </w:tc>
      </w:tr>
      <w:tr w:rsidR="001346BD" w:rsidRPr="00972E21" w14:paraId="378964CA"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A7451E" w14:textId="77777777" w:rsidR="001346BD" w:rsidRPr="00972E21" w:rsidRDefault="001346BD" w:rsidP="001346BD">
            <w:pPr>
              <w:jc w:val="both"/>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41134672" w14:textId="77777777" w:rsidR="001346BD" w:rsidRPr="00972E21" w:rsidRDefault="001346BD" w:rsidP="001346BD">
            <w:pPr>
              <w:jc w:val="center"/>
              <w:rPr>
                <w:rFonts w:ascii="FrankRuehl" w:hAnsi="FrankRuehl" w:cs="FrankRuehl"/>
                <w:b/>
                <w:bCs/>
                <w:sz w:val="28"/>
                <w:szCs w:val="28"/>
                <w:rtl/>
              </w:rPr>
            </w:pPr>
          </w:p>
          <w:p w14:paraId="1B82663F" w14:textId="77777777" w:rsidR="001346BD" w:rsidRPr="00972E21" w:rsidRDefault="001346BD" w:rsidP="001346BD">
            <w:pPr>
              <w:jc w:val="center"/>
              <w:rPr>
                <w:rFonts w:ascii="FrankRuehl" w:hAnsi="FrankRuehl" w:cs="FrankRuehl"/>
                <w:b/>
                <w:bCs/>
                <w:sz w:val="28"/>
                <w:szCs w:val="28"/>
                <w:rtl/>
              </w:rPr>
            </w:pPr>
            <w:r w:rsidRPr="00972E21">
              <w:rPr>
                <w:rFonts w:ascii="FrankRuehl" w:hAnsi="FrankRuehl" w:cs="FrankRuehl"/>
                <w:b/>
                <w:bCs/>
                <w:sz w:val="28"/>
                <w:szCs w:val="28"/>
                <w:rtl/>
              </w:rPr>
              <w:t>נגד</w:t>
            </w:r>
          </w:p>
          <w:p w14:paraId="749948C3" w14:textId="77777777" w:rsidR="001346BD" w:rsidRPr="00972E21" w:rsidRDefault="001346BD" w:rsidP="001346BD">
            <w:pPr>
              <w:jc w:val="both"/>
              <w:rPr>
                <w:rFonts w:ascii="FrankRuehl" w:hAnsi="FrankRuehl" w:cs="FrankRuehl"/>
                <w:b/>
                <w:bCs/>
                <w:sz w:val="28"/>
                <w:szCs w:val="28"/>
              </w:rPr>
            </w:pPr>
          </w:p>
        </w:tc>
      </w:tr>
      <w:tr w:rsidR="001346BD" w:rsidRPr="00972E21" w14:paraId="3B1E5655"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EC6E47" w14:textId="77777777" w:rsidR="001346BD" w:rsidRPr="00972E21" w:rsidRDefault="001346BD" w:rsidP="005613B8">
            <w:pPr>
              <w:rPr>
                <w:rFonts w:ascii="FrankRuehl" w:hAnsi="FrankRuehl" w:cs="FrankRuehl"/>
                <w:b/>
                <w:bCs/>
                <w:sz w:val="28"/>
                <w:szCs w:val="28"/>
                <w:rtl/>
              </w:rPr>
            </w:pPr>
          </w:p>
        </w:tc>
        <w:tc>
          <w:tcPr>
            <w:tcW w:w="5059" w:type="dxa"/>
            <w:gridSpan w:val="2"/>
            <w:tcBorders>
              <w:top w:val="nil"/>
              <w:left w:val="nil"/>
              <w:bottom w:val="nil"/>
              <w:right w:val="nil"/>
            </w:tcBorders>
            <w:shd w:val="clear" w:color="auto" w:fill="auto"/>
          </w:tcPr>
          <w:p w14:paraId="054F6BEB" w14:textId="77777777" w:rsidR="001346BD" w:rsidRPr="00972E21" w:rsidRDefault="001346BD" w:rsidP="005613B8">
            <w:pPr>
              <w:rPr>
                <w:rFonts w:ascii="FrankRuehl" w:hAnsi="FrankRuehl" w:cs="FrankRuehl"/>
                <w:b/>
                <w:bCs/>
                <w:sz w:val="28"/>
                <w:szCs w:val="28"/>
                <w:rtl/>
              </w:rPr>
            </w:pPr>
            <w:r w:rsidRPr="00972E21">
              <w:rPr>
                <w:rFonts w:ascii="FrankRuehl" w:hAnsi="FrankRuehl" w:cs="FrankRuehl"/>
                <w:b/>
                <w:bCs/>
                <w:sz w:val="28"/>
                <w:szCs w:val="28"/>
                <w:rtl/>
              </w:rPr>
              <w:t>פראס רגבי</w:t>
            </w:r>
            <w:r w:rsidRPr="00972E21">
              <w:rPr>
                <w:rFonts w:ascii="FrankRuehl" w:hAnsi="FrankRuehl" w:cs="FrankRuehl"/>
                <w:b/>
                <w:bCs/>
                <w:sz w:val="28"/>
                <w:szCs w:val="28"/>
                <w:rtl/>
              </w:rPr>
              <w:br/>
              <w:t xml:space="preserve">ע"י ב"כ עוה"ד מיאדה סוואעד </w:t>
            </w:r>
          </w:p>
        </w:tc>
        <w:tc>
          <w:tcPr>
            <w:tcW w:w="2838" w:type="dxa"/>
            <w:gridSpan w:val="2"/>
            <w:tcBorders>
              <w:top w:val="nil"/>
              <w:left w:val="nil"/>
              <w:bottom w:val="nil"/>
              <w:right w:val="nil"/>
            </w:tcBorders>
            <w:shd w:val="clear" w:color="auto" w:fill="auto"/>
          </w:tcPr>
          <w:p w14:paraId="52EBCCD8" w14:textId="77777777" w:rsidR="001346BD" w:rsidRPr="00972E21" w:rsidRDefault="001346BD" w:rsidP="001346BD">
            <w:pPr>
              <w:jc w:val="right"/>
              <w:rPr>
                <w:rFonts w:ascii="FrankRuehl" w:hAnsi="FrankRuehl" w:cs="FrankRuehl"/>
                <w:b/>
                <w:bCs/>
                <w:sz w:val="28"/>
                <w:szCs w:val="28"/>
              </w:rPr>
            </w:pPr>
          </w:p>
        </w:tc>
      </w:tr>
      <w:tr w:rsidR="001346BD" w:rsidRPr="00972E21" w14:paraId="6459A328" w14:textId="77777777" w:rsidTr="00BD0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E2C8E2" w14:textId="77777777" w:rsidR="001346BD" w:rsidRPr="00972E21" w:rsidRDefault="001346BD" w:rsidP="001346BD">
            <w:pPr>
              <w:jc w:val="both"/>
              <w:rPr>
                <w:rFonts w:ascii="FrankRuehl" w:hAnsi="FrankRuehl" w:cs="FrankRuehl"/>
                <w:b/>
                <w:bCs/>
                <w:sz w:val="28"/>
                <w:szCs w:val="28"/>
                <w:rtl/>
              </w:rPr>
            </w:pPr>
          </w:p>
        </w:tc>
        <w:tc>
          <w:tcPr>
            <w:tcW w:w="5059" w:type="dxa"/>
            <w:gridSpan w:val="2"/>
            <w:tcBorders>
              <w:top w:val="nil"/>
              <w:left w:val="nil"/>
              <w:bottom w:val="nil"/>
              <w:right w:val="nil"/>
            </w:tcBorders>
            <w:shd w:val="clear" w:color="auto" w:fill="auto"/>
          </w:tcPr>
          <w:p w14:paraId="38413CF3" w14:textId="77777777" w:rsidR="001346BD" w:rsidRPr="00972E21" w:rsidRDefault="001346BD" w:rsidP="001346BD">
            <w:pPr>
              <w:jc w:val="both"/>
              <w:rPr>
                <w:rFonts w:ascii="FrankRuehl" w:hAnsi="FrankRuehl" w:cs="FrankRuehl"/>
                <w:b/>
                <w:bCs/>
                <w:sz w:val="28"/>
                <w:szCs w:val="28"/>
                <w:rtl/>
              </w:rPr>
            </w:pPr>
          </w:p>
        </w:tc>
        <w:tc>
          <w:tcPr>
            <w:tcW w:w="2838" w:type="dxa"/>
            <w:gridSpan w:val="2"/>
            <w:tcBorders>
              <w:top w:val="nil"/>
              <w:left w:val="nil"/>
              <w:bottom w:val="nil"/>
              <w:right w:val="nil"/>
            </w:tcBorders>
            <w:shd w:val="clear" w:color="auto" w:fill="auto"/>
          </w:tcPr>
          <w:p w14:paraId="39CC0E9E" w14:textId="77777777" w:rsidR="001346BD" w:rsidRPr="00972E21" w:rsidRDefault="001346BD" w:rsidP="001346BD">
            <w:pPr>
              <w:jc w:val="right"/>
              <w:rPr>
                <w:rFonts w:ascii="FrankRuehl" w:hAnsi="FrankRuehl" w:cs="FrankRuehl"/>
                <w:b/>
                <w:bCs/>
                <w:sz w:val="28"/>
                <w:szCs w:val="28"/>
              </w:rPr>
            </w:pPr>
            <w:r w:rsidRPr="00972E21">
              <w:rPr>
                <w:rFonts w:ascii="FrankRuehl" w:hAnsi="FrankRuehl" w:cs="FrankRuehl"/>
                <w:b/>
                <w:bCs/>
                <w:sz w:val="28"/>
                <w:szCs w:val="28"/>
                <w:rtl/>
              </w:rPr>
              <w:t>הנאשם</w:t>
            </w:r>
          </w:p>
        </w:tc>
      </w:tr>
    </w:tbl>
    <w:p w14:paraId="5DD5149D" w14:textId="77777777" w:rsidR="00BD0A0A" w:rsidRDefault="00BD0A0A" w:rsidP="00972E21">
      <w:pPr>
        <w:rPr>
          <w:rFonts w:ascii="FrankRuehl" w:hAnsi="FrankRuehl" w:cs="FrankRuehl"/>
          <w:sz w:val="28"/>
          <w:szCs w:val="28"/>
          <w:rtl/>
        </w:rPr>
      </w:pPr>
    </w:p>
    <w:p w14:paraId="5284B821" w14:textId="77777777" w:rsidR="00BD0A0A" w:rsidRPr="00BD0A0A" w:rsidRDefault="00BD0A0A" w:rsidP="00BD0A0A">
      <w:pPr>
        <w:spacing w:after="120" w:line="240" w:lineRule="exact"/>
        <w:ind w:left="283" w:hanging="283"/>
        <w:jc w:val="both"/>
        <w:rPr>
          <w:rFonts w:ascii="FrankRuehl" w:hAnsi="FrankRuehl" w:cs="FrankRuehl"/>
          <w:rtl/>
        </w:rPr>
      </w:pPr>
    </w:p>
    <w:p w14:paraId="4898B5CF" w14:textId="77777777" w:rsidR="009D3D56" w:rsidRPr="009D3D56" w:rsidRDefault="009D3D56" w:rsidP="009D3D56">
      <w:pPr>
        <w:spacing w:before="120" w:after="120" w:line="240" w:lineRule="exact"/>
        <w:ind w:left="283" w:hanging="283"/>
        <w:jc w:val="both"/>
        <w:rPr>
          <w:rFonts w:ascii="FrankRuehl" w:hAnsi="FrankRuehl" w:cs="FrankRuehl"/>
          <w:rtl/>
        </w:rPr>
      </w:pPr>
    </w:p>
    <w:p w14:paraId="2583AEA7" w14:textId="77777777" w:rsidR="0028389E" w:rsidRDefault="0028389E" w:rsidP="0028389E">
      <w:pPr>
        <w:rPr>
          <w:rFonts w:ascii="FrankRuehl" w:hAnsi="FrankRuehl" w:cs="FrankRuehl"/>
          <w:sz w:val="28"/>
          <w:szCs w:val="28"/>
          <w:rtl/>
        </w:rPr>
      </w:pPr>
      <w:bookmarkStart w:id="3" w:name="LawTable"/>
      <w:bookmarkEnd w:id="3"/>
    </w:p>
    <w:p w14:paraId="47CFF816" w14:textId="77777777" w:rsidR="0028389E" w:rsidRPr="0028389E" w:rsidRDefault="0028389E" w:rsidP="0028389E">
      <w:pPr>
        <w:spacing w:before="120" w:after="120" w:line="240" w:lineRule="exact"/>
        <w:ind w:left="283" w:hanging="283"/>
        <w:jc w:val="both"/>
        <w:rPr>
          <w:rFonts w:ascii="FrankRuehl" w:hAnsi="FrankRuehl" w:cs="FrankRuehl"/>
          <w:rtl/>
        </w:rPr>
      </w:pPr>
    </w:p>
    <w:p w14:paraId="106D3F68" w14:textId="77777777" w:rsidR="0028389E" w:rsidRPr="0028389E" w:rsidRDefault="0028389E" w:rsidP="0028389E">
      <w:pPr>
        <w:spacing w:before="120" w:after="120" w:line="240" w:lineRule="exact"/>
        <w:ind w:left="283" w:hanging="283"/>
        <w:jc w:val="both"/>
        <w:rPr>
          <w:rFonts w:ascii="FrankRuehl" w:hAnsi="FrankRuehl" w:cs="FrankRuehl"/>
          <w:rtl/>
        </w:rPr>
      </w:pPr>
    </w:p>
    <w:p w14:paraId="4A264356" w14:textId="77777777" w:rsidR="0028389E" w:rsidRPr="0028389E" w:rsidRDefault="0028389E" w:rsidP="0028389E">
      <w:pPr>
        <w:spacing w:before="120" w:after="120" w:line="240" w:lineRule="exact"/>
        <w:ind w:left="283" w:hanging="283"/>
        <w:jc w:val="both"/>
        <w:rPr>
          <w:rFonts w:ascii="FrankRuehl" w:hAnsi="FrankRuehl" w:cs="FrankRuehl"/>
          <w:rtl/>
        </w:rPr>
      </w:pPr>
      <w:r w:rsidRPr="0028389E">
        <w:rPr>
          <w:rFonts w:ascii="FrankRuehl" w:hAnsi="FrankRuehl" w:cs="FrankRuehl"/>
          <w:rtl/>
        </w:rPr>
        <w:t xml:space="preserve">חקיקה שאוזכרה: </w:t>
      </w:r>
    </w:p>
    <w:p w14:paraId="38F209D1" w14:textId="77777777" w:rsidR="0028389E" w:rsidRPr="0028389E" w:rsidRDefault="0028389E" w:rsidP="0028389E">
      <w:pPr>
        <w:spacing w:before="120" w:after="120" w:line="240" w:lineRule="exact"/>
        <w:ind w:left="283" w:hanging="283"/>
        <w:jc w:val="both"/>
        <w:rPr>
          <w:rFonts w:ascii="FrankRuehl" w:hAnsi="FrankRuehl" w:cs="FrankRuehl"/>
          <w:rtl/>
        </w:rPr>
      </w:pPr>
      <w:hyperlink r:id="rId7" w:history="1">
        <w:r w:rsidRPr="0028389E">
          <w:rPr>
            <w:rFonts w:ascii="FrankRuehl" w:hAnsi="FrankRuehl" w:cs="FrankRuehl"/>
            <w:color w:val="0000FF"/>
            <w:rtl/>
          </w:rPr>
          <w:t>פקודת הסמים המסוכנים [נוסח חדש], תשל"ג-1973</w:t>
        </w:r>
      </w:hyperlink>
      <w:r w:rsidRPr="0028389E">
        <w:rPr>
          <w:rFonts w:ascii="FrankRuehl" w:hAnsi="FrankRuehl" w:cs="FrankRuehl"/>
          <w:rtl/>
        </w:rPr>
        <w:t xml:space="preserve">: סע'  </w:t>
      </w:r>
      <w:hyperlink r:id="rId8" w:history="1">
        <w:r w:rsidRPr="0028389E">
          <w:rPr>
            <w:rFonts w:ascii="FrankRuehl" w:hAnsi="FrankRuehl" w:cs="FrankRuehl"/>
            <w:color w:val="0000FF"/>
            <w:rtl/>
          </w:rPr>
          <w:t>7(א)</w:t>
        </w:r>
      </w:hyperlink>
      <w:r w:rsidRPr="0028389E">
        <w:rPr>
          <w:rFonts w:ascii="FrankRuehl" w:hAnsi="FrankRuehl" w:cs="FrankRuehl"/>
          <w:rtl/>
        </w:rPr>
        <w:t xml:space="preserve">, </w:t>
      </w:r>
      <w:hyperlink r:id="rId9" w:history="1">
        <w:r w:rsidRPr="0028389E">
          <w:rPr>
            <w:rFonts w:ascii="FrankRuehl" w:hAnsi="FrankRuehl" w:cs="FrankRuehl"/>
            <w:color w:val="0000FF"/>
            <w:rtl/>
          </w:rPr>
          <w:t>7(ג)</w:t>
        </w:r>
      </w:hyperlink>
    </w:p>
    <w:p w14:paraId="386F6D05" w14:textId="77777777" w:rsidR="0028389E" w:rsidRPr="0028389E" w:rsidRDefault="0028389E" w:rsidP="0028389E">
      <w:pPr>
        <w:spacing w:before="120" w:after="120" w:line="240" w:lineRule="exact"/>
        <w:ind w:left="283" w:hanging="283"/>
        <w:jc w:val="both"/>
        <w:rPr>
          <w:rFonts w:ascii="FrankRuehl" w:hAnsi="FrankRuehl" w:cs="FrankRuehl"/>
          <w:rtl/>
        </w:rPr>
      </w:pPr>
      <w:hyperlink r:id="rId10" w:history="1">
        <w:r w:rsidRPr="0028389E">
          <w:rPr>
            <w:rFonts w:ascii="FrankRuehl" w:hAnsi="FrankRuehl" w:cs="FrankRuehl"/>
            <w:color w:val="0000FF"/>
            <w:rtl/>
          </w:rPr>
          <w:t>חוק העונשין, תשל"ז-1977</w:t>
        </w:r>
      </w:hyperlink>
      <w:r w:rsidRPr="0028389E">
        <w:rPr>
          <w:rFonts w:ascii="FrankRuehl" w:hAnsi="FrankRuehl" w:cs="FrankRuehl"/>
          <w:rtl/>
        </w:rPr>
        <w:t xml:space="preserve">: סע'  </w:t>
      </w:r>
      <w:hyperlink r:id="rId11" w:history="1">
        <w:r w:rsidRPr="0028389E">
          <w:rPr>
            <w:rFonts w:ascii="FrankRuehl" w:hAnsi="FrankRuehl" w:cs="FrankRuehl"/>
            <w:color w:val="0000FF"/>
            <w:rtl/>
          </w:rPr>
          <w:t>40ט'</w:t>
        </w:r>
      </w:hyperlink>
      <w:r w:rsidRPr="0028389E">
        <w:rPr>
          <w:rFonts w:ascii="FrankRuehl" w:hAnsi="FrankRuehl" w:cs="FrankRuehl"/>
          <w:rtl/>
        </w:rPr>
        <w:t xml:space="preserve">, </w:t>
      </w:r>
      <w:hyperlink r:id="rId12" w:history="1">
        <w:r w:rsidRPr="0028389E">
          <w:rPr>
            <w:rFonts w:ascii="FrankRuehl" w:hAnsi="FrankRuehl" w:cs="FrankRuehl"/>
            <w:color w:val="0000FF"/>
            <w:rtl/>
          </w:rPr>
          <w:t>40יא</w:t>
        </w:r>
      </w:hyperlink>
    </w:p>
    <w:p w14:paraId="25B62758" w14:textId="77777777" w:rsidR="0028389E" w:rsidRPr="0028389E" w:rsidRDefault="0028389E" w:rsidP="0028389E">
      <w:pPr>
        <w:rPr>
          <w:rFonts w:ascii="FrankRuehl" w:hAnsi="FrankRuehl" w:cs="FrankRuehl"/>
          <w:sz w:val="28"/>
          <w:szCs w:val="28"/>
          <w:rtl/>
        </w:rPr>
      </w:pPr>
      <w:bookmarkStart w:id="4" w:name="LawTable_End"/>
      <w:bookmarkEnd w:id="4"/>
    </w:p>
    <w:p w14:paraId="58101C3B" w14:textId="77777777" w:rsidR="001346BD" w:rsidRPr="009D3D56" w:rsidRDefault="001346BD" w:rsidP="009D3D56">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46BD" w:rsidRPr="00027D08" w14:paraId="38963936" w14:textId="77777777" w:rsidTr="001346BD">
        <w:trPr>
          <w:trHeight w:val="74"/>
          <w:jc w:val="center"/>
        </w:trPr>
        <w:tc>
          <w:tcPr>
            <w:tcW w:w="8820" w:type="dxa"/>
            <w:tcBorders>
              <w:top w:val="nil"/>
              <w:left w:val="nil"/>
              <w:bottom w:val="nil"/>
              <w:right w:val="nil"/>
            </w:tcBorders>
            <w:shd w:val="clear" w:color="auto" w:fill="auto"/>
          </w:tcPr>
          <w:p w14:paraId="7D17E549" w14:textId="77777777" w:rsidR="00972E21" w:rsidRPr="00972E21" w:rsidRDefault="00972E21" w:rsidP="00972E21">
            <w:pPr>
              <w:jc w:val="center"/>
              <w:rPr>
                <w:rFonts w:ascii="FrankRuehl" w:hAnsi="FrankRuehl" w:cs="FrankRuehl"/>
                <w:b/>
                <w:bCs/>
                <w:sz w:val="28"/>
                <w:szCs w:val="28"/>
                <w:u w:val="single"/>
                <w:rtl/>
              </w:rPr>
            </w:pPr>
            <w:bookmarkStart w:id="5" w:name="PsakDin" w:colFirst="0" w:colLast="0"/>
            <w:bookmarkEnd w:id="0"/>
            <w:bookmarkEnd w:id="1"/>
            <w:r w:rsidRPr="00972E21">
              <w:rPr>
                <w:rFonts w:ascii="FrankRuehl" w:hAnsi="FrankRuehl" w:cs="FrankRuehl"/>
                <w:b/>
                <w:bCs/>
                <w:sz w:val="28"/>
                <w:szCs w:val="28"/>
                <w:u w:val="single"/>
                <w:rtl/>
              </w:rPr>
              <w:t>גזר דין</w:t>
            </w:r>
          </w:p>
          <w:p w14:paraId="18C42A44" w14:textId="77777777" w:rsidR="001346BD" w:rsidRPr="00972E21" w:rsidRDefault="001346BD" w:rsidP="00972E21">
            <w:pPr>
              <w:jc w:val="center"/>
              <w:rPr>
                <w:rFonts w:ascii="FrankRuehl" w:hAnsi="FrankRuehl" w:cs="FrankRuehl"/>
                <w:b/>
                <w:bCs/>
                <w:sz w:val="28"/>
                <w:szCs w:val="28"/>
                <w:u w:val="single"/>
                <w:rtl/>
              </w:rPr>
            </w:pPr>
          </w:p>
        </w:tc>
      </w:tr>
      <w:bookmarkEnd w:id="5"/>
    </w:tbl>
    <w:p w14:paraId="761DA388" w14:textId="77777777" w:rsidR="001346BD" w:rsidRPr="002B7D23" w:rsidRDefault="001346BD" w:rsidP="001346BD">
      <w:pPr>
        <w:rPr>
          <w:rFonts w:ascii="David" w:hAnsi="David"/>
          <w:sz w:val="26"/>
          <w:szCs w:val="26"/>
          <w:rtl/>
        </w:rPr>
      </w:pPr>
    </w:p>
    <w:p w14:paraId="6A178D38" w14:textId="77777777" w:rsidR="001346BD" w:rsidRDefault="001346BD" w:rsidP="001346BD">
      <w:pPr>
        <w:spacing w:line="360" w:lineRule="auto"/>
        <w:rPr>
          <w:rFonts w:cs="FrankRuehl"/>
          <w:b/>
          <w:bCs/>
          <w:sz w:val="28"/>
          <w:szCs w:val="28"/>
          <w:u w:val="single"/>
        </w:rPr>
      </w:pPr>
      <w:r>
        <w:rPr>
          <w:rFonts w:cs="FrankRuehl"/>
          <w:b/>
          <w:bCs/>
          <w:sz w:val="28"/>
          <w:szCs w:val="28"/>
          <w:u w:val="single"/>
          <w:rtl/>
        </w:rPr>
        <w:t>כתב האישום</w:t>
      </w:r>
    </w:p>
    <w:p w14:paraId="24917E14" w14:textId="77777777" w:rsidR="001346BD" w:rsidRDefault="001346BD" w:rsidP="001346BD">
      <w:pPr>
        <w:spacing w:line="360" w:lineRule="auto"/>
        <w:jc w:val="both"/>
        <w:rPr>
          <w:rFonts w:cs="FrankRuehl"/>
          <w:sz w:val="28"/>
          <w:szCs w:val="28"/>
          <w:rtl/>
        </w:rPr>
      </w:pPr>
      <w:bookmarkStart w:id="6" w:name="ABSTRACT_START"/>
      <w:bookmarkEnd w:id="6"/>
      <w:r>
        <w:rPr>
          <w:rFonts w:cs="FrankRuehl"/>
          <w:sz w:val="28"/>
          <w:szCs w:val="28"/>
          <w:rtl/>
        </w:rPr>
        <w:t xml:space="preserve">הנאשם הורשע על פי הודאתו </w:t>
      </w:r>
      <w:r>
        <w:rPr>
          <w:rFonts w:cs="FrankRuehl" w:hint="cs"/>
          <w:sz w:val="28"/>
          <w:szCs w:val="28"/>
          <w:rtl/>
        </w:rPr>
        <w:t>בשני כתבי אישום.</w:t>
      </w:r>
    </w:p>
    <w:p w14:paraId="7C9E8BD8" w14:textId="77777777" w:rsidR="001346BD" w:rsidRDefault="001346BD" w:rsidP="001346BD">
      <w:pPr>
        <w:spacing w:line="360" w:lineRule="auto"/>
        <w:jc w:val="both"/>
        <w:rPr>
          <w:rFonts w:cs="FrankRuehl"/>
          <w:sz w:val="28"/>
          <w:szCs w:val="28"/>
          <w:rtl/>
        </w:rPr>
      </w:pPr>
    </w:p>
    <w:p w14:paraId="6967E1B7" w14:textId="77777777" w:rsidR="001346BD" w:rsidRDefault="00972E21" w:rsidP="001346BD">
      <w:pPr>
        <w:spacing w:line="360" w:lineRule="auto"/>
        <w:jc w:val="both"/>
        <w:rPr>
          <w:rFonts w:cs="FrankRuehl"/>
          <w:b/>
          <w:bCs/>
          <w:sz w:val="28"/>
          <w:szCs w:val="28"/>
          <w:u w:val="single"/>
          <w:rtl/>
        </w:rPr>
      </w:pPr>
      <w:hyperlink r:id="rId13" w:history="1">
        <w:r w:rsidRPr="00972E21">
          <w:rPr>
            <w:rFonts w:cs="FrankRuehl"/>
            <w:b/>
            <w:bCs/>
            <w:color w:val="0000FF"/>
            <w:sz w:val="28"/>
            <w:szCs w:val="28"/>
            <w:u w:val="single"/>
            <w:rtl/>
          </w:rPr>
          <w:t>ת"פ 26550-11-19</w:t>
        </w:r>
      </w:hyperlink>
      <w:r w:rsidR="001346BD">
        <w:rPr>
          <w:rFonts w:cs="FrankRuehl" w:hint="cs"/>
          <w:b/>
          <w:bCs/>
          <w:sz w:val="28"/>
          <w:szCs w:val="28"/>
          <w:u w:val="single"/>
          <w:rtl/>
        </w:rPr>
        <w:t xml:space="preserve"> (התיק העיקרי)</w:t>
      </w:r>
    </w:p>
    <w:p w14:paraId="514B1A3F" w14:textId="77777777" w:rsidR="001346BD" w:rsidRDefault="001346BD" w:rsidP="001346BD">
      <w:pPr>
        <w:spacing w:line="360" w:lineRule="auto"/>
        <w:jc w:val="both"/>
        <w:rPr>
          <w:rFonts w:cs="FrankRuehl"/>
          <w:sz w:val="28"/>
          <w:szCs w:val="28"/>
          <w:rtl/>
        </w:rPr>
      </w:pPr>
      <w:r>
        <w:rPr>
          <w:rFonts w:cs="FrankRuehl" w:hint="cs"/>
          <w:sz w:val="28"/>
          <w:szCs w:val="28"/>
          <w:rtl/>
        </w:rPr>
        <w:t xml:space="preserve">על פי עובדות כתב האישום, ביום 3.4.2019, נערך חיפוש בביתו של הנאשם על פי צו חיפוש. במהלך החיפוש, נמצא סם מסוג חשיש במשקל 0.96 גרם ברוטו, בארון הבגדים בכניסה לבית, וכן סם נוסף מסוג חשיש במשקל 2.26 גרם ברוטו, מתחת למיטה בחדר המשחקים בבית. בגין כך, </w:t>
      </w:r>
      <w:r>
        <w:rPr>
          <w:rFonts w:cs="FrankRuehl" w:hint="cs"/>
          <w:sz w:val="28"/>
          <w:szCs w:val="28"/>
          <w:rtl/>
        </w:rPr>
        <w:lastRenderedPageBreak/>
        <w:t xml:space="preserve">הורשע הנאשם בעבירה של </w:t>
      </w:r>
      <w:r w:rsidRPr="00DF02C3">
        <w:rPr>
          <w:rFonts w:cs="FrankRuehl" w:hint="cs"/>
          <w:b/>
          <w:bCs/>
          <w:sz w:val="28"/>
          <w:szCs w:val="28"/>
          <w:rtl/>
        </w:rPr>
        <w:t>החזקת סמים לצריכה עצמית</w:t>
      </w:r>
      <w:r>
        <w:rPr>
          <w:rFonts w:cs="FrankRuehl" w:hint="cs"/>
          <w:sz w:val="28"/>
          <w:szCs w:val="28"/>
          <w:rtl/>
        </w:rPr>
        <w:t xml:space="preserve">, לפי </w:t>
      </w:r>
      <w:hyperlink r:id="rId14" w:history="1">
        <w:r w:rsidR="00BD0A0A" w:rsidRPr="00BD0A0A">
          <w:rPr>
            <w:rStyle w:val="Hyperlink"/>
            <w:rFonts w:cs="FrankRuehl" w:hint="eastAsia"/>
            <w:sz w:val="28"/>
            <w:szCs w:val="28"/>
            <w:rtl/>
          </w:rPr>
          <w:t>סעיפים</w:t>
        </w:r>
        <w:r w:rsidR="00BD0A0A" w:rsidRPr="00BD0A0A">
          <w:rPr>
            <w:rStyle w:val="Hyperlink"/>
            <w:rFonts w:cs="FrankRuehl"/>
            <w:sz w:val="28"/>
            <w:szCs w:val="28"/>
            <w:rtl/>
          </w:rPr>
          <w:t xml:space="preserve"> 7(א)</w:t>
        </w:r>
      </w:hyperlink>
      <w:r>
        <w:rPr>
          <w:rFonts w:cs="FrankRuehl" w:hint="cs"/>
          <w:sz w:val="28"/>
          <w:szCs w:val="28"/>
          <w:rtl/>
        </w:rPr>
        <w:t xml:space="preserve"> ו </w:t>
      </w:r>
      <w:r>
        <w:rPr>
          <w:rFonts w:cs="FrankRuehl"/>
          <w:sz w:val="28"/>
          <w:szCs w:val="28"/>
          <w:rtl/>
        </w:rPr>
        <w:t>–</w:t>
      </w:r>
      <w:r>
        <w:rPr>
          <w:rFonts w:cs="FrankRuehl" w:hint="cs"/>
          <w:sz w:val="28"/>
          <w:szCs w:val="28"/>
          <w:rtl/>
        </w:rPr>
        <w:t xml:space="preserve"> </w:t>
      </w:r>
      <w:hyperlink r:id="rId15" w:history="1">
        <w:r w:rsidR="00BD0A0A" w:rsidRPr="00BD0A0A">
          <w:rPr>
            <w:rStyle w:val="Hyperlink"/>
            <w:rFonts w:cs="FrankRuehl"/>
            <w:sz w:val="28"/>
            <w:szCs w:val="28"/>
            <w:rtl/>
          </w:rPr>
          <w:t>7(ג)</w:t>
        </w:r>
      </w:hyperlink>
      <w:r>
        <w:rPr>
          <w:rFonts w:cs="FrankRuehl" w:hint="cs"/>
          <w:sz w:val="28"/>
          <w:szCs w:val="28"/>
          <w:rtl/>
        </w:rPr>
        <w:t xml:space="preserve"> סיפא ל</w:t>
      </w:r>
      <w:hyperlink r:id="rId16" w:history="1">
        <w:r w:rsidR="00972E21" w:rsidRPr="00972E21">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w:t>
      </w:r>
    </w:p>
    <w:p w14:paraId="493ACAE3" w14:textId="77777777" w:rsidR="001346BD" w:rsidRDefault="001346BD" w:rsidP="001346BD">
      <w:pPr>
        <w:spacing w:line="360" w:lineRule="auto"/>
        <w:jc w:val="both"/>
        <w:rPr>
          <w:rFonts w:cs="FrankRuehl"/>
          <w:b/>
          <w:bCs/>
          <w:sz w:val="28"/>
          <w:szCs w:val="28"/>
          <w:u w:val="single"/>
          <w:rtl/>
        </w:rPr>
      </w:pPr>
    </w:p>
    <w:bookmarkStart w:id="7" w:name="ABSTRACT_END"/>
    <w:bookmarkEnd w:id="7"/>
    <w:p w14:paraId="6F8644CC" w14:textId="77777777" w:rsidR="001346BD" w:rsidRDefault="00972E21" w:rsidP="001346BD">
      <w:pPr>
        <w:spacing w:line="360" w:lineRule="auto"/>
        <w:jc w:val="both"/>
        <w:rPr>
          <w:rFonts w:cs="FrankRuehl"/>
          <w:b/>
          <w:bCs/>
          <w:sz w:val="28"/>
          <w:szCs w:val="28"/>
          <w:u w:val="single"/>
          <w:rtl/>
        </w:rPr>
      </w:pPr>
      <w:r w:rsidRPr="00972E21">
        <w:rPr>
          <w:rFonts w:cs="FrankRuehl"/>
          <w:b/>
          <w:bCs/>
          <w:color w:val="0000FF"/>
          <w:sz w:val="28"/>
          <w:szCs w:val="28"/>
          <w:u w:val="single"/>
          <w:rtl/>
        </w:rPr>
        <w:fldChar w:fldCharType="begin"/>
      </w:r>
      <w:r w:rsidRPr="00972E21">
        <w:rPr>
          <w:rFonts w:cs="FrankRuehl"/>
          <w:b/>
          <w:bCs/>
          <w:color w:val="0000FF"/>
          <w:sz w:val="28"/>
          <w:szCs w:val="28"/>
          <w:u w:val="single"/>
          <w:rtl/>
        </w:rPr>
        <w:instrText xml:space="preserve"> </w:instrText>
      </w:r>
      <w:r w:rsidRPr="00972E21">
        <w:rPr>
          <w:rFonts w:cs="FrankRuehl"/>
          <w:b/>
          <w:bCs/>
          <w:color w:val="0000FF"/>
          <w:sz w:val="28"/>
          <w:szCs w:val="28"/>
          <w:u w:val="single"/>
        </w:rPr>
        <w:instrText xml:space="preserve">HYPERLINK </w:instrText>
      </w:r>
      <w:r w:rsidRPr="00972E21">
        <w:rPr>
          <w:rFonts w:cs="FrankRuehl"/>
          <w:b/>
          <w:bCs/>
          <w:color w:val="0000FF"/>
          <w:sz w:val="28"/>
          <w:szCs w:val="28"/>
          <w:u w:val="single"/>
          <w:rtl/>
        </w:rPr>
        <w:instrText>"</w:instrText>
      </w:r>
      <w:r w:rsidRPr="00972E21">
        <w:rPr>
          <w:rFonts w:cs="FrankRuehl"/>
          <w:b/>
          <w:bCs/>
          <w:color w:val="0000FF"/>
          <w:sz w:val="28"/>
          <w:szCs w:val="28"/>
          <w:u w:val="single"/>
        </w:rPr>
        <w:instrText>http://www.nevo.co.il/case/25794655"</w:instrText>
      </w:r>
      <w:r w:rsidRPr="00972E21">
        <w:rPr>
          <w:rFonts w:cs="FrankRuehl"/>
          <w:b/>
          <w:bCs/>
          <w:color w:val="0000FF"/>
          <w:sz w:val="28"/>
          <w:szCs w:val="28"/>
          <w:u w:val="single"/>
          <w:rtl/>
        </w:rPr>
        <w:instrText xml:space="preserve"> </w:instrText>
      </w:r>
      <w:r w:rsidRPr="00972E21">
        <w:rPr>
          <w:rFonts w:cs="FrankRuehl"/>
          <w:b/>
          <w:bCs/>
          <w:color w:val="0000FF"/>
          <w:sz w:val="28"/>
          <w:szCs w:val="28"/>
          <w:u w:val="single"/>
          <w:rtl/>
        </w:rPr>
      </w:r>
      <w:r w:rsidRPr="00972E21">
        <w:rPr>
          <w:rFonts w:cs="FrankRuehl"/>
          <w:b/>
          <w:bCs/>
          <w:color w:val="0000FF"/>
          <w:sz w:val="28"/>
          <w:szCs w:val="28"/>
          <w:u w:val="single"/>
          <w:rtl/>
        </w:rPr>
        <w:fldChar w:fldCharType="separate"/>
      </w:r>
      <w:r w:rsidRPr="00972E21">
        <w:rPr>
          <w:rFonts w:cs="FrankRuehl"/>
          <w:b/>
          <w:bCs/>
          <w:color w:val="0000FF"/>
          <w:sz w:val="28"/>
          <w:szCs w:val="28"/>
          <w:u w:val="single"/>
          <w:rtl/>
        </w:rPr>
        <w:t>ת"פ 42322-06-19</w:t>
      </w:r>
      <w:r w:rsidRPr="00972E21">
        <w:rPr>
          <w:rFonts w:cs="FrankRuehl"/>
          <w:b/>
          <w:bCs/>
          <w:color w:val="0000FF"/>
          <w:sz w:val="28"/>
          <w:szCs w:val="28"/>
          <w:u w:val="single"/>
          <w:rtl/>
        </w:rPr>
        <w:fldChar w:fldCharType="end"/>
      </w:r>
      <w:r w:rsidR="001346BD">
        <w:rPr>
          <w:rFonts w:cs="FrankRuehl" w:hint="cs"/>
          <w:b/>
          <w:bCs/>
          <w:sz w:val="28"/>
          <w:szCs w:val="28"/>
          <w:u w:val="single"/>
          <w:rtl/>
        </w:rPr>
        <w:t xml:space="preserve"> (התיק המצורף)</w:t>
      </w:r>
    </w:p>
    <w:p w14:paraId="0D0A3A40" w14:textId="77777777" w:rsidR="001346BD" w:rsidRPr="007922BC" w:rsidRDefault="001346BD" w:rsidP="001346BD">
      <w:pPr>
        <w:spacing w:line="360" w:lineRule="auto"/>
        <w:jc w:val="both"/>
        <w:rPr>
          <w:rFonts w:cs="FrankRuehl"/>
          <w:sz w:val="28"/>
          <w:szCs w:val="28"/>
        </w:rPr>
      </w:pPr>
      <w:r>
        <w:rPr>
          <w:rFonts w:cs="FrankRuehl" w:hint="cs"/>
          <w:sz w:val="28"/>
          <w:szCs w:val="28"/>
          <w:rtl/>
        </w:rPr>
        <w:t xml:space="preserve">על פי עובדות כתב האישום, ביום 25.12.18, החזיק הנאשם בביתו סם מסוכן מסוג חשיש במשקל 60  גרם, מתחת למזרן המיטה בחדר השינה שלו. בגין מעשיו אלה, הורשע הנאשם </w:t>
      </w:r>
      <w:r w:rsidRPr="00DF02C3">
        <w:rPr>
          <w:rFonts w:cs="FrankRuehl" w:hint="cs"/>
          <w:b/>
          <w:bCs/>
          <w:sz w:val="28"/>
          <w:szCs w:val="28"/>
          <w:rtl/>
        </w:rPr>
        <w:t xml:space="preserve">בהחזקת סמים שלא לצריכה עצמית </w:t>
      </w:r>
      <w:r>
        <w:rPr>
          <w:rFonts w:cs="FrankRuehl" w:hint="cs"/>
          <w:sz w:val="28"/>
          <w:szCs w:val="28"/>
          <w:rtl/>
        </w:rPr>
        <w:t xml:space="preserve">לפי </w:t>
      </w:r>
      <w:hyperlink r:id="rId17" w:history="1">
        <w:r w:rsidR="00BD0A0A" w:rsidRPr="00BD0A0A">
          <w:rPr>
            <w:rStyle w:val="Hyperlink"/>
            <w:rFonts w:cs="FrankRuehl" w:hint="eastAsia"/>
            <w:sz w:val="28"/>
            <w:szCs w:val="28"/>
            <w:rtl/>
          </w:rPr>
          <w:t>סעיפים</w:t>
        </w:r>
        <w:r w:rsidR="00BD0A0A" w:rsidRPr="00BD0A0A">
          <w:rPr>
            <w:rStyle w:val="Hyperlink"/>
            <w:rFonts w:cs="FrankRuehl"/>
            <w:sz w:val="28"/>
            <w:szCs w:val="28"/>
            <w:rtl/>
          </w:rPr>
          <w:t xml:space="preserve"> 7(א)</w:t>
        </w:r>
      </w:hyperlink>
      <w:r>
        <w:rPr>
          <w:rFonts w:cs="FrankRuehl" w:hint="cs"/>
          <w:sz w:val="28"/>
          <w:szCs w:val="28"/>
          <w:rtl/>
        </w:rPr>
        <w:t xml:space="preserve"> ו </w:t>
      </w:r>
      <w:r>
        <w:rPr>
          <w:rFonts w:cs="FrankRuehl"/>
          <w:sz w:val="28"/>
          <w:szCs w:val="28"/>
          <w:rtl/>
        </w:rPr>
        <w:t>–</w:t>
      </w:r>
      <w:r>
        <w:rPr>
          <w:rFonts w:cs="FrankRuehl" w:hint="cs"/>
          <w:sz w:val="28"/>
          <w:szCs w:val="28"/>
          <w:rtl/>
        </w:rPr>
        <w:t xml:space="preserve"> </w:t>
      </w:r>
      <w:hyperlink r:id="rId18" w:history="1">
        <w:r w:rsidR="00BD0A0A" w:rsidRPr="00BD0A0A">
          <w:rPr>
            <w:rStyle w:val="Hyperlink"/>
            <w:rFonts w:cs="FrankRuehl"/>
            <w:sz w:val="28"/>
            <w:szCs w:val="28"/>
            <w:rtl/>
          </w:rPr>
          <w:t>7(ג)</w:t>
        </w:r>
      </w:hyperlink>
      <w:r>
        <w:rPr>
          <w:rFonts w:cs="FrankRuehl" w:hint="cs"/>
          <w:sz w:val="28"/>
          <w:szCs w:val="28"/>
          <w:rtl/>
        </w:rPr>
        <w:t xml:space="preserve"> רישא ל</w:t>
      </w:r>
      <w:hyperlink r:id="rId19" w:history="1">
        <w:r w:rsidR="00972E21" w:rsidRPr="00972E21">
          <w:rPr>
            <w:rFonts w:cs="FrankRuehl"/>
            <w:color w:val="0000FF"/>
            <w:sz w:val="28"/>
            <w:szCs w:val="28"/>
            <w:u w:val="single"/>
            <w:rtl/>
          </w:rPr>
          <w:t>פקודת הסמים המסוכנים</w:t>
        </w:r>
      </w:hyperlink>
      <w:r>
        <w:rPr>
          <w:rFonts w:cs="FrankRuehl" w:hint="cs"/>
          <w:sz w:val="28"/>
          <w:szCs w:val="28"/>
          <w:rtl/>
        </w:rPr>
        <w:t>.</w:t>
      </w:r>
    </w:p>
    <w:p w14:paraId="5C6971B4" w14:textId="77777777" w:rsidR="001346BD" w:rsidRDefault="001346BD" w:rsidP="001346BD">
      <w:pPr>
        <w:spacing w:line="360" w:lineRule="auto"/>
        <w:jc w:val="both"/>
        <w:rPr>
          <w:rFonts w:cs="FrankRuehl"/>
          <w:b/>
          <w:bCs/>
          <w:sz w:val="28"/>
          <w:szCs w:val="28"/>
          <w:u w:val="single"/>
        </w:rPr>
      </w:pPr>
    </w:p>
    <w:p w14:paraId="543BF908" w14:textId="77777777" w:rsidR="001346BD" w:rsidRDefault="001346BD" w:rsidP="001346BD">
      <w:pPr>
        <w:spacing w:line="360" w:lineRule="auto"/>
        <w:jc w:val="both"/>
        <w:rPr>
          <w:rFonts w:cs="FrankRuehl"/>
          <w:b/>
          <w:bCs/>
          <w:sz w:val="28"/>
          <w:szCs w:val="28"/>
          <w:u w:val="single"/>
        </w:rPr>
      </w:pPr>
      <w:r>
        <w:rPr>
          <w:rFonts w:cs="FrankRuehl"/>
          <w:b/>
          <w:bCs/>
          <w:sz w:val="28"/>
          <w:szCs w:val="28"/>
          <w:u w:val="single"/>
          <w:rtl/>
        </w:rPr>
        <w:t>מהלך הדיון</w:t>
      </w:r>
    </w:p>
    <w:p w14:paraId="1BCD7E4D" w14:textId="77777777" w:rsidR="001346BD" w:rsidRDefault="001346BD" w:rsidP="001346BD">
      <w:pPr>
        <w:spacing w:line="360" w:lineRule="auto"/>
        <w:jc w:val="both"/>
        <w:rPr>
          <w:rFonts w:cs="FrankRuehl"/>
          <w:sz w:val="28"/>
          <w:szCs w:val="28"/>
        </w:rPr>
      </w:pPr>
      <w:r>
        <w:rPr>
          <w:rFonts w:cs="FrankRuehl" w:hint="cs"/>
          <w:sz w:val="28"/>
          <w:szCs w:val="28"/>
          <w:rtl/>
        </w:rPr>
        <w:t>הנאשם הורשע על פי הודאתו, בשני כתבי האישום, במסגרת הסדר טיעון, ללא הסכמה עונשית. כמו כן לא נתבקשתי לשלוח את הנאשם לשירות המבחן לעריכת תסקיר.</w:t>
      </w:r>
    </w:p>
    <w:p w14:paraId="35731402" w14:textId="77777777" w:rsidR="001346BD" w:rsidRDefault="001346BD" w:rsidP="001346BD">
      <w:pPr>
        <w:spacing w:line="360" w:lineRule="auto"/>
        <w:jc w:val="both"/>
        <w:rPr>
          <w:rFonts w:cs="FrankRuehl"/>
          <w:b/>
          <w:bCs/>
          <w:sz w:val="28"/>
          <w:szCs w:val="28"/>
          <w:u w:val="single"/>
        </w:rPr>
      </w:pPr>
    </w:p>
    <w:p w14:paraId="1AD367DF" w14:textId="77777777" w:rsidR="001346BD" w:rsidRDefault="001346BD" w:rsidP="001346BD">
      <w:pPr>
        <w:spacing w:line="360" w:lineRule="auto"/>
        <w:jc w:val="both"/>
        <w:rPr>
          <w:rFonts w:cs="FrankRuehl"/>
          <w:sz w:val="28"/>
          <w:szCs w:val="28"/>
          <w:rtl/>
        </w:rPr>
      </w:pPr>
    </w:p>
    <w:p w14:paraId="3B449301" w14:textId="77777777" w:rsidR="001346BD" w:rsidRDefault="001346BD" w:rsidP="001346BD">
      <w:pPr>
        <w:spacing w:line="360" w:lineRule="auto"/>
        <w:jc w:val="both"/>
        <w:rPr>
          <w:rFonts w:cs="FrankRuehl"/>
          <w:b/>
          <w:bCs/>
          <w:sz w:val="28"/>
          <w:szCs w:val="28"/>
          <w:u w:val="single"/>
        </w:rPr>
      </w:pPr>
      <w:r>
        <w:rPr>
          <w:rFonts w:cs="FrankRuehl"/>
          <w:b/>
          <w:bCs/>
          <w:sz w:val="28"/>
          <w:szCs w:val="28"/>
          <w:u w:val="single"/>
          <w:rtl/>
        </w:rPr>
        <w:t>ראיות לעונש</w:t>
      </w:r>
    </w:p>
    <w:p w14:paraId="50C861A8" w14:textId="77777777" w:rsidR="001346BD" w:rsidRDefault="001346BD" w:rsidP="001346BD">
      <w:pPr>
        <w:spacing w:line="360" w:lineRule="auto"/>
        <w:jc w:val="both"/>
        <w:rPr>
          <w:rFonts w:cs="FrankRuehl"/>
          <w:sz w:val="28"/>
          <w:szCs w:val="28"/>
          <w:rtl/>
        </w:rPr>
      </w:pPr>
      <w:r>
        <w:rPr>
          <w:rFonts w:cs="FrankRuehl" w:hint="cs"/>
          <w:sz w:val="28"/>
          <w:szCs w:val="28"/>
          <w:rtl/>
        </w:rPr>
        <w:t>לנאשם 3 הרשעות פליליות קודמות בעבירות רכוש, אלימות וסמים. הרשעתו האחרונה משנת 2014, אז הוטלו עליו 20 חודשי מאסר. בתחום התעבורתי, לחובתו 4 הרשעות קודמות, כאשר האחרונה מאפריל 2021, שם נדון לחודשיים מאסר בגין סירוב להיבדק בדיקת שכרות לפי דרישת שוטר (עבירה מפברואר 2020).</w:t>
      </w:r>
    </w:p>
    <w:p w14:paraId="32575122" w14:textId="77777777" w:rsidR="001346BD" w:rsidRDefault="001346BD" w:rsidP="001346BD">
      <w:pPr>
        <w:spacing w:line="360" w:lineRule="auto"/>
        <w:jc w:val="both"/>
        <w:rPr>
          <w:rFonts w:cs="FrankRuehl"/>
          <w:b/>
          <w:bCs/>
          <w:sz w:val="28"/>
          <w:szCs w:val="28"/>
          <w:u w:val="single"/>
          <w:rtl/>
        </w:rPr>
      </w:pPr>
    </w:p>
    <w:p w14:paraId="5AD05CCB" w14:textId="77777777" w:rsidR="001346BD" w:rsidRDefault="001346BD" w:rsidP="001346BD">
      <w:pPr>
        <w:spacing w:line="360" w:lineRule="auto"/>
        <w:jc w:val="both"/>
        <w:rPr>
          <w:rFonts w:cs="FrankRuehl"/>
          <w:b/>
          <w:bCs/>
          <w:sz w:val="28"/>
          <w:szCs w:val="28"/>
          <w:u w:val="single"/>
          <w:rtl/>
        </w:rPr>
      </w:pPr>
      <w:r>
        <w:rPr>
          <w:rFonts w:cs="FrankRuehl"/>
          <w:b/>
          <w:bCs/>
          <w:sz w:val="28"/>
          <w:szCs w:val="28"/>
          <w:u w:val="single"/>
          <w:rtl/>
        </w:rPr>
        <w:t>טיעונים לעונש</w:t>
      </w:r>
    </w:p>
    <w:p w14:paraId="0684B09D" w14:textId="77777777" w:rsidR="001346BD" w:rsidRDefault="001346BD" w:rsidP="001346BD">
      <w:pPr>
        <w:spacing w:line="360" w:lineRule="auto"/>
        <w:jc w:val="both"/>
        <w:rPr>
          <w:rFonts w:cs="FrankRuehl"/>
          <w:sz w:val="28"/>
          <w:szCs w:val="28"/>
          <w:rtl/>
        </w:rPr>
      </w:pPr>
      <w:r>
        <w:rPr>
          <w:rFonts w:cs="FrankRuehl"/>
          <w:sz w:val="28"/>
          <w:szCs w:val="28"/>
          <w:rtl/>
        </w:rPr>
        <w:t xml:space="preserve">הצדדים לא הגיעו להסכמה עונשית. </w:t>
      </w:r>
    </w:p>
    <w:p w14:paraId="2B783AD9" w14:textId="77777777" w:rsidR="001346BD" w:rsidRDefault="001346BD" w:rsidP="001346BD">
      <w:pPr>
        <w:spacing w:line="360" w:lineRule="auto"/>
        <w:jc w:val="both"/>
        <w:rPr>
          <w:rFonts w:cs="FrankRuehl"/>
          <w:sz w:val="28"/>
          <w:szCs w:val="28"/>
          <w:rtl/>
        </w:rPr>
      </w:pPr>
      <w:r>
        <w:rPr>
          <w:rFonts w:cs="FrankRuehl"/>
          <w:sz w:val="28"/>
          <w:szCs w:val="28"/>
          <w:rtl/>
        </w:rPr>
        <w:t xml:space="preserve">מחד, ב"כ המאשימה טענה  </w:t>
      </w:r>
      <w:r>
        <w:rPr>
          <w:rFonts w:cs="FrankRuehl" w:hint="cs"/>
          <w:sz w:val="28"/>
          <w:szCs w:val="28"/>
          <w:rtl/>
        </w:rPr>
        <w:t>למתחם ענישה שבין עבודות שירות ל-12 חודשי מאסר, וביקשה לטיל עליו 7 חודשי מאסר שיכול וירוצו בעבודות שירות.</w:t>
      </w:r>
    </w:p>
    <w:p w14:paraId="3E765912" w14:textId="77777777" w:rsidR="001346BD" w:rsidRDefault="001346BD" w:rsidP="001346BD">
      <w:pPr>
        <w:spacing w:line="360" w:lineRule="auto"/>
        <w:jc w:val="both"/>
        <w:rPr>
          <w:rFonts w:cs="FrankRuehl"/>
          <w:sz w:val="28"/>
          <w:szCs w:val="28"/>
          <w:rtl/>
        </w:rPr>
      </w:pPr>
      <w:r>
        <w:rPr>
          <w:rFonts w:cs="FrankRuehl"/>
          <w:sz w:val="28"/>
          <w:szCs w:val="28"/>
          <w:rtl/>
        </w:rPr>
        <w:t xml:space="preserve">מאידך, הסניגורית </w:t>
      </w:r>
      <w:r>
        <w:rPr>
          <w:rFonts w:cs="FrankRuehl" w:hint="cs"/>
          <w:sz w:val="28"/>
          <w:szCs w:val="28"/>
          <w:rtl/>
        </w:rPr>
        <w:t xml:space="preserve">ביקשה להסתפק בענישה צופה פני עתיד. </w:t>
      </w:r>
    </w:p>
    <w:p w14:paraId="5D43D0E4" w14:textId="77777777" w:rsidR="001346BD" w:rsidRDefault="001346BD" w:rsidP="001346BD">
      <w:pPr>
        <w:spacing w:line="360" w:lineRule="auto"/>
        <w:jc w:val="both"/>
        <w:rPr>
          <w:rFonts w:cs="FrankRuehl"/>
          <w:b/>
          <w:bCs/>
          <w:sz w:val="28"/>
          <w:szCs w:val="28"/>
          <w:u w:val="single"/>
          <w:rtl/>
        </w:rPr>
      </w:pPr>
    </w:p>
    <w:p w14:paraId="0DB1B45D" w14:textId="77777777" w:rsidR="001346BD" w:rsidRDefault="001346BD" w:rsidP="001346BD">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75611F16" w14:textId="77777777" w:rsidR="001346BD" w:rsidRDefault="001346BD" w:rsidP="001346BD">
      <w:pPr>
        <w:spacing w:line="360" w:lineRule="auto"/>
        <w:jc w:val="both"/>
        <w:rPr>
          <w:rFonts w:cs="FrankRuehl"/>
          <w:b/>
          <w:bCs/>
          <w:sz w:val="28"/>
          <w:szCs w:val="28"/>
          <w:u w:val="single"/>
          <w:rtl/>
        </w:rPr>
      </w:pPr>
    </w:p>
    <w:p w14:paraId="29F27DE3" w14:textId="77777777" w:rsidR="001346BD" w:rsidRDefault="001346BD" w:rsidP="001346BD">
      <w:pPr>
        <w:spacing w:line="360" w:lineRule="auto"/>
        <w:jc w:val="both"/>
        <w:rPr>
          <w:rFonts w:cs="FrankRuehl"/>
          <w:sz w:val="28"/>
          <w:szCs w:val="28"/>
          <w:rtl/>
        </w:rPr>
      </w:pPr>
      <w:r>
        <w:rPr>
          <w:rFonts w:cs="FrankRuehl"/>
          <w:b/>
          <w:bCs/>
          <w:sz w:val="28"/>
          <w:szCs w:val="28"/>
          <w:u w:val="single"/>
          <w:rtl/>
        </w:rPr>
        <w:lastRenderedPageBreak/>
        <w:t xml:space="preserve">אשר לערך המוגן </w:t>
      </w:r>
      <w:r>
        <w:rPr>
          <w:rFonts w:cs="FrankRuehl"/>
          <w:sz w:val="28"/>
          <w:szCs w:val="28"/>
          <w:rtl/>
        </w:rPr>
        <w:t>– העבירות אותן עבר הנאשם פוגעות בערך המוגן של שמירה על שלום הציבור ובריאותו מפני נגע הסמיםשתוצאות השימוש בהם וההתמכרות אליהם קשות, ארוכות טווח ורחבות היקף וחורגות מעניינו של אדם אחד, ונוגעות לכלל החברה.</w:t>
      </w:r>
      <w:r>
        <w:rPr>
          <w:rFonts w:cs="FrankRuehl" w:hint="cs"/>
          <w:sz w:val="28"/>
          <w:szCs w:val="28"/>
          <w:rtl/>
        </w:rPr>
        <w:t xml:space="preserve"> בעניינו הפגיעה בערך המוגן נמוכה נוכח טיב הסם וכמותו.</w:t>
      </w:r>
    </w:p>
    <w:p w14:paraId="56D440B6" w14:textId="77777777" w:rsidR="001346BD" w:rsidRDefault="001346BD" w:rsidP="001346BD">
      <w:pPr>
        <w:spacing w:line="360" w:lineRule="auto"/>
        <w:jc w:val="both"/>
        <w:rPr>
          <w:rFonts w:cs="FrankRuehl"/>
          <w:b/>
          <w:bCs/>
          <w:sz w:val="28"/>
          <w:szCs w:val="28"/>
          <w:rtl/>
        </w:rPr>
      </w:pPr>
    </w:p>
    <w:p w14:paraId="27C35864" w14:textId="77777777" w:rsidR="001346BD" w:rsidRDefault="001346BD" w:rsidP="001346BD">
      <w:pPr>
        <w:spacing w:line="360" w:lineRule="auto"/>
        <w:jc w:val="both"/>
        <w:rPr>
          <w:rFonts w:cs="FrankRuehl"/>
          <w:sz w:val="28"/>
          <w:szCs w:val="28"/>
        </w:rPr>
      </w:pPr>
      <w:r>
        <w:rPr>
          <w:rFonts w:cs="FrankRuehl"/>
          <w:b/>
          <w:bCs/>
          <w:sz w:val="28"/>
          <w:szCs w:val="28"/>
          <w:u w:val="single"/>
          <w:rtl/>
        </w:rPr>
        <w:t xml:space="preserve">נסיבות הקשורות בביצוע העבירה, לפי </w:t>
      </w:r>
      <w:hyperlink r:id="rId20" w:history="1">
        <w:r w:rsidR="00BD0A0A" w:rsidRPr="00BD0A0A">
          <w:rPr>
            <w:rStyle w:val="Hyperlink"/>
            <w:rFonts w:cs="FrankRuehl"/>
            <w:b/>
            <w:bCs/>
            <w:sz w:val="28"/>
            <w:szCs w:val="28"/>
            <w:rtl/>
          </w:rPr>
          <w:t>סעיף 40ט'</w:t>
        </w:r>
      </w:hyperlink>
      <w:r>
        <w:rPr>
          <w:rFonts w:cs="FrankRuehl"/>
          <w:b/>
          <w:bCs/>
          <w:sz w:val="28"/>
          <w:szCs w:val="28"/>
          <w:u w:val="single"/>
          <w:rtl/>
        </w:rPr>
        <w:t xml:space="preserve"> ל</w:t>
      </w:r>
      <w:hyperlink r:id="rId21" w:history="1">
        <w:r w:rsidR="00972E21" w:rsidRPr="00972E21">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בעבירות מתוכננות, שכן הנאשם החזיק את הסמים בכמויות שונות ובמקומות שונים בביתו. אין מדובר בכמויות גדולות וככל הנראה הנאשם החזיק בסמים לשימושו העצמי, אולם הנאשם אדם בוגר שצריך היה להימנע מביצוע המעשים ולו האחריות הבלעדית על ביצועם.</w:t>
      </w:r>
    </w:p>
    <w:p w14:paraId="0C22B8BE" w14:textId="77777777" w:rsidR="001346BD" w:rsidRDefault="001346BD" w:rsidP="001346BD">
      <w:pPr>
        <w:spacing w:line="360" w:lineRule="auto"/>
        <w:jc w:val="both"/>
        <w:rPr>
          <w:rFonts w:cs="FrankRuehl"/>
          <w:b/>
          <w:bCs/>
          <w:sz w:val="28"/>
          <w:szCs w:val="28"/>
          <w:u w:val="single"/>
          <w:rtl/>
        </w:rPr>
      </w:pPr>
    </w:p>
    <w:p w14:paraId="2B15FE48" w14:textId="77777777" w:rsidR="001346BD" w:rsidRDefault="001346BD" w:rsidP="001346BD">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w:t>
      </w:r>
      <w:r>
        <w:rPr>
          <w:rFonts w:cs="FrankRuehl" w:hint="cs"/>
          <w:sz w:val="28"/>
          <w:szCs w:val="28"/>
          <w:rtl/>
        </w:rPr>
        <w:t xml:space="preserve"> </w:t>
      </w:r>
      <w:r>
        <w:rPr>
          <w:rFonts w:ascii="Calibri" w:hAnsi="Calibri" w:cs="FrankRuehl"/>
          <w:sz w:val="28"/>
          <w:szCs w:val="28"/>
          <w:rtl/>
        </w:rPr>
        <w:t>סקירת הפסיקה בנסיבות דומות מלמדת על טווח עונשי רחב המוטל על נאשמים. מפנה ל</w:t>
      </w:r>
      <w:hyperlink r:id="rId22" w:history="1">
        <w:r w:rsidR="00972E21" w:rsidRPr="00972E21">
          <w:rPr>
            <w:rFonts w:ascii="Calibri" w:hAnsi="Calibri" w:cs="FrankRuehl" w:hint="eastAsia"/>
            <w:color w:val="0000FF"/>
            <w:sz w:val="28"/>
            <w:szCs w:val="28"/>
            <w:u w:val="single"/>
            <w:rtl/>
          </w:rPr>
          <w:t>ת</w:t>
        </w:r>
        <w:r w:rsidR="00972E21" w:rsidRPr="00972E21">
          <w:rPr>
            <w:rFonts w:ascii="Calibri" w:hAnsi="Calibri" w:cs="FrankRuehl"/>
            <w:color w:val="0000FF"/>
            <w:sz w:val="28"/>
            <w:szCs w:val="28"/>
            <w:u w:val="single"/>
            <w:rtl/>
          </w:rPr>
          <w:t>"</w:t>
        </w:r>
        <w:r w:rsidR="00972E21" w:rsidRPr="00972E21">
          <w:rPr>
            <w:rFonts w:ascii="Calibri" w:hAnsi="Calibri" w:cs="FrankRuehl" w:hint="eastAsia"/>
            <w:color w:val="0000FF"/>
            <w:sz w:val="28"/>
            <w:szCs w:val="28"/>
            <w:u w:val="single"/>
            <w:rtl/>
          </w:rPr>
          <w:t>פ</w:t>
        </w:r>
        <w:r w:rsidR="00972E21" w:rsidRPr="00972E21">
          <w:rPr>
            <w:rFonts w:ascii="Calibri" w:hAnsi="Calibri" w:cs="FrankRuehl"/>
            <w:color w:val="0000FF"/>
            <w:sz w:val="28"/>
            <w:szCs w:val="28"/>
            <w:u w:val="single"/>
            <w:rtl/>
          </w:rPr>
          <w:t xml:space="preserve"> (</w:t>
        </w:r>
        <w:r w:rsidR="00972E21" w:rsidRPr="00972E21">
          <w:rPr>
            <w:rFonts w:ascii="Calibri" w:hAnsi="Calibri" w:cs="FrankRuehl" w:hint="eastAsia"/>
            <w:color w:val="0000FF"/>
            <w:sz w:val="28"/>
            <w:szCs w:val="28"/>
            <w:u w:val="single"/>
            <w:rtl/>
          </w:rPr>
          <w:t>קרית</w:t>
        </w:r>
        <w:r w:rsidR="00972E21" w:rsidRPr="00972E21">
          <w:rPr>
            <w:rFonts w:ascii="Calibri" w:hAnsi="Calibri" w:cs="FrankRuehl"/>
            <w:color w:val="0000FF"/>
            <w:sz w:val="28"/>
            <w:szCs w:val="28"/>
            <w:u w:val="single"/>
            <w:rtl/>
          </w:rPr>
          <w:t xml:space="preserve"> </w:t>
        </w:r>
        <w:r w:rsidR="00972E21" w:rsidRPr="00972E21">
          <w:rPr>
            <w:rFonts w:ascii="Calibri" w:hAnsi="Calibri" w:cs="FrankRuehl" w:hint="eastAsia"/>
            <w:color w:val="0000FF"/>
            <w:sz w:val="28"/>
            <w:szCs w:val="28"/>
            <w:u w:val="single"/>
            <w:rtl/>
          </w:rPr>
          <w:t>שמונה</w:t>
        </w:r>
        <w:r w:rsidR="00972E21" w:rsidRPr="00972E21">
          <w:rPr>
            <w:rFonts w:ascii="Calibri" w:hAnsi="Calibri" w:cs="FrankRuehl"/>
            <w:color w:val="0000FF"/>
            <w:sz w:val="28"/>
            <w:szCs w:val="28"/>
            <w:u w:val="single"/>
            <w:rtl/>
          </w:rPr>
          <w:t>) 14998-08-16</w:t>
        </w:r>
      </w:hyperlink>
      <w:r>
        <w:rPr>
          <w:rFonts w:ascii="Calibri" w:hAnsi="Calibri" w:cs="FrankRuehl"/>
          <w:sz w:val="28"/>
          <w:szCs w:val="28"/>
          <w:rtl/>
        </w:rPr>
        <w:t xml:space="preserve">, </w:t>
      </w:r>
      <w:r>
        <w:rPr>
          <w:rFonts w:ascii="Calibri" w:hAnsi="Calibri" w:cs="FrankRuehl"/>
          <w:b/>
          <w:bCs/>
          <w:sz w:val="28"/>
          <w:szCs w:val="28"/>
          <w:u w:val="single"/>
          <w:rtl/>
        </w:rPr>
        <w:t>מ</w:t>
      </w:r>
      <w:r>
        <w:rPr>
          <w:rFonts w:ascii="Calibri" w:hAnsi="Calibri" w:cs="FrankRuehl" w:hint="cs"/>
          <w:b/>
          <w:bCs/>
          <w:sz w:val="28"/>
          <w:szCs w:val="28"/>
          <w:u w:val="single"/>
          <w:rtl/>
        </w:rPr>
        <w:t>"י</w:t>
      </w:r>
      <w:r>
        <w:rPr>
          <w:rFonts w:ascii="Calibri" w:hAnsi="Calibri" w:cs="FrankRuehl" w:hint="cs"/>
          <w:sz w:val="28"/>
          <w:szCs w:val="28"/>
          <w:rtl/>
        </w:rPr>
        <w:t xml:space="preserve"> </w:t>
      </w:r>
      <w:r>
        <w:rPr>
          <w:rFonts w:ascii="Calibri" w:hAnsi="Calibri" w:cs="FrankRuehl"/>
          <w:sz w:val="28"/>
          <w:szCs w:val="28"/>
          <w:rtl/>
        </w:rPr>
        <w:t xml:space="preserve">נ' </w:t>
      </w:r>
      <w:r>
        <w:rPr>
          <w:rFonts w:ascii="Calibri" w:hAnsi="Calibri" w:cs="FrankRuehl"/>
          <w:b/>
          <w:bCs/>
          <w:sz w:val="28"/>
          <w:szCs w:val="28"/>
          <w:u w:val="single"/>
          <w:rtl/>
        </w:rPr>
        <w:t>כהן</w:t>
      </w:r>
      <w:r>
        <w:rPr>
          <w:rFonts w:ascii="Calibri" w:hAnsi="Calibri" w:cs="FrankRuehl"/>
          <w:sz w:val="28"/>
          <w:szCs w:val="28"/>
          <w:rtl/>
        </w:rPr>
        <w:t xml:space="preserve">,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6161/16 </w:t>
      </w:r>
      <w:r>
        <w:rPr>
          <w:rFonts w:ascii="Calibri" w:hAnsi="Calibri" w:cs="FrankRuehl"/>
          <w:b/>
          <w:bCs/>
          <w:sz w:val="28"/>
          <w:szCs w:val="28"/>
          <w:u w:val="single"/>
          <w:rtl/>
        </w:rPr>
        <w:t>יזרעאלוב</w:t>
      </w:r>
      <w:r>
        <w:rPr>
          <w:rFonts w:ascii="Calibri" w:hAnsi="Calibri" w:cs="FrankRuehl"/>
          <w:sz w:val="28"/>
          <w:szCs w:val="28"/>
          <w:rtl/>
        </w:rPr>
        <w:t xml:space="preserve"> נ' </w:t>
      </w:r>
      <w:r>
        <w:rPr>
          <w:rFonts w:ascii="Calibri" w:hAnsi="Calibri" w:cs="FrankRuehl"/>
          <w:b/>
          <w:bCs/>
          <w:sz w:val="28"/>
          <w:szCs w:val="28"/>
          <w:u w:val="single"/>
          <w:rtl/>
        </w:rPr>
        <w:t>מ"י</w:t>
      </w:r>
      <w:r>
        <w:rPr>
          <w:rFonts w:ascii="Calibri" w:hAnsi="Calibri" w:cs="FrankRuehl"/>
          <w:sz w:val="28"/>
          <w:szCs w:val="28"/>
          <w:rtl/>
        </w:rPr>
        <w:t xml:space="preserve"> (מיום 20.2.2017); </w:t>
      </w:r>
      <w:hyperlink r:id="rId23" w:history="1">
        <w:r w:rsidR="00972E21" w:rsidRPr="00972E21">
          <w:rPr>
            <w:rFonts w:ascii="Calibri" w:hAnsi="Calibri" w:cs="FrankRuehl" w:hint="eastAsia"/>
            <w:color w:val="0000FF"/>
            <w:sz w:val="28"/>
            <w:szCs w:val="28"/>
            <w:u w:val="single"/>
            <w:rtl/>
          </w:rPr>
          <w:t>רע</w:t>
        </w:r>
        <w:r w:rsidR="00972E21" w:rsidRPr="00972E21">
          <w:rPr>
            <w:rFonts w:ascii="Calibri" w:hAnsi="Calibri" w:cs="FrankRuehl"/>
            <w:color w:val="0000FF"/>
            <w:sz w:val="28"/>
            <w:szCs w:val="28"/>
            <w:u w:val="single"/>
            <w:rtl/>
          </w:rPr>
          <w:t>"</w:t>
        </w:r>
        <w:r w:rsidR="00972E21" w:rsidRPr="00972E21">
          <w:rPr>
            <w:rFonts w:ascii="Calibri" w:hAnsi="Calibri" w:cs="FrankRuehl" w:hint="eastAsia"/>
            <w:color w:val="0000FF"/>
            <w:sz w:val="28"/>
            <w:szCs w:val="28"/>
            <w:u w:val="single"/>
            <w:rtl/>
          </w:rPr>
          <w:t>פ</w:t>
        </w:r>
        <w:r w:rsidR="00972E21" w:rsidRPr="00972E21">
          <w:rPr>
            <w:rFonts w:ascii="Calibri" w:hAnsi="Calibri" w:cs="FrankRuehl"/>
            <w:color w:val="0000FF"/>
            <w:sz w:val="28"/>
            <w:szCs w:val="28"/>
            <w:u w:val="single"/>
            <w:rtl/>
          </w:rPr>
          <w:t xml:space="preserve"> 5478/19</w:t>
        </w:r>
      </w:hyperlink>
      <w:r>
        <w:rPr>
          <w:rFonts w:ascii="Calibri" w:hAnsi="Calibri" w:cs="FrankRuehl"/>
          <w:sz w:val="28"/>
          <w:szCs w:val="28"/>
          <w:rtl/>
        </w:rPr>
        <w:t xml:space="preserve"> </w:t>
      </w:r>
      <w:r>
        <w:rPr>
          <w:rFonts w:ascii="Calibri" w:hAnsi="Calibri" w:cs="FrankRuehl"/>
          <w:b/>
          <w:bCs/>
          <w:sz w:val="28"/>
          <w:szCs w:val="28"/>
          <w:u w:val="single"/>
          <w:rtl/>
        </w:rPr>
        <w:t>לוין</w:t>
      </w:r>
      <w:r>
        <w:rPr>
          <w:rFonts w:ascii="Calibri" w:hAnsi="Calibri" w:cs="FrankRuehl"/>
          <w:sz w:val="28"/>
          <w:szCs w:val="28"/>
          <w:rtl/>
        </w:rPr>
        <w:t xml:space="preserve"> נ' </w:t>
      </w:r>
      <w:r>
        <w:rPr>
          <w:rFonts w:ascii="Calibri" w:hAnsi="Calibri" w:cs="FrankRuehl"/>
          <w:b/>
          <w:bCs/>
          <w:sz w:val="28"/>
          <w:szCs w:val="28"/>
          <w:u w:val="single"/>
          <w:rtl/>
        </w:rPr>
        <w:t>מ"י</w:t>
      </w:r>
      <w:r>
        <w:rPr>
          <w:rFonts w:ascii="Calibri" w:hAnsi="Calibri" w:cs="FrankRuehl"/>
          <w:sz w:val="28"/>
          <w:szCs w:val="28"/>
          <w:rtl/>
        </w:rPr>
        <w:t xml:space="preserve">  (מיום 25.8.2019), שם הסתפק בית המשפט העליון בעונש של של"ץ בנסיבות חמורות יותר של סחר במספר מקרים.</w:t>
      </w:r>
    </w:p>
    <w:p w14:paraId="05C8DEE9" w14:textId="77777777" w:rsidR="001346BD" w:rsidRDefault="001346BD" w:rsidP="001346BD">
      <w:pPr>
        <w:spacing w:line="360" w:lineRule="auto"/>
        <w:jc w:val="both"/>
        <w:rPr>
          <w:rFonts w:cs="FrankRuehl"/>
          <w:sz w:val="28"/>
          <w:szCs w:val="28"/>
          <w:u w:val="single"/>
          <w:rtl/>
        </w:rPr>
      </w:pPr>
    </w:p>
    <w:p w14:paraId="061C4074" w14:textId="77777777" w:rsidR="001346BD" w:rsidRDefault="001346BD" w:rsidP="001346BD">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w:t>
      </w:r>
      <w:r>
        <w:rPr>
          <w:rFonts w:cs="FrankRuehl" w:hint="cs"/>
          <w:sz w:val="28"/>
          <w:szCs w:val="28"/>
          <w:rtl/>
        </w:rPr>
        <w:t xml:space="preserve">בתיק העיקרי צריך לנוע בין </w:t>
      </w:r>
      <w:r>
        <w:rPr>
          <w:rFonts w:cs="FrankRuehl"/>
          <w:sz w:val="28"/>
          <w:szCs w:val="28"/>
          <w:rtl/>
        </w:rPr>
        <w:t xml:space="preserve"> </w:t>
      </w:r>
      <w:r>
        <w:rPr>
          <w:rFonts w:cs="FrankRuehl" w:hint="cs"/>
          <w:sz w:val="28"/>
          <w:szCs w:val="28"/>
          <w:rtl/>
        </w:rPr>
        <w:t xml:space="preserve">מאסר מותנה ועד 6 חודשי מאסר בפועל ובתיק המצורף מתחם ענישה יכול להתחיל במאסר על תנאי ולהסתיים ב </w:t>
      </w:r>
      <w:r>
        <w:rPr>
          <w:rFonts w:cs="FrankRuehl"/>
          <w:sz w:val="28"/>
          <w:szCs w:val="28"/>
          <w:rtl/>
        </w:rPr>
        <w:t>–</w:t>
      </w:r>
      <w:r>
        <w:rPr>
          <w:rFonts w:cs="FrankRuehl" w:hint="cs"/>
          <w:sz w:val="28"/>
          <w:szCs w:val="28"/>
          <w:rtl/>
        </w:rPr>
        <w:t xml:space="preserve"> 8 חודשי מאסר בפועל. </w:t>
      </w:r>
    </w:p>
    <w:p w14:paraId="04E15146" w14:textId="77777777" w:rsidR="001346BD" w:rsidRDefault="001346BD" w:rsidP="001346BD">
      <w:pPr>
        <w:spacing w:line="360" w:lineRule="auto"/>
        <w:jc w:val="both"/>
        <w:rPr>
          <w:rFonts w:cs="FrankRuehl"/>
          <w:b/>
          <w:bCs/>
          <w:sz w:val="28"/>
          <w:szCs w:val="28"/>
          <w:rtl/>
        </w:rPr>
      </w:pPr>
    </w:p>
    <w:p w14:paraId="52F7A792" w14:textId="77777777" w:rsidR="001346BD" w:rsidRDefault="001346BD" w:rsidP="001346BD">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4" w:history="1">
        <w:r w:rsidR="00BD0A0A" w:rsidRPr="00BD0A0A">
          <w:rPr>
            <w:rStyle w:val="Hyperlink"/>
            <w:rFonts w:cs="FrankRuehl"/>
            <w:b/>
            <w:bCs/>
            <w:sz w:val="28"/>
            <w:szCs w:val="28"/>
            <w:rtl/>
          </w:rPr>
          <w:t>סעיף 40י"א</w:t>
        </w:r>
      </w:hyperlink>
      <w:r>
        <w:rPr>
          <w:rFonts w:cs="FrankRuehl"/>
          <w:b/>
          <w:bCs/>
          <w:sz w:val="28"/>
          <w:szCs w:val="28"/>
          <w:u w:val="single"/>
          <w:rtl/>
        </w:rPr>
        <w:t xml:space="preserve"> ל</w:t>
      </w:r>
      <w:hyperlink r:id="rId25" w:history="1">
        <w:r w:rsidR="00972E21" w:rsidRPr="00972E21">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כבן 34, נשוי ואב לשתי בנות ועובד באופן סדיר. לזכותו הודאתו בשני תיקים וחסכון בזמן שיפוטי. לחובתו עברו הפלילי הרלבנטי. </w:t>
      </w:r>
    </w:p>
    <w:p w14:paraId="01E46E46" w14:textId="77777777" w:rsidR="001346BD" w:rsidRDefault="001346BD" w:rsidP="001346BD">
      <w:pPr>
        <w:spacing w:line="360" w:lineRule="auto"/>
        <w:jc w:val="both"/>
        <w:rPr>
          <w:rFonts w:cs="FrankRuehl"/>
          <w:b/>
          <w:bCs/>
          <w:sz w:val="28"/>
          <w:szCs w:val="28"/>
          <w:u w:val="single"/>
          <w:rtl/>
        </w:rPr>
      </w:pPr>
    </w:p>
    <w:p w14:paraId="33672BED" w14:textId="77777777" w:rsidR="001346BD" w:rsidRDefault="001346BD" w:rsidP="001346BD">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 במכלול הנסיבות יש למקם את הנאשם בתחתית המתחם שקבעתי, ולאזן היעדר שליחתו למאסר בפועל בקנס משמעותי. </w:t>
      </w:r>
    </w:p>
    <w:p w14:paraId="180CFB4B" w14:textId="77777777" w:rsidR="001346BD" w:rsidRDefault="001346BD" w:rsidP="001346BD">
      <w:pPr>
        <w:spacing w:line="360" w:lineRule="auto"/>
        <w:jc w:val="both"/>
        <w:rPr>
          <w:rFonts w:cs="FrankRuehl"/>
          <w:b/>
          <w:bCs/>
          <w:sz w:val="28"/>
          <w:szCs w:val="28"/>
          <w:u w:val="single"/>
          <w:rtl/>
        </w:rPr>
      </w:pPr>
    </w:p>
    <w:p w14:paraId="45112EB5" w14:textId="77777777" w:rsidR="001346BD" w:rsidRDefault="001346BD" w:rsidP="001346BD">
      <w:pPr>
        <w:spacing w:line="360" w:lineRule="auto"/>
        <w:jc w:val="both"/>
        <w:rPr>
          <w:rFonts w:cs="FrankRuehl"/>
          <w:b/>
          <w:bCs/>
          <w:sz w:val="28"/>
          <w:szCs w:val="28"/>
          <w:u w:val="single"/>
          <w:rtl/>
        </w:rPr>
      </w:pPr>
      <w:r>
        <w:rPr>
          <w:rFonts w:cs="FrankRuehl"/>
          <w:b/>
          <w:bCs/>
          <w:sz w:val="28"/>
          <w:szCs w:val="28"/>
          <w:u w:val="single"/>
          <w:rtl/>
        </w:rPr>
        <w:t>גזירת הדין</w:t>
      </w:r>
    </w:p>
    <w:p w14:paraId="3F39B404" w14:textId="77777777" w:rsidR="001346BD" w:rsidRDefault="001346BD" w:rsidP="001346BD">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3BBC443" w14:textId="77777777" w:rsidR="001346BD" w:rsidRDefault="001346BD" w:rsidP="001346BD">
      <w:pPr>
        <w:numPr>
          <w:ilvl w:val="0"/>
          <w:numId w:val="1"/>
        </w:numPr>
        <w:spacing w:after="160" w:line="360" w:lineRule="auto"/>
        <w:contextualSpacing/>
        <w:jc w:val="both"/>
        <w:rPr>
          <w:rFonts w:cs="FrankRuehl"/>
          <w:sz w:val="28"/>
          <w:szCs w:val="28"/>
          <w:rtl/>
        </w:rPr>
      </w:pPr>
      <w:r>
        <w:rPr>
          <w:rFonts w:cs="FrankRuehl" w:hint="cs"/>
          <w:sz w:val="28"/>
          <w:szCs w:val="28"/>
          <w:rtl/>
        </w:rPr>
        <w:t xml:space="preserve">חודש </w:t>
      </w:r>
      <w:r>
        <w:rPr>
          <w:rFonts w:cs="FrankRuehl"/>
          <w:sz w:val="28"/>
          <w:szCs w:val="28"/>
          <w:rtl/>
        </w:rPr>
        <w:t>מאסר שלא ירוצ</w:t>
      </w:r>
      <w:r>
        <w:rPr>
          <w:rFonts w:cs="FrankRuehl" w:hint="cs"/>
          <w:sz w:val="28"/>
          <w:szCs w:val="28"/>
          <w:rtl/>
        </w:rPr>
        <w:t>ה</w:t>
      </w:r>
      <w:r>
        <w:rPr>
          <w:rFonts w:cs="FrankRuehl"/>
          <w:sz w:val="28"/>
          <w:szCs w:val="28"/>
          <w:rtl/>
        </w:rPr>
        <w:t xml:space="preserve">, אלא אם יעבור הנאשם </w:t>
      </w:r>
      <w:r>
        <w:rPr>
          <w:rFonts w:cs="FrankRuehl" w:hint="cs"/>
          <w:sz w:val="28"/>
          <w:szCs w:val="28"/>
          <w:rtl/>
        </w:rPr>
        <w:t xml:space="preserve">כל עבירת עוון לפי פקודת הסמים בתוך </w:t>
      </w:r>
      <w:r>
        <w:rPr>
          <w:rFonts w:cs="FrankRuehl"/>
          <w:sz w:val="28"/>
          <w:szCs w:val="28"/>
          <w:rtl/>
        </w:rPr>
        <w:t>שלוש שנים מהיום;</w:t>
      </w:r>
    </w:p>
    <w:p w14:paraId="75650AC4" w14:textId="77777777" w:rsidR="001346BD" w:rsidRDefault="001346BD" w:rsidP="001346BD">
      <w:pPr>
        <w:numPr>
          <w:ilvl w:val="0"/>
          <w:numId w:val="1"/>
        </w:numPr>
        <w:spacing w:after="160" w:line="360" w:lineRule="auto"/>
        <w:contextualSpacing/>
        <w:jc w:val="both"/>
        <w:rPr>
          <w:rFonts w:cs="FrankRuehl"/>
          <w:sz w:val="28"/>
          <w:szCs w:val="28"/>
          <w:rtl/>
        </w:rPr>
      </w:pPr>
      <w:r>
        <w:rPr>
          <w:rFonts w:cs="FrankRuehl" w:hint="cs"/>
          <w:sz w:val="28"/>
          <w:szCs w:val="28"/>
          <w:rtl/>
        </w:rPr>
        <w:t xml:space="preserve">4 </w:t>
      </w:r>
      <w:r>
        <w:rPr>
          <w:rFonts w:cs="FrankRuehl"/>
          <w:sz w:val="28"/>
          <w:szCs w:val="28"/>
          <w:rtl/>
        </w:rPr>
        <w:t xml:space="preserve">חודשי מאסר שלא ירוצו, אלא אם יעבור הנאשם </w:t>
      </w:r>
      <w:r>
        <w:rPr>
          <w:rFonts w:cs="FrankRuehl" w:hint="cs"/>
          <w:sz w:val="28"/>
          <w:szCs w:val="28"/>
          <w:rtl/>
        </w:rPr>
        <w:t>כל עבירת פשע לפי פקודת הסמים, בתוך שלוש שנים מהיום;</w:t>
      </w:r>
    </w:p>
    <w:p w14:paraId="405AE588" w14:textId="77777777" w:rsidR="001346BD" w:rsidRDefault="001346BD" w:rsidP="001346BD">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2,000</w:t>
      </w:r>
      <w:r>
        <w:rPr>
          <w:rFonts w:cs="FrankRuehl"/>
          <w:sz w:val="28"/>
          <w:szCs w:val="28"/>
          <w:rtl/>
        </w:rPr>
        <w:t xml:space="preserve">  ₪, או  </w:t>
      </w:r>
      <w:r>
        <w:rPr>
          <w:rFonts w:cs="FrankRuehl" w:hint="cs"/>
          <w:sz w:val="28"/>
          <w:szCs w:val="28"/>
          <w:rtl/>
        </w:rPr>
        <w:t xml:space="preserve">8 </w:t>
      </w:r>
      <w:r>
        <w:rPr>
          <w:rFonts w:cs="FrankRuehl"/>
          <w:sz w:val="28"/>
          <w:szCs w:val="28"/>
          <w:rtl/>
        </w:rPr>
        <w:t>ימי מאסר תמורתו אם לא ישולם. הקנס ישולם  ב-</w:t>
      </w:r>
      <w:r>
        <w:rPr>
          <w:rFonts w:cs="FrankRuehl" w:hint="cs"/>
          <w:sz w:val="28"/>
          <w:szCs w:val="28"/>
          <w:rtl/>
        </w:rPr>
        <w:t>8</w:t>
      </w:r>
      <w:r>
        <w:rPr>
          <w:rFonts w:cs="FrankRuehl"/>
          <w:sz w:val="28"/>
          <w:szCs w:val="28"/>
          <w:rtl/>
        </w:rPr>
        <w:t xml:space="preserve"> תשלומים שווים ורצופים ב-</w:t>
      </w:r>
      <w:r>
        <w:rPr>
          <w:rFonts w:cs="FrankRuehl" w:hint="cs"/>
          <w:sz w:val="28"/>
          <w:szCs w:val="28"/>
          <w:rtl/>
        </w:rPr>
        <w:t>1</w:t>
      </w:r>
      <w:r>
        <w:rPr>
          <w:rFonts w:cs="FrankRuehl"/>
          <w:sz w:val="28"/>
          <w:szCs w:val="28"/>
          <w:rtl/>
        </w:rPr>
        <w:t xml:space="preserve"> בכל  חודש</w:t>
      </w:r>
      <w:r>
        <w:rPr>
          <w:rFonts w:cs="FrankRuehl" w:hint="cs"/>
          <w:sz w:val="28"/>
          <w:szCs w:val="28"/>
          <w:rtl/>
        </w:rPr>
        <w:t xml:space="preserve"> החל מיום 1.4.2022</w:t>
      </w:r>
      <w:r>
        <w:rPr>
          <w:rFonts w:cs="FrankRuehl"/>
          <w:sz w:val="28"/>
          <w:szCs w:val="28"/>
          <w:rtl/>
        </w:rPr>
        <w:t>. 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7A2474A2" w14:textId="77777777" w:rsidR="001346BD" w:rsidRDefault="001346BD" w:rsidP="001346BD">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עבירה </w:t>
      </w:r>
      <w:r>
        <w:rPr>
          <w:rFonts w:cs="FrankRuehl" w:hint="cs"/>
          <w:sz w:val="28"/>
          <w:szCs w:val="28"/>
          <w:rtl/>
        </w:rPr>
        <w:t>לפי פקודת הסמים</w:t>
      </w:r>
      <w:r>
        <w:rPr>
          <w:rFonts w:cs="FrankRuehl"/>
          <w:sz w:val="28"/>
          <w:szCs w:val="28"/>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639B7012" w14:textId="77777777" w:rsidR="001346BD" w:rsidRDefault="001346BD" w:rsidP="001346BD">
      <w:pPr>
        <w:spacing w:line="360" w:lineRule="auto"/>
        <w:rPr>
          <w:rFonts w:ascii="FrankRuehl" w:hAnsi="FrankRuehl" w:cs="FrankRuehl"/>
          <w:sz w:val="28"/>
          <w:szCs w:val="28"/>
        </w:rPr>
      </w:pPr>
    </w:p>
    <w:p w14:paraId="5D27613E" w14:textId="77777777" w:rsidR="001346BD" w:rsidRDefault="001346BD" w:rsidP="001346BD">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r>
        <w:rPr>
          <w:rFonts w:ascii="FrankRuehl" w:hAnsi="FrankRuehl" w:cs="FrankRuehl" w:hint="cs"/>
          <w:sz w:val="28"/>
          <w:szCs w:val="28"/>
          <w:rtl/>
        </w:rPr>
        <w:t xml:space="preserve"> והמוצגים</w:t>
      </w:r>
      <w:r>
        <w:rPr>
          <w:rFonts w:ascii="FrankRuehl" w:hAnsi="FrankRuehl" w:cs="FrankRuehl"/>
          <w:sz w:val="28"/>
          <w:szCs w:val="28"/>
          <w:rtl/>
        </w:rPr>
        <w:t>.</w:t>
      </w:r>
    </w:p>
    <w:p w14:paraId="4ACA6748" w14:textId="77777777" w:rsidR="001346BD" w:rsidRDefault="001346BD" w:rsidP="001346BD">
      <w:pPr>
        <w:rPr>
          <w:rFonts w:ascii="FrankRuehl" w:hAnsi="FrankRuehl" w:cs="FrankRuehl"/>
          <w:sz w:val="28"/>
          <w:szCs w:val="28"/>
          <w:rtl/>
        </w:rPr>
      </w:pPr>
    </w:p>
    <w:p w14:paraId="51E9143D" w14:textId="77777777" w:rsidR="001346BD" w:rsidRDefault="00972E21" w:rsidP="001346BD">
      <w:pPr>
        <w:rPr>
          <w:rFonts w:ascii="FrankRuehl" w:hAnsi="FrankRuehl" w:cs="FrankRuehl"/>
          <w:sz w:val="28"/>
          <w:szCs w:val="28"/>
        </w:rPr>
      </w:pPr>
      <w:r w:rsidRPr="00972E21">
        <w:rPr>
          <w:rFonts w:ascii="FrankRuehl" w:hAnsi="FrankRuehl" w:cs="FrankRuehl"/>
          <w:color w:val="FFFFFF"/>
          <w:sz w:val="2"/>
          <w:szCs w:val="2"/>
          <w:rtl/>
        </w:rPr>
        <w:t>5129371</w:t>
      </w:r>
      <w:r w:rsidR="001346BD">
        <w:rPr>
          <w:rFonts w:ascii="FrankRuehl" w:hAnsi="FrankRuehl" w:cs="FrankRuehl"/>
          <w:sz w:val="28"/>
          <w:szCs w:val="28"/>
          <w:rtl/>
        </w:rPr>
        <w:t>זכות ערעור כחוק לבית המשפט המחוזי בירושלים בתוך 45 יום מהיום.</w:t>
      </w:r>
    </w:p>
    <w:p w14:paraId="75BA5541" w14:textId="77777777" w:rsidR="001346BD" w:rsidRPr="00972E21" w:rsidRDefault="00972E21" w:rsidP="001346BD">
      <w:pPr>
        <w:rPr>
          <w:rFonts w:ascii="David" w:hAnsi="David"/>
          <w:color w:val="FFFFFF"/>
          <w:sz w:val="2"/>
          <w:szCs w:val="2"/>
          <w:rtl/>
        </w:rPr>
      </w:pPr>
      <w:r w:rsidRPr="00972E21">
        <w:rPr>
          <w:rFonts w:ascii="David" w:hAnsi="David"/>
          <w:color w:val="FFFFFF"/>
          <w:sz w:val="2"/>
          <w:szCs w:val="2"/>
          <w:rtl/>
        </w:rPr>
        <w:t>54678313</w:t>
      </w:r>
    </w:p>
    <w:p w14:paraId="08658A70" w14:textId="77777777" w:rsidR="001346BD" w:rsidRPr="002B7D23" w:rsidRDefault="001346BD" w:rsidP="001346BD">
      <w:pPr>
        <w:rPr>
          <w:rFonts w:ascii="David" w:hAnsi="David"/>
          <w:sz w:val="26"/>
          <w:szCs w:val="26"/>
          <w:rtl/>
        </w:rPr>
      </w:pPr>
    </w:p>
    <w:p w14:paraId="3A7CACDA" w14:textId="77777777" w:rsidR="001346BD" w:rsidRPr="002B7D23" w:rsidRDefault="00972E21" w:rsidP="001346BD">
      <w:pPr>
        <w:rPr>
          <w:rFonts w:ascii="David" w:hAnsi="David"/>
          <w:sz w:val="26"/>
          <w:szCs w:val="26"/>
          <w:rtl/>
        </w:rPr>
      </w:pPr>
      <w:bookmarkStart w:id="8" w:name="Nitan"/>
      <w:r>
        <w:rPr>
          <w:rFonts w:ascii="David" w:hAnsi="David"/>
          <w:sz w:val="26"/>
          <w:szCs w:val="26"/>
          <w:rtl/>
        </w:rPr>
        <w:t xml:space="preserve">ניתן היום,  ז' שבט תשפ"ב, 09 ינואר 2022, במעמד הצדדים. </w:t>
      </w:r>
      <w:bookmarkEnd w:id="8"/>
    </w:p>
    <w:p w14:paraId="5BFFE995" w14:textId="77777777" w:rsidR="00972E21" w:rsidRDefault="00972E21" w:rsidP="00972E21">
      <w:pPr>
        <w:rPr>
          <w:rtl/>
        </w:rPr>
      </w:pPr>
    </w:p>
    <w:p w14:paraId="03B0D06D" w14:textId="77777777" w:rsidR="00972E21" w:rsidRDefault="00972E21" w:rsidP="00972E21">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1388A2A" w14:textId="77777777" w:rsidR="00BD0A0A" w:rsidRPr="00BD0A0A" w:rsidRDefault="00BD0A0A" w:rsidP="00BD0A0A">
      <w:pPr>
        <w:keepNext/>
        <w:rPr>
          <w:rFonts w:ascii="David" w:hAnsi="David"/>
          <w:color w:val="000000"/>
          <w:sz w:val="22"/>
          <w:szCs w:val="22"/>
          <w:rtl/>
        </w:rPr>
      </w:pPr>
    </w:p>
    <w:p w14:paraId="6119394F" w14:textId="77777777" w:rsidR="00BD0A0A" w:rsidRPr="00BD0A0A" w:rsidRDefault="00BD0A0A" w:rsidP="00BD0A0A">
      <w:pPr>
        <w:keepNext/>
        <w:rPr>
          <w:rFonts w:ascii="David" w:hAnsi="David"/>
          <w:color w:val="000000"/>
          <w:sz w:val="22"/>
          <w:szCs w:val="22"/>
          <w:rtl/>
        </w:rPr>
      </w:pPr>
      <w:r w:rsidRPr="00BD0A0A">
        <w:rPr>
          <w:rFonts w:ascii="David" w:hAnsi="David"/>
          <w:color w:val="000000"/>
          <w:sz w:val="22"/>
          <w:szCs w:val="22"/>
          <w:rtl/>
        </w:rPr>
        <w:t>דוד שאול גבאי ריכטר 54678313-/</w:t>
      </w:r>
    </w:p>
    <w:p w14:paraId="1FB8738D" w14:textId="77777777" w:rsidR="00972E21" w:rsidRPr="00972E21" w:rsidRDefault="00BD0A0A" w:rsidP="00BD0A0A">
      <w:pPr>
        <w:rPr>
          <w:color w:val="0000FF"/>
          <w:u w:val="single"/>
        </w:rPr>
      </w:pPr>
      <w:r w:rsidRPr="00BD0A0A">
        <w:rPr>
          <w:color w:val="000000"/>
          <w:u w:val="single"/>
          <w:rtl/>
        </w:rPr>
        <w:t>נוסח מסמך זה כפוף לשינויי ניסוח ועריכה</w:t>
      </w:r>
    </w:p>
    <w:sectPr w:rsidR="00972E21" w:rsidRPr="00972E21" w:rsidSect="00BD0A0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06C09" w14:textId="77777777" w:rsidR="00834674" w:rsidRDefault="00834674" w:rsidP="007D181F">
      <w:r>
        <w:separator/>
      </w:r>
    </w:p>
  </w:endnote>
  <w:endnote w:type="continuationSeparator" w:id="0">
    <w:p w14:paraId="386732D7" w14:textId="77777777" w:rsidR="00834674" w:rsidRDefault="00834674" w:rsidP="007D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2697C" w14:textId="77777777" w:rsidR="00BD0A0A" w:rsidRDefault="00BD0A0A" w:rsidP="00BD0A0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A5AE56" w14:textId="77777777" w:rsidR="005613B8" w:rsidRPr="00BD0A0A" w:rsidRDefault="00BD0A0A" w:rsidP="00BD0A0A">
    <w:pPr>
      <w:pStyle w:val="a5"/>
      <w:pBdr>
        <w:top w:val="single" w:sz="4" w:space="1" w:color="auto"/>
        <w:between w:val="single" w:sz="4" w:space="0" w:color="auto"/>
      </w:pBdr>
      <w:spacing w:after="60"/>
      <w:jc w:val="center"/>
      <w:rPr>
        <w:rFonts w:ascii="FrankRuehl" w:hAnsi="FrankRuehl" w:cs="FrankRuehl"/>
        <w:color w:val="000000"/>
      </w:rPr>
    </w:pPr>
    <w:r w:rsidRPr="00BD0A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94482" w14:textId="77777777" w:rsidR="00BD0A0A" w:rsidRDefault="00BD0A0A" w:rsidP="00BD0A0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66BA">
      <w:rPr>
        <w:rFonts w:ascii="FrankRuehl" w:hAnsi="FrankRuehl" w:cs="FrankRuehl"/>
        <w:noProof/>
        <w:rtl/>
      </w:rPr>
      <w:t>1</w:t>
    </w:r>
    <w:r>
      <w:rPr>
        <w:rFonts w:ascii="FrankRuehl" w:hAnsi="FrankRuehl" w:cs="FrankRuehl"/>
        <w:rtl/>
      </w:rPr>
      <w:fldChar w:fldCharType="end"/>
    </w:r>
  </w:p>
  <w:p w14:paraId="78460E9B" w14:textId="77777777" w:rsidR="005613B8" w:rsidRPr="00BD0A0A" w:rsidRDefault="00BD0A0A" w:rsidP="00BD0A0A">
    <w:pPr>
      <w:pStyle w:val="a5"/>
      <w:pBdr>
        <w:top w:val="single" w:sz="4" w:space="1" w:color="auto"/>
        <w:between w:val="single" w:sz="4" w:space="0" w:color="auto"/>
      </w:pBdr>
      <w:spacing w:after="60"/>
      <w:jc w:val="center"/>
      <w:rPr>
        <w:rFonts w:ascii="FrankRuehl" w:hAnsi="FrankRuehl" w:cs="FrankRuehl"/>
        <w:color w:val="000000"/>
      </w:rPr>
    </w:pPr>
    <w:r w:rsidRPr="00BD0A0A">
      <w:rPr>
        <w:rFonts w:ascii="FrankRuehl" w:hAnsi="FrankRuehl" w:cs="FrankRuehl"/>
        <w:color w:val="000000"/>
      </w:rPr>
      <w:pict w14:anchorId="1FB2D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881C7" w14:textId="77777777" w:rsidR="00834674" w:rsidRDefault="00834674" w:rsidP="007D181F">
      <w:r>
        <w:separator/>
      </w:r>
    </w:p>
  </w:footnote>
  <w:footnote w:type="continuationSeparator" w:id="0">
    <w:p w14:paraId="7477235D" w14:textId="77777777" w:rsidR="00834674" w:rsidRDefault="00834674" w:rsidP="007D1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35C9" w14:textId="77777777" w:rsidR="00972E21" w:rsidRPr="00BD0A0A" w:rsidRDefault="00BD0A0A" w:rsidP="00BD0A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26550-11-19</w:t>
    </w:r>
    <w:r>
      <w:rPr>
        <w:rFonts w:ascii="David" w:hAnsi="David"/>
        <w:color w:val="000000"/>
        <w:sz w:val="22"/>
        <w:szCs w:val="22"/>
        <w:rtl/>
      </w:rPr>
      <w:tab/>
      <w:t xml:space="preserve"> מדינת ישראל נ' פראס רגבי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1CC5C" w14:textId="77777777" w:rsidR="00972E21" w:rsidRPr="00BD0A0A" w:rsidRDefault="00BD0A0A" w:rsidP="00BD0A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26550-11-19</w:t>
    </w:r>
    <w:r>
      <w:rPr>
        <w:rFonts w:ascii="David" w:hAnsi="David"/>
        <w:color w:val="000000"/>
        <w:sz w:val="22"/>
        <w:szCs w:val="22"/>
        <w:rtl/>
      </w:rPr>
      <w:tab/>
      <w:t xml:space="preserve"> מדינת ישראל נ' פראס רגבי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22064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46BD"/>
    <w:rsid w:val="001346BD"/>
    <w:rsid w:val="001B5A3B"/>
    <w:rsid w:val="0028389E"/>
    <w:rsid w:val="00350C43"/>
    <w:rsid w:val="004B27B9"/>
    <w:rsid w:val="005613B8"/>
    <w:rsid w:val="005E1A65"/>
    <w:rsid w:val="007C66BA"/>
    <w:rsid w:val="007D181F"/>
    <w:rsid w:val="00834674"/>
    <w:rsid w:val="00880FBE"/>
    <w:rsid w:val="008F2A0B"/>
    <w:rsid w:val="00972E21"/>
    <w:rsid w:val="009D3D56"/>
    <w:rsid w:val="00BD0A0A"/>
    <w:rsid w:val="00D65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FDEC90"/>
  <w15:chartTrackingRefBased/>
  <w15:docId w15:val="{630E34E8-31A2-4094-9B9F-E1639523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46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46BD"/>
    <w:pPr>
      <w:tabs>
        <w:tab w:val="center" w:pos="4153"/>
        <w:tab w:val="right" w:pos="8306"/>
      </w:tabs>
    </w:pPr>
  </w:style>
  <w:style w:type="character" w:customStyle="1" w:styleId="a4">
    <w:name w:val="כותרת עליונה תו"/>
    <w:link w:val="a3"/>
    <w:rsid w:val="001346BD"/>
    <w:rPr>
      <w:rFonts w:ascii="Times New Roman" w:eastAsia="Times New Roman" w:hAnsi="Times New Roman" w:cs="David"/>
      <w:sz w:val="24"/>
      <w:szCs w:val="24"/>
    </w:rPr>
  </w:style>
  <w:style w:type="paragraph" w:styleId="a5">
    <w:name w:val="footer"/>
    <w:basedOn w:val="a"/>
    <w:link w:val="a6"/>
    <w:rsid w:val="001346BD"/>
    <w:pPr>
      <w:tabs>
        <w:tab w:val="center" w:pos="4153"/>
        <w:tab w:val="right" w:pos="8306"/>
      </w:tabs>
    </w:pPr>
  </w:style>
  <w:style w:type="character" w:customStyle="1" w:styleId="a6">
    <w:name w:val="כותרת תחתונה תו"/>
    <w:link w:val="a5"/>
    <w:rsid w:val="001346BD"/>
    <w:rPr>
      <w:rFonts w:ascii="Times New Roman" w:eastAsia="Times New Roman" w:hAnsi="Times New Roman" w:cs="David"/>
      <w:sz w:val="24"/>
      <w:szCs w:val="24"/>
    </w:rPr>
  </w:style>
  <w:style w:type="table" w:styleId="a7">
    <w:name w:val="Table Grid"/>
    <w:basedOn w:val="a1"/>
    <w:rsid w:val="001346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46BD"/>
  </w:style>
  <w:style w:type="character" w:styleId="Hyperlink">
    <w:name w:val="Hyperlink"/>
    <w:rsid w:val="00972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6178227" TargetMode="External"/><Relationship Id="rId18" Type="http://schemas.openxmlformats.org/officeDocument/2006/relationships/hyperlink" Target="http://www.nevo.co.il/law/4216/7.c"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j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5975844"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191452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5074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6076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3801214</vt:i4>
      </vt:variant>
      <vt:variant>
        <vt:i4>51</vt:i4>
      </vt:variant>
      <vt:variant>
        <vt:i4>0</vt:i4>
      </vt:variant>
      <vt:variant>
        <vt:i4>5</vt:i4>
      </vt:variant>
      <vt:variant>
        <vt:lpwstr>http://www.nevo.co.il/case/25975844</vt:lpwstr>
      </vt:variant>
      <vt:variant>
        <vt:lpwstr/>
      </vt:variant>
      <vt:variant>
        <vt:i4>3997809</vt:i4>
      </vt:variant>
      <vt:variant>
        <vt:i4>48</vt:i4>
      </vt:variant>
      <vt:variant>
        <vt:i4>0</vt:i4>
      </vt:variant>
      <vt:variant>
        <vt:i4>5</vt:i4>
      </vt:variant>
      <vt:variant>
        <vt:lpwstr>http://www.nevo.co.il/case/21914524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3407998</vt:i4>
      </vt:variant>
      <vt:variant>
        <vt:i4>30</vt:i4>
      </vt:variant>
      <vt:variant>
        <vt:i4>0</vt:i4>
      </vt:variant>
      <vt:variant>
        <vt:i4>5</vt:i4>
      </vt:variant>
      <vt:variant>
        <vt:lpwstr>http://www.nevo.co.il/case/25794655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3735671</vt:i4>
      </vt:variant>
      <vt:variant>
        <vt:i4>18</vt:i4>
      </vt:variant>
      <vt:variant>
        <vt:i4>0</vt:i4>
      </vt:variant>
      <vt:variant>
        <vt:i4>5</vt:i4>
      </vt:variant>
      <vt:variant>
        <vt:lpwstr>http://www.nevo.co.il/case/26178227</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26550</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פראס רגבי</vt:lpwstr>
  </property>
  <property fmtid="{D5CDD505-2E9C-101B-9397-08002B2CF9AE}" pid="10" name="LAWYER">
    <vt:lpwstr>מיאדה סוואעד</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20220109</vt:lpwstr>
  </property>
  <property fmtid="{D5CDD505-2E9C-101B-9397-08002B2CF9AE}" pid="14" name="TYPE_N_DATE">
    <vt:lpwstr>38020220109</vt:lpwstr>
  </property>
  <property fmtid="{D5CDD505-2E9C-101B-9397-08002B2CF9AE}" pid="15" name="WORDNUMPAGES">
    <vt:lpwstr>4</vt:lpwstr>
  </property>
  <property fmtid="{D5CDD505-2E9C-101B-9397-08002B2CF9AE}" pid="16" name="TYPE_ABS_DATE">
    <vt:lpwstr>380020220109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26178227;25794655;21914524;25975844</vt:lpwstr>
  </property>
  <property fmtid="{D5CDD505-2E9C-101B-9397-08002B2CF9AE}" pid="36" name="LAWLISTTMP1">
    <vt:lpwstr>4216/007.a:2;007.c:2</vt:lpwstr>
  </property>
  <property fmtid="{D5CDD505-2E9C-101B-9397-08002B2CF9AE}" pid="37" name="LAWLISTTMP2">
    <vt:lpwstr>70301/040i;40ja</vt:lpwstr>
  </property>
</Properties>
</file>