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91086" w:rsidRPr="00383FA9" w14:paraId="41E87A84" w14:textId="77777777" w:rsidTr="00DA4C01">
        <w:trPr>
          <w:gridAfter w:val="1"/>
          <w:wAfter w:w="99" w:type="dxa"/>
          <w:trHeight w:hRule="exact" w:val="418"/>
          <w:jc w:val="center"/>
        </w:trPr>
        <w:tc>
          <w:tcPr>
            <w:tcW w:w="8721" w:type="dxa"/>
            <w:gridSpan w:val="4"/>
          </w:tcPr>
          <w:p w14:paraId="2C793B66" w14:textId="77777777" w:rsidR="00991086" w:rsidRPr="00383FA9" w:rsidRDefault="00991086" w:rsidP="00C80942">
            <w:pPr>
              <w:pStyle w:val="a3"/>
              <w:jc w:val="center"/>
              <w:rPr>
                <w:rFonts w:ascii="Tahoma" w:hAnsi="Tahoma" w:cs="Tahoma"/>
                <w:color w:val="000080"/>
                <w:rtl/>
              </w:rPr>
            </w:pPr>
            <w:bookmarkStart w:id="0" w:name="FirstLawyer"/>
            <w:bookmarkStart w:id="1" w:name="LastJudge"/>
            <w:r w:rsidRPr="00383FA9">
              <w:rPr>
                <w:rFonts w:ascii="Tahoma" w:hAnsi="Tahoma" w:cs="Tahoma"/>
                <w:b/>
                <w:bCs/>
                <w:color w:val="000080"/>
                <w:rtl/>
              </w:rPr>
              <w:t>בית משפט השלום בירושלים</w:t>
            </w:r>
          </w:p>
        </w:tc>
      </w:tr>
      <w:tr w:rsidR="00991086" w:rsidRPr="00383FA9" w14:paraId="15001288" w14:textId="77777777" w:rsidTr="00DA4C01">
        <w:trPr>
          <w:gridAfter w:val="1"/>
          <w:wAfter w:w="99" w:type="dxa"/>
          <w:trHeight w:val="337"/>
          <w:jc w:val="center"/>
        </w:trPr>
        <w:tc>
          <w:tcPr>
            <w:tcW w:w="5054" w:type="dxa"/>
            <w:gridSpan w:val="3"/>
          </w:tcPr>
          <w:p w14:paraId="0EB0F837" w14:textId="77777777" w:rsidR="00991086" w:rsidRPr="00383FA9" w:rsidRDefault="00991086" w:rsidP="00C80942">
            <w:pPr>
              <w:rPr>
                <w:rFonts w:cs="FrankRuehl"/>
                <w:sz w:val="28"/>
                <w:szCs w:val="28"/>
                <w:rtl/>
              </w:rPr>
            </w:pPr>
            <w:r w:rsidRPr="00383FA9">
              <w:rPr>
                <w:rFonts w:cs="FrankRuehl"/>
                <w:sz w:val="28"/>
                <w:szCs w:val="28"/>
                <w:rtl/>
              </w:rPr>
              <w:t>ת"פ</w:t>
            </w:r>
            <w:r w:rsidRPr="00383FA9">
              <w:rPr>
                <w:rFonts w:cs="FrankRuehl" w:hint="cs"/>
                <w:sz w:val="28"/>
                <w:szCs w:val="28"/>
                <w:rtl/>
              </w:rPr>
              <w:t xml:space="preserve"> </w:t>
            </w:r>
            <w:r w:rsidRPr="00383FA9">
              <w:rPr>
                <w:rFonts w:cs="FrankRuehl"/>
                <w:sz w:val="28"/>
                <w:szCs w:val="28"/>
                <w:rtl/>
              </w:rPr>
              <w:t>43841-11-19</w:t>
            </w:r>
            <w:r w:rsidRPr="00383FA9">
              <w:rPr>
                <w:rFonts w:cs="FrankRuehl" w:hint="cs"/>
                <w:sz w:val="28"/>
                <w:szCs w:val="28"/>
                <w:rtl/>
              </w:rPr>
              <w:t xml:space="preserve"> </w:t>
            </w:r>
            <w:r w:rsidRPr="00383FA9">
              <w:rPr>
                <w:rFonts w:cs="FrankRuehl"/>
                <w:sz w:val="28"/>
                <w:szCs w:val="28"/>
                <w:rtl/>
              </w:rPr>
              <w:t>מדינת ישראל נ' כוויס</w:t>
            </w:r>
          </w:p>
          <w:p w14:paraId="362F1CCA" w14:textId="77777777" w:rsidR="00991086" w:rsidRPr="00383FA9" w:rsidRDefault="00991086" w:rsidP="00C80942">
            <w:pPr>
              <w:pStyle w:val="a3"/>
              <w:rPr>
                <w:rFonts w:cs="FrankRuehl"/>
                <w:sz w:val="28"/>
                <w:szCs w:val="28"/>
                <w:rtl/>
              </w:rPr>
            </w:pPr>
          </w:p>
        </w:tc>
        <w:tc>
          <w:tcPr>
            <w:tcW w:w="3667" w:type="dxa"/>
          </w:tcPr>
          <w:p w14:paraId="48703DCF" w14:textId="77777777" w:rsidR="00991086" w:rsidRPr="00383FA9" w:rsidRDefault="00991086" w:rsidP="00C80942">
            <w:pPr>
              <w:pStyle w:val="a3"/>
              <w:jc w:val="right"/>
              <w:rPr>
                <w:rFonts w:cs="FrankRuehl"/>
                <w:sz w:val="28"/>
                <w:szCs w:val="28"/>
                <w:rtl/>
              </w:rPr>
            </w:pPr>
          </w:p>
        </w:tc>
      </w:tr>
      <w:tr w:rsidR="00991086" w:rsidRPr="00383FA9" w14:paraId="6D035529" w14:textId="77777777" w:rsidTr="00DA4C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ED3A733" w14:textId="77777777" w:rsidR="00991086" w:rsidRPr="00383FA9" w:rsidRDefault="00991086" w:rsidP="00991086">
            <w:pPr>
              <w:jc w:val="both"/>
              <w:rPr>
                <w:rFonts w:ascii="David" w:hAnsi="David"/>
                <w:sz w:val="26"/>
                <w:szCs w:val="26"/>
              </w:rPr>
            </w:pPr>
            <w:r w:rsidRPr="00383FA9">
              <w:rPr>
                <w:rFonts w:hint="cs"/>
                <w:rtl/>
              </w:rPr>
              <w:t xml:space="preserve"> </w:t>
            </w:r>
            <w:r w:rsidRPr="00383FA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58C2276B" w14:textId="77777777" w:rsidR="00991086" w:rsidRPr="00383FA9" w:rsidRDefault="00991086" w:rsidP="00C80942">
            <w:pPr>
              <w:rPr>
                <w:rFonts w:ascii="David" w:hAnsi="David"/>
                <w:b/>
                <w:bCs/>
                <w:sz w:val="26"/>
                <w:szCs w:val="26"/>
                <w:rtl/>
              </w:rPr>
            </w:pPr>
            <w:r w:rsidRPr="00383FA9">
              <w:rPr>
                <w:rFonts w:ascii="David" w:hAnsi="David"/>
                <w:b/>
                <w:bCs/>
                <w:sz w:val="26"/>
                <w:szCs w:val="26"/>
                <w:rtl/>
              </w:rPr>
              <w:t>כבוד השופטת בכירה  שרון לארי-בבלי</w:t>
            </w:r>
          </w:p>
          <w:p w14:paraId="2B6F102F" w14:textId="77777777" w:rsidR="00991086" w:rsidRPr="00383FA9" w:rsidRDefault="00991086" w:rsidP="00C80942">
            <w:pPr>
              <w:rPr>
                <w:rFonts w:ascii="David" w:hAnsi="David"/>
                <w:sz w:val="26"/>
                <w:szCs w:val="26"/>
                <w:rtl/>
              </w:rPr>
            </w:pPr>
          </w:p>
          <w:p w14:paraId="5ECCAC85" w14:textId="77777777" w:rsidR="00991086" w:rsidRPr="00383FA9" w:rsidRDefault="00991086" w:rsidP="00991086">
            <w:pPr>
              <w:jc w:val="both"/>
              <w:rPr>
                <w:rFonts w:ascii="David" w:hAnsi="David"/>
                <w:sz w:val="26"/>
                <w:szCs w:val="26"/>
              </w:rPr>
            </w:pPr>
          </w:p>
        </w:tc>
      </w:tr>
      <w:tr w:rsidR="00991086" w:rsidRPr="00383FA9" w14:paraId="6B574A73" w14:textId="77777777" w:rsidTr="00DA4C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3E706D9" w14:textId="77777777" w:rsidR="00991086" w:rsidRPr="00383FA9" w:rsidRDefault="00991086" w:rsidP="00991086">
            <w:pPr>
              <w:jc w:val="both"/>
              <w:rPr>
                <w:rFonts w:ascii="David" w:hAnsi="David"/>
                <w:sz w:val="26"/>
                <w:szCs w:val="26"/>
              </w:rPr>
            </w:pPr>
            <w:bookmarkStart w:id="2" w:name="FirstAppellant"/>
            <w:r w:rsidRPr="00383FA9">
              <w:rPr>
                <w:rFonts w:ascii="David" w:hAnsi="David"/>
                <w:sz w:val="26"/>
                <w:szCs w:val="26"/>
                <w:rtl/>
              </w:rPr>
              <w:t>בעניין:</w:t>
            </w:r>
          </w:p>
        </w:tc>
        <w:tc>
          <w:tcPr>
            <w:tcW w:w="3219" w:type="dxa"/>
            <w:tcBorders>
              <w:top w:val="nil"/>
              <w:left w:val="nil"/>
              <w:bottom w:val="nil"/>
              <w:right w:val="nil"/>
            </w:tcBorders>
            <w:shd w:val="clear" w:color="auto" w:fill="auto"/>
          </w:tcPr>
          <w:p w14:paraId="40FE7D89" w14:textId="77777777" w:rsidR="00991086" w:rsidRPr="00383FA9" w:rsidRDefault="00991086" w:rsidP="00991086">
            <w:pPr>
              <w:suppressLineNumbers/>
            </w:pPr>
            <w:r w:rsidRPr="00383FA9">
              <w:rPr>
                <w:rFonts w:ascii="Arial" w:hAnsi="Arial" w:hint="cs"/>
                <w:b/>
                <w:bCs/>
                <w:sz w:val="26"/>
                <w:szCs w:val="26"/>
                <w:rtl/>
              </w:rPr>
              <w:t>ה</w:t>
            </w:r>
            <w:r w:rsidRPr="00383FA9">
              <w:rPr>
                <w:rFonts w:ascii="Arial" w:hAnsi="Arial"/>
                <w:b/>
                <w:bCs/>
                <w:sz w:val="26"/>
                <w:szCs w:val="26"/>
                <w:rtl/>
              </w:rPr>
              <w:t>מאשימה</w:t>
            </w:r>
          </w:p>
          <w:p w14:paraId="7E22CE47" w14:textId="77777777" w:rsidR="00991086" w:rsidRPr="00383FA9" w:rsidRDefault="00991086" w:rsidP="00C80942">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8506E02" w14:textId="77777777" w:rsidR="00991086" w:rsidRPr="00383FA9" w:rsidRDefault="00991086" w:rsidP="00991086">
            <w:pPr>
              <w:suppressLineNumbers/>
            </w:pPr>
            <w:r w:rsidRPr="00383FA9">
              <w:rPr>
                <w:rFonts w:ascii="Arial" w:hAnsi="Arial"/>
                <w:b/>
                <w:bCs/>
                <w:sz w:val="26"/>
                <w:szCs w:val="26"/>
                <w:rtl/>
              </w:rPr>
              <w:t>מדינת ישראל</w:t>
            </w:r>
            <w:r w:rsidRPr="00383FA9">
              <w:rPr>
                <w:rFonts w:ascii="Arial" w:hAnsi="Arial"/>
                <w:b/>
                <w:bCs/>
                <w:sz w:val="26"/>
                <w:szCs w:val="26"/>
                <w:rtl/>
              </w:rPr>
              <w:br/>
              <w:t xml:space="preserve">ע"י </w:t>
            </w:r>
            <w:r w:rsidRPr="00383FA9">
              <w:rPr>
                <w:rFonts w:ascii="Arial" w:hAnsi="Arial" w:hint="cs"/>
                <w:b/>
                <w:bCs/>
                <w:sz w:val="26"/>
                <w:szCs w:val="26"/>
                <w:rtl/>
              </w:rPr>
              <w:t xml:space="preserve">משטרת ישראל </w:t>
            </w:r>
            <w:r w:rsidRPr="00383FA9">
              <w:rPr>
                <w:rFonts w:ascii="Arial" w:hAnsi="Arial"/>
                <w:b/>
                <w:bCs/>
                <w:sz w:val="26"/>
                <w:szCs w:val="26"/>
                <w:rtl/>
              </w:rPr>
              <w:t>–</w:t>
            </w:r>
            <w:r w:rsidRPr="00383FA9">
              <w:rPr>
                <w:rFonts w:ascii="Arial" w:hAnsi="Arial" w:hint="cs"/>
                <w:b/>
                <w:bCs/>
                <w:sz w:val="26"/>
                <w:szCs w:val="26"/>
                <w:rtl/>
              </w:rPr>
              <w:t xml:space="preserve"> תביעות ירושלים</w:t>
            </w:r>
          </w:p>
          <w:p w14:paraId="60991213" w14:textId="77777777" w:rsidR="00991086" w:rsidRPr="00383FA9" w:rsidRDefault="00991086" w:rsidP="00C80942">
            <w:pPr>
              <w:rPr>
                <w:rFonts w:ascii="David" w:hAnsi="David"/>
                <w:sz w:val="26"/>
                <w:szCs w:val="26"/>
              </w:rPr>
            </w:pPr>
          </w:p>
        </w:tc>
      </w:tr>
      <w:bookmarkEnd w:id="2"/>
      <w:tr w:rsidR="00991086" w:rsidRPr="00383FA9" w14:paraId="1944DCFD" w14:textId="77777777" w:rsidTr="00DA4C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D01F08" w14:textId="77777777" w:rsidR="00991086" w:rsidRPr="00383FA9" w:rsidRDefault="00991086" w:rsidP="0099108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143361E" w14:textId="77777777" w:rsidR="00991086" w:rsidRPr="00383FA9" w:rsidRDefault="00991086" w:rsidP="00991086">
            <w:pPr>
              <w:jc w:val="center"/>
              <w:rPr>
                <w:rFonts w:ascii="David" w:hAnsi="David"/>
                <w:b/>
                <w:bCs/>
                <w:sz w:val="26"/>
                <w:szCs w:val="26"/>
                <w:rtl/>
              </w:rPr>
            </w:pPr>
          </w:p>
          <w:p w14:paraId="6A801049" w14:textId="77777777" w:rsidR="00991086" w:rsidRPr="00383FA9" w:rsidRDefault="00991086" w:rsidP="00991086">
            <w:pPr>
              <w:jc w:val="center"/>
              <w:rPr>
                <w:rFonts w:ascii="David" w:hAnsi="David"/>
                <w:b/>
                <w:bCs/>
                <w:sz w:val="26"/>
                <w:szCs w:val="26"/>
                <w:rtl/>
              </w:rPr>
            </w:pPr>
            <w:r w:rsidRPr="00383FA9">
              <w:rPr>
                <w:rFonts w:ascii="David" w:hAnsi="David"/>
                <w:b/>
                <w:bCs/>
                <w:sz w:val="26"/>
                <w:szCs w:val="26"/>
                <w:rtl/>
              </w:rPr>
              <w:t>נגד</w:t>
            </w:r>
          </w:p>
          <w:p w14:paraId="4DFDB63B" w14:textId="77777777" w:rsidR="00991086" w:rsidRPr="00383FA9" w:rsidRDefault="00991086" w:rsidP="00991086">
            <w:pPr>
              <w:jc w:val="both"/>
              <w:rPr>
                <w:rFonts w:ascii="David" w:hAnsi="David"/>
                <w:sz w:val="26"/>
                <w:szCs w:val="26"/>
              </w:rPr>
            </w:pPr>
          </w:p>
        </w:tc>
      </w:tr>
      <w:tr w:rsidR="00991086" w:rsidRPr="00383FA9" w14:paraId="36678CFC" w14:textId="77777777" w:rsidTr="00DA4C0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DE8A70" w14:textId="77777777" w:rsidR="00991086" w:rsidRPr="00383FA9" w:rsidRDefault="00991086" w:rsidP="00C80942">
            <w:pPr>
              <w:rPr>
                <w:rFonts w:ascii="David" w:hAnsi="David"/>
                <w:sz w:val="26"/>
                <w:szCs w:val="26"/>
                <w:rtl/>
              </w:rPr>
            </w:pPr>
          </w:p>
        </w:tc>
        <w:tc>
          <w:tcPr>
            <w:tcW w:w="3219" w:type="dxa"/>
            <w:tcBorders>
              <w:top w:val="nil"/>
              <w:left w:val="nil"/>
              <w:bottom w:val="nil"/>
              <w:right w:val="nil"/>
            </w:tcBorders>
            <w:shd w:val="clear" w:color="auto" w:fill="auto"/>
          </w:tcPr>
          <w:p w14:paraId="5171AAD3" w14:textId="77777777" w:rsidR="00991086" w:rsidRPr="00383FA9" w:rsidRDefault="00991086" w:rsidP="00C80942">
            <w:pPr>
              <w:rPr>
                <w:rFonts w:ascii="Arial" w:hAnsi="Arial"/>
                <w:b/>
                <w:bCs/>
                <w:sz w:val="26"/>
                <w:szCs w:val="26"/>
                <w:rtl/>
              </w:rPr>
            </w:pPr>
            <w:r w:rsidRPr="00383FA9">
              <w:rPr>
                <w:rFonts w:ascii="Arial" w:hAnsi="Arial"/>
                <w:b/>
                <w:bCs/>
                <w:sz w:val="26"/>
                <w:szCs w:val="26"/>
                <w:rtl/>
              </w:rPr>
              <w:t>הנאש</w:t>
            </w:r>
            <w:r w:rsidRPr="00383FA9">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10B34D14" w14:textId="77777777" w:rsidR="00991086" w:rsidRPr="00383FA9" w:rsidRDefault="00991086" w:rsidP="00991086">
            <w:pPr>
              <w:suppressLineNumbers/>
            </w:pPr>
            <w:r w:rsidRPr="00383FA9">
              <w:rPr>
                <w:rFonts w:ascii="Arial" w:hAnsi="Arial"/>
                <w:b/>
                <w:bCs/>
                <w:sz w:val="26"/>
                <w:szCs w:val="26"/>
                <w:rtl/>
              </w:rPr>
              <w:t>חוסין כוויס</w:t>
            </w:r>
            <w:r w:rsidRPr="00383FA9">
              <w:rPr>
                <w:rFonts w:ascii="Arial" w:hAnsi="Arial"/>
                <w:b/>
                <w:bCs/>
                <w:sz w:val="26"/>
                <w:szCs w:val="26"/>
                <w:rtl/>
              </w:rPr>
              <w:br/>
              <w:t>ע"י ב"כ עוה"ד</w:t>
            </w:r>
            <w:r w:rsidRPr="00383FA9">
              <w:rPr>
                <w:rFonts w:hint="cs"/>
                <w:rtl/>
              </w:rPr>
              <w:t xml:space="preserve"> </w:t>
            </w:r>
            <w:r w:rsidRPr="00383FA9">
              <w:rPr>
                <w:rFonts w:hint="cs"/>
                <w:b/>
                <w:bCs/>
                <w:sz w:val="26"/>
                <w:szCs w:val="26"/>
                <w:rtl/>
              </w:rPr>
              <w:t>עיסא אבו אלהווא</w:t>
            </w:r>
          </w:p>
          <w:p w14:paraId="49A0BC60" w14:textId="77777777" w:rsidR="00991086" w:rsidRPr="00383FA9" w:rsidRDefault="00991086" w:rsidP="00C80942">
            <w:pPr>
              <w:rPr>
                <w:rFonts w:ascii="David" w:hAnsi="David"/>
                <w:sz w:val="26"/>
                <w:szCs w:val="26"/>
              </w:rPr>
            </w:pPr>
          </w:p>
        </w:tc>
      </w:tr>
    </w:tbl>
    <w:p w14:paraId="3D987EC8" w14:textId="77777777" w:rsidR="00DA4C01" w:rsidRDefault="00DA4C01" w:rsidP="00383FA9">
      <w:pPr>
        <w:rPr>
          <w:rtl/>
        </w:rPr>
      </w:pPr>
    </w:p>
    <w:p w14:paraId="1E449354" w14:textId="77777777" w:rsidR="00DA4C01" w:rsidRPr="00DA4C01" w:rsidRDefault="00DA4C01" w:rsidP="00DA4C01">
      <w:pPr>
        <w:spacing w:after="120" w:line="240" w:lineRule="exact"/>
        <w:ind w:left="283" w:hanging="283"/>
        <w:jc w:val="both"/>
        <w:rPr>
          <w:rFonts w:ascii="FrankRuehl" w:hAnsi="FrankRuehl" w:cs="FrankRuehl"/>
          <w:rtl/>
        </w:rPr>
      </w:pPr>
    </w:p>
    <w:p w14:paraId="47D4BABB" w14:textId="77777777" w:rsidR="0057534F" w:rsidRPr="0057534F" w:rsidRDefault="0057534F" w:rsidP="0057534F">
      <w:pPr>
        <w:spacing w:before="120" w:after="120" w:line="240" w:lineRule="exact"/>
        <w:ind w:left="283" w:hanging="283"/>
        <w:jc w:val="both"/>
        <w:rPr>
          <w:rFonts w:ascii="FrankRuehl" w:hAnsi="FrankRuehl" w:cs="FrankRuehl"/>
          <w:rtl/>
        </w:rPr>
      </w:pPr>
    </w:p>
    <w:p w14:paraId="470C8122" w14:textId="77777777" w:rsidR="00DC17CD" w:rsidRDefault="00DC17CD" w:rsidP="00DC17CD">
      <w:pPr>
        <w:rPr>
          <w:rtl/>
        </w:rPr>
      </w:pPr>
      <w:bookmarkStart w:id="3" w:name="LawTable"/>
      <w:bookmarkEnd w:id="3"/>
    </w:p>
    <w:p w14:paraId="45C2D017" w14:textId="77777777" w:rsidR="00DC17CD" w:rsidRPr="00DC17CD" w:rsidRDefault="00DC17CD" w:rsidP="00DC17CD">
      <w:pPr>
        <w:spacing w:before="120" w:after="120" w:line="240" w:lineRule="exact"/>
        <w:ind w:left="283" w:hanging="283"/>
        <w:jc w:val="both"/>
        <w:rPr>
          <w:rFonts w:ascii="FrankRuehl" w:hAnsi="FrankRuehl" w:cs="FrankRuehl"/>
          <w:rtl/>
        </w:rPr>
      </w:pPr>
    </w:p>
    <w:p w14:paraId="5DB5DAEB" w14:textId="77777777" w:rsidR="00DC17CD" w:rsidRPr="00DC17CD" w:rsidRDefault="00DC17CD" w:rsidP="00DC17CD">
      <w:pPr>
        <w:spacing w:before="120" w:after="120" w:line="240" w:lineRule="exact"/>
        <w:ind w:left="283" w:hanging="283"/>
        <w:jc w:val="both"/>
        <w:rPr>
          <w:rFonts w:ascii="FrankRuehl" w:hAnsi="FrankRuehl" w:cs="FrankRuehl"/>
          <w:rtl/>
        </w:rPr>
      </w:pPr>
    </w:p>
    <w:p w14:paraId="249C5E09" w14:textId="77777777" w:rsidR="00DC17CD" w:rsidRPr="00DC17CD" w:rsidRDefault="00DC17CD" w:rsidP="00DC17CD">
      <w:pPr>
        <w:spacing w:before="120" w:after="120" w:line="240" w:lineRule="exact"/>
        <w:ind w:left="283" w:hanging="283"/>
        <w:jc w:val="both"/>
        <w:rPr>
          <w:rFonts w:ascii="FrankRuehl" w:hAnsi="FrankRuehl" w:cs="FrankRuehl"/>
          <w:rtl/>
        </w:rPr>
      </w:pPr>
      <w:r w:rsidRPr="00DC17CD">
        <w:rPr>
          <w:rFonts w:ascii="FrankRuehl" w:hAnsi="FrankRuehl" w:cs="FrankRuehl"/>
          <w:rtl/>
        </w:rPr>
        <w:t xml:space="preserve">חקיקה שאוזכרה: </w:t>
      </w:r>
    </w:p>
    <w:p w14:paraId="1DD051FE" w14:textId="77777777" w:rsidR="00DC17CD" w:rsidRPr="00DC17CD" w:rsidRDefault="00DC17CD" w:rsidP="00DC17CD">
      <w:pPr>
        <w:spacing w:before="120" w:after="120" w:line="240" w:lineRule="exact"/>
        <w:ind w:left="283" w:hanging="283"/>
        <w:jc w:val="both"/>
        <w:rPr>
          <w:rFonts w:ascii="FrankRuehl" w:hAnsi="FrankRuehl" w:cs="FrankRuehl"/>
          <w:rtl/>
        </w:rPr>
      </w:pPr>
      <w:hyperlink r:id="rId7" w:history="1">
        <w:r w:rsidRPr="00DC17CD">
          <w:rPr>
            <w:rFonts w:ascii="FrankRuehl" w:hAnsi="FrankRuehl" w:cs="FrankRuehl"/>
            <w:color w:val="0000FF"/>
            <w:rtl/>
          </w:rPr>
          <w:t>פקודת הסמים המסוכנים [נוסח חדש], תשל"ג-1973</w:t>
        </w:r>
      </w:hyperlink>
      <w:r w:rsidRPr="00DC17CD">
        <w:rPr>
          <w:rFonts w:ascii="FrankRuehl" w:hAnsi="FrankRuehl" w:cs="FrankRuehl"/>
          <w:rtl/>
        </w:rPr>
        <w:t xml:space="preserve">: סע'  </w:t>
      </w:r>
      <w:hyperlink r:id="rId8" w:history="1">
        <w:r w:rsidRPr="00DC17CD">
          <w:rPr>
            <w:rFonts w:ascii="FrankRuehl" w:hAnsi="FrankRuehl" w:cs="FrankRuehl"/>
            <w:color w:val="0000FF"/>
            <w:rtl/>
          </w:rPr>
          <w:t>13</w:t>
        </w:r>
      </w:hyperlink>
      <w:r w:rsidRPr="00DC17CD">
        <w:rPr>
          <w:rFonts w:ascii="FrankRuehl" w:hAnsi="FrankRuehl" w:cs="FrankRuehl"/>
          <w:rtl/>
        </w:rPr>
        <w:t xml:space="preserve">, </w:t>
      </w:r>
      <w:hyperlink r:id="rId9" w:history="1">
        <w:r w:rsidRPr="00DC17CD">
          <w:rPr>
            <w:rFonts w:ascii="FrankRuehl" w:hAnsi="FrankRuehl" w:cs="FrankRuehl"/>
            <w:color w:val="0000FF"/>
            <w:rtl/>
          </w:rPr>
          <w:t>19א</w:t>
        </w:r>
      </w:hyperlink>
    </w:p>
    <w:p w14:paraId="5BE64521" w14:textId="77777777" w:rsidR="00DC17CD" w:rsidRPr="00DC17CD" w:rsidRDefault="00DC17CD" w:rsidP="00DC17CD">
      <w:pPr>
        <w:spacing w:before="120" w:after="120" w:line="240" w:lineRule="exact"/>
        <w:ind w:left="283" w:hanging="283"/>
        <w:jc w:val="both"/>
        <w:rPr>
          <w:rFonts w:ascii="FrankRuehl" w:hAnsi="FrankRuehl" w:cs="FrankRuehl"/>
          <w:rtl/>
        </w:rPr>
      </w:pPr>
      <w:hyperlink r:id="rId10" w:history="1">
        <w:r w:rsidRPr="00DC17CD">
          <w:rPr>
            <w:rFonts w:ascii="FrankRuehl" w:hAnsi="FrankRuehl" w:cs="FrankRuehl"/>
            <w:color w:val="0000FF"/>
            <w:rtl/>
          </w:rPr>
          <w:t>חוק העונשין, תשל"ז-1977</w:t>
        </w:r>
      </w:hyperlink>
      <w:r w:rsidRPr="00DC17CD">
        <w:rPr>
          <w:rFonts w:ascii="FrankRuehl" w:hAnsi="FrankRuehl" w:cs="FrankRuehl"/>
          <w:rtl/>
        </w:rPr>
        <w:t xml:space="preserve">: סע'  </w:t>
      </w:r>
      <w:hyperlink r:id="rId11" w:history="1">
        <w:r w:rsidRPr="00DC17CD">
          <w:rPr>
            <w:rFonts w:ascii="FrankRuehl" w:hAnsi="FrankRuehl" w:cs="FrankRuehl"/>
            <w:color w:val="0000FF"/>
            <w:rtl/>
          </w:rPr>
          <w:t>29א</w:t>
        </w:r>
      </w:hyperlink>
      <w:r w:rsidRPr="00DC17CD">
        <w:rPr>
          <w:rFonts w:ascii="FrankRuehl" w:hAnsi="FrankRuehl" w:cs="FrankRuehl"/>
          <w:rtl/>
        </w:rPr>
        <w:t xml:space="preserve">, </w:t>
      </w:r>
      <w:hyperlink r:id="rId12" w:history="1">
        <w:r w:rsidRPr="00DC17CD">
          <w:rPr>
            <w:rFonts w:ascii="FrankRuehl" w:hAnsi="FrankRuehl" w:cs="FrankRuehl"/>
            <w:color w:val="0000FF"/>
            <w:rtl/>
          </w:rPr>
          <w:t>31</w:t>
        </w:r>
      </w:hyperlink>
    </w:p>
    <w:p w14:paraId="2BF6E43F" w14:textId="77777777" w:rsidR="00DC17CD" w:rsidRPr="00DC17CD" w:rsidRDefault="00DC17CD" w:rsidP="00DC17CD">
      <w:pPr>
        <w:rPr>
          <w:rtl/>
        </w:rPr>
      </w:pPr>
      <w:bookmarkStart w:id="4" w:name="LawTable_End"/>
      <w:bookmarkEnd w:id="4"/>
    </w:p>
    <w:p w14:paraId="399F15E3" w14:textId="77777777" w:rsidR="00383FA9" w:rsidRPr="0057534F" w:rsidRDefault="00383FA9" w:rsidP="0057534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1086" w14:paraId="4C6B2D4E" w14:textId="77777777" w:rsidTr="00991086">
        <w:trPr>
          <w:trHeight w:val="355"/>
          <w:jc w:val="center"/>
        </w:trPr>
        <w:tc>
          <w:tcPr>
            <w:tcW w:w="8820" w:type="dxa"/>
            <w:tcBorders>
              <w:top w:val="nil"/>
              <w:left w:val="nil"/>
              <w:bottom w:val="nil"/>
              <w:right w:val="nil"/>
            </w:tcBorders>
            <w:shd w:val="clear" w:color="auto" w:fill="auto"/>
          </w:tcPr>
          <w:p w14:paraId="27176681" w14:textId="77777777" w:rsidR="00383FA9" w:rsidRPr="00383FA9" w:rsidRDefault="00383FA9" w:rsidP="00383FA9">
            <w:pPr>
              <w:jc w:val="center"/>
              <w:rPr>
                <w:rFonts w:ascii="David" w:hAnsi="David"/>
                <w:b/>
                <w:bCs/>
                <w:sz w:val="32"/>
                <w:szCs w:val="32"/>
                <w:u w:val="single"/>
                <w:rtl/>
              </w:rPr>
            </w:pPr>
            <w:bookmarkStart w:id="5" w:name="PsakDin" w:colFirst="0" w:colLast="0"/>
            <w:bookmarkEnd w:id="0"/>
            <w:bookmarkEnd w:id="1"/>
            <w:r w:rsidRPr="00383FA9">
              <w:rPr>
                <w:rFonts w:ascii="David" w:hAnsi="David"/>
                <w:b/>
                <w:bCs/>
                <w:sz w:val="32"/>
                <w:szCs w:val="32"/>
                <w:u w:val="single"/>
                <w:rtl/>
              </w:rPr>
              <w:t>גזר דין</w:t>
            </w:r>
          </w:p>
          <w:p w14:paraId="47C42FD1" w14:textId="77777777" w:rsidR="00991086" w:rsidRPr="00383FA9" w:rsidRDefault="00991086" w:rsidP="00383FA9">
            <w:pPr>
              <w:jc w:val="center"/>
              <w:rPr>
                <w:rFonts w:ascii="David" w:hAnsi="David"/>
                <w:bCs/>
                <w:sz w:val="32"/>
                <w:szCs w:val="32"/>
                <w:u w:val="single"/>
                <w:rtl/>
              </w:rPr>
            </w:pPr>
          </w:p>
        </w:tc>
      </w:tr>
      <w:bookmarkEnd w:id="5"/>
    </w:tbl>
    <w:p w14:paraId="46B5F502" w14:textId="77777777" w:rsidR="00991086" w:rsidRPr="000F2247" w:rsidRDefault="00991086" w:rsidP="00991086">
      <w:pPr>
        <w:rPr>
          <w:rFonts w:ascii="Arial" w:hAnsi="Arial"/>
          <w:b/>
          <w:bCs/>
          <w:sz w:val="26"/>
          <w:szCs w:val="26"/>
          <w:rtl/>
        </w:rPr>
      </w:pPr>
    </w:p>
    <w:p w14:paraId="4D85283D" w14:textId="77777777" w:rsidR="00991086" w:rsidRDefault="00991086" w:rsidP="00991086">
      <w:pPr>
        <w:spacing w:line="360" w:lineRule="auto"/>
        <w:jc w:val="both"/>
        <w:rPr>
          <w:sz w:val="26"/>
          <w:szCs w:val="26"/>
          <w:u w:val="single"/>
          <w:rtl/>
        </w:rPr>
      </w:pPr>
      <w:r>
        <w:rPr>
          <w:sz w:val="26"/>
          <w:szCs w:val="26"/>
          <w:u w:val="single"/>
          <w:rtl/>
        </w:rPr>
        <w:t>רקע</w:t>
      </w:r>
    </w:p>
    <w:p w14:paraId="08659630" w14:textId="77777777" w:rsidR="00991086" w:rsidRDefault="00991086" w:rsidP="00991086">
      <w:pPr>
        <w:spacing w:line="360" w:lineRule="auto"/>
        <w:jc w:val="both"/>
        <w:rPr>
          <w:sz w:val="26"/>
          <w:szCs w:val="26"/>
          <w:u w:val="single"/>
          <w:rtl/>
        </w:rPr>
      </w:pPr>
    </w:p>
    <w:p w14:paraId="3C3F63BD" w14:textId="77777777" w:rsidR="00991086" w:rsidRDefault="00991086" w:rsidP="00991086">
      <w:pPr>
        <w:pStyle w:val="a9"/>
        <w:numPr>
          <w:ilvl w:val="0"/>
          <w:numId w:val="1"/>
        </w:numPr>
        <w:spacing w:after="0" w:line="360" w:lineRule="auto"/>
        <w:jc w:val="both"/>
        <w:rPr>
          <w:rFonts w:ascii="David" w:hAnsi="David" w:cs="David"/>
          <w:sz w:val="26"/>
          <w:szCs w:val="26"/>
          <w:rtl/>
        </w:rPr>
      </w:pPr>
      <w:bookmarkStart w:id="6" w:name="ABSTRACT_START"/>
      <w:bookmarkEnd w:id="6"/>
      <w:r>
        <w:rPr>
          <w:rFonts w:ascii="David" w:hAnsi="David" w:cs="David"/>
          <w:sz w:val="26"/>
          <w:szCs w:val="26"/>
          <w:rtl/>
        </w:rPr>
        <w:t>הנאשם הורשע על פי הודאתו בכתב אישום מתוקן בביצוע עבירות של סיוע לסחר בסמים (</w:t>
      </w:r>
      <w:hyperlink r:id="rId13" w:history="1">
        <w:r w:rsidR="00DA4C01" w:rsidRPr="00DA4C01">
          <w:rPr>
            <w:rStyle w:val="Hyperlink"/>
            <w:rFonts w:ascii="David" w:hAnsi="David" w:cs="David"/>
            <w:sz w:val="26"/>
            <w:szCs w:val="26"/>
            <w:rtl/>
          </w:rPr>
          <w:t>ס' 13</w:t>
        </w:r>
      </w:hyperlink>
      <w:r>
        <w:rPr>
          <w:rFonts w:ascii="David" w:hAnsi="David" w:cs="David"/>
          <w:sz w:val="26"/>
          <w:szCs w:val="26"/>
          <w:rtl/>
        </w:rPr>
        <w:t xml:space="preserve"> + </w:t>
      </w:r>
      <w:hyperlink r:id="rId14" w:history="1">
        <w:r w:rsidR="00DA4C01" w:rsidRPr="00DA4C01">
          <w:rPr>
            <w:rStyle w:val="Hyperlink"/>
            <w:rFonts w:ascii="David" w:hAnsi="David" w:cs="David"/>
            <w:sz w:val="26"/>
            <w:szCs w:val="26"/>
            <w:rtl/>
          </w:rPr>
          <w:t>19א</w:t>
        </w:r>
      </w:hyperlink>
      <w:r>
        <w:rPr>
          <w:rFonts w:ascii="David" w:hAnsi="David" w:cs="David"/>
          <w:sz w:val="26"/>
          <w:szCs w:val="26"/>
          <w:rtl/>
        </w:rPr>
        <w:t xml:space="preserve"> ל</w:t>
      </w:r>
      <w:hyperlink r:id="rId15" w:history="1">
        <w:r w:rsidR="00383FA9" w:rsidRPr="00383FA9">
          <w:rPr>
            <w:rFonts w:ascii="David" w:hAnsi="David" w:cs="David"/>
            <w:color w:val="0000FF"/>
            <w:sz w:val="26"/>
            <w:szCs w:val="26"/>
            <w:u w:val="single"/>
            <w:rtl/>
          </w:rPr>
          <w:t>פקודת הסמים המסוכנים</w:t>
        </w:r>
      </w:hyperlink>
      <w:r>
        <w:rPr>
          <w:rFonts w:ascii="David" w:hAnsi="David" w:cs="David"/>
          <w:sz w:val="26"/>
          <w:szCs w:val="26"/>
          <w:rtl/>
        </w:rPr>
        <w:t xml:space="preserve"> (נוסח חדש) תשל"ג-1973 (להלן: </w:t>
      </w:r>
      <w:r>
        <w:rPr>
          <w:rFonts w:ascii="David" w:hAnsi="David" w:cs="David"/>
          <w:b/>
          <w:bCs/>
          <w:sz w:val="26"/>
          <w:szCs w:val="26"/>
          <w:rtl/>
        </w:rPr>
        <w:t>הפקודה</w:t>
      </w:r>
      <w:r>
        <w:rPr>
          <w:rFonts w:ascii="David" w:hAnsi="David" w:cs="David"/>
          <w:sz w:val="26"/>
          <w:szCs w:val="26"/>
          <w:rtl/>
        </w:rPr>
        <w:t xml:space="preserve"> או </w:t>
      </w:r>
      <w:r>
        <w:rPr>
          <w:rFonts w:ascii="David" w:hAnsi="David" w:cs="David"/>
          <w:b/>
          <w:bCs/>
          <w:sz w:val="26"/>
          <w:szCs w:val="26"/>
          <w:rtl/>
        </w:rPr>
        <w:t>פקודת הסמים</w:t>
      </w:r>
      <w:r>
        <w:rPr>
          <w:rFonts w:ascii="David" w:hAnsi="David" w:cs="David"/>
          <w:sz w:val="26"/>
          <w:szCs w:val="26"/>
          <w:rtl/>
        </w:rPr>
        <w:t xml:space="preserve">), בצירוף עם סעיף </w:t>
      </w:r>
      <w:hyperlink r:id="rId16" w:history="1">
        <w:r w:rsidR="00DA4C01" w:rsidRPr="00DA4C01">
          <w:rPr>
            <w:rStyle w:val="Hyperlink"/>
            <w:rFonts w:ascii="David" w:hAnsi="David" w:cs="David"/>
            <w:sz w:val="26"/>
            <w:szCs w:val="26"/>
            <w:rtl/>
          </w:rPr>
          <w:t>31</w:t>
        </w:r>
      </w:hyperlink>
      <w:r>
        <w:rPr>
          <w:rFonts w:ascii="David" w:hAnsi="David" w:cs="David"/>
          <w:sz w:val="26"/>
          <w:szCs w:val="26"/>
          <w:rtl/>
        </w:rPr>
        <w:t xml:space="preserve"> ל</w:t>
      </w:r>
      <w:hyperlink r:id="rId17" w:history="1">
        <w:r w:rsidR="00383FA9" w:rsidRPr="00383FA9">
          <w:rPr>
            <w:rFonts w:ascii="David" w:hAnsi="David" w:cs="David"/>
            <w:color w:val="0000FF"/>
            <w:sz w:val="26"/>
            <w:szCs w:val="26"/>
            <w:u w:val="single"/>
            <w:rtl/>
          </w:rPr>
          <w:t>חוק העונשין</w:t>
        </w:r>
      </w:hyperlink>
      <w:r>
        <w:rPr>
          <w:rFonts w:ascii="David" w:hAnsi="David" w:cs="David"/>
          <w:sz w:val="26"/>
          <w:szCs w:val="26"/>
          <w:rtl/>
        </w:rPr>
        <w:t xml:space="preserve"> התשל"ז – 1977 (להלן: </w:t>
      </w:r>
      <w:r>
        <w:rPr>
          <w:rFonts w:ascii="David" w:hAnsi="David" w:cs="David"/>
          <w:b/>
          <w:bCs/>
          <w:sz w:val="26"/>
          <w:szCs w:val="26"/>
          <w:rtl/>
        </w:rPr>
        <w:t>חוק העונשין</w:t>
      </w:r>
      <w:r>
        <w:rPr>
          <w:rFonts w:ascii="David" w:hAnsi="David" w:cs="David"/>
          <w:sz w:val="26"/>
          <w:szCs w:val="26"/>
          <w:rtl/>
        </w:rPr>
        <w:t xml:space="preserve">)), סחר בצוותא (ס' </w:t>
      </w:r>
      <w:hyperlink r:id="rId18" w:history="1">
        <w:r w:rsidR="00DA4C01" w:rsidRPr="00DA4C01">
          <w:rPr>
            <w:rStyle w:val="Hyperlink"/>
            <w:rFonts w:ascii="David" w:hAnsi="David" w:cs="David"/>
            <w:sz w:val="26"/>
            <w:szCs w:val="26"/>
            <w:rtl/>
          </w:rPr>
          <w:t>13</w:t>
        </w:r>
      </w:hyperlink>
      <w:r>
        <w:rPr>
          <w:rFonts w:ascii="David" w:hAnsi="David" w:cs="David"/>
          <w:sz w:val="26"/>
          <w:szCs w:val="26"/>
          <w:rtl/>
        </w:rPr>
        <w:t xml:space="preserve"> + </w:t>
      </w:r>
      <w:hyperlink r:id="rId19" w:history="1">
        <w:r w:rsidR="00DA4C01" w:rsidRPr="00DA4C01">
          <w:rPr>
            <w:rStyle w:val="Hyperlink"/>
            <w:rFonts w:ascii="David" w:hAnsi="David" w:cs="David"/>
            <w:sz w:val="26"/>
            <w:szCs w:val="26"/>
            <w:rtl/>
          </w:rPr>
          <w:t>19א</w:t>
        </w:r>
      </w:hyperlink>
      <w:r>
        <w:rPr>
          <w:rFonts w:ascii="David" w:hAnsi="David" w:cs="David"/>
          <w:sz w:val="26"/>
          <w:szCs w:val="26"/>
          <w:rtl/>
        </w:rPr>
        <w:t xml:space="preserve"> לפקודה, בצירוף עם סעיף </w:t>
      </w:r>
      <w:hyperlink r:id="rId20" w:history="1">
        <w:r w:rsidR="00DA4C01" w:rsidRPr="00DA4C01">
          <w:rPr>
            <w:rStyle w:val="Hyperlink"/>
            <w:rFonts w:ascii="David" w:hAnsi="David" w:cs="David"/>
            <w:sz w:val="26"/>
            <w:szCs w:val="26"/>
            <w:rtl/>
          </w:rPr>
          <w:t>29א</w:t>
        </w:r>
      </w:hyperlink>
      <w:r>
        <w:rPr>
          <w:rFonts w:ascii="David" w:hAnsi="David" w:cs="David"/>
          <w:sz w:val="26"/>
          <w:szCs w:val="26"/>
          <w:rtl/>
        </w:rPr>
        <w:t xml:space="preserve"> לחוק העונשין) (2 עבירות), וסחר בסמים (ס' </w:t>
      </w:r>
      <w:hyperlink r:id="rId21" w:history="1">
        <w:r w:rsidR="00DA4C01" w:rsidRPr="00DA4C01">
          <w:rPr>
            <w:rStyle w:val="Hyperlink"/>
            <w:rFonts w:ascii="David" w:hAnsi="David" w:cs="David"/>
            <w:sz w:val="26"/>
            <w:szCs w:val="26"/>
            <w:rtl/>
          </w:rPr>
          <w:t>13</w:t>
        </w:r>
      </w:hyperlink>
      <w:r>
        <w:rPr>
          <w:rFonts w:ascii="David" w:hAnsi="David" w:cs="David"/>
          <w:sz w:val="26"/>
          <w:szCs w:val="26"/>
          <w:rtl/>
        </w:rPr>
        <w:t xml:space="preserve"> + </w:t>
      </w:r>
      <w:hyperlink r:id="rId22" w:history="1">
        <w:r w:rsidR="00DA4C01" w:rsidRPr="00DA4C01">
          <w:rPr>
            <w:rStyle w:val="Hyperlink"/>
            <w:rFonts w:ascii="David" w:hAnsi="David" w:cs="David"/>
            <w:sz w:val="26"/>
            <w:szCs w:val="26"/>
            <w:rtl/>
          </w:rPr>
          <w:t>19א</w:t>
        </w:r>
      </w:hyperlink>
      <w:r>
        <w:rPr>
          <w:rFonts w:ascii="David" w:hAnsi="David" w:cs="David"/>
          <w:sz w:val="26"/>
          <w:szCs w:val="26"/>
          <w:rtl/>
        </w:rPr>
        <w:t>) לפקודה</w:t>
      </w:r>
      <w:bookmarkStart w:id="7" w:name="ABSTRACT_END"/>
      <w:bookmarkEnd w:id="7"/>
      <w:r>
        <w:rPr>
          <w:rFonts w:ascii="David" w:hAnsi="David" w:cs="David"/>
          <w:sz w:val="26"/>
          <w:szCs w:val="26"/>
          <w:rtl/>
        </w:rPr>
        <w:t>.</w:t>
      </w:r>
    </w:p>
    <w:p w14:paraId="66E21B41" w14:textId="77777777" w:rsidR="00991086" w:rsidRPr="00991086" w:rsidRDefault="00991086" w:rsidP="00991086">
      <w:pPr>
        <w:spacing w:line="360" w:lineRule="auto"/>
        <w:jc w:val="both"/>
        <w:rPr>
          <w:rFonts w:ascii="Calibri" w:hAnsi="Calibri"/>
          <w:sz w:val="26"/>
          <w:szCs w:val="26"/>
          <w:rtl/>
        </w:rPr>
      </w:pPr>
    </w:p>
    <w:p w14:paraId="0B3C8567" w14:textId="77777777" w:rsidR="00991086" w:rsidRDefault="00991086" w:rsidP="00991086">
      <w:pPr>
        <w:pStyle w:val="a9"/>
        <w:numPr>
          <w:ilvl w:val="0"/>
          <w:numId w:val="1"/>
        </w:numPr>
        <w:spacing w:after="0" w:line="360" w:lineRule="auto"/>
        <w:jc w:val="both"/>
        <w:rPr>
          <w:rFonts w:cs="David"/>
          <w:sz w:val="26"/>
          <w:szCs w:val="26"/>
          <w:rtl/>
        </w:rPr>
      </w:pPr>
      <w:r>
        <w:rPr>
          <w:rFonts w:cs="David"/>
          <w:sz w:val="26"/>
          <w:szCs w:val="26"/>
          <w:rtl/>
        </w:rPr>
        <w:t xml:space="preserve">על פי עובדות כתב האישום המתוקן, במועדים שבין חודש אפריל 2019 ועד חודש נובמבר 2019 היה הנאשם מעורב בארבע עסקאות בסמים מסוכנים מסוג קוקאין </w:t>
      </w:r>
      <w:r>
        <w:rPr>
          <w:rFonts w:cs="David"/>
          <w:sz w:val="26"/>
          <w:szCs w:val="26"/>
          <w:rtl/>
        </w:rPr>
        <w:lastRenderedPageBreak/>
        <w:t xml:space="preserve">בארבעה מועדים שונים, במשקל כולל של 36.87 גרם ובשווי כולל של 17,750 ₪. העסקאות בוצעו מול סוכן משטרתי סמוי. בשלוש מהעסקאות היה הנאשם הסוחר (לבד או בצוותא), ובאחת היה מסייע. </w:t>
      </w:r>
    </w:p>
    <w:p w14:paraId="2BD66C67" w14:textId="77777777" w:rsidR="00991086" w:rsidRDefault="00991086" w:rsidP="00991086">
      <w:pPr>
        <w:pStyle w:val="a9"/>
        <w:rPr>
          <w:rFonts w:cs="David"/>
          <w:sz w:val="26"/>
          <w:szCs w:val="26"/>
        </w:rPr>
      </w:pPr>
    </w:p>
    <w:p w14:paraId="5C0976CB" w14:textId="77777777" w:rsidR="00991086" w:rsidRDefault="00991086" w:rsidP="00991086">
      <w:pPr>
        <w:pStyle w:val="a9"/>
        <w:numPr>
          <w:ilvl w:val="0"/>
          <w:numId w:val="1"/>
        </w:numPr>
        <w:spacing w:after="0" w:line="360" w:lineRule="auto"/>
        <w:jc w:val="both"/>
        <w:rPr>
          <w:rFonts w:cs="David"/>
          <w:sz w:val="26"/>
          <w:szCs w:val="26"/>
          <w:rtl/>
        </w:rPr>
      </w:pPr>
      <w:r>
        <w:rPr>
          <w:rFonts w:cs="David"/>
          <w:sz w:val="26"/>
          <w:szCs w:val="26"/>
          <w:rtl/>
        </w:rPr>
        <w:t>ביום 13.2.22 הורשע הנאשם על פי הודאתו במסגרת הסדר שלא כלל הסכמות לעניין העונש. הנאשם נשלח לשירות המבחן לקבלת תסקיר.</w:t>
      </w:r>
    </w:p>
    <w:p w14:paraId="721F3F9B" w14:textId="77777777" w:rsidR="00991086" w:rsidRDefault="00991086" w:rsidP="00991086">
      <w:pPr>
        <w:pStyle w:val="a9"/>
        <w:rPr>
          <w:rFonts w:cs="David"/>
          <w:sz w:val="26"/>
          <w:szCs w:val="26"/>
        </w:rPr>
      </w:pPr>
    </w:p>
    <w:p w14:paraId="33D812CC" w14:textId="77777777" w:rsidR="00991086" w:rsidRDefault="00991086" w:rsidP="00991086">
      <w:pPr>
        <w:pStyle w:val="a9"/>
        <w:numPr>
          <w:ilvl w:val="0"/>
          <w:numId w:val="1"/>
        </w:numPr>
        <w:spacing w:after="0" w:line="360" w:lineRule="auto"/>
        <w:jc w:val="both"/>
        <w:rPr>
          <w:rFonts w:cs="David"/>
          <w:sz w:val="26"/>
          <w:szCs w:val="26"/>
        </w:rPr>
      </w:pPr>
      <w:r>
        <w:rPr>
          <w:rFonts w:cs="David"/>
          <w:sz w:val="26"/>
          <w:szCs w:val="26"/>
          <w:rtl/>
        </w:rPr>
        <w:t xml:space="preserve">בעקבות המלצות שירות המבחן נשלח הנאשם ביום 27.11.22 אל הממונה על עבודות שירות על מנת שתבחן כשירותו לרצות מאסר בדרך זו. בחוות הדעת מיום 21.2.23 נקבע שהנאשם כשיר. </w:t>
      </w:r>
    </w:p>
    <w:p w14:paraId="0355EEC2" w14:textId="77777777" w:rsidR="00991086" w:rsidRPr="00A845F9" w:rsidRDefault="00991086" w:rsidP="00991086">
      <w:pPr>
        <w:pStyle w:val="a9"/>
        <w:rPr>
          <w:rFonts w:cs="David"/>
          <w:sz w:val="26"/>
          <w:szCs w:val="26"/>
          <w:rtl/>
        </w:rPr>
      </w:pPr>
    </w:p>
    <w:p w14:paraId="12B5495E" w14:textId="77777777" w:rsidR="00991086" w:rsidRDefault="00991086" w:rsidP="00991086">
      <w:pPr>
        <w:pStyle w:val="a9"/>
        <w:numPr>
          <w:ilvl w:val="0"/>
          <w:numId w:val="1"/>
        </w:numPr>
        <w:spacing w:after="0" w:line="360" w:lineRule="auto"/>
        <w:jc w:val="both"/>
        <w:rPr>
          <w:rFonts w:cs="David"/>
          <w:sz w:val="26"/>
          <w:szCs w:val="26"/>
          <w:rtl/>
        </w:rPr>
      </w:pPr>
      <w:r>
        <w:rPr>
          <w:rFonts w:cs="David"/>
          <w:sz w:val="26"/>
          <w:szCs w:val="26"/>
          <w:rtl/>
        </w:rPr>
        <w:t xml:space="preserve">ביום 14.3.23 טענו הצדדים לעונש. </w:t>
      </w:r>
    </w:p>
    <w:p w14:paraId="4FCC5A2A" w14:textId="77777777" w:rsidR="00991086" w:rsidRDefault="00991086" w:rsidP="00991086">
      <w:pPr>
        <w:spacing w:line="360" w:lineRule="auto"/>
        <w:contextualSpacing/>
        <w:jc w:val="both"/>
        <w:rPr>
          <w:sz w:val="26"/>
          <w:szCs w:val="26"/>
          <w:u w:val="single"/>
          <w:rtl/>
        </w:rPr>
      </w:pPr>
    </w:p>
    <w:p w14:paraId="6DABCDE1" w14:textId="77777777" w:rsidR="00991086" w:rsidRDefault="00991086" w:rsidP="00991086">
      <w:pPr>
        <w:spacing w:line="360" w:lineRule="auto"/>
        <w:contextualSpacing/>
        <w:jc w:val="both"/>
        <w:rPr>
          <w:rFonts w:ascii="Arial" w:hAnsi="Arial"/>
          <w:sz w:val="26"/>
          <w:szCs w:val="26"/>
          <w:u w:val="single"/>
          <w:rtl/>
        </w:rPr>
      </w:pPr>
      <w:r>
        <w:rPr>
          <w:sz w:val="26"/>
          <w:szCs w:val="26"/>
          <w:u w:val="single"/>
          <w:rtl/>
        </w:rPr>
        <w:t xml:space="preserve">תסקיר שירות המבחן </w:t>
      </w:r>
    </w:p>
    <w:p w14:paraId="73061BA8" w14:textId="77777777" w:rsidR="00991086" w:rsidRDefault="00991086" w:rsidP="00991086">
      <w:pPr>
        <w:spacing w:line="360" w:lineRule="auto"/>
        <w:contextualSpacing/>
        <w:jc w:val="both"/>
        <w:rPr>
          <w:rFonts w:ascii="Arial" w:hAnsi="Arial"/>
          <w:sz w:val="26"/>
          <w:szCs w:val="26"/>
          <w:u w:val="single"/>
          <w:rtl/>
        </w:rPr>
      </w:pPr>
    </w:p>
    <w:p w14:paraId="4C600407"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Pr>
      </w:pPr>
      <w:r>
        <w:rPr>
          <w:rFonts w:ascii="Times New Roman" w:eastAsia="Times New Roman" w:hAnsi="Times New Roman" w:cs="David"/>
          <w:sz w:val="26"/>
          <w:szCs w:val="26"/>
          <w:rtl/>
        </w:rPr>
        <w:t>מתסקיר שירות המבחן מיום 20.11.22 עולה כי הנאשם בן 21, נשוי ואב לתינוק (בעת כתיבת התסקיר היתה רעייתו בהריון מתקדם). הנאשם עובד בעסק השכרת רכב של אביו ומתגורר ביחידת דיור מעל בית הוריו. עברו של הנאשם נקי וזוהי לו הסתבכות ראשונה בפלילים.</w:t>
      </w:r>
    </w:p>
    <w:p w14:paraId="1A874E19" w14:textId="77777777" w:rsidR="00991086" w:rsidRDefault="00991086" w:rsidP="00991086">
      <w:pPr>
        <w:pStyle w:val="a9"/>
        <w:spacing w:after="0" w:line="360" w:lineRule="auto"/>
        <w:jc w:val="both"/>
        <w:rPr>
          <w:rFonts w:ascii="Times New Roman" w:eastAsia="Times New Roman" w:hAnsi="Times New Roman" w:cs="David"/>
          <w:sz w:val="26"/>
          <w:szCs w:val="26"/>
        </w:rPr>
      </w:pPr>
    </w:p>
    <w:p w14:paraId="53CBC87B"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Pr>
      </w:pPr>
      <w:r>
        <w:rPr>
          <w:rFonts w:ascii="Times New Roman" w:eastAsia="Times New Roman" w:hAnsi="Times New Roman" w:cs="David"/>
          <w:sz w:val="26"/>
          <w:szCs w:val="26"/>
          <w:rtl/>
        </w:rPr>
        <w:t xml:space="preserve">במסגרת תסקירי המעצר ובעקבות מסירת בדיקות שתן נקיות, המליץ שירות המבחן על יציאתו של הנאשם לעבודה, אולם אז הסתבר שהנאשם צורך סמים מסוג "נייס גאי" אשר אינם מתגלים בבדיקות. בעקבות זאת הופנה הנאשם לטיפול בקהילת "אלפטאם". הנאשם שהה בקהילה שלושה שבועות ואז הועזב על רקע אי עמידה בכללי המקום, חוסר התאמה וחוסר מוטיבציה.  </w:t>
      </w:r>
    </w:p>
    <w:p w14:paraId="4BD707C0" w14:textId="77777777" w:rsidR="00991086" w:rsidRDefault="00991086" w:rsidP="00991086">
      <w:pPr>
        <w:spacing w:line="360" w:lineRule="auto"/>
        <w:jc w:val="both"/>
        <w:rPr>
          <w:sz w:val="26"/>
          <w:szCs w:val="26"/>
        </w:rPr>
      </w:pPr>
    </w:p>
    <w:p w14:paraId="13512E43"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שירות המבחן התרשם שהנאשם מחזיק במודעות חלקית לבעייתיות דפוס שימושו ולצורך שלו בטיפול ייעודי בתחום הסמים. עם זאת צויין שהנאשם השלים את השתתפותו בקבוצת עצורי בית, החל בתהליך ראשוני להתבוננות בדפוסיו והביע מוטיבציה להעמקת התהליך והשתלבות בתהליכי טיפול נוספים. </w:t>
      </w:r>
    </w:p>
    <w:p w14:paraId="2C688E31" w14:textId="77777777" w:rsidR="00991086" w:rsidRDefault="00991086" w:rsidP="00991086">
      <w:pPr>
        <w:pStyle w:val="a9"/>
        <w:rPr>
          <w:rFonts w:ascii="Times New Roman" w:eastAsia="Times New Roman" w:hAnsi="Times New Roman" w:cs="David"/>
          <w:sz w:val="26"/>
          <w:szCs w:val="26"/>
        </w:rPr>
      </w:pPr>
    </w:p>
    <w:p w14:paraId="4223BD13"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lastRenderedPageBreak/>
        <w:t xml:space="preserve">נוכח ההערכה שענישה של מאסר בפועל עלולה לחשוף את הנאשם לאוכלוסיה עבריינית ולפגוע בהליכי שיקומו, המליץ השירות להטיל עליו עונש של מאסר ממושך בדרך של עבודות שירות, כמו גם צו מבחן למשך שנה. </w:t>
      </w:r>
    </w:p>
    <w:p w14:paraId="7019627B" w14:textId="77777777" w:rsidR="00991086" w:rsidRDefault="00991086" w:rsidP="00991086">
      <w:pPr>
        <w:spacing w:line="360" w:lineRule="auto"/>
        <w:ind w:left="360"/>
        <w:jc w:val="both"/>
        <w:rPr>
          <w:sz w:val="26"/>
          <w:szCs w:val="26"/>
          <w:u w:val="single"/>
          <w:rtl/>
        </w:rPr>
      </w:pPr>
    </w:p>
    <w:p w14:paraId="18E40E0F" w14:textId="77777777" w:rsidR="00991086" w:rsidRDefault="00991086" w:rsidP="00991086">
      <w:pPr>
        <w:spacing w:line="360" w:lineRule="auto"/>
        <w:ind w:left="360"/>
        <w:jc w:val="both"/>
        <w:rPr>
          <w:sz w:val="26"/>
          <w:szCs w:val="26"/>
          <w:u w:val="single"/>
          <w:rtl/>
        </w:rPr>
      </w:pPr>
      <w:r>
        <w:rPr>
          <w:sz w:val="26"/>
          <w:szCs w:val="26"/>
          <w:u w:val="single"/>
          <w:rtl/>
        </w:rPr>
        <w:t>ראיות לעונש</w:t>
      </w:r>
    </w:p>
    <w:p w14:paraId="7FFC1536" w14:textId="77777777" w:rsidR="00991086" w:rsidRDefault="00991086" w:rsidP="00991086">
      <w:pPr>
        <w:spacing w:line="360" w:lineRule="auto"/>
        <w:ind w:left="360"/>
        <w:jc w:val="both"/>
        <w:rPr>
          <w:sz w:val="26"/>
          <w:szCs w:val="26"/>
          <w:u w:val="single"/>
          <w:rtl/>
        </w:rPr>
      </w:pPr>
    </w:p>
    <w:p w14:paraId="04C6A890"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מטעם הנאשם העידו הוריו, שפנו לרחמיו של בית המשפט. לדבריהם הנאשם הסתבך עם קבוצת נערים שוליים שדרדרו אותו לסמים, וכאשר הם גילו זאת הם עצמם פנו לרשויות הרווחה על מנת שיסייעו לו להגמל. על מנת לשקם את בנם חיתנו אותו והוא גר בסמיכות אליהם כדי שיוכלו לפקח עליו.</w:t>
      </w:r>
    </w:p>
    <w:p w14:paraId="543D5E2C" w14:textId="77777777" w:rsidR="00991086" w:rsidRDefault="00991086" w:rsidP="00991086">
      <w:pPr>
        <w:spacing w:line="360" w:lineRule="auto"/>
        <w:jc w:val="both"/>
        <w:rPr>
          <w:sz w:val="26"/>
          <w:szCs w:val="26"/>
          <w:u w:val="single"/>
          <w:rtl/>
        </w:rPr>
      </w:pPr>
    </w:p>
    <w:p w14:paraId="5152B139" w14:textId="77777777" w:rsidR="00991086" w:rsidRDefault="00991086" w:rsidP="00991086">
      <w:pPr>
        <w:spacing w:line="360" w:lineRule="auto"/>
        <w:jc w:val="both"/>
        <w:rPr>
          <w:sz w:val="26"/>
          <w:szCs w:val="26"/>
          <w:u w:val="single"/>
          <w:rtl/>
        </w:rPr>
      </w:pPr>
      <w:r>
        <w:rPr>
          <w:sz w:val="26"/>
          <w:szCs w:val="26"/>
          <w:u w:val="single"/>
          <w:rtl/>
        </w:rPr>
        <w:t>טיעוני הצדדים לעונש</w:t>
      </w:r>
    </w:p>
    <w:p w14:paraId="6C65BF7B" w14:textId="77777777" w:rsidR="00991086" w:rsidRDefault="00991086" w:rsidP="00991086">
      <w:pPr>
        <w:spacing w:line="360" w:lineRule="auto"/>
        <w:jc w:val="both"/>
        <w:rPr>
          <w:sz w:val="26"/>
          <w:szCs w:val="26"/>
          <w:u w:val="single"/>
          <w:rtl/>
        </w:rPr>
      </w:pPr>
    </w:p>
    <w:p w14:paraId="166FC17B"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ב"כ המאשימה טענה לארבעה מתחמים שונים, לגבי כל אחד מהאישומים. לגבי האישום השני (האישום הראשון נמחק במסגרת תיקון כתב האישום) טענה למתחם הנע בין 6 ל 13 חודשי מאסר. לגבי האישום השלישי טענה למתחם הנע בין 15 ל – 30 חודשי מאסר. לגבי האישום הרביעי והחמישי – מתחם הנע בין 12 ל – 24 חודשי מאסר. ב"כ המאשימה ביקשה למקם את הנאשם בתחתית המתחם ולהטיל עליו 24 חודשי מאסר בניכוי ימי מעצרו. בנוסף ביקשה שיוטלו עליו גם מאסר מותנה, פסילת רשיון נהיגה, פסילה על תנאי וקנס משמעותי, וכי יוכרז "סוחר סמים". ב"כ המאשימה הפנתה לאסופת פסיקה. </w:t>
      </w:r>
    </w:p>
    <w:p w14:paraId="585E3F75" w14:textId="77777777" w:rsidR="00991086" w:rsidRDefault="00991086" w:rsidP="00991086">
      <w:pPr>
        <w:spacing w:line="360" w:lineRule="auto"/>
        <w:jc w:val="both"/>
        <w:rPr>
          <w:sz w:val="26"/>
          <w:szCs w:val="26"/>
          <w:rtl/>
        </w:rPr>
      </w:pPr>
    </w:p>
    <w:p w14:paraId="32B5590D"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ב"כ הנאשם טען מנגד כי מדובר בנאשם נשוי ואב טרי, שזו לו הסתבכות ראשונה בפלילים. את העבירות בצע כשהיה בן 18. לדברי ב"כ הנאשם, הנאשם עבר הליך טיפולי משמעותי המצדיק חריגה ממתחמי הענישה. לשיטתו מתחם העונש ההולם נע בין של"צ למאסר קצר שיכול וירוצה בעבודות שירות. ב"כ הנאשם עתר לאמץ את המלצת שירת המבחן ולהשית על הנאשם מאסר שירוצה בעבודות שירות. לעניין פסילת רשיון הנהיגה שלו- בקש שלא לחרוג משלושה חודשים על מנת שהנאשם לא ייאלץ לעשות שוב מבחן עיוני ומעשי. </w:t>
      </w:r>
    </w:p>
    <w:p w14:paraId="722610A0" w14:textId="77777777" w:rsidR="00991086" w:rsidRDefault="00991086" w:rsidP="00991086">
      <w:pPr>
        <w:pStyle w:val="a9"/>
        <w:rPr>
          <w:rFonts w:ascii="Times New Roman" w:eastAsia="Times New Roman" w:hAnsi="Times New Roman" w:cs="David"/>
          <w:sz w:val="26"/>
          <w:szCs w:val="26"/>
        </w:rPr>
      </w:pPr>
    </w:p>
    <w:p w14:paraId="3958C036"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הנאשם בדברו האחרון הביע חרטה על מעשיו, הצהיר שאינו משתמש בסמים ובקש את רחמי בית המשפט. לדבריו – החל ללמוד בתכנית אוניברסיטאית באמצעות שירות המבחן והוא שינה לחלוטין את אורחות חייו. </w:t>
      </w:r>
    </w:p>
    <w:p w14:paraId="1CD2BBA6" w14:textId="77777777" w:rsidR="00991086" w:rsidRDefault="00991086" w:rsidP="00991086">
      <w:pPr>
        <w:spacing w:line="360" w:lineRule="auto"/>
        <w:jc w:val="both"/>
        <w:rPr>
          <w:sz w:val="26"/>
          <w:szCs w:val="26"/>
          <w:rtl/>
        </w:rPr>
      </w:pPr>
    </w:p>
    <w:p w14:paraId="5B759596" w14:textId="77777777" w:rsidR="00991086" w:rsidRDefault="00991086" w:rsidP="00991086">
      <w:pPr>
        <w:spacing w:line="360" w:lineRule="auto"/>
        <w:jc w:val="both"/>
        <w:rPr>
          <w:sz w:val="26"/>
          <w:szCs w:val="26"/>
          <w:u w:val="single"/>
          <w:rtl/>
        </w:rPr>
      </w:pPr>
      <w:r>
        <w:rPr>
          <w:sz w:val="26"/>
          <w:szCs w:val="26"/>
          <w:u w:val="single"/>
          <w:rtl/>
        </w:rPr>
        <w:t>דיון</w:t>
      </w:r>
    </w:p>
    <w:p w14:paraId="48F883DE" w14:textId="77777777" w:rsidR="00991086" w:rsidRDefault="00991086" w:rsidP="00991086">
      <w:pPr>
        <w:spacing w:line="360" w:lineRule="auto"/>
        <w:jc w:val="both"/>
        <w:rPr>
          <w:sz w:val="26"/>
          <w:szCs w:val="26"/>
          <w:rtl/>
        </w:rPr>
      </w:pPr>
    </w:p>
    <w:p w14:paraId="00E7B677" w14:textId="77777777" w:rsidR="00991086" w:rsidRDefault="00991086" w:rsidP="00991086">
      <w:pPr>
        <w:spacing w:after="120" w:line="360" w:lineRule="auto"/>
        <w:jc w:val="both"/>
        <w:rPr>
          <w:b/>
          <w:sz w:val="26"/>
          <w:szCs w:val="26"/>
          <w:u w:val="single"/>
          <w:rtl/>
          <w:lang w:eastAsia="he-IL"/>
        </w:rPr>
      </w:pPr>
      <w:r>
        <w:rPr>
          <w:b/>
          <w:sz w:val="26"/>
          <w:szCs w:val="26"/>
          <w:u w:val="single"/>
          <w:rtl/>
          <w:lang w:eastAsia="he-IL"/>
        </w:rPr>
        <w:t>מתחם העונש ההולם</w:t>
      </w:r>
    </w:p>
    <w:p w14:paraId="544FAC66"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בפתח הדברים אציין שאין מקום לקבוע מתחם ענישה נפרד עבור כל עסקה, אלא להתייחס אל מכלול העסקאות כאל ארוע עברייני אחד. המדובר בפרק זמן לא ארוך, באותו סוכן ובאותו סוג סם. </w:t>
      </w:r>
    </w:p>
    <w:p w14:paraId="0F95B59A" w14:textId="77777777" w:rsidR="00991086" w:rsidRDefault="00991086" w:rsidP="00991086">
      <w:pPr>
        <w:pStyle w:val="a9"/>
        <w:spacing w:after="0" w:line="360" w:lineRule="auto"/>
        <w:jc w:val="both"/>
        <w:rPr>
          <w:rFonts w:ascii="Times New Roman" w:eastAsia="Times New Roman" w:hAnsi="Times New Roman" w:cs="David"/>
          <w:sz w:val="26"/>
          <w:szCs w:val="26"/>
        </w:rPr>
      </w:pPr>
    </w:p>
    <w:p w14:paraId="7D648D23"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Pr>
      </w:pPr>
      <w:r>
        <w:rPr>
          <w:rFonts w:ascii="Times New Roman" w:eastAsia="Times New Roman" w:hAnsi="Times New Roman" w:cs="David"/>
          <w:sz w:val="26"/>
          <w:szCs w:val="26"/>
          <w:rtl/>
        </w:rPr>
        <w:t>קביעת מתחם העונש ההולם למעשה העבירה נעשה בהתאם לעקרון ההלימה, קרי יחס הולם בין חומרת מעשה העבירה בנסיבותיו ומידת אשמו של הנאשם, ובין סוג ומידת העונש המוטל עליו. לשם קביעת מתחם העונש ההולם יש להתחשב בערך החברתי שנפגע, במידת הפגיעה בו, במדיניות הענישה הנוהגת ובנסיבות הקשורות בביצוע העבירה.</w:t>
      </w:r>
    </w:p>
    <w:p w14:paraId="158780C3" w14:textId="77777777" w:rsidR="00991086" w:rsidRDefault="00991086" w:rsidP="00991086">
      <w:pPr>
        <w:spacing w:line="360" w:lineRule="auto"/>
        <w:jc w:val="both"/>
        <w:rPr>
          <w:sz w:val="26"/>
          <w:szCs w:val="26"/>
          <w:rtl/>
        </w:rPr>
      </w:pPr>
    </w:p>
    <w:p w14:paraId="0A6374DC"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הערכים המוגנים שנפגעו במקרה זה הם הגנה על שלום הציבור ובריאותו מפני השפעתם המזיקה של סמים. </w:t>
      </w:r>
    </w:p>
    <w:p w14:paraId="2486E25B" w14:textId="77777777" w:rsidR="00991086" w:rsidRDefault="00991086" w:rsidP="00991086">
      <w:pPr>
        <w:pStyle w:val="a9"/>
        <w:rPr>
          <w:rFonts w:ascii="Times New Roman" w:eastAsia="Times New Roman" w:hAnsi="Times New Roman" w:cs="David"/>
          <w:sz w:val="26"/>
          <w:szCs w:val="26"/>
        </w:rPr>
      </w:pPr>
    </w:p>
    <w:p w14:paraId="65A68D01"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מכירות הסמים לסוכן בוצעו לאחר תכנון ותיאום, ובשניים מהמקרים יזם את העסקה הנאשם עצמו.</w:t>
      </w:r>
    </w:p>
    <w:p w14:paraId="417C584C" w14:textId="77777777" w:rsidR="00991086" w:rsidRDefault="00991086" w:rsidP="00991086">
      <w:pPr>
        <w:pStyle w:val="a9"/>
        <w:rPr>
          <w:rFonts w:ascii="Times New Roman" w:eastAsia="Times New Roman" w:hAnsi="Times New Roman" w:cs="David"/>
          <w:sz w:val="26"/>
          <w:szCs w:val="26"/>
        </w:rPr>
      </w:pPr>
    </w:p>
    <w:p w14:paraId="5A543BE4"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הנאשם מכר לסוכן סם מסוג קוקאין, שהוא "סם קשה". </w:t>
      </w:r>
    </w:p>
    <w:p w14:paraId="6C8A8353" w14:textId="77777777" w:rsidR="00991086" w:rsidRDefault="00991086" w:rsidP="00991086">
      <w:pPr>
        <w:pStyle w:val="a9"/>
        <w:rPr>
          <w:rFonts w:ascii="Times New Roman" w:eastAsia="Times New Roman" w:hAnsi="Times New Roman" w:cs="David"/>
          <w:sz w:val="26"/>
          <w:szCs w:val="26"/>
        </w:rPr>
      </w:pPr>
    </w:p>
    <w:p w14:paraId="18DCFDC4"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גם כמות הסמים שמכר הנאשם היא גדולה מאוד – </w:t>
      </w:r>
      <w:r>
        <w:rPr>
          <w:rFonts w:cs="David"/>
          <w:sz w:val="26"/>
          <w:szCs w:val="26"/>
          <w:rtl/>
        </w:rPr>
        <w:t xml:space="preserve">36.87 </w:t>
      </w:r>
      <w:r>
        <w:rPr>
          <w:rFonts w:ascii="Times New Roman" w:eastAsia="Times New Roman" w:hAnsi="Times New Roman" w:cs="David"/>
          <w:sz w:val="26"/>
          <w:szCs w:val="26"/>
          <w:rtl/>
        </w:rPr>
        <w:t xml:space="preserve">גרם, ואין מדובר בעסקה בודדת. </w:t>
      </w:r>
    </w:p>
    <w:p w14:paraId="7100105B" w14:textId="77777777" w:rsidR="00991086" w:rsidRDefault="00991086" w:rsidP="00991086">
      <w:pPr>
        <w:pStyle w:val="a9"/>
        <w:rPr>
          <w:rFonts w:ascii="Times New Roman" w:eastAsia="Times New Roman" w:hAnsi="Times New Roman" w:cs="David"/>
          <w:sz w:val="26"/>
          <w:szCs w:val="26"/>
        </w:rPr>
      </w:pPr>
    </w:p>
    <w:p w14:paraId="2A807031"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עיון בפסיקה מלמד כי בגין מעשים דומים נגזרו, ככלל, עונשים שכללו רכיב משמעותי של מאסר בפועל. ראו למשל </w:t>
      </w:r>
      <w:hyperlink r:id="rId23" w:history="1">
        <w:r w:rsidR="00383FA9" w:rsidRPr="00383FA9">
          <w:rPr>
            <w:rFonts w:ascii="Times New Roman" w:eastAsia="Times New Roman" w:hAnsi="Times New Roman" w:cs="David"/>
            <w:color w:val="0000FF"/>
            <w:sz w:val="26"/>
            <w:szCs w:val="26"/>
            <w:u w:val="single"/>
            <w:rtl/>
          </w:rPr>
          <w:t>ת"פ (פתח תקווה) 16240-11-11</w:t>
        </w:r>
      </w:hyperlink>
      <w:r>
        <w:rPr>
          <w:rFonts w:ascii="Times New Roman" w:eastAsia="Times New Roman" w:hAnsi="Times New Roman" w:cs="David"/>
          <w:sz w:val="26"/>
          <w:szCs w:val="26"/>
          <w:rtl/>
        </w:rPr>
        <w:t xml:space="preserve"> מדינת ישראל נ' זיתון (פורסם בנבו 30.9.13), הפסיקה הענפה הנזכרת שם ופסק הדין בערעור עליו בע"פ (מרכז) </w:t>
      </w:r>
      <w:hyperlink r:id="rId24" w:history="1">
        <w:r w:rsidR="0057534F" w:rsidRPr="0057534F">
          <w:rPr>
            <w:rFonts w:ascii="Times New Roman" w:eastAsia="Times New Roman" w:hAnsi="Times New Roman" w:cs="David"/>
            <w:color w:val="0000FF"/>
            <w:sz w:val="26"/>
            <w:szCs w:val="26"/>
            <w:u w:val="single"/>
            <w:rtl/>
          </w:rPr>
          <w:t xml:space="preserve">20785-11-13 </w:t>
        </w:r>
      </w:hyperlink>
      <w:r>
        <w:rPr>
          <w:rFonts w:ascii="Times New Roman" w:eastAsia="Times New Roman" w:hAnsi="Times New Roman" w:cs="David"/>
          <w:sz w:val="26"/>
          <w:szCs w:val="26"/>
          <w:rtl/>
        </w:rPr>
        <w:t xml:space="preserve"> זיתון נ' מדינת ישראל (פורסם בנבו 29.12.13). </w:t>
      </w:r>
    </w:p>
    <w:p w14:paraId="1C5CC877" w14:textId="77777777" w:rsidR="00991086" w:rsidRDefault="00991086" w:rsidP="00991086">
      <w:pPr>
        <w:pStyle w:val="a9"/>
        <w:rPr>
          <w:rFonts w:ascii="Times New Roman" w:eastAsia="Times New Roman" w:hAnsi="Times New Roman" w:cs="David"/>
          <w:sz w:val="26"/>
          <w:szCs w:val="26"/>
        </w:rPr>
      </w:pPr>
    </w:p>
    <w:p w14:paraId="2E834DB4"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לנוכח האמור לעיל  מתחם העונש ההולם את מעשיו של הנאשם הוא בין 16 ל-30 חודשי מאסר בפועל, לצד מאסר מותנה, פסילת רשיון נהיגה, פסילה על תנאי וקנס. משעה שמדובר בעבירה שבוצעה מתוך מניע כלכלי, ישנה חשיבות מיוחדת לגזירת רכיב עונשי כספי, על מנת להבהיר כי העבירה אינה כדאית גם בהיבט הכלכלי. </w:t>
      </w:r>
    </w:p>
    <w:p w14:paraId="7E48CF60" w14:textId="77777777" w:rsidR="00991086" w:rsidRDefault="00991086" w:rsidP="00991086">
      <w:pPr>
        <w:spacing w:line="360" w:lineRule="auto"/>
        <w:jc w:val="both"/>
        <w:rPr>
          <w:sz w:val="26"/>
          <w:szCs w:val="26"/>
          <w:rtl/>
        </w:rPr>
      </w:pPr>
    </w:p>
    <w:p w14:paraId="4A487FAC" w14:textId="77777777" w:rsidR="00991086" w:rsidRDefault="00991086" w:rsidP="00991086">
      <w:pPr>
        <w:spacing w:line="360" w:lineRule="auto"/>
        <w:jc w:val="both"/>
        <w:rPr>
          <w:sz w:val="26"/>
          <w:szCs w:val="26"/>
          <w:u w:val="single"/>
          <w:rtl/>
        </w:rPr>
      </w:pPr>
    </w:p>
    <w:p w14:paraId="5A56D59B" w14:textId="77777777" w:rsidR="00991086" w:rsidRDefault="00991086" w:rsidP="00991086">
      <w:pPr>
        <w:spacing w:line="360" w:lineRule="auto"/>
        <w:jc w:val="both"/>
        <w:rPr>
          <w:sz w:val="26"/>
          <w:szCs w:val="26"/>
          <w:u w:val="single"/>
          <w:rtl/>
        </w:rPr>
      </w:pPr>
    </w:p>
    <w:p w14:paraId="504D7945" w14:textId="77777777" w:rsidR="00991086" w:rsidRDefault="00991086" w:rsidP="00991086">
      <w:pPr>
        <w:spacing w:line="360" w:lineRule="auto"/>
        <w:jc w:val="both"/>
        <w:rPr>
          <w:sz w:val="26"/>
          <w:szCs w:val="26"/>
          <w:u w:val="single"/>
          <w:rtl/>
        </w:rPr>
      </w:pPr>
    </w:p>
    <w:p w14:paraId="47321D5D" w14:textId="77777777" w:rsidR="00991086" w:rsidRDefault="00991086" w:rsidP="00991086">
      <w:pPr>
        <w:spacing w:line="360" w:lineRule="auto"/>
        <w:jc w:val="both"/>
        <w:rPr>
          <w:sz w:val="26"/>
          <w:szCs w:val="26"/>
          <w:u w:val="single"/>
          <w:rtl/>
        </w:rPr>
      </w:pPr>
    </w:p>
    <w:p w14:paraId="689D55B2" w14:textId="77777777" w:rsidR="00991086" w:rsidRDefault="00991086" w:rsidP="00991086">
      <w:pPr>
        <w:spacing w:line="360" w:lineRule="auto"/>
        <w:jc w:val="both"/>
        <w:rPr>
          <w:sz w:val="26"/>
          <w:szCs w:val="26"/>
          <w:u w:val="single"/>
          <w:rtl/>
        </w:rPr>
      </w:pPr>
      <w:r>
        <w:rPr>
          <w:sz w:val="26"/>
          <w:szCs w:val="26"/>
          <w:u w:val="single"/>
          <w:rtl/>
        </w:rPr>
        <w:t>העונש המתאים לנאשם</w:t>
      </w:r>
    </w:p>
    <w:p w14:paraId="76ED707E" w14:textId="77777777" w:rsidR="00991086" w:rsidRDefault="00991086" w:rsidP="00991086">
      <w:pPr>
        <w:spacing w:line="360" w:lineRule="auto"/>
        <w:jc w:val="both"/>
        <w:rPr>
          <w:sz w:val="26"/>
          <w:szCs w:val="26"/>
          <w:u w:val="single"/>
          <w:rtl/>
        </w:rPr>
      </w:pPr>
    </w:p>
    <w:p w14:paraId="0E018205"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שקלתי לזכות הנאשם את הודאתו במיוחס לו וקבלת אחריות על מעשיו, שהיה בה כדי לחסוך את הצורך בשמיעת עדים ולקצר את משפטו. קבלת אחריות מגלמת הבנה של הנאשם בדבר הפסול שיש במעשיו ומפחיתה את הסיכון להישנותם. </w:t>
      </w:r>
    </w:p>
    <w:p w14:paraId="6AE5B130" w14:textId="77777777" w:rsidR="00991086" w:rsidRDefault="00991086" w:rsidP="00991086">
      <w:pPr>
        <w:spacing w:line="360" w:lineRule="auto"/>
        <w:jc w:val="both"/>
        <w:rPr>
          <w:sz w:val="26"/>
          <w:szCs w:val="26"/>
          <w:rtl/>
        </w:rPr>
      </w:pPr>
    </w:p>
    <w:p w14:paraId="08CB6132"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הנאשם מסר בדיקות שתן נקיות לשירות המבחן (למעט בשני מקרים) ושיתף פעולה באופן מלא עם ההליך הטיפולי אליו שולב.  </w:t>
      </w:r>
    </w:p>
    <w:p w14:paraId="7D5C7E39" w14:textId="77777777" w:rsidR="00991086" w:rsidRDefault="00991086" w:rsidP="00991086">
      <w:pPr>
        <w:pStyle w:val="a9"/>
        <w:rPr>
          <w:rFonts w:ascii="Times New Roman" w:eastAsia="Times New Roman" w:hAnsi="Times New Roman" w:cs="David"/>
          <w:sz w:val="26"/>
          <w:szCs w:val="26"/>
        </w:rPr>
      </w:pPr>
    </w:p>
    <w:p w14:paraId="60634059"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לנאשם אין הרשעות קודמות. </w:t>
      </w:r>
    </w:p>
    <w:p w14:paraId="5AA8890C" w14:textId="77777777" w:rsidR="00991086" w:rsidRDefault="00991086" w:rsidP="00991086">
      <w:pPr>
        <w:spacing w:line="360" w:lineRule="auto"/>
        <w:jc w:val="both"/>
        <w:rPr>
          <w:sz w:val="26"/>
          <w:szCs w:val="26"/>
        </w:rPr>
      </w:pPr>
    </w:p>
    <w:p w14:paraId="0E9E6EB9"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Pr>
      </w:pPr>
      <w:r>
        <w:rPr>
          <w:rFonts w:ascii="Times New Roman" w:eastAsia="Times New Roman" w:hAnsi="Times New Roman" w:cs="David"/>
          <w:sz w:val="26"/>
          <w:szCs w:val="26"/>
          <w:rtl/>
        </w:rPr>
        <w:t xml:space="preserve">שקלתי עוד את העובדה שהנאשם שהה במעצר ממושך ובמעצר בית, בנוסף, וכי לא נרשמו לחובתו הפרות. </w:t>
      </w:r>
    </w:p>
    <w:p w14:paraId="6F0A6F1E" w14:textId="77777777" w:rsidR="00991086" w:rsidRDefault="00991086" w:rsidP="00991086">
      <w:pPr>
        <w:spacing w:line="360" w:lineRule="auto"/>
        <w:jc w:val="both"/>
        <w:rPr>
          <w:sz w:val="26"/>
          <w:szCs w:val="26"/>
        </w:rPr>
      </w:pPr>
    </w:p>
    <w:p w14:paraId="7E55CFC6" w14:textId="77777777" w:rsidR="00991086" w:rsidRDefault="00991086" w:rsidP="00991086">
      <w:pPr>
        <w:pStyle w:val="a9"/>
        <w:numPr>
          <w:ilvl w:val="0"/>
          <w:numId w:val="1"/>
        </w:numPr>
        <w:spacing w:after="0" w:line="360" w:lineRule="auto"/>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הנאשם היה צעיר מאד בעת ביצוע העבירות. מאז ועד היום לא נפתחו נגדו תיקים נוספים בתחום הסמים, בדיקות השתן שהוא נתן (למעט שתיים, כאמור) נקיות, והוא נרתם להליך השיקום עליו הורה שירות המבחן. נדמה לי שבדיוק עבור נאשמים כדוגמת הנאשם שבפניי נועד כלי החריגה מן העונש ההולם, במקרים של שיקום. ככל שהנאשם אכן יתמיד בנקיונו מסמים, אני שותפה לדעת שירות המבחן שהטלת מאסר מאחורי סורג ובריח עלולה להוות גורם מזיק ולהחזירו לסורו. אני סבורה שניתן לאזן את הסכנה בעונש כבד צופה פני עתיד. </w:t>
      </w:r>
    </w:p>
    <w:p w14:paraId="3D10E520" w14:textId="77777777" w:rsidR="00991086" w:rsidRDefault="00991086" w:rsidP="00991086">
      <w:pPr>
        <w:spacing w:line="360" w:lineRule="auto"/>
        <w:jc w:val="both"/>
        <w:rPr>
          <w:sz w:val="26"/>
          <w:szCs w:val="26"/>
          <w:u w:val="single"/>
          <w:rtl/>
        </w:rPr>
      </w:pPr>
    </w:p>
    <w:p w14:paraId="4C32E2C0" w14:textId="77777777" w:rsidR="00991086" w:rsidRDefault="00991086" w:rsidP="00991086">
      <w:pPr>
        <w:spacing w:line="360" w:lineRule="auto"/>
        <w:jc w:val="both"/>
        <w:rPr>
          <w:sz w:val="26"/>
          <w:szCs w:val="26"/>
          <w:u w:val="single"/>
          <w:rtl/>
        </w:rPr>
      </w:pPr>
      <w:r>
        <w:rPr>
          <w:sz w:val="26"/>
          <w:szCs w:val="26"/>
          <w:u w:val="single"/>
          <w:rtl/>
        </w:rPr>
        <w:t>אני גוזרת על הנאשם את העונשים הבאים:</w:t>
      </w:r>
    </w:p>
    <w:p w14:paraId="5731CFB1" w14:textId="77777777" w:rsidR="00991086" w:rsidRDefault="00991086" w:rsidP="00991086">
      <w:pPr>
        <w:spacing w:line="360" w:lineRule="auto"/>
        <w:jc w:val="both"/>
        <w:rPr>
          <w:sz w:val="26"/>
          <w:szCs w:val="26"/>
          <w:rtl/>
        </w:rPr>
      </w:pPr>
    </w:p>
    <w:p w14:paraId="2CF9A161" w14:textId="77777777" w:rsidR="00991086" w:rsidRDefault="00991086" w:rsidP="00991086">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9 חודשי מאסר אשר ירוצו בעבודות שירות. הנאשם יתייצב לתחילת ריצוי ביום 27.4.23 בשעה 8:00 בפני הממונה על עבודות שירות, כלא באר-שבע. </w:t>
      </w:r>
    </w:p>
    <w:p w14:paraId="7FB0C52D" w14:textId="77777777" w:rsidR="00991086" w:rsidRDefault="00991086" w:rsidP="00991086">
      <w:pPr>
        <w:spacing w:line="360" w:lineRule="auto"/>
        <w:jc w:val="both"/>
        <w:rPr>
          <w:sz w:val="26"/>
          <w:szCs w:val="26"/>
          <w:rtl/>
        </w:rPr>
      </w:pPr>
    </w:p>
    <w:p w14:paraId="3B893F5E" w14:textId="77777777" w:rsidR="00991086" w:rsidRDefault="00991086" w:rsidP="00991086">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עשרה חודשי מאסר וזאת על תנאי למשך שלוש שנים והתנאי שלא יעבור עבירה לפי </w:t>
      </w:r>
      <w:hyperlink r:id="rId25" w:history="1">
        <w:r w:rsidR="00383FA9" w:rsidRPr="00383FA9">
          <w:rPr>
            <w:rFonts w:ascii="Times New Roman" w:eastAsia="Times New Roman" w:hAnsi="Times New Roman" w:cs="David"/>
            <w:color w:val="0000FF"/>
            <w:sz w:val="26"/>
            <w:szCs w:val="26"/>
            <w:u w:val="single"/>
            <w:rtl/>
          </w:rPr>
          <w:t>פקודת הסמים המסוכנים</w:t>
        </w:r>
      </w:hyperlink>
      <w:r>
        <w:rPr>
          <w:rFonts w:ascii="Times New Roman" w:eastAsia="Times New Roman" w:hAnsi="Times New Roman" w:cs="David"/>
          <w:sz w:val="26"/>
          <w:szCs w:val="26"/>
          <w:rtl/>
        </w:rPr>
        <w:t xml:space="preserve"> (למעט החזקת סמים לצריכה עצמית וכלים). </w:t>
      </w:r>
    </w:p>
    <w:p w14:paraId="1B50C1E8" w14:textId="77777777" w:rsidR="00991086" w:rsidRDefault="00991086" w:rsidP="00991086">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חודש מאסר וזאת על תנאי למשך שנה והתנאי שלא יעבור עבירה של החזקת סמים לצריכה עצמית וכלים. </w:t>
      </w:r>
    </w:p>
    <w:p w14:paraId="042BA313" w14:textId="77777777" w:rsidR="00991086" w:rsidRDefault="00991086" w:rsidP="00991086">
      <w:pPr>
        <w:spacing w:line="360" w:lineRule="auto"/>
        <w:jc w:val="both"/>
        <w:rPr>
          <w:sz w:val="26"/>
          <w:szCs w:val="26"/>
          <w:rtl/>
        </w:rPr>
      </w:pPr>
    </w:p>
    <w:p w14:paraId="191BAF73" w14:textId="77777777" w:rsidR="00991086" w:rsidRDefault="00991086" w:rsidP="00991086">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פסילה מלקבל או להחזיק רישיון נהיגה למשך 59 ימים. הנאשם יפקיד את רשיון הנהיגה במזכירות בית המשפט בתוך 30 ימים מהיום. הנאשם מוזהר כי העונש המקובל על נהיגה בזמן פסילה הוא מאסר בפועל. </w:t>
      </w:r>
    </w:p>
    <w:p w14:paraId="5626944F" w14:textId="77777777" w:rsidR="00991086" w:rsidRDefault="00991086" w:rsidP="00991086">
      <w:pPr>
        <w:pStyle w:val="a9"/>
        <w:rPr>
          <w:rFonts w:ascii="Times New Roman" w:eastAsia="Times New Roman" w:hAnsi="Times New Roman" w:cs="David"/>
          <w:sz w:val="26"/>
          <w:szCs w:val="26"/>
        </w:rPr>
      </w:pPr>
    </w:p>
    <w:p w14:paraId="21148A1F" w14:textId="77777777" w:rsidR="00991086" w:rsidRDefault="00991086" w:rsidP="00991086">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פסילה מלקבל או להחזיק רשיון נהיגה למשך 6 חודשים וזאת על תנאי למשך שלוש שנים. בנוסף על עבירות התוספת תפעיל כל עבירת סמים (לרבות שימוש עצמי) את התנאי. </w:t>
      </w:r>
    </w:p>
    <w:p w14:paraId="2C037E8F" w14:textId="77777777" w:rsidR="00991086" w:rsidRDefault="00991086" w:rsidP="00991086">
      <w:pPr>
        <w:spacing w:line="360" w:lineRule="auto"/>
        <w:jc w:val="both"/>
        <w:rPr>
          <w:sz w:val="26"/>
          <w:szCs w:val="26"/>
          <w:rtl/>
        </w:rPr>
      </w:pPr>
    </w:p>
    <w:p w14:paraId="1D1B0FBD" w14:textId="77777777" w:rsidR="00991086" w:rsidRDefault="00991086" w:rsidP="00991086">
      <w:pPr>
        <w:pStyle w:val="a9"/>
        <w:numPr>
          <w:ilvl w:val="1"/>
          <w:numId w:val="1"/>
        </w:numPr>
        <w:spacing w:after="0" w:line="360" w:lineRule="auto"/>
        <w:ind w:left="945"/>
        <w:jc w:val="both"/>
        <w:rPr>
          <w:rFonts w:ascii="Times New Roman" w:eastAsia="Times New Roman" w:hAnsi="Times New Roman" w:cs="David"/>
          <w:sz w:val="26"/>
          <w:szCs w:val="26"/>
          <w:rtl/>
        </w:rPr>
      </w:pPr>
      <w:r>
        <w:rPr>
          <w:rFonts w:ascii="Times New Roman" w:eastAsia="Times New Roman" w:hAnsi="Times New Roman" w:cs="David"/>
          <w:sz w:val="26"/>
          <w:szCs w:val="26"/>
          <w:rtl/>
        </w:rPr>
        <w:t xml:space="preserve">קנס בסך 5,000 ₪ או 90 ימי מאסר תמורתו. הקנס ישולם בעשרה תשלומים חודשיים שווים ורצופים הראשון עד ליום 1.5.23 והבאים עד ל-1 בכל חודש עוקב. לא ישולם איזה מהתשלומים במועדו, ייאסר. </w:t>
      </w:r>
      <w:r>
        <w:rPr>
          <w:rFonts w:ascii="Times New Roman" w:eastAsia="Times New Roman" w:hAnsi="Times New Roman" w:cs="David" w:hint="cs"/>
          <w:sz w:val="26"/>
          <w:szCs w:val="26"/>
          <w:rtl/>
        </w:rPr>
        <w:t xml:space="preserve">ככל שקיים פקדון בתיק </w:t>
      </w:r>
      <w:r>
        <w:rPr>
          <w:rFonts w:ascii="Times New Roman" w:eastAsia="Times New Roman" w:hAnsi="Times New Roman" w:cs="David"/>
          <w:sz w:val="26"/>
          <w:szCs w:val="26"/>
          <w:rtl/>
        </w:rPr>
        <w:t>–</w:t>
      </w:r>
      <w:r>
        <w:rPr>
          <w:rFonts w:ascii="Times New Roman" w:eastAsia="Times New Roman" w:hAnsi="Times New Roman" w:cs="David" w:hint="cs"/>
          <w:sz w:val="26"/>
          <w:szCs w:val="26"/>
          <w:rtl/>
        </w:rPr>
        <w:t xml:space="preserve"> יקוזז הקנס מן הפקדון. </w:t>
      </w:r>
    </w:p>
    <w:p w14:paraId="32378CB1" w14:textId="77777777" w:rsidR="00991086" w:rsidRDefault="00991086" w:rsidP="00991086">
      <w:pPr>
        <w:spacing w:line="360" w:lineRule="auto"/>
        <w:jc w:val="both"/>
        <w:rPr>
          <w:sz w:val="26"/>
          <w:szCs w:val="26"/>
          <w:rtl/>
        </w:rPr>
      </w:pPr>
    </w:p>
    <w:p w14:paraId="181D43A3" w14:textId="77777777" w:rsidR="00991086" w:rsidRDefault="00991086" w:rsidP="00991086">
      <w:pPr>
        <w:spacing w:line="360" w:lineRule="auto"/>
        <w:jc w:val="both"/>
        <w:rPr>
          <w:b/>
          <w:bCs/>
          <w:sz w:val="26"/>
          <w:szCs w:val="26"/>
          <w:rtl/>
        </w:rPr>
      </w:pPr>
      <w:r>
        <w:rPr>
          <w:b/>
          <w:bCs/>
          <w:sz w:val="26"/>
          <w:szCs w:val="26"/>
          <w:rtl/>
        </w:rPr>
        <w:t xml:space="preserve">אני מכריזה על הנאשם "סוחר סמים". </w:t>
      </w:r>
    </w:p>
    <w:p w14:paraId="35B875D1" w14:textId="77777777" w:rsidR="00991086" w:rsidRDefault="00991086" w:rsidP="00991086">
      <w:pPr>
        <w:spacing w:line="360" w:lineRule="auto"/>
        <w:jc w:val="both"/>
        <w:rPr>
          <w:sz w:val="26"/>
          <w:szCs w:val="26"/>
          <w:rtl/>
        </w:rPr>
      </w:pPr>
      <w:r>
        <w:rPr>
          <w:sz w:val="26"/>
          <w:szCs w:val="26"/>
          <w:rtl/>
        </w:rPr>
        <w:t>אני מורה על השמדת הסמים.</w:t>
      </w:r>
    </w:p>
    <w:p w14:paraId="008CB636" w14:textId="77777777" w:rsidR="00991086" w:rsidRDefault="00991086" w:rsidP="00991086">
      <w:pPr>
        <w:spacing w:line="360" w:lineRule="auto"/>
        <w:jc w:val="both"/>
        <w:rPr>
          <w:sz w:val="26"/>
          <w:szCs w:val="26"/>
          <w:rtl/>
        </w:rPr>
      </w:pPr>
      <w:r>
        <w:rPr>
          <w:sz w:val="26"/>
          <w:szCs w:val="26"/>
          <w:rtl/>
        </w:rPr>
        <w:t xml:space="preserve">המזכירות תשלח העתק גזר הדין </w:t>
      </w:r>
      <w:r>
        <w:rPr>
          <w:rFonts w:hint="cs"/>
          <w:sz w:val="26"/>
          <w:szCs w:val="26"/>
          <w:rtl/>
        </w:rPr>
        <w:t>לממונה על עבודות שירות.</w:t>
      </w:r>
    </w:p>
    <w:p w14:paraId="3136DC95" w14:textId="77777777" w:rsidR="00991086" w:rsidRPr="00383FA9" w:rsidRDefault="00383FA9" w:rsidP="00991086">
      <w:pPr>
        <w:spacing w:line="360" w:lineRule="auto"/>
        <w:jc w:val="both"/>
        <w:rPr>
          <w:color w:val="FFFFFF"/>
          <w:sz w:val="2"/>
          <w:szCs w:val="2"/>
          <w:rtl/>
        </w:rPr>
      </w:pPr>
      <w:r w:rsidRPr="00383FA9">
        <w:rPr>
          <w:color w:val="FFFFFF"/>
          <w:sz w:val="2"/>
          <w:szCs w:val="2"/>
          <w:rtl/>
        </w:rPr>
        <w:t>5129371</w:t>
      </w:r>
    </w:p>
    <w:p w14:paraId="20B904FE" w14:textId="77777777" w:rsidR="00991086" w:rsidRDefault="00383FA9" w:rsidP="00991086">
      <w:pPr>
        <w:spacing w:line="360" w:lineRule="auto"/>
        <w:jc w:val="both"/>
        <w:rPr>
          <w:b/>
          <w:bCs/>
          <w:sz w:val="26"/>
          <w:szCs w:val="26"/>
          <w:rtl/>
        </w:rPr>
      </w:pPr>
      <w:r w:rsidRPr="00383FA9">
        <w:rPr>
          <w:b/>
          <w:bCs/>
          <w:color w:val="FFFFFF"/>
          <w:sz w:val="2"/>
          <w:szCs w:val="2"/>
          <w:rtl/>
        </w:rPr>
        <w:t>54678313</w:t>
      </w:r>
      <w:r w:rsidR="00991086">
        <w:rPr>
          <w:b/>
          <w:bCs/>
          <w:sz w:val="26"/>
          <w:szCs w:val="26"/>
          <w:rtl/>
        </w:rPr>
        <w:t xml:space="preserve">זכות ערעור לבית המשפט המחוזי בירושלים בתוך 45 ימים מהיום. </w:t>
      </w:r>
    </w:p>
    <w:p w14:paraId="7501407A" w14:textId="77777777" w:rsidR="00991086" w:rsidRPr="000F2247" w:rsidRDefault="00991086" w:rsidP="00991086">
      <w:pPr>
        <w:rPr>
          <w:rFonts w:ascii="Arial" w:hAnsi="Arial"/>
          <w:b/>
          <w:bCs/>
          <w:sz w:val="26"/>
          <w:szCs w:val="26"/>
          <w:rtl/>
        </w:rPr>
      </w:pPr>
    </w:p>
    <w:p w14:paraId="4C13735B" w14:textId="77777777" w:rsidR="00383FA9" w:rsidRDefault="00383FA9" w:rsidP="00383FA9">
      <w:pPr>
        <w:rPr>
          <w:rFonts w:ascii="Arial" w:hAnsi="Arial" w:hint="cs"/>
          <w:b/>
          <w:bCs/>
          <w:color w:val="FFFFFF"/>
          <w:sz w:val="2"/>
          <w:szCs w:val="2"/>
          <w:rtl/>
        </w:rPr>
      </w:pPr>
      <w:bookmarkStart w:id="8" w:name="Nitan"/>
      <w:r>
        <w:rPr>
          <w:rFonts w:ascii="Arial" w:hAnsi="Arial"/>
          <w:b/>
          <w:bCs/>
          <w:sz w:val="26"/>
          <w:szCs w:val="26"/>
          <w:rtl/>
        </w:rPr>
        <w:t xml:space="preserve">ניתן היום,  כ"ו ניסן תשפ"ג, 17 אפריל 2023, בנוכחות הצדדים. </w:t>
      </w:r>
      <w:bookmarkEnd w:id="8"/>
      <w:r w:rsidR="00991086">
        <w:rPr>
          <w:rFonts w:ascii="Arial" w:hAnsi="Arial"/>
          <w:b/>
          <w:bCs/>
          <w:sz w:val="26"/>
          <w:szCs w:val="26"/>
          <w:rtl/>
        </w:rPr>
        <w:tab/>
      </w:r>
      <w:r w:rsidR="00991086">
        <w:rPr>
          <w:rFonts w:ascii="Arial" w:hAnsi="Arial"/>
          <w:b/>
          <w:bCs/>
          <w:sz w:val="26"/>
          <w:szCs w:val="26"/>
          <w:rtl/>
        </w:rPr>
        <w:tab/>
      </w:r>
      <w:r w:rsidR="00991086">
        <w:rPr>
          <w:rFonts w:ascii="Arial" w:hAnsi="Arial"/>
          <w:b/>
          <w:bCs/>
          <w:sz w:val="26"/>
          <w:szCs w:val="26"/>
          <w:rtl/>
        </w:rPr>
        <w:tab/>
      </w:r>
    </w:p>
    <w:p w14:paraId="213D4300" w14:textId="77777777" w:rsidR="00DA4C01" w:rsidRDefault="00DA4C01" w:rsidP="00383FA9">
      <w:pPr>
        <w:rPr>
          <w:rFonts w:hint="cs"/>
        </w:rPr>
      </w:pPr>
    </w:p>
    <w:p w14:paraId="464021C7" w14:textId="77777777" w:rsidR="00383FA9" w:rsidRDefault="00383FA9" w:rsidP="00383FA9">
      <w:pPr>
        <w:rPr>
          <w:rtl/>
        </w:rPr>
      </w:pPr>
    </w:p>
    <w:p w14:paraId="255CB3C6" w14:textId="77777777" w:rsidR="00383FA9" w:rsidRDefault="00383FA9" w:rsidP="00383FA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0697CA8" w14:textId="77777777" w:rsidR="00DA4C01" w:rsidRPr="00DA4C01" w:rsidRDefault="00DA4C01" w:rsidP="00DA4C01">
      <w:pPr>
        <w:keepNext/>
        <w:rPr>
          <w:rFonts w:ascii="David" w:hAnsi="David"/>
          <w:color w:val="000000"/>
          <w:sz w:val="22"/>
          <w:szCs w:val="22"/>
          <w:rtl/>
        </w:rPr>
      </w:pPr>
    </w:p>
    <w:p w14:paraId="19E02F0C" w14:textId="77777777" w:rsidR="00DA4C01" w:rsidRPr="00DA4C01" w:rsidRDefault="00DA4C01" w:rsidP="00DA4C01">
      <w:pPr>
        <w:keepNext/>
        <w:rPr>
          <w:rFonts w:ascii="David" w:hAnsi="David"/>
          <w:color w:val="000000"/>
          <w:sz w:val="22"/>
          <w:szCs w:val="22"/>
          <w:rtl/>
        </w:rPr>
      </w:pPr>
      <w:r w:rsidRPr="00DA4C01">
        <w:rPr>
          <w:rFonts w:ascii="David" w:hAnsi="David"/>
          <w:color w:val="000000"/>
          <w:sz w:val="22"/>
          <w:szCs w:val="22"/>
          <w:rtl/>
        </w:rPr>
        <w:t>שרון לארי בבלי 54678313-/</w:t>
      </w:r>
    </w:p>
    <w:p w14:paraId="48799622" w14:textId="77777777" w:rsidR="00383FA9" w:rsidRPr="00383FA9" w:rsidRDefault="00DA4C01" w:rsidP="00DA4C01">
      <w:pPr>
        <w:rPr>
          <w:color w:val="0000FF"/>
          <w:u w:val="single"/>
        </w:rPr>
      </w:pPr>
      <w:r w:rsidRPr="00DA4C01">
        <w:rPr>
          <w:color w:val="000000"/>
          <w:u w:val="single"/>
          <w:rtl/>
        </w:rPr>
        <w:t>נוסח מסמך זה כפוף לשינויי ניסוח ועריכה</w:t>
      </w:r>
    </w:p>
    <w:sectPr w:rsidR="00383FA9" w:rsidRPr="00383FA9" w:rsidSect="00DA4C01">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B9626" w14:textId="77777777" w:rsidR="00122C29" w:rsidRDefault="00122C29" w:rsidP="00DB33D1">
      <w:r>
        <w:separator/>
      </w:r>
    </w:p>
  </w:endnote>
  <w:endnote w:type="continuationSeparator" w:id="0">
    <w:p w14:paraId="05286F07" w14:textId="77777777" w:rsidR="00122C29" w:rsidRDefault="00122C29" w:rsidP="00DB3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AA867" w14:textId="77777777" w:rsidR="00DA4C01" w:rsidRDefault="00DA4C01" w:rsidP="00DA4C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7B76DE" w14:textId="77777777" w:rsidR="00C80942" w:rsidRPr="00DA4C01" w:rsidRDefault="00DA4C01" w:rsidP="00DA4C01">
    <w:pPr>
      <w:pStyle w:val="a5"/>
      <w:pBdr>
        <w:top w:val="single" w:sz="4" w:space="1" w:color="auto"/>
        <w:between w:val="single" w:sz="4" w:space="0" w:color="auto"/>
      </w:pBdr>
      <w:spacing w:after="60"/>
      <w:jc w:val="center"/>
      <w:rPr>
        <w:rFonts w:ascii="FrankRuehl" w:hAnsi="FrankRuehl" w:cs="FrankRuehl"/>
        <w:color w:val="000000"/>
      </w:rPr>
    </w:pPr>
    <w:r w:rsidRPr="00DA4C0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998C0" w14:textId="77777777" w:rsidR="00DA4C01" w:rsidRDefault="00DA4C01" w:rsidP="00DA4C0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07DD">
      <w:rPr>
        <w:rFonts w:ascii="FrankRuehl" w:hAnsi="FrankRuehl" w:cs="FrankRuehl"/>
        <w:noProof/>
        <w:rtl/>
      </w:rPr>
      <w:t>1</w:t>
    </w:r>
    <w:r>
      <w:rPr>
        <w:rFonts w:ascii="FrankRuehl" w:hAnsi="FrankRuehl" w:cs="FrankRuehl"/>
        <w:rtl/>
      </w:rPr>
      <w:fldChar w:fldCharType="end"/>
    </w:r>
  </w:p>
  <w:p w14:paraId="7A65F170" w14:textId="77777777" w:rsidR="00C80942" w:rsidRPr="00DA4C01" w:rsidRDefault="00DA4C01" w:rsidP="00DA4C01">
    <w:pPr>
      <w:pStyle w:val="a5"/>
      <w:pBdr>
        <w:top w:val="single" w:sz="4" w:space="1" w:color="auto"/>
        <w:between w:val="single" w:sz="4" w:space="0" w:color="auto"/>
      </w:pBdr>
      <w:spacing w:after="60"/>
      <w:jc w:val="center"/>
      <w:rPr>
        <w:rFonts w:ascii="FrankRuehl" w:hAnsi="FrankRuehl" w:cs="FrankRuehl"/>
        <w:color w:val="000000"/>
      </w:rPr>
    </w:pPr>
    <w:r w:rsidRPr="00DA4C01">
      <w:rPr>
        <w:rFonts w:ascii="FrankRuehl" w:hAnsi="FrankRuehl" w:cs="FrankRuehl"/>
        <w:color w:val="000000"/>
      </w:rPr>
      <w:pict w14:anchorId="01E85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50816" w14:textId="77777777" w:rsidR="00122C29" w:rsidRDefault="00122C29" w:rsidP="00DB33D1">
      <w:r>
        <w:separator/>
      </w:r>
    </w:p>
  </w:footnote>
  <w:footnote w:type="continuationSeparator" w:id="0">
    <w:p w14:paraId="2F112D84" w14:textId="77777777" w:rsidR="00122C29" w:rsidRDefault="00122C29" w:rsidP="00DB3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9F7F9" w14:textId="77777777" w:rsidR="00383FA9" w:rsidRPr="00DA4C01" w:rsidRDefault="00DA4C01" w:rsidP="00DA4C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43841-11-19</w:t>
    </w:r>
    <w:r>
      <w:rPr>
        <w:rFonts w:ascii="David" w:hAnsi="David"/>
        <w:color w:val="000000"/>
        <w:sz w:val="22"/>
        <w:szCs w:val="22"/>
        <w:rtl/>
      </w:rPr>
      <w:tab/>
      <w:t xml:space="preserve"> מדינת ישראל נ' חוסין כוויס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78341" w14:textId="77777777" w:rsidR="00383FA9" w:rsidRPr="00DA4C01" w:rsidRDefault="00DA4C01" w:rsidP="00DA4C0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43841-11-19</w:t>
    </w:r>
    <w:r>
      <w:rPr>
        <w:rFonts w:ascii="David" w:hAnsi="David"/>
        <w:color w:val="000000"/>
        <w:sz w:val="22"/>
        <w:szCs w:val="22"/>
        <w:rtl/>
      </w:rPr>
      <w:tab/>
      <w:t xml:space="preserve"> מדינת ישראל נ' חוסין כוויס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C94784"/>
    <w:multiLevelType w:val="hybridMultilevel"/>
    <w:tmpl w:val="4254FA84"/>
    <w:lvl w:ilvl="0" w:tplc="0409000F">
      <w:start w:val="1"/>
      <w:numFmt w:val="decimal"/>
      <w:lvlText w:val="%1."/>
      <w:lvlJc w:val="left"/>
      <w:pPr>
        <w:ind w:left="720" w:hanging="360"/>
      </w:pPr>
    </w:lvl>
    <w:lvl w:ilvl="1" w:tplc="E8BC325C">
      <w:start w:val="1"/>
      <w:numFmt w:val="hebrew1"/>
      <w:lvlText w:val="%2."/>
      <w:lvlJc w:val="left"/>
      <w:pPr>
        <w:ind w:left="2025" w:hanging="945"/>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313041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1086"/>
    <w:rsid w:val="00122C29"/>
    <w:rsid w:val="00383FA9"/>
    <w:rsid w:val="0057534F"/>
    <w:rsid w:val="00637D9D"/>
    <w:rsid w:val="00652B79"/>
    <w:rsid w:val="007607DD"/>
    <w:rsid w:val="008E50E0"/>
    <w:rsid w:val="00991086"/>
    <w:rsid w:val="009A4E4C"/>
    <w:rsid w:val="00C80942"/>
    <w:rsid w:val="00CD01B7"/>
    <w:rsid w:val="00DA4C01"/>
    <w:rsid w:val="00DB33D1"/>
    <w:rsid w:val="00DC17CD"/>
    <w:rsid w:val="00EE76A0"/>
    <w:rsid w:val="00FD33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B5EAB9"/>
  <w15:chartTrackingRefBased/>
  <w15:docId w15:val="{5E21E021-1555-4D56-B485-38EC4501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108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91086"/>
    <w:pPr>
      <w:tabs>
        <w:tab w:val="center" w:pos="4153"/>
        <w:tab w:val="right" w:pos="8306"/>
      </w:tabs>
    </w:pPr>
  </w:style>
  <w:style w:type="character" w:customStyle="1" w:styleId="a4">
    <w:name w:val="כותרת עליונה תו"/>
    <w:link w:val="a3"/>
    <w:rsid w:val="00991086"/>
    <w:rPr>
      <w:rFonts w:ascii="Times New Roman" w:eastAsia="Times New Roman" w:hAnsi="Times New Roman" w:cs="David"/>
      <w:sz w:val="24"/>
      <w:szCs w:val="24"/>
    </w:rPr>
  </w:style>
  <w:style w:type="paragraph" w:styleId="a5">
    <w:name w:val="footer"/>
    <w:basedOn w:val="a"/>
    <w:link w:val="a6"/>
    <w:rsid w:val="00991086"/>
    <w:pPr>
      <w:tabs>
        <w:tab w:val="center" w:pos="4153"/>
        <w:tab w:val="right" w:pos="8306"/>
      </w:tabs>
    </w:pPr>
  </w:style>
  <w:style w:type="character" w:customStyle="1" w:styleId="a6">
    <w:name w:val="כותרת תחתונה תו"/>
    <w:link w:val="a5"/>
    <w:rsid w:val="00991086"/>
    <w:rPr>
      <w:rFonts w:ascii="Times New Roman" w:eastAsia="Times New Roman" w:hAnsi="Times New Roman" w:cs="David"/>
      <w:sz w:val="24"/>
      <w:szCs w:val="24"/>
    </w:rPr>
  </w:style>
  <w:style w:type="table" w:styleId="a7">
    <w:name w:val="Table Grid"/>
    <w:basedOn w:val="a1"/>
    <w:rsid w:val="009910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1086"/>
  </w:style>
  <w:style w:type="paragraph" w:styleId="a9">
    <w:name w:val="List Paragraph"/>
    <w:basedOn w:val="a"/>
    <w:qFormat/>
    <w:rsid w:val="00991086"/>
    <w:pPr>
      <w:spacing w:after="200" w:line="276" w:lineRule="auto"/>
      <w:ind w:left="720"/>
      <w:contextualSpacing/>
    </w:pPr>
    <w:rPr>
      <w:rFonts w:ascii="Calibri" w:eastAsia="Calibri" w:hAnsi="Calibri" w:cs="Arial"/>
      <w:sz w:val="22"/>
      <w:szCs w:val="22"/>
    </w:rPr>
  </w:style>
  <w:style w:type="character" w:styleId="Hyperlink">
    <w:name w:val="Hyperlink"/>
    <w:rsid w:val="00383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4216/13"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4216/13"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1" TargetMode="External"/><Relationship Id="rId20" Type="http://schemas.openxmlformats.org/officeDocument/2006/relationships/hyperlink" Target="http://www.nevo.co.il/law/70301/29a"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nevo.co.il/case/1045994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3381283"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4216/19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law/4216/19a"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1405</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8417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3670136</vt:i4>
      </vt:variant>
      <vt:variant>
        <vt:i4>51</vt:i4>
      </vt:variant>
      <vt:variant>
        <vt:i4>0</vt:i4>
      </vt:variant>
      <vt:variant>
        <vt:i4>5</vt:i4>
      </vt:variant>
      <vt:variant>
        <vt:lpwstr>http://www.nevo.co.il/case/10459940</vt:lpwstr>
      </vt:variant>
      <vt:variant>
        <vt:lpwstr/>
      </vt:variant>
      <vt:variant>
        <vt:i4>3801214</vt:i4>
      </vt:variant>
      <vt:variant>
        <vt:i4>48</vt:i4>
      </vt:variant>
      <vt:variant>
        <vt:i4>0</vt:i4>
      </vt:variant>
      <vt:variant>
        <vt:i4>5</vt:i4>
      </vt:variant>
      <vt:variant>
        <vt:lpwstr>http://www.nevo.co.il/case/3381283</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7077991</vt:i4>
      </vt:variant>
      <vt:variant>
        <vt:i4>39</vt:i4>
      </vt:variant>
      <vt:variant>
        <vt:i4>0</vt:i4>
      </vt:variant>
      <vt:variant>
        <vt:i4>5</vt:i4>
      </vt:variant>
      <vt:variant>
        <vt:lpwstr>http://www.nevo.co.il/law/70301/29a</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7077991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2025-04-23T00:22:00Z</dcterms:created>
  <dcterms:modified xsi:type="dcterms:W3CDTF">2025-04-23T00:22:00Z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43841</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חוסין כוויס</vt:lpwstr>
  </property>
  <property fmtid="{D5CDD505-2E9C-101B-9397-08002B2CF9AE}" pid="10" name="LAWYER">
    <vt:lpwstr>עיסא אבו אלהווא</vt:lpwstr>
  </property>
  <property fmtid="{D5CDD505-2E9C-101B-9397-08002B2CF9AE}" pid="11" name="JUDGE">
    <vt:lpwstr>שרון לארי בבלי</vt:lpwstr>
  </property>
  <property fmtid="{D5CDD505-2E9C-101B-9397-08002B2CF9AE}" pid="12" name="CITY">
    <vt:lpwstr>י-ם</vt:lpwstr>
  </property>
  <property fmtid="{D5CDD505-2E9C-101B-9397-08002B2CF9AE}" pid="13" name="DATE">
    <vt:lpwstr>20230417</vt:lpwstr>
  </property>
  <property fmtid="{D5CDD505-2E9C-101B-9397-08002B2CF9AE}" pid="14" name="TYPE_N_DATE">
    <vt:lpwstr>38020230417</vt:lpwstr>
  </property>
  <property fmtid="{D5CDD505-2E9C-101B-9397-08002B2CF9AE}" pid="15" name="WORDNUMPAGES">
    <vt:lpwstr>7</vt:lpwstr>
  </property>
  <property fmtid="{D5CDD505-2E9C-101B-9397-08002B2CF9AE}" pid="16" name="TYPE_ABS_DATE">
    <vt:lpwstr>380020230417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3381283;10459940</vt:lpwstr>
  </property>
  <property fmtid="{D5CDD505-2E9C-101B-9397-08002B2CF9AE}" pid="36" name="LAWLISTTMP1">
    <vt:lpwstr>4216/013:3;019a:3</vt:lpwstr>
  </property>
  <property fmtid="{D5CDD505-2E9C-101B-9397-08002B2CF9AE}" pid="37" name="LAWLISTTMP2">
    <vt:lpwstr>70301/031;029a</vt:lpwstr>
  </property>
</Properties>
</file>