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26250A" w:rsidRPr="0086491B" w14:paraId="7DAAAC92" w14:textId="77777777" w:rsidTr="006430C4">
        <w:trPr>
          <w:trHeight w:hRule="exact" w:val="418"/>
          <w:jc w:val="center"/>
        </w:trPr>
        <w:tc>
          <w:tcPr>
            <w:tcW w:w="8523" w:type="dxa"/>
            <w:gridSpan w:val="2"/>
          </w:tcPr>
          <w:p w14:paraId="5964735D" w14:textId="77777777" w:rsidR="0026250A" w:rsidRPr="0086491B" w:rsidRDefault="0026250A" w:rsidP="000D2547">
            <w:pPr>
              <w:pStyle w:val="a3"/>
              <w:jc w:val="center"/>
              <w:rPr>
                <w:rFonts w:ascii="Tahoma" w:hAnsi="Tahoma" w:cs="Tahoma"/>
                <w:color w:val="000080"/>
                <w:rtl/>
              </w:rPr>
            </w:pPr>
            <w:bookmarkStart w:id="0" w:name="LastJudge"/>
            <w:r w:rsidRPr="0086491B">
              <w:rPr>
                <w:rFonts w:ascii="Tahoma" w:hAnsi="Tahoma" w:cs="Tahoma"/>
                <w:b/>
                <w:bCs/>
                <w:color w:val="000080"/>
                <w:rtl/>
              </w:rPr>
              <w:t>בית משפט השלום בנתניה</w:t>
            </w:r>
          </w:p>
        </w:tc>
      </w:tr>
      <w:tr w:rsidR="0026250A" w:rsidRPr="0086491B" w14:paraId="0D92CA3B" w14:textId="77777777" w:rsidTr="006430C4">
        <w:trPr>
          <w:trHeight w:val="337"/>
          <w:jc w:val="center"/>
        </w:trPr>
        <w:tc>
          <w:tcPr>
            <w:tcW w:w="4946" w:type="dxa"/>
          </w:tcPr>
          <w:p w14:paraId="17AB4B90" w14:textId="77777777" w:rsidR="0026250A" w:rsidRPr="0086491B" w:rsidRDefault="0026250A" w:rsidP="000D2547">
            <w:pPr>
              <w:rPr>
                <w:rFonts w:cs="FrankRuehl"/>
                <w:sz w:val="28"/>
                <w:szCs w:val="28"/>
                <w:rtl/>
              </w:rPr>
            </w:pPr>
            <w:r w:rsidRPr="0086491B">
              <w:rPr>
                <w:rFonts w:cs="FrankRuehl"/>
                <w:sz w:val="28"/>
                <w:szCs w:val="28"/>
                <w:rtl/>
              </w:rPr>
              <w:t>ת"פ</w:t>
            </w:r>
            <w:r w:rsidRPr="0086491B">
              <w:rPr>
                <w:rFonts w:cs="FrankRuehl" w:hint="cs"/>
                <w:sz w:val="28"/>
                <w:szCs w:val="28"/>
                <w:rtl/>
              </w:rPr>
              <w:t xml:space="preserve"> </w:t>
            </w:r>
            <w:r w:rsidRPr="0086491B">
              <w:rPr>
                <w:rFonts w:cs="FrankRuehl"/>
                <w:sz w:val="28"/>
                <w:szCs w:val="28"/>
                <w:rtl/>
              </w:rPr>
              <w:t>47336-11-19</w:t>
            </w:r>
            <w:r w:rsidRPr="0086491B">
              <w:rPr>
                <w:rFonts w:cs="FrankRuehl" w:hint="cs"/>
                <w:sz w:val="28"/>
                <w:szCs w:val="28"/>
                <w:rtl/>
              </w:rPr>
              <w:t xml:space="preserve"> </w:t>
            </w:r>
            <w:r w:rsidRPr="0086491B">
              <w:rPr>
                <w:rFonts w:cs="FrankRuehl"/>
                <w:sz w:val="28"/>
                <w:szCs w:val="28"/>
                <w:rtl/>
              </w:rPr>
              <w:t>מדינת ישראל נ' אילוז</w:t>
            </w:r>
          </w:p>
        </w:tc>
        <w:tc>
          <w:tcPr>
            <w:tcW w:w="3577" w:type="dxa"/>
          </w:tcPr>
          <w:p w14:paraId="217E83CB" w14:textId="77777777" w:rsidR="0026250A" w:rsidRPr="0086491B" w:rsidRDefault="0026250A" w:rsidP="000D2547">
            <w:pPr>
              <w:pStyle w:val="a3"/>
              <w:jc w:val="right"/>
              <w:rPr>
                <w:rFonts w:cs="FrankRuehl"/>
                <w:sz w:val="28"/>
                <w:szCs w:val="28"/>
                <w:rtl/>
              </w:rPr>
            </w:pPr>
          </w:p>
        </w:tc>
      </w:tr>
    </w:tbl>
    <w:p w14:paraId="5364F7D9" w14:textId="77777777" w:rsidR="0026250A" w:rsidRPr="0086491B" w:rsidRDefault="0026250A" w:rsidP="0026250A">
      <w:pPr>
        <w:pStyle w:val="a3"/>
        <w:rPr>
          <w:rtl/>
        </w:rPr>
      </w:pPr>
      <w:r w:rsidRPr="0086491B">
        <w:rPr>
          <w:rFonts w:hint="cs"/>
          <w:rtl/>
        </w:rPr>
        <w:t xml:space="preserve"> </w:t>
      </w:r>
    </w:p>
    <w:p w14:paraId="6385256F" w14:textId="77777777" w:rsidR="0026250A" w:rsidRPr="0086491B" w:rsidRDefault="0026250A" w:rsidP="0026250A">
      <w:pPr>
        <w:rPr>
          <w:rFonts w:ascii="Arial (W1)" w:hAnsi="Arial (W1)"/>
          <w:b/>
          <w:bCs/>
          <w:sz w:val="28"/>
          <w:szCs w:val="28"/>
          <w:rtl/>
        </w:rPr>
      </w:pPr>
    </w:p>
    <w:p w14:paraId="05F9F8DB" w14:textId="77777777" w:rsidR="0026250A" w:rsidRPr="0086491B" w:rsidRDefault="0026250A" w:rsidP="0026250A">
      <w:pPr>
        <w:rPr>
          <w:rFonts w:ascii="Arial (W1)" w:hAnsi="Arial (W1)"/>
          <w:b/>
          <w:bCs/>
          <w:sz w:val="28"/>
          <w:szCs w:val="28"/>
        </w:rPr>
      </w:pPr>
      <w:r w:rsidRPr="0086491B">
        <w:rPr>
          <w:rFonts w:ascii="Arial (W1)" w:hAnsi="Arial (W1)"/>
          <w:b/>
          <w:bCs/>
          <w:sz w:val="28"/>
          <w:szCs w:val="28"/>
          <w:rtl/>
        </w:rPr>
        <w:softHyphen/>
      </w:r>
      <w:r w:rsidRPr="0086491B">
        <w:rPr>
          <w:rFonts w:ascii="Arial (W1)" w:hAnsi="Arial (W1)"/>
          <w:b/>
          <w:bCs/>
          <w:sz w:val="28"/>
          <w:szCs w:val="28"/>
          <w:rtl/>
        </w:rPr>
        <w:softHyphen/>
        <w:t>לפני:</w:t>
      </w:r>
      <w:r w:rsidRPr="0086491B">
        <w:rPr>
          <w:rFonts w:ascii="Arial (W1)" w:hAnsi="Arial (W1)"/>
          <w:b/>
          <w:bCs/>
          <w:sz w:val="28"/>
          <w:szCs w:val="28"/>
          <w:rtl/>
        </w:rPr>
        <w:tab/>
      </w:r>
      <w:r w:rsidRPr="0086491B">
        <w:rPr>
          <w:rFonts w:ascii="Arial (W1)" w:hAnsi="Arial (W1)"/>
          <w:b/>
          <w:bCs/>
          <w:sz w:val="28"/>
          <w:szCs w:val="28"/>
          <w:rtl/>
        </w:rPr>
        <w:tab/>
      </w:r>
      <w:r w:rsidRPr="0086491B">
        <w:rPr>
          <w:rFonts w:ascii="Arial (W1)" w:hAnsi="Arial (W1)"/>
          <w:b/>
          <w:bCs/>
          <w:sz w:val="28"/>
          <w:szCs w:val="28"/>
          <w:rtl/>
        </w:rPr>
        <w:tab/>
      </w:r>
      <w:r w:rsidRPr="0086491B">
        <w:rPr>
          <w:rFonts w:ascii="Arial (W1)" w:hAnsi="Arial (W1)"/>
          <w:b/>
          <w:bCs/>
          <w:sz w:val="28"/>
          <w:szCs w:val="28"/>
          <w:rtl/>
        </w:rPr>
        <w:tab/>
        <w:t>כבוד השופט גיא אבנון</w:t>
      </w:r>
    </w:p>
    <w:p w14:paraId="61CCA1C1" w14:textId="77777777" w:rsidR="0026250A" w:rsidRPr="0086491B" w:rsidRDefault="0026250A" w:rsidP="0026250A">
      <w:pPr>
        <w:rPr>
          <w:rFonts w:ascii="Arial (W1)" w:hAnsi="Arial (W1)"/>
          <w:b/>
          <w:bCs/>
          <w:sz w:val="28"/>
          <w:szCs w:val="28"/>
          <w:rtl/>
        </w:rPr>
      </w:pPr>
    </w:p>
    <w:p w14:paraId="02664BCC" w14:textId="77777777" w:rsidR="0026250A" w:rsidRPr="0086491B" w:rsidRDefault="0026250A" w:rsidP="0026250A">
      <w:pPr>
        <w:rPr>
          <w:rFonts w:ascii="Arial (W1)" w:hAnsi="Arial (W1)"/>
          <w:b/>
          <w:bCs/>
          <w:sz w:val="28"/>
          <w:szCs w:val="28"/>
          <w:rtl/>
        </w:rPr>
      </w:pPr>
      <w:r w:rsidRPr="0086491B">
        <w:rPr>
          <w:rFonts w:ascii="Arial (W1)" w:hAnsi="Arial (W1)"/>
          <w:b/>
          <w:bCs/>
          <w:sz w:val="28"/>
          <w:szCs w:val="28"/>
          <w:rtl/>
        </w:rPr>
        <w:t>ה</w:t>
      </w:r>
      <w:bookmarkStart w:id="1" w:name="FirstAppellant"/>
      <w:r w:rsidRPr="0086491B">
        <w:rPr>
          <w:rFonts w:ascii="Arial (W1)" w:hAnsi="Arial (W1)"/>
          <w:b/>
          <w:bCs/>
          <w:sz w:val="28"/>
          <w:szCs w:val="28"/>
          <w:rtl/>
        </w:rPr>
        <w:t>מאשימ</w:t>
      </w:r>
      <w:bookmarkEnd w:id="1"/>
      <w:r w:rsidRPr="0086491B">
        <w:rPr>
          <w:rFonts w:ascii="Arial (W1)" w:hAnsi="Arial (W1)"/>
          <w:b/>
          <w:bCs/>
          <w:sz w:val="28"/>
          <w:szCs w:val="28"/>
          <w:rtl/>
        </w:rPr>
        <w:t>ה:</w:t>
      </w:r>
      <w:r w:rsidRPr="0086491B">
        <w:rPr>
          <w:rFonts w:ascii="Arial (W1)" w:hAnsi="Arial (W1)"/>
          <w:b/>
          <w:bCs/>
          <w:sz w:val="28"/>
          <w:szCs w:val="28"/>
          <w:rtl/>
        </w:rPr>
        <w:tab/>
      </w:r>
      <w:r w:rsidRPr="0086491B">
        <w:rPr>
          <w:rFonts w:ascii="Arial (W1)" w:hAnsi="Arial (W1)"/>
          <w:b/>
          <w:bCs/>
          <w:sz w:val="28"/>
          <w:szCs w:val="28"/>
          <w:rtl/>
        </w:rPr>
        <w:tab/>
      </w:r>
      <w:r w:rsidRPr="0086491B">
        <w:rPr>
          <w:rFonts w:ascii="Arial (W1)" w:hAnsi="Arial (W1)"/>
          <w:b/>
          <w:bCs/>
          <w:sz w:val="28"/>
          <w:szCs w:val="28"/>
          <w:rtl/>
        </w:rPr>
        <w:tab/>
        <w:t>מדינת ישראל</w:t>
      </w:r>
    </w:p>
    <w:p w14:paraId="29768D0E" w14:textId="77777777" w:rsidR="0026250A" w:rsidRPr="0086491B" w:rsidRDefault="0026250A" w:rsidP="0026250A">
      <w:pPr>
        <w:rPr>
          <w:rFonts w:ascii="Arial (W1)" w:hAnsi="Arial (W1)"/>
          <w:b/>
          <w:bCs/>
          <w:sz w:val="28"/>
          <w:szCs w:val="28"/>
          <w:rtl/>
        </w:rPr>
      </w:pPr>
      <w:r w:rsidRPr="0086491B">
        <w:rPr>
          <w:rFonts w:ascii="Arial (W1)" w:hAnsi="Arial (W1)"/>
          <w:b/>
          <w:bCs/>
          <w:sz w:val="28"/>
          <w:szCs w:val="28"/>
          <w:rtl/>
        </w:rPr>
        <w:tab/>
      </w:r>
      <w:r w:rsidRPr="0086491B">
        <w:rPr>
          <w:rFonts w:ascii="Arial (W1)" w:hAnsi="Arial (W1)"/>
          <w:b/>
          <w:bCs/>
          <w:sz w:val="28"/>
          <w:szCs w:val="28"/>
          <w:rtl/>
        </w:rPr>
        <w:tab/>
      </w:r>
      <w:r w:rsidRPr="0086491B">
        <w:rPr>
          <w:rFonts w:ascii="Arial (W1)" w:hAnsi="Arial (W1)"/>
          <w:b/>
          <w:bCs/>
          <w:sz w:val="28"/>
          <w:szCs w:val="28"/>
          <w:rtl/>
        </w:rPr>
        <w:tab/>
      </w:r>
      <w:r w:rsidRPr="0086491B">
        <w:rPr>
          <w:rFonts w:ascii="Arial (W1)" w:hAnsi="Arial (W1)"/>
          <w:b/>
          <w:bCs/>
          <w:sz w:val="28"/>
          <w:szCs w:val="28"/>
          <w:rtl/>
        </w:rPr>
        <w:tab/>
        <w:t>באמצעות תביעות מרכז – שלוחת נתניה</w:t>
      </w:r>
    </w:p>
    <w:p w14:paraId="440E118D" w14:textId="77777777" w:rsidR="0026250A" w:rsidRPr="0086491B" w:rsidRDefault="0026250A" w:rsidP="0026250A">
      <w:pPr>
        <w:rPr>
          <w:rFonts w:ascii="Arial (W1)" w:hAnsi="Arial (W1)"/>
          <w:b/>
          <w:bCs/>
          <w:sz w:val="28"/>
          <w:szCs w:val="28"/>
          <w:rtl/>
        </w:rPr>
      </w:pPr>
    </w:p>
    <w:p w14:paraId="6AC4394B" w14:textId="77777777" w:rsidR="0026250A" w:rsidRPr="0086491B" w:rsidRDefault="0026250A" w:rsidP="0026250A">
      <w:pPr>
        <w:rPr>
          <w:rFonts w:ascii="Arial (W1)" w:hAnsi="Arial (W1)"/>
          <w:b/>
          <w:bCs/>
          <w:sz w:val="28"/>
          <w:szCs w:val="28"/>
          <w:rtl/>
        </w:rPr>
      </w:pPr>
      <w:r w:rsidRPr="0086491B">
        <w:rPr>
          <w:rFonts w:ascii="Arial (W1)" w:hAnsi="Arial (W1)"/>
          <w:b/>
          <w:bCs/>
          <w:sz w:val="28"/>
          <w:szCs w:val="28"/>
          <w:rtl/>
        </w:rPr>
        <w:tab/>
      </w:r>
      <w:r w:rsidRPr="0086491B">
        <w:rPr>
          <w:rFonts w:ascii="Arial (W1)" w:hAnsi="Arial (W1)"/>
          <w:b/>
          <w:bCs/>
          <w:sz w:val="28"/>
          <w:szCs w:val="28"/>
          <w:rtl/>
        </w:rPr>
        <w:tab/>
      </w:r>
      <w:r w:rsidRPr="0086491B">
        <w:rPr>
          <w:rFonts w:ascii="Arial (W1)" w:hAnsi="Arial (W1)"/>
          <w:b/>
          <w:bCs/>
          <w:sz w:val="28"/>
          <w:szCs w:val="28"/>
          <w:rtl/>
        </w:rPr>
        <w:tab/>
      </w:r>
      <w:r w:rsidRPr="0086491B">
        <w:rPr>
          <w:rFonts w:ascii="Arial (W1)" w:hAnsi="Arial (W1)"/>
          <w:b/>
          <w:bCs/>
          <w:sz w:val="28"/>
          <w:szCs w:val="28"/>
          <w:rtl/>
        </w:rPr>
        <w:tab/>
      </w:r>
      <w:r w:rsidRPr="0086491B">
        <w:rPr>
          <w:rFonts w:ascii="Arial (W1)" w:hAnsi="Arial (W1)"/>
          <w:b/>
          <w:bCs/>
          <w:sz w:val="28"/>
          <w:szCs w:val="28"/>
          <w:rtl/>
        </w:rPr>
        <w:tab/>
      </w:r>
      <w:r w:rsidRPr="0086491B">
        <w:rPr>
          <w:rFonts w:ascii="Arial (W1)" w:hAnsi="Arial (W1)"/>
          <w:b/>
          <w:bCs/>
          <w:sz w:val="28"/>
          <w:szCs w:val="28"/>
          <w:rtl/>
        </w:rPr>
        <w:tab/>
        <w:t>נ ג ד</w:t>
      </w:r>
    </w:p>
    <w:p w14:paraId="04D6E1BE" w14:textId="77777777" w:rsidR="0026250A" w:rsidRPr="0086491B" w:rsidRDefault="0026250A" w:rsidP="0026250A">
      <w:pPr>
        <w:rPr>
          <w:rFonts w:ascii="Arial (W1)" w:hAnsi="Arial (W1)"/>
          <w:b/>
          <w:bCs/>
          <w:sz w:val="28"/>
          <w:szCs w:val="28"/>
          <w:rtl/>
        </w:rPr>
      </w:pPr>
    </w:p>
    <w:p w14:paraId="429EF44A" w14:textId="77777777" w:rsidR="0026250A" w:rsidRPr="0086491B" w:rsidRDefault="0026250A" w:rsidP="0026250A">
      <w:pPr>
        <w:rPr>
          <w:rFonts w:ascii="Arial (W1)" w:hAnsi="Arial (W1)"/>
          <w:b/>
          <w:bCs/>
          <w:sz w:val="28"/>
          <w:szCs w:val="28"/>
          <w:rtl/>
        </w:rPr>
      </w:pPr>
      <w:r w:rsidRPr="0086491B">
        <w:rPr>
          <w:rFonts w:ascii="Arial (W1)" w:hAnsi="Arial (W1)"/>
          <w:b/>
          <w:bCs/>
          <w:sz w:val="28"/>
          <w:szCs w:val="28"/>
          <w:rtl/>
        </w:rPr>
        <w:t>הנאשם:</w:t>
      </w:r>
      <w:r w:rsidRPr="0086491B">
        <w:rPr>
          <w:rFonts w:ascii="Arial (W1)" w:hAnsi="Arial (W1)"/>
          <w:b/>
          <w:bCs/>
          <w:sz w:val="28"/>
          <w:szCs w:val="28"/>
          <w:rtl/>
        </w:rPr>
        <w:tab/>
      </w:r>
      <w:r w:rsidRPr="0086491B">
        <w:rPr>
          <w:rFonts w:ascii="Arial (W1)" w:hAnsi="Arial (W1)"/>
          <w:b/>
          <w:bCs/>
          <w:sz w:val="28"/>
          <w:szCs w:val="28"/>
          <w:rtl/>
        </w:rPr>
        <w:tab/>
      </w:r>
      <w:r w:rsidRPr="0086491B">
        <w:rPr>
          <w:rFonts w:ascii="Arial (W1)" w:hAnsi="Arial (W1)"/>
          <w:b/>
          <w:bCs/>
          <w:sz w:val="28"/>
          <w:szCs w:val="28"/>
          <w:rtl/>
        </w:rPr>
        <w:tab/>
        <w:t xml:space="preserve">יוסי אילוז </w:t>
      </w:r>
    </w:p>
    <w:p w14:paraId="670E928C" w14:textId="77777777" w:rsidR="0026250A" w:rsidRPr="0086491B" w:rsidRDefault="0026250A" w:rsidP="0026250A">
      <w:pPr>
        <w:rPr>
          <w:rFonts w:ascii="Arial (W1)" w:hAnsi="Arial (W1)"/>
          <w:b/>
          <w:bCs/>
          <w:sz w:val="28"/>
          <w:szCs w:val="28"/>
          <w:rtl/>
        </w:rPr>
      </w:pPr>
    </w:p>
    <w:p w14:paraId="3518F2A1" w14:textId="77777777" w:rsidR="0026250A" w:rsidRPr="0086491B" w:rsidRDefault="0026250A" w:rsidP="0026250A">
      <w:pPr>
        <w:rPr>
          <w:rFonts w:ascii="Arial (W1)" w:hAnsi="Arial (W1)"/>
          <w:sz w:val="28"/>
          <w:szCs w:val="28"/>
          <w:rtl/>
        </w:rPr>
      </w:pPr>
      <w:bookmarkStart w:id="2" w:name="FirstLawyer"/>
      <w:r w:rsidRPr="0086491B">
        <w:rPr>
          <w:rFonts w:ascii="Arial (W1)" w:hAnsi="Arial (W1)"/>
          <w:sz w:val="28"/>
          <w:szCs w:val="28"/>
          <w:rtl/>
        </w:rPr>
        <w:t>בשם</w:t>
      </w:r>
      <w:bookmarkEnd w:id="2"/>
      <w:r w:rsidRPr="0086491B">
        <w:rPr>
          <w:rFonts w:ascii="Arial (W1)" w:hAnsi="Arial (W1)"/>
          <w:sz w:val="28"/>
          <w:szCs w:val="28"/>
          <w:rtl/>
        </w:rPr>
        <w:t xml:space="preserve"> המאשימה:</w:t>
      </w:r>
      <w:r w:rsidRPr="0086491B">
        <w:rPr>
          <w:rFonts w:ascii="Arial (W1)" w:hAnsi="Arial (W1)"/>
          <w:sz w:val="28"/>
          <w:szCs w:val="28"/>
          <w:rtl/>
        </w:rPr>
        <w:tab/>
      </w:r>
      <w:r w:rsidRPr="0086491B">
        <w:rPr>
          <w:rFonts w:ascii="Arial (W1)" w:hAnsi="Arial (W1)"/>
          <w:sz w:val="28"/>
          <w:szCs w:val="28"/>
          <w:rtl/>
        </w:rPr>
        <w:tab/>
        <w:t>עו"ד שני מלול ועו"ד סיון ועקנין</w:t>
      </w:r>
    </w:p>
    <w:p w14:paraId="1920E84D" w14:textId="77777777" w:rsidR="0026250A" w:rsidRPr="0086491B" w:rsidRDefault="0026250A" w:rsidP="0026250A">
      <w:pPr>
        <w:rPr>
          <w:rFonts w:ascii="Arial (W1)" w:hAnsi="Arial (W1)"/>
          <w:sz w:val="28"/>
          <w:szCs w:val="28"/>
          <w:rtl/>
        </w:rPr>
      </w:pPr>
      <w:r w:rsidRPr="0086491B">
        <w:rPr>
          <w:rFonts w:ascii="Arial (W1)" w:hAnsi="Arial (W1)"/>
          <w:sz w:val="28"/>
          <w:szCs w:val="28"/>
          <w:rtl/>
        </w:rPr>
        <w:t>בשם הנאשם:</w:t>
      </w:r>
      <w:r w:rsidRPr="0086491B">
        <w:rPr>
          <w:rFonts w:ascii="Arial (W1)" w:hAnsi="Arial (W1)"/>
          <w:sz w:val="28"/>
          <w:szCs w:val="28"/>
          <w:rtl/>
        </w:rPr>
        <w:tab/>
      </w:r>
      <w:r w:rsidRPr="0086491B">
        <w:rPr>
          <w:rFonts w:ascii="Arial (W1)" w:hAnsi="Arial (W1)"/>
          <w:sz w:val="28"/>
          <w:szCs w:val="28"/>
          <w:rtl/>
        </w:rPr>
        <w:tab/>
      </w:r>
      <w:r w:rsidRPr="0086491B">
        <w:rPr>
          <w:rFonts w:ascii="Arial (W1)" w:hAnsi="Arial (W1)"/>
          <w:sz w:val="28"/>
          <w:szCs w:val="28"/>
          <w:rtl/>
        </w:rPr>
        <w:tab/>
        <w:t>עו"ד ארי שמאי</w:t>
      </w:r>
    </w:p>
    <w:p w14:paraId="1E7C9556" w14:textId="77777777" w:rsidR="006430C4" w:rsidRDefault="006430C4" w:rsidP="0026250A">
      <w:pPr>
        <w:spacing w:line="360" w:lineRule="auto"/>
        <w:rPr>
          <w:rFonts w:ascii="Arial (W1)" w:hAnsi="Arial (W1)"/>
          <w:sz w:val="28"/>
          <w:szCs w:val="28"/>
          <w:rtl/>
        </w:rPr>
      </w:pPr>
    </w:p>
    <w:p w14:paraId="2C79C309" w14:textId="77777777" w:rsidR="006430C4" w:rsidRPr="006430C4" w:rsidRDefault="006430C4" w:rsidP="006430C4">
      <w:pPr>
        <w:spacing w:after="120" w:line="240" w:lineRule="exact"/>
        <w:ind w:left="283" w:hanging="283"/>
        <w:jc w:val="both"/>
        <w:rPr>
          <w:rFonts w:ascii="FrankRuehl" w:hAnsi="FrankRuehl" w:cs="FrankRuehl"/>
          <w:rtl/>
        </w:rPr>
      </w:pPr>
    </w:p>
    <w:p w14:paraId="563BEBFD" w14:textId="77777777" w:rsidR="00BC0596" w:rsidRPr="00BC0596" w:rsidRDefault="00BC0596" w:rsidP="00BC0596">
      <w:pPr>
        <w:spacing w:before="120" w:after="120" w:line="240" w:lineRule="exact"/>
        <w:ind w:left="283" w:hanging="283"/>
        <w:jc w:val="both"/>
        <w:rPr>
          <w:rFonts w:ascii="FrankRuehl" w:hAnsi="FrankRuehl" w:cs="FrankRuehl"/>
          <w:rtl/>
        </w:rPr>
      </w:pPr>
    </w:p>
    <w:p w14:paraId="53D919D5" w14:textId="77777777" w:rsidR="00DE0263" w:rsidRDefault="00DE0263" w:rsidP="00DE0263">
      <w:pPr>
        <w:spacing w:line="360" w:lineRule="auto"/>
        <w:jc w:val="center"/>
        <w:rPr>
          <w:rFonts w:ascii="Arial (W1)" w:hAnsi="Arial (W1)"/>
          <w:sz w:val="28"/>
          <w:szCs w:val="28"/>
          <w:rtl/>
        </w:rPr>
      </w:pPr>
      <w:bookmarkStart w:id="3" w:name="LawTable"/>
      <w:bookmarkEnd w:id="3"/>
    </w:p>
    <w:p w14:paraId="4AC0E0D0" w14:textId="77777777" w:rsidR="00DE0263" w:rsidRPr="00DE0263" w:rsidRDefault="00DE0263" w:rsidP="00DE0263">
      <w:pPr>
        <w:spacing w:before="120" w:after="120" w:line="240" w:lineRule="exact"/>
        <w:ind w:left="283" w:hanging="283"/>
        <w:jc w:val="both"/>
        <w:rPr>
          <w:rFonts w:ascii="FrankRuehl" w:hAnsi="FrankRuehl" w:cs="FrankRuehl"/>
          <w:rtl/>
        </w:rPr>
      </w:pPr>
    </w:p>
    <w:p w14:paraId="647D5CA2" w14:textId="77777777" w:rsidR="00DE0263" w:rsidRPr="00DE0263" w:rsidRDefault="00DE0263" w:rsidP="00DE0263">
      <w:pPr>
        <w:spacing w:before="120" w:after="120" w:line="240" w:lineRule="exact"/>
        <w:ind w:left="283" w:hanging="283"/>
        <w:jc w:val="both"/>
        <w:rPr>
          <w:rFonts w:ascii="FrankRuehl" w:hAnsi="FrankRuehl" w:cs="FrankRuehl"/>
          <w:rtl/>
        </w:rPr>
      </w:pPr>
    </w:p>
    <w:p w14:paraId="3857A139" w14:textId="77777777" w:rsidR="00DE0263" w:rsidRPr="00DE0263" w:rsidRDefault="00DE0263" w:rsidP="00DE0263">
      <w:pPr>
        <w:spacing w:before="120" w:after="120" w:line="240" w:lineRule="exact"/>
        <w:ind w:left="283" w:hanging="283"/>
        <w:jc w:val="both"/>
        <w:rPr>
          <w:rFonts w:ascii="FrankRuehl" w:hAnsi="FrankRuehl" w:cs="FrankRuehl"/>
          <w:rtl/>
        </w:rPr>
      </w:pPr>
      <w:r w:rsidRPr="00DE0263">
        <w:rPr>
          <w:rFonts w:ascii="FrankRuehl" w:hAnsi="FrankRuehl" w:cs="FrankRuehl" w:hint="eastAsia"/>
          <w:rtl/>
        </w:rPr>
        <w:t>חקיקה</w:t>
      </w:r>
      <w:r w:rsidRPr="00DE0263">
        <w:rPr>
          <w:rFonts w:ascii="FrankRuehl" w:hAnsi="FrankRuehl" w:cs="FrankRuehl"/>
          <w:rtl/>
        </w:rPr>
        <w:t xml:space="preserve"> </w:t>
      </w:r>
      <w:r w:rsidRPr="00DE0263">
        <w:rPr>
          <w:rFonts w:ascii="FrankRuehl" w:hAnsi="FrankRuehl" w:cs="FrankRuehl" w:hint="eastAsia"/>
          <w:rtl/>
        </w:rPr>
        <w:t>שאוזכרה</w:t>
      </w:r>
      <w:r w:rsidRPr="00DE0263">
        <w:rPr>
          <w:rFonts w:ascii="FrankRuehl" w:hAnsi="FrankRuehl" w:cs="FrankRuehl"/>
          <w:rtl/>
        </w:rPr>
        <w:t xml:space="preserve">: </w:t>
      </w:r>
    </w:p>
    <w:p w14:paraId="14D0D08A" w14:textId="77777777" w:rsidR="00DE0263" w:rsidRPr="00DE0263" w:rsidRDefault="00DE0263" w:rsidP="00DE0263">
      <w:pPr>
        <w:spacing w:before="120" w:after="120" w:line="240" w:lineRule="exact"/>
        <w:ind w:left="283" w:hanging="283"/>
        <w:jc w:val="both"/>
        <w:rPr>
          <w:rFonts w:ascii="FrankRuehl" w:hAnsi="FrankRuehl" w:cs="FrankRuehl"/>
          <w:rtl/>
        </w:rPr>
      </w:pPr>
      <w:hyperlink r:id="rId6" w:history="1">
        <w:r w:rsidRPr="00DE0263">
          <w:rPr>
            <w:rFonts w:ascii="FrankRuehl" w:hAnsi="FrankRuehl" w:cs="FrankRuehl" w:hint="eastAsia"/>
            <w:color w:val="0000FF"/>
            <w:rtl/>
          </w:rPr>
          <w:t>פקודת</w:t>
        </w:r>
        <w:r w:rsidRPr="00DE0263">
          <w:rPr>
            <w:rFonts w:ascii="FrankRuehl" w:hAnsi="FrankRuehl" w:cs="FrankRuehl"/>
            <w:color w:val="0000FF"/>
            <w:rtl/>
          </w:rPr>
          <w:t xml:space="preserve"> </w:t>
        </w:r>
        <w:r w:rsidRPr="00DE0263">
          <w:rPr>
            <w:rFonts w:ascii="FrankRuehl" w:hAnsi="FrankRuehl" w:cs="FrankRuehl" w:hint="eastAsia"/>
            <w:color w:val="0000FF"/>
            <w:rtl/>
          </w:rPr>
          <w:t>הסמים</w:t>
        </w:r>
        <w:r w:rsidRPr="00DE0263">
          <w:rPr>
            <w:rFonts w:ascii="FrankRuehl" w:hAnsi="FrankRuehl" w:cs="FrankRuehl"/>
            <w:color w:val="0000FF"/>
            <w:rtl/>
          </w:rPr>
          <w:t xml:space="preserve"> </w:t>
        </w:r>
        <w:r w:rsidRPr="00DE0263">
          <w:rPr>
            <w:rFonts w:ascii="FrankRuehl" w:hAnsi="FrankRuehl" w:cs="FrankRuehl" w:hint="eastAsia"/>
            <w:color w:val="0000FF"/>
            <w:rtl/>
          </w:rPr>
          <w:t>המסוכנים</w:t>
        </w:r>
        <w:r w:rsidRPr="00DE0263">
          <w:rPr>
            <w:rFonts w:ascii="FrankRuehl" w:hAnsi="FrankRuehl" w:cs="FrankRuehl"/>
            <w:color w:val="0000FF"/>
            <w:rtl/>
          </w:rPr>
          <w:t xml:space="preserve"> [</w:t>
        </w:r>
        <w:r w:rsidRPr="00DE0263">
          <w:rPr>
            <w:rFonts w:ascii="FrankRuehl" w:hAnsi="FrankRuehl" w:cs="FrankRuehl" w:hint="eastAsia"/>
            <w:color w:val="0000FF"/>
            <w:rtl/>
          </w:rPr>
          <w:t>נוסח</w:t>
        </w:r>
        <w:r w:rsidRPr="00DE0263">
          <w:rPr>
            <w:rFonts w:ascii="FrankRuehl" w:hAnsi="FrankRuehl" w:cs="FrankRuehl"/>
            <w:color w:val="0000FF"/>
            <w:rtl/>
          </w:rPr>
          <w:t xml:space="preserve"> </w:t>
        </w:r>
        <w:r w:rsidRPr="00DE0263">
          <w:rPr>
            <w:rFonts w:ascii="FrankRuehl" w:hAnsi="FrankRuehl" w:cs="FrankRuehl" w:hint="eastAsia"/>
            <w:color w:val="0000FF"/>
            <w:rtl/>
          </w:rPr>
          <w:t>חדש</w:t>
        </w:r>
        <w:r w:rsidRPr="00DE0263">
          <w:rPr>
            <w:rFonts w:ascii="FrankRuehl" w:hAnsi="FrankRuehl" w:cs="FrankRuehl"/>
            <w:color w:val="0000FF"/>
            <w:rtl/>
          </w:rPr>
          <w:t xml:space="preserve">], </w:t>
        </w:r>
        <w:r w:rsidRPr="00DE0263">
          <w:rPr>
            <w:rFonts w:ascii="FrankRuehl" w:hAnsi="FrankRuehl" w:cs="FrankRuehl" w:hint="eastAsia"/>
            <w:color w:val="0000FF"/>
            <w:rtl/>
          </w:rPr>
          <w:t>תשל</w:t>
        </w:r>
        <w:r w:rsidRPr="00DE0263">
          <w:rPr>
            <w:rFonts w:ascii="FrankRuehl" w:hAnsi="FrankRuehl" w:cs="FrankRuehl"/>
            <w:color w:val="0000FF"/>
            <w:rtl/>
          </w:rPr>
          <w:t>"</w:t>
        </w:r>
        <w:r w:rsidRPr="00DE0263">
          <w:rPr>
            <w:rFonts w:ascii="FrankRuehl" w:hAnsi="FrankRuehl" w:cs="FrankRuehl" w:hint="eastAsia"/>
            <w:color w:val="0000FF"/>
            <w:rtl/>
          </w:rPr>
          <w:t>ג</w:t>
        </w:r>
        <w:r w:rsidRPr="00DE0263">
          <w:rPr>
            <w:rFonts w:ascii="FrankRuehl" w:hAnsi="FrankRuehl" w:cs="FrankRuehl"/>
            <w:color w:val="0000FF"/>
            <w:rtl/>
          </w:rPr>
          <w:t>-1973</w:t>
        </w:r>
      </w:hyperlink>
      <w:r w:rsidRPr="00DE0263">
        <w:rPr>
          <w:rFonts w:ascii="FrankRuehl" w:hAnsi="FrankRuehl" w:cs="FrankRuehl"/>
          <w:rtl/>
        </w:rPr>
        <w:t xml:space="preserve">: </w:t>
      </w:r>
      <w:r w:rsidRPr="00DE0263">
        <w:rPr>
          <w:rFonts w:ascii="FrankRuehl" w:hAnsi="FrankRuehl" w:cs="FrankRuehl" w:hint="eastAsia"/>
          <w:rtl/>
        </w:rPr>
        <w:t>סע</w:t>
      </w:r>
      <w:r w:rsidRPr="00DE0263">
        <w:rPr>
          <w:rFonts w:ascii="FrankRuehl" w:hAnsi="FrankRuehl" w:cs="FrankRuehl"/>
          <w:rtl/>
        </w:rPr>
        <w:t xml:space="preserve">'  </w:t>
      </w:r>
      <w:hyperlink r:id="rId7" w:history="1">
        <w:r w:rsidRPr="00DE0263">
          <w:rPr>
            <w:rFonts w:ascii="FrankRuehl" w:hAnsi="FrankRuehl" w:cs="FrankRuehl"/>
            <w:color w:val="0000FF"/>
            <w:rtl/>
          </w:rPr>
          <w:t>6</w:t>
        </w:r>
      </w:hyperlink>
    </w:p>
    <w:p w14:paraId="29DD06E4" w14:textId="77777777" w:rsidR="00DE0263" w:rsidRPr="00DE0263" w:rsidRDefault="00DE0263" w:rsidP="00DE0263">
      <w:pPr>
        <w:spacing w:before="120" w:after="120" w:line="240" w:lineRule="exact"/>
        <w:ind w:left="283" w:hanging="283"/>
        <w:jc w:val="both"/>
        <w:rPr>
          <w:rFonts w:ascii="FrankRuehl" w:hAnsi="FrankRuehl" w:cs="FrankRuehl"/>
          <w:rtl/>
        </w:rPr>
      </w:pPr>
      <w:hyperlink r:id="rId8" w:history="1">
        <w:r w:rsidRPr="00DE0263">
          <w:rPr>
            <w:rFonts w:ascii="FrankRuehl" w:hAnsi="FrankRuehl" w:cs="FrankRuehl" w:hint="eastAsia"/>
            <w:color w:val="0000FF"/>
            <w:rtl/>
          </w:rPr>
          <w:t>חוק</w:t>
        </w:r>
        <w:r w:rsidRPr="00DE0263">
          <w:rPr>
            <w:rFonts w:ascii="FrankRuehl" w:hAnsi="FrankRuehl" w:cs="FrankRuehl"/>
            <w:color w:val="0000FF"/>
            <w:rtl/>
          </w:rPr>
          <w:t xml:space="preserve"> </w:t>
        </w:r>
        <w:r w:rsidRPr="00DE0263">
          <w:rPr>
            <w:rFonts w:ascii="FrankRuehl" w:hAnsi="FrankRuehl" w:cs="FrankRuehl" w:hint="eastAsia"/>
            <w:color w:val="0000FF"/>
            <w:rtl/>
          </w:rPr>
          <w:t>העונשין</w:t>
        </w:r>
        <w:r w:rsidRPr="00DE0263">
          <w:rPr>
            <w:rFonts w:ascii="FrankRuehl" w:hAnsi="FrankRuehl" w:cs="FrankRuehl"/>
            <w:color w:val="0000FF"/>
            <w:rtl/>
          </w:rPr>
          <w:t xml:space="preserve">, </w:t>
        </w:r>
        <w:r w:rsidRPr="00DE0263">
          <w:rPr>
            <w:rFonts w:ascii="FrankRuehl" w:hAnsi="FrankRuehl" w:cs="FrankRuehl" w:hint="eastAsia"/>
            <w:color w:val="0000FF"/>
            <w:rtl/>
          </w:rPr>
          <w:t>תשל</w:t>
        </w:r>
        <w:r w:rsidRPr="00DE0263">
          <w:rPr>
            <w:rFonts w:ascii="FrankRuehl" w:hAnsi="FrankRuehl" w:cs="FrankRuehl"/>
            <w:color w:val="0000FF"/>
            <w:rtl/>
          </w:rPr>
          <w:t>"</w:t>
        </w:r>
        <w:r w:rsidRPr="00DE0263">
          <w:rPr>
            <w:rFonts w:ascii="FrankRuehl" w:hAnsi="FrankRuehl" w:cs="FrankRuehl" w:hint="eastAsia"/>
            <w:color w:val="0000FF"/>
            <w:rtl/>
          </w:rPr>
          <w:t>ז</w:t>
        </w:r>
        <w:r w:rsidRPr="00DE0263">
          <w:rPr>
            <w:rFonts w:ascii="FrankRuehl" w:hAnsi="FrankRuehl" w:cs="FrankRuehl"/>
            <w:color w:val="0000FF"/>
            <w:rtl/>
          </w:rPr>
          <w:t>-1977</w:t>
        </w:r>
      </w:hyperlink>
      <w:r w:rsidRPr="00DE0263">
        <w:rPr>
          <w:rFonts w:ascii="FrankRuehl" w:hAnsi="FrankRuehl" w:cs="FrankRuehl"/>
          <w:rtl/>
        </w:rPr>
        <w:t xml:space="preserve">: </w:t>
      </w:r>
      <w:r w:rsidRPr="00DE0263">
        <w:rPr>
          <w:rFonts w:ascii="FrankRuehl" w:hAnsi="FrankRuehl" w:cs="FrankRuehl" w:hint="eastAsia"/>
          <w:rtl/>
        </w:rPr>
        <w:t>סע</w:t>
      </w:r>
      <w:r w:rsidRPr="00DE0263">
        <w:rPr>
          <w:rFonts w:ascii="FrankRuehl" w:hAnsi="FrankRuehl" w:cs="FrankRuehl"/>
          <w:rtl/>
        </w:rPr>
        <w:t xml:space="preserve">'  </w:t>
      </w:r>
      <w:hyperlink r:id="rId9" w:history="1">
        <w:r w:rsidRPr="00DE0263">
          <w:rPr>
            <w:rFonts w:ascii="FrankRuehl" w:hAnsi="FrankRuehl" w:cs="FrankRuehl"/>
            <w:color w:val="0000FF"/>
            <w:rtl/>
          </w:rPr>
          <w:t>400</w:t>
        </w:r>
      </w:hyperlink>
    </w:p>
    <w:p w14:paraId="1F5E1A9E" w14:textId="77777777" w:rsidR="00DE0263" w:rsidRPr="00DE0263" w:rsidRDefault="00DE0263" w:rsidP="00DE0263">
      <w:pPr>
        <w:spacing w:line="360" w:lineRule="auto"/>
        <w:jc w:val="center"/>
        <w:rPr>
          <w:rFonts w:ascii="Arial (W1)" w:hAnsi="Arial (W1)"/>
          <w:sz w:val="28"/>
          <w:szCs w:val="28"/>
          <w:rtl/>
        </w:rPr>
      </w:pPr>
      <w:bookmarkStart w:id="4" w:name="LawTable_End"/>
      <w:bookmarkEnd w:id="4"/>
    </w:p>
    <w:p w14:paraId="782FE54E" w14:textId="77777777" w:rsidR="0086491B" w:rsidRPr="00BC0596" w:rsidRDefault="0086491B" w:rsidP="00BC0596">
      <w:pPr>
        <w:spacing w:line="360" w:lineRule="auto"/>
        <w:jc w:val="center"/>
        <w:rPr>
          <w:rFonts w:ascii="Arial (W1)" w:hAnsi="Arial (W1)"/>
          <w:sz w:val="28"/>
          <w:szCs w:val="28"/>
          <w:rtl/>
        </w:rPr>
      </w:pPr>
    </w:p>
    <w:p w14:paraId="607CCD3B" w14:textId="77777777" w:rsidR="0086491B" w:rsidRPr="0086491B" w:rsidRDefault="0086491B" w:rsidP="0086491B">
      <w:pPr>
        <w:spacing w:line="360" w:lineRule="auto"/>
        <w:jc w:val="center"/>
        <w:rPr>
          <w:rFonts w:ascii="Arial (W1)" w:hAnsi="Arial (W1)"/>
          <w:b/>
          <w:bCs/>
          <w:sz w:val="28"/>
          <w:szCs w:val="28"/>
          <w:u w:val="single"/>
          <w:rtl/>
        </w:rPr>
      </w:pPr>
      <w:bookmarkStart w:id="5" w:name="PsakDin"/>
      <w:bookmarkEnd w:id="0"/>
      <w:r w:rsidRPr="0086491B">
        <w:rPr>
          <w:rFonts w:ascii="Arial (W1)" w:hAnsi="Arial (W1)" w:hint="eastAsia"/>
          <w:b/>
          <w:bCs/>
          <w:sz w:val="28"/>
          <w:szCs w:val="28"/>
          <w:u w:val="single"/>
          <w:rtl/>
        </w:rPr>
        <w:t>גזר</w:t>
      </w:r>
      <w:r w:rsidRPr="0086491B">
        <w:rPr>
          <w:rFonts w:ascii="Arial (W1)" w:hAnsi="Arial (W1)"/>
          <w:b/>
          <w:bCs/>
          <w:sz w:val="28"/>
          <w:szCs w:val="28"/>
          <w:u w:val="single"/>
          <w:rtl/>
        </w:rPr>
        <w:t xml:space="preserve"> </w:t>
      </w:r>
      <w:r w:rsidRPr="0086491B">
        <w:rPr>
          <w:rFonts w:ascii="Arial (W1)" w:hAnsi="Arial (W1)" w:hint="eastAsia"/>
          <w:b/>
          <w:bCs/>
          <w:sz w:val="28"/>
          <w:szCs w:val="28"/>
          <w:u w:val="single"/>
          <w:rtl/>
        </w:rPr>
        <w:t>דין</w:t>
      </w:r>
    </w:p>
    <w:bookmarkEnd w:id="5"/>
    <w:p w14:paraId="2EDA3FDA" w14:textId="77777777" w:rsidR="0026250A" w:rsidRPr="00FF1DCA" w:rsidRDefault="0026250A" w:rsidP="0026250A">
      <w:pPr>
        <w:spacing w:line="360" w:lineRule="auto"/>
        <w:jc w:val="center"/>
        <w:rPr>
          <w:rFonts w:ascii="Arial (W1)" w:hAnsi="Arial (W1)"/>
          <w:b/>
          <w:bCs/>
          <w:sz w:val="28"/>
          <w:szCs w:val="28"/>
          <w:u w:val="single"/>
          <w:rtl/>
        </w:rPr>
      </w:pPr>
    </w:p>
    <w:p w14:paraId="05D06BDC" w14:textId="77777777" w:rsidR="0026250A" w:rsidRPr="00FF1DCA" w:rsidRDefault="0026250A" w:rsidP="0026250A">
      <w:pPr>
        <w:spacing w:line="360" w:lineRule="auto"/>
        <w:jc w:val="both"/>
        <w:rPr>
          <w:rFonts w:ascii="FrankRuehl" w:eastAsia="Calibri" w:hAnsi="FrankRuehl" w:cs="FrankRuehl"/>
          <w:sz w:val="28"/>
          <w:szCs w:val="28"/>
          <w:rtl/>
        </w:rPr>
      </w:pPr>
      <w:bookmarkStart w:id="6" w:name="ABSTRACT_START"/>
      <w:bookmarkEnd w:id="6"/>
      <w:r w:rsidRPr="00FF1DCA">
        <w:rPr>
          <w:rFonts w:ascii="FrankRuehl" w:eastAsia="Calibri" w:hAnsi="FrankRuehl" w:cs="FrankRuehl"/>
          <w:sz w:val="28"/>
          <w:szCs w:val="28"/>
          <w:rtl/>
        </w:rPr>
        <w:tab/>
        <w:t xml:space="preserve">הנאשם הורשע בהתאם להודאתו בכתב אישום מתוקן בעבירות </w:t>
      </w:r>
      <w:r w:rsidRPr="00FF1DCA">
        <w:rPr>
          <w:rFonts w:ascii="Miriam" w:eastAsia="Calibri" w:hAnsi="Miriam" w:cs="Miriam"/>
          <w:rtl/>
        </w:rPr>
        <w:t>גידול סמים מסוכנים</w:t>
      </w:r>
      <w:r w:rsidRPr="00FF1DCA">
        <w:rPr>
          <w:rFonts w:ascii="FrankRuehl" w:eastAsia="Calibri" w:hAnsi="FrankRuehl" w:cs="FrankRuehl"/>
          <w:sz w:val="28"/>
          <w:szCs w:val="28"/>
          <w:rtl/>
        </w:rPr>
        <w:t xml:space="preserve">, לפי </w:t>
      </w:r>
      <w:hyperlink r:id="rId10" w:history="1">
        <w:r w:rsidR="006430C4" w:rsidRPr="006430C4">
          <w:rPr>
            <w:rStyle w:val="Hyperlink"/>
            <w:rFonts w:ascii="FrankRuehl" w:eastAsia="Calibri" w:hAnsi="FrankRuehl" w:cs="FrankRuehl"/>
            <w:sz w:val="28"/>
            <w:szCs w:val="28"/>
            <w:rtl/>
          </w:rPr>
          <w:t>סעיף 6</w:t>
        </w:r>
      </w:hyperlink>
      <w:r w:rsidRPr="00FF1DCA">
        <w:rPr>
          <w:rFonts w:ascii="FrankRuehl" w:eastAsia="Calibri" w:hAnsi="FrankRuehl" w:cs="FrankRuehl"/>
          <w:sz w:val="28"/>
          <w:szCs w:val="28"/>
          <w:rtl/>
        </w:rPr>
        <w:t xml:space="preserve"> ל</w:t>
      </w:r>
      <w:hyperlink r:id="rId11" w:history="1">
        <w:r w:rsidR="0086491B" w:rsidRPr="0086491B">
          <w:rPr>
            <w:rFonts w:ascii="FrankRuehl" w:eastAsia="Calibri" w:hAnsi="FrankRuehl" w:cs="FrankRuehl"/>
            <w:color w:val="0000FF"/>
            <w:sz w:val="28"/>
            <w:szCs w:val="28"/>
            <w:u w:val="single"/>
            <w:rtl/>
          </w:rPr>
          <w:t>פקודת הסמים המסוכנים</w:t>
        </w:r>
      </w:hyperlink>
      <w:r w:rsidRPr="00FF1DCA">
        <w:rPr>
          <w:rFonts w:ascii="FrankRuehl" w:eastAsia="Calibri" w:hAnsi="FrankRuehl" w:cs="FrankRuehl"/>
          <w:sz w:val="28"/>
          <w:szCs w:val="28"/>
          <w:rtl/>
        </w:rPr>
        <w:t xml:space="preserve"> [נוסח חדש], תשל"ג-1973; </w:t>
      </w:r>
      <w:r w:rsidRPr="00FF1DCA">
        <w:rPr>
          <w:rFonts w:ascii="Miriam" w:eastAsia="Calibri" w:hAnsi="Miriam" w:cs="Miriam"/>
          <w:rtl/>
        </w:rPr>
        <w:t>נטילת חשמל</w:t>
      </w:r>
      <w:r w:rsidRPr="00FF1DCA">
        <w:rPr>
          <w:rFonts w:ascii="FrankRuehl" w:eastAsia="Calibri" w:hAnsi="FrankRuehl" w:cs="FrankRuehl"/>
          <w:sz w:val="28"/>
          <w:szCs w:val="28"/>
          <w:rtl/>
        </w:rPr>
        <w:t xml:space="preserve">, לפי </w:t>
      </w:r>
      <w:hyperlink r:id="rId12" w:history="1">
        <w:r w:rsidR="006430C4" w:rsidRPr="006430C4">
          <w:rPr>
            <w:rStyle w:val="Hyperlink"/>
            <w:rFonts w:ascii="FrankRuehl" w:eastAsia="Calibri" w:hAnsi="FrankRuehl" w:cs="FrankRuehl"/>
            <w:sz w:val="28"/>
            <w:szCs w:val="28"/>
            <w:rtl/>
          </w:rPr>
          <w:t>סעיף 400</w:t>
        </w:r>
      </w:hyperlink>
      <w:r w:rsidRPr="00FF1DCA">
        <w:rPr>
          <w:rFonts w:ascii="FrankRuehl" w:eastAsia="Calibri" w:hAnsi="FrankRuehl" w:cs="FrankRuehl"/>
          <w:sz w:val="28"/>
          <w:szCs w:val="28"/>
          <w:rtl/>
        </w:rPr>
        <w:t xml:space="preserve"> ל</w:t>
      </w:r>
      <w:hyperlink r:id="rId13" w:history="1">
        <w:r w:rsidR="0086491B" w:rsidRPr="0086491B">
          <w:rPr>
            <w:rFonts w:ascii="FrankRuehl" w:eastAsia="Calibri" w:hAnsi="FrankRuehl" w:cs="FrankRuehl"/>
            <w:color w:val="0000FF"/>
            <w:sz w:val="28"/>
            <w:szCs w:val="28"/>
            <w:u w:val="single"/>
            <w:rtl/>
          </w:rPr>
          <w:t>חוק העונשין</w:t>
        </w:r>
      </w:hyperlink>
      <w:r w:rsidRPr="00FF1DCA">
        <w:rPr>
          <w:rFonts w:ascii="FrankRuehl" w:eastAsia="Calibri" w:hAnsi="FrankRuehl" w:cs="FrankRuehl"/>
          <w:sz w:val="28"/>
          <w:szCs w:val="28"/>
          <w:rtl/>
        </w:rPr>
        <w:t>, תשל"ז-1977. מכתב האישום המתוקן עולה כי ביום 28.8.19 שכר הנאשם בית צמוד קרקע ברחוב בן צבי 15 בקדימה, בדמי שכירות חודשיים של 3,000 ₪, במטרה לגדל במקום סם מסוכן. ביום 17.11.19 נתפסו במהלך חיפוש בבית 270 שתילי סם מסוג קנאביס במשקל כולל 5 ק"ג וציוד נלווה. בין התאריכים 17.11.19-7.10.19 התחבר הנאשם באופן פיראטי לחברת החשמל, באמצעות התקנת חיבור תלת פאזי שעקף את מונה החשמל.</w:t>
      </w:r>
    </w:p>
    <w:p w14:paraId="27C68C59" w14:textId="77777777" w:rsidR="0026250A" w:rsidRPr="00FF1DCA" w:rsidRDefault="0026250A" w:rsidP="0026250A">
      <w:pPr>
        <w:spacing w:line="360" w:lineRule="auto"/>
        <w:jc w:val="both"/>
        <w:rPr>
          <w:rFonts w:ascii="FrankRuehl" w:eastAsia="Calibri" w:hAnsi="FrankRuehl" w:cs="FrankRuehl"/>
          <w:sz w:val="28"/>
          <w:szCs w:val="28"/>
          <w:rtl/>
        </w:rPr>
      </w:pPr>
      <w:bookmarkStart w:id="7" w:name="ABSTRACT_END"/>
      <w:bookmarkEnd w:id="7"/>
    </w:p>
    <w:p w14:paraId="0702F95E" w14:textId="77777777" w:rsidR="0026250A" w:rsidRPr="00FF1DCA" w:rsidRDefault="0026250A" w:rsidP="0026250A">
      <w:pPr>
        <w:spacing w:line="360" w:lineRule="auto"/>
        <w:jc w:val="both"/>
        <w:rPr>
          <w:rFonts w:ascii="FrankRuehl" w:eastAsia="Calibri" w:hAnsi="FrankRuehl" w:cs="FrankRuehl"/>
          <w:sz w:val="28"/>
          <w:szCs w:val="28"/>
          <w:rtl/>
        </w:rPr>
      </w:pPr>
      <w:r w:rsidRPr="00FF1DCA">
        <w:rPr>
          <w:rFonts w:ascii="FrankRuehl" w:eastAsia="Calibri" w:hAnsi="FrankRuehl" w:cs="FrankRuehl"/>
          <w:sz w:val="28"/>
          <w:szCs w:val="28"/>
          <w:rtl/>
        </w:rPr>
        <w:tab/>
        <w:t xml:space="preserve">בהמשך להכרעת הדין מיום 30.6.20 הופנה הנאשם לקבלת תסקיר מבחן. במהלך התקופה הממושכת באופן חריג התקבלו לא פחות משבעה תסקירים מהותיים, וכן חוות דעת </w:t>
      </w:r>
      <w:r w:rsidRPr="00FF1DCA">
        <w:rPr>
          <w:rFonts w:ascii="FrankRuehl" w:eastAsia="Calibri" w:hAnsi="FrankRuehl" w:cs="FrankRuehl"/>
          <w:sz w:val="28"/>
          <w:szCs w:val="28"/>
          <w:rtl/>
        </w:rPr>
        <w:lastRenderedPageBreak/>
        <w:t xml:space="preserve">מאת הממונה על עבודות שירות שמצא את הנאשם מתאים במגבלות. בקצירת האומר: הנאשם יליד 1975; לחובתו הרשעה יחידה בעבירת אלימות בגינה נדון למאסר על-תנאי, צו מבחן ופיצוי; גרוש פעמיים ואב לשלושה; שב לחיות בשנים האחרונות עם גרושתו השנייה; נעדר יציבות תעסוקתית ומשפחתית; נקלע במהלך חייו לחובות כבדים אותם התקשה להסדיר; ניהל אורח חיים שאופיין בהתמכרות להימורים; התקשה לבקש סיוע מסביבתו הקרובה ופנה לגורמים שוליים לשם כך; הוא השתלב בטיפול </w:t>
      </w:r>
      <w:r>
        <w:rPr>
          <w:rFonts w:ascii="FrankRuehl" w:eastAsia="Calibri" w:hAnsi="FrankRuehl" w:cs="FrankRuehl" w:hint="cs"/>
          <w:sz w:val="28"/>
          <w:szCs w:val="28"/>
          <w:rtl/>
        </w:rPr>
        <w:t xml:space="preserve">ממושך </w:t>
      </w:r>
      <w:r w:rsidRPr="00FF1DCA">
        <w:rPr>
          <w:rFonts w:ascii="FrankRuehl" w:eastAsia="Calibri" w:hAnsi="FrankRuehl" w:cs="FrankRuehl"/>
          <w:sz w:val="28"/>
          <w:szCs w:val="28"/>
          <w:rtl/>
        </w:rPr>
        <w:t>ביחידה לטיפול בהתמכרויות "בית חוסן" בנתניה, במפגשים קבועים בשירות המבחן</w:t>
      </w:r>
      <w:r>
        <w:rPr>
          <w:rFonts w:ascii="FrankRuehl" w:eastAsia="Calibri" w:hAnsi="FrankRuehl" w:cs="FrankRuehl" w:hint="cs"/>
          <w:sz w:val="28"/>
          <w:szCs w:val="28"/>
          <w:rtl/>
        </w:rPr>
        <w:t>, ואף הסתייע בטיפול פרטי</w:t>
      </w:r>
      <w:r w:rsidRPr="00FF1DCA">
        <w:rPr>
          <w:rFonts w:ascii="FrankRuehl" w:eastAsia="Calibri" w:hAnsi="FrankRuehl" w:cs="FrankRuehl"/>
          <w:sz w:val="28"/>
          <w:szCs w:val="28"/>
          <w:rtl/>
        </w:rPr>
        <w:t>; במהלך תקופת הטיפול החל הנאשם לסבול מכאבים קשים, שבעקבותיהם ערך בירור רפואי ונתגלתה בגופו מחלת הקרוהן; הנאשם קיבל אחריות מלאה על מעשיו; לנוכח מצבו הרפואי חלו עליות ומורדות במידת יכולתו של הנאשם להשקיע את מלוא מרצו בטיפול, אך ניכר כי עשה מאמצים; בשלושת התסקירים האחרונים (20.2.22, 21.6.22, 2.11.22) התרשמה קצינת המבחן מהפחתת הסיכון הנשקף מן הנאשם, הן לנוכח התמדתו בטיפולים והן על רקע מצבו הרפואי. מבלי להקל ראש בחומרת העבירות בהן הורשע, העריכה כי גזירת עונש מאסר לריצוי בדרך של עבודות שירות עלול לגדוע את ההליך הטיפולי ולפגוע בשיקומו של הנאשם. משכך המליצה להעמיד את הנאשם בצו מבחן במסגרתו ימשיך בטיפול בקבוצה טיפולית לעוברי חוק. כן המליצה לחייבו בצו של"צ בהיקף נרחב של 350 שעות.</w:t>
      </w:r>
    </w:p>
    <w:p w14:paraId="1825461F" w14:textId="77777777" w:rsidR="0026250A" w:rsidRPr="00FF1DCA" w:rsidRDefault="0026250A" w:rsidP="0026250A">
      <w:pPr>
        <w:spacing w:line="360" w:lineRule="auto"/>
        <w:jc w:val="both"/>
        <w:rPr>
          <w:rFonts w:ascii="FrankRuehl" w:eastAsia="Calibri" w:hAnsi="FrankRuehl" w:cs="FrankRuehl"/>
          <w:sz w:val="28"/>
          <w:szCs w:val="28"/>
          <w:rtl/>
        </w:rPr>
      </w:pPr>
    </w:p>
    <w:p w14:paraId="68FFC4DD" w14:textId="77777777" w:rsidR="0026250A" w:rsidRPr="00FF1DCA" w:rsidRDefault="0026250A" w:rsidP="0026250A">
      <w:pPr>
        <w:spacing w:line="360" w:lineRule="auto"/>
        <w:jc w:val="both"/>
        <w:rPr>
          <w:rFonts w:ascii="FrankRuehl" w:eastAsia="Calibri" w:hAnsi="FrankRuehl" w:cs="FrankRuehl"/>
          <w:sz w:val="28"/>
          <w:szCs w:val="28"/>
          <w:rtl/>
        </w:rPr>
      </w:pPr>
      <w:r w:rsidRPr="00FF1DCA">
        <w:rPr>
          <w:rFonts w:ascii="FrankRuehl" w:eastAsia="Calibri" w:hAnsi="FrankRuehl" w:cs="FrankRuehl"/>
          <w:sz w:val="28"/>
          <w:szCs w:val="28"/>
          <w:rtl/>
        </w:rPr>
        <w:tab/>
        <w:t xml:space="preserve">בטיעוניהם לעונש (28.3.23) </w:t>
      </w:r>
      <w:r>
        <w:rPr>
          <w:rFonts w:ascii="FrankRuehl" w:eastAsia="Calibri" w:hAnsi="FrankRuehl" w:cs="FrankRuehl" w:hint="cs"/>
          <w:sz w:val="28"/>
          <w:szCs w:val="28"/>
          <w:rtl/>
        </w:rPr>
        <w:t>הסכימו</w:t>
      </w:r>
      <w:r w:rsidRPr="00FF1DCA">
        <w:rPr>
          <w:rFonts w:ascii="FrankRuehl" w:eastAsia="Calibri" w:hAnsi="FrankRuehl" w:cs="FrankRuehl"/>
          <w:sz w:val="28"/>
          <w:szCs w:val="28"/>
          <w:rtl/>
        </w:rPr>
        <w:t xml:space="preserve"> ב"כ הצדדים </w:t>
      </w:r>
      <w:r>
        <w:rPr>
          <w:rFonts w:ascii="FrankRuehl" w:eastAsia="Calibri" w:hAnsi="FrankRuehl" w:cs="FrankRuehl" w:hint="cs"/>
          <w:sz w:val="28"/>
          <w:szCs w:val="28"/>
          <w:rtl/>
        </w:rPr>
        <w:t xml:space="preserve">כי </w:t>
      </w:r>
      <w:r w:rsidRPr="00FF1DCA">
        <w:rPr>
          <w:rFonts w:ascii="FrankRuehl" w:eastAsia="Calibri" w:hAnsi="FrankRuehl" w:cs="FrankRuehl"/>
          <w:sz w:val="28"/>
          <w:szCs w:val="28"/>
          <w:rtl/>
        </w:rPr>
        <w:t xml:space="preserve">במצב דברים רגיל ראוי היה לגזור על הנאשם עונש מאסר בפועל לריצוי מאחורי סורג ובריח. המאשימה עתרה לקבוע מתחם עונש בין 24-10 חודשי מאסר, וב"כ הנאשם לא חלק על כך. </w:t>
      </w:r>
      <w:r>
        <w:rPr>
          <w:rFonts w:ascii="FrankRuehl" w:eastAsia="Calibri" w:hAnsi="FrankRuehl" w:cs="FrankRuehl" w:hint="cs"/>
          <w:sz w:val="28"/>
          <w:szCs w:val="28"/>
          <w:rtl/>
        </w:rPr>
        <w:t>חרף האמור</w:t>
      </w:r>
      <w:r w:rsidRPr="00FF1DCA">
        <w:rPr>
          <w:rFonts w:ascii="FrankRuehl" w:eastAsia="Calibri" w:hAnsi="FrankRuehl" w:cs="FrankRuehl"/>
          <w:sz w:val="28"/>
          <w:szCs w:val="28"/>
          <w:rtl/>
        </w:rPr>
        <w:t>, הצדדים סברו בצוותא כי לנוכח ההליך הטיפולי הממושך שעבר הנאשם, בשילוב מצבו הרפואי, ראוי לחרוג לקולה ממתחם העונש. זה המקום לציין כי בעקבות מחלתו הוכר הנאשם כנכה ע"י המוסד לביטוח לאומי – נכות רפ</w:t>
      </w:r>
      <w:r>
        <w:rPr>
          <w:rFonts w:ascii="FrankRuehl" w:eastAsia="Calibri" w:hAnsi="FrankRuehl" w:cs="FrankRuehl" w:hint="cs"/>
          <w:sz w:val="28"/>
          <w:szCs w:val="28"/>
          <w:rtl/>
        </w:rPr>
        <w:t>ו</w:t>
      </w:r>
      <w:r w:rsidRPr="00FF1DCA">
        <w:rPr>
          <w:rFonts w:ascii="FrankRuehl" w:eastAsia="Calibri" w:hAnsi="FrankRuehl" w:cs="FrankRuehl"/>
          <w:sz w:val="28"/>
          <w:szCs w:val="28"/>
          <w:rtl/>
        </w:rPr>
        <w:t xml:space="preserve">אית בשיעור 50%, דרגת אי כושר </w:t>
      </w:r>
      <w:r>
        <w:rPr>
          <w:rFonts w:ascii="FrankRuehl" w:eastAsia="Calibri" w:hAnsi="FrankRuehl" w:cs="FrankRuehl" w:hint="cs"/>
          <w:sz w:val="28"/>
          <w:szCs w:val="28"/>
          <w:rtl/>
        </w:rPr>
        <w:t>השתכרות</w:t>
      </w:r>
      <w:r w:rsidRPr="00FF1DCA">
        <w:rPr>
          <w:rFonts w:ascii="FrankRuehl" w:eastAsia="Calibri" w:hAnsi="FrankRuehl" w:cs="FrankRuehl"/>
          <w:sz w:val="28"/>
          <w:szCs w:val="28"/>
          <w:rtl/>
        </w:rPr>
        <w:t xml:space="preserve"> בשיעור 100% (ענ/1). המחלוקת בין הצדדים נגעה למידת החריגה ממתחם העונש. </w:t>
      </w:r>
      <w:r>
        <w:rPr>
          <w:rFonts w:ascii="FrankRuehl" w:eastAsia="Calibri" w:hAnsi="FrankRuehl" w:cs="FrankRuehl" w:hint="cs"/>
          <w:sz w:val="28"/>
          <w:szCs w:val="28"/>
          <w:rtl/>
        </w:rPr>
        <w:t xml:space="preserve">בעוד </w:t>
      </w:r>
      <w:r w:rsidRPr="00FF1DCA">
        <w:rPr>
          <w:rFonts w:ascii="FrankRuehl" w:eastAsia="Calibri" w:hAnsi="FrankRuehl" w:cs="FrankRuehl"/>
          <w:sz w:val="28"/>
          <w:szCs w:val="28"/>
          <w:rtl/>
        </w:rPr>
        <w:t>ההגנה ביקשה לאמץ את המלצות שירות המבחן</w:t>
      </w:r>
      <w:r>
        <w:rPr>
          <w:rFonts w:ascii="FrankRuehl" w:eastAsia="Calibri" w:hAnsi="FrankRuehl" w:cs="FrankRuehl" w:hint="cs"/>
          <w:sz w:val="28"/>
          <w:szCs w:val="28"/>
          <w:rtl/>
        </w:rPr>
        <w:t xml:space="preserve"> במלואן</w:t>
      </w:r>
      <w:r w:rsidRPr="00FF1DCA">
        <w:rPr>
          <w:rFonts w:ascii="FrankRuehl" w:eastAsia="Calibri" w:hAnsi="FrankRuehl" w:cs="FrankRuehl"/>
          <w:sz w:val="28"/>
          <w:szCs w:val="28"/>
          <w:rtl/>
        </w:rPr>
        <w:t xml:space="preserve">, </w:t>
      </w:r>
      <w:r>
        <w:rPr>
          <w:rFonts w:ascii="FrankRuehl" w:eastAsia="Calibri" w:hAnsi="FrankRuehl" w:cs="FrankRuehl" w:hint="cs"/>
          <w:sz w:val="28"/>
          <w:szCs w:val="28"/>
          <w:rtl/>
        </w:rPr>
        <w:t xml:space="preserve">ביקשה </w:t>
      </w:r>
      <w:r w:rsidRPr="00FF1DCA">
        <w:rPr>
          <w:rFonts w:ascii="FrankRuehl" w:eastAsia="Calibri" w:hAnsi="FrankRuehl" w:cs="FrankRuehl"/>
          <w:sz w:val="28"/>
          <w:szCs w:val="28"/>
          <w:rtl/>
        </w:rPr>
        <w:t>המאשימה לגזור על הנאשם עונש מאסר בפועל בן 6 חודשים, אותו ירצה בדרך של עבודות שירות, בתוספת מאסר על-תנאי וקנס מרתיע. שני הצדדים תמכו טיעוניהם בפסיקה. הנאשם בדברו האחרון הכיר בחומרת מעשיו, ובעונש הראוי להם בדרך כלל. הוא סיפר בקצרה על תהליך השיקום, אליו הגיע בזכות מעצרו, וסיפר קמעה אודות מחלתו.</w:t>
      </w:r>
    </w:p>
    <w:p w14:paraId="37303591" w14:textId="77777777" w:rsidR="0026250A" w:rsidRPr="00FF1DCA" w:rsidRDefault="0026250A" w:rsidP="0026250A">
      <w:pPr>
        <w:spacing w:line="360" w:lineRule="auto"/>
        <w:jc w:val="both"/>
        <w:rPr>
          <w:rFonts w:ascii="FrankRuehl" w:eastAsia="Calibri" w:hAnsi="FrankRuehl" w:cs="FrankRuehl"/>
          <w:sz w:val="28"/>
          <w:szCs w:val="28"/>
          <w:rtl/>
        </w:rPr>
      </w:pPr>
    </w:p>
    <w:p w14:paraId="4F83C900" w14:textId="77777777" w:rsidR="0026250A" w:rsidRPr="00FF1DCA" w:rsidRDefault="0026250A" w:rsidP="0026250A">
      <w:pPr>
        <w:spacing w:line="360" w:lineRule="auto"/>
        <w:jc w:val="both"/>
        <w:rPr>
          <w:rFonts w:ascii="FrankRuehl" w:eastAsia="Calibri" w:hAnsi="FrankRuehl" w:cs="FrankRuehl"/>
          <w:sz w:val="28"/>
          <w:szCs w:val="28"/>
          <w:rtl/>
        </w:rPr>
      </w:pPr>
      <w:r w:rsidRPr="00FF1DCA">
        <w:rPr>
          <w:rFonts w:ascii="FrankRuehl" w:eastAsia="Calibri" w:hAnsi="FrankRuehl" w:cs="FrankRuehl"/>
          <w:sz w:val="28"/>
          <w:szCs w:val="28"/>
          <w:rtl/>
        </w:rPr>
        <w:tab/>
        <w:t>במחלוקת שנפלה בין הצדדים, מצאתי לאמץ את עתירתה של ההגנה, הנתמכת בהמלצות עקביות ומנומקות כהלכה של שירות המבחן במסגרת שלושת התסקירים האחרונים</w:t>
      </w:r>
      <w:r>
        <w:rPr>
          <w:rFonts w:ascii="FrankRuehl" w:eastAsia="Calibri" w:hAnsi="FrankRuehl" w:cs="FrankRuehl" w:hint="cs"/>
          <w:sz w:val="28"/>
          <w:szCs w:val="28"/>
          <w:rtl/>
        </w:rPr>
        <w:t>,</w:t>
      </w:r>
      <w:r w:rsidRPr="00FF1DCA">
        <w:rPr>
          <w:rFonts w:ascii="FrankRuehl" w:eastAsia="Calibri" w:hAnsi="FrankRuehl" w:cs="FrankRuehl"/>
          <w:sz w:val="28"/>
          <w:szCs w:val="28"/>
          <w:rtl/>
        </w:rPr>
        <w:t xml:space="preserve"> </w:t>
      </w:r>
      <w:r w:rsidRPr="00FF1DCA">
        <w:rPr>
          <w:rFonts w:ascii="FrankRuehl" w:eastAsia="Calibri" w:hAnsi="FrankRuehl" w:cs="FrankRuehl"/>
          <w:sz w:val="28"/>
          <w:szCs w:val="28"/>
          <w:rtl/>
        </w:rPr>
        <w:lastRenderedPageBreak/>
        <w:t>שהתפרשו על פני תקופה בת כשנה. אנמק בקצרה. העבירות המתוכננות שביצע הנאשם מצדיקות ככלל שליחתו למאסר ממש לתקופה לא מבוטלת</w:t>
      </w:r>
      <w:r>
        <w:rPr>
          <w:rFonts w:ascii="FrankRuehl" w:eastAsia="Calibri" w:hAnsi="FrankRuehl" w:cs="FrankRuehl" w:hint="cs"/>
          <w:sz w:val="28"/>
          <w:szCs w:val="28"/>
          <w:rtl/>
        </w:rPr>
        <w:t>, ובפרט שאלו בוצעו בשעה שהנאשם היה נתון תחת צו מבחן שהוטל עליו בהרשעתו הקודמת</w:t>
      </w:r>
      <w:r w:rsidRPr="00FF1DCA">
        <w:rPr>
          <w:rFonts w:ascii="FrankRuehl" w:eastAsia="Calibri" w:hAnsi="FrankRuehl" w:cs="FrankRuehl"/>
          <w:sz w:val="28"/>
          <w:szCs w:val="28"/>
          <w:rtl/>
        </w:rPr>
        <w:t xml:space="preserve">. ההליך הטיפולי-שיקומי הממושך בו השתתף, מאז הודאתו והרשעתו בכתב אישום מתוקן לפני קרוב לארבע שנים (30.6.20), אין בו די כשלעצמו לצורך חריגה כה משמעותית ממתחם העונש ההולם, עד כדי אימוץ מלא של המלצות שירות המבחן. במובן זה, עמדתה של המאשימה ראויה והגונה. </w:t>
      </w:r>
      <w:r>
        <w:rPr>
          <w:rFonts w:ascii="FrankRuehl" w:eastAsia="Calibri" w:hAnsi="FrankRuehl" w:cs="FrankRuehl" w:hint="cs"/>
          <w:sz w:val="28"/>
          <w:szCs w:val="28"/>
          <w:rtl/>
        </w:rPr>
        <w:t xml:space="preserve">ברם, </w:t>
      </w:r>
      <w:r w:rsidRPr="00FF1DCA">
        <w:rPr>
          <w:rFonts w:ascii="FrankRuehl" w:eastAsia="Calibri" w:hAnsi="FrankRuehl" w:cs="FrankRuehl"/>
          <w:sz w:val="28"/>
          <w:szCs w:val="28"/>
          <w:rtl/>
        </w:rPr>
        <w:t xml:space="preserve">הגורם שמטה את הכף הוא </w:t>
      </w:r>
      <w:r>
        <w:rPr>
          <w:rFonts w:ascii="FrankRuehl" w:eastAsia="Calibri" w:hAnsi="FrankRuehl" w:cs="FrankRuehl" w:hint="cs"/>
          <w:sz w:val="28"/>
          <w:szCs w:val="28"/>
          <w:rtl/>
        </w:rPr>
        <w:t>השינוי שחל ב</w:t>
      </w:r>
      <w:r w:rsidRPr="00FF1DCA">
        <w:rPr>
          <w:rFonts w:ascii="FrankRuehl" w:eastAsia="Calibri" w:hAnsi="FrankRuehl" w:cs="FrankRuehl"/>
          <w:sz w:val="28"/>
          <w:szCs w:val="28"/>
          <w:rtl/>
        </w:rPr>
        <w:t>מצבו הרפואי של הנאשם</w:t>
      </w:r>
      <w:r>
        <w:rPr>
          <w:rFonts w:ascii="FrankRuehl" w:eastAsia="Calibri" w:hAnsi="FrankRuehl" w:cs="FrankRuehl" w:hint="cs"/>
          <w:sz w:val="28"/>
          <w:szCs w:val="28"/>
          <w:rtl/>
        </w:rPr>
        <w:t xml:space="preserve"> תוך כדי ניהול ההליך</w:t>
      </w:r>
      <w:r w:rsidRPr="00FF1DCA">
        <w:rPr>
          <w:rFonts w:ascii="FrankRuehl" w:eastAsia="Calibri" w:hAnsi="FrankRuehl" w:cs="FrankRuehl"/>
          <w:sz w:val="28"/>
          <w:szCs w:val="28"/>
          <w:rtl/>
        </w:rPr>
        <w:t>. אמנם, הנאשם נמצא כשיר לבצע עבודות שירות במגבלות, וברי כי מחלתו של הנאשם כשלעצמה אינה מהווה משום סייג לריצוי עונש מאסר – בין מאחורי סורג ובריח ובין בעבודות שירות.</w:t>
      </w:r>
      <w:r>
        <w:rPr>
          <w:rFonts w:ascii="FrankRuehl" w:eastAsia="Calibri" w:hAnsi="FrankRuehl" w:cs="FrankRuehl" w:hint="cs"/>
          <w:sz w:val="28"/>
          <w:szCs w:val="28"/>
          <w:rtl/>
        </w:rPr>
        <w:t xml:space="preserve"> אילו היה מבצע את מעשיו כשהוא חולה, אזי המחלה לא הייתה בגדר שינוי נסיבות המצדיק התחשבות מיוחדת. עניינו שונה.</w:t>
      </w:r>
      <w:r w:rsidRPr="00FF1DCA">
        <w:rPr>
          <w:rFonts w:ascii="FrankRuehl" w:eastAsia="Calibri" w:hAnsi="FrankRuehl" w:cs="FrankRuehl"/>
          <w:sz w:val="28"/>
          <w:szCs w:val="28"/>
          <w:rtl/>
        </w:rPr>
        <w:t xml:space="preserve"> השילוב בין התהליך השיקומי הממושך שעבר הנאשם, הזמן </w:t>
      </w:r>
      <w:r>
        <w:rPr>
          <w:rFonts w:ascii="FrankRuehl" w:eastAsia="Calibri" w:hAnsi="FrankRuehl" w:cs="FrankRuehl" w:hint="cs"/>
          <w:sz w:val="28"/>
          <w:szCs w:val="28"/>
          <w:rtl/>
        </w:rPr>
        <w:t xml:space="preserve">הרב שחלף </w:t>
      </w:r>
      <w:r w:rsidRPr="00FF1DCA">
        <w:rPr>
          <w:rFonts w:ascii="FrankRuehl" w:eastAsia="Calibri" w:hAnsi="FrankRuehl" w:cs="FrankRuehl"/>
          <w:sz w:val="28"/>
          <w:szCs w:val="28"/>
          <w:rtl/>
        </w:rPr>
        <w:t xml:space="preserve">ממועד ביצוע העבירות, התפרצותה של המחלה באופן קשה בתוך תקופה זו, במידה שהביאה להכרתו כנכה </w:t>
      </w:r>
      <w:r>
        <w:rPr>
          <w:rFonts w:ascii="FrankRuehl" w:eastAsia="Calibri" w:hAnsi="FrankRuehl" w:cs="FrankRuehl" w:hint="cs"/>
          <w:sz w:val="28"/>
          <w:szCs w:val="28"/>
          <w:rtl/>
        </w:rPr>
        <w:t xml:space="preserve">בשיעור 100% </w:t>
      </w:r>
      <w:r w:rsidRPr="00FF1DCA">
        <w:rPr>
          <w:rFonts w:ascii="FrankRuehl" w:eastAsia="Calibri" w:hAnsi="FrankRuehl" w:cs="FrankRuehl"/>
          <w:sz w:val="28"/>
          <w:szCs w:val="28"/>
          <w:rtl/>
        </w:rPr>
        <w:t xml:space="preserve">לצורכי השתכרות, הקשיים מהם סובל הנאשם בשל מצבו הרפואי, המלצותיה העקביות של קצינת המבחן, מידת הסיכון הנמוכה הנשקפת מן הנאשם עתה, על רקע השילוב בין </w:t>
      </w:r>
      <w:r>
        <w:rPr>
          <w:rFonts w:ascii="FrankRuehl" w:eastAsia="Calibri" w:hAnsi="FrankRuehl" w:cs="FrankRuehl" w:hint="cs"/>
          <w:sz w:val="28"/>
          <w:szCs w:val="28"/>
          <w:rtl/>
        </w:rPr>
        <w:t>השיקום</w:t>
      </w:r>
      <w:r w:rsidRPr="00FF1DCA">
        <w:rPr>
          <w:rFonts w:ascii="FrankRuehl" w:eastAsia="Calibri" w:hAnsi="FrankRuehl" w:cs="FrankRuehl"/>
          <w:sz w:val="28"/>
          <w:szCs w:val="28"/>
          <w:rtl/>
        </w:rPr>
        <w:t xml:space="preserve"> שעבר </w:t>
      </w:r>
      <w:r>
        <w:rPr>
          <w:rFonts w:ascii="FrankRuehl" w:eastAsia="Calibri" w:hAnsi="FrankRuehl" w:cs="FrankRuehl" w:hint="cs"/>
          <w:sz w:val="28"/>
          <w:szCs w:val="28"/>
          <w:rtl/>
        </w:rPr>
        <w:t xml:space="preserve">(ועודנו עובר) </w:t>
      </w:r>
      <w:r w:rsidRPr="00FF1DCA">
        <w:rPr>
          <w:rFonts w:ascii="FrankRuehl" w:eastAsia="Calibri" w:hAnsi="FrankRuehl" w:cs="FrankRuehl"/>
          <w:sz w:val="28"/>
          <w:szCs w:val="28"/>
          <w:rtl/>
        </w:rPr>
        <w:t xml:space="preserve">לבין </w:t>
      </w:r>
      <w:r>
        <w:rPr>
          <w:rFonts w:ascii="FrankRuehl" w:eastAsia="Calibri" w:hAnsi="FrankRuehl" w:cs="FrankRuehl" w:hint="cs"/>
          <w:sz w:val="28"/>
          <w:szCs w:val="28"/>
          <w:rtl/>
        </w:rPr>
        <w:t>השינוי ב</w:t>
      </w:r>
      <w:r w:rsidRPr="00FF1DCA">
        <w:rPr>
          <w:rFonts w:ascii="FrankRuehl" w:eastAsia="Calibri" w:hAnsi="FrankRuehl" w:cs="FrankRuehl"/>
          <w:sz w:val="28"/>
          <w:szCs w:val="28"/>
          <w:rtl/>
        </w:rPr>
        <w:t>מצבו הרפואי – כל אלו מביאים אותי למסקנה כי ראוי ללכת כברת דרך נוספת לקראת הנאשם.</w:t>
      </w:r>
      <w:r>
        <w:rPr>
          <w:rFonts w:ascii="FrankRuehl" w:eastAsia="Calibri" w:hAnsi="FrankRuehl" w:cs="FrankRuehl" w:hint="cs"/>
          <w:sz w:val="28"/>
          <w:szCs w:val="28"/>
          <w:rtl/>
        </w:rPr>
        <w:t xml:space="preserve"> בשינויים המתאימים אפנה לפסקי דין בהם מצאו בתי המשפט להורות על </w:t>
      </w:r>
      <w:r w:rsidRPr="00AE55B4">
        <w:rPr>
          <w:rFonts w:ascii="FrankRuehl" w:eastAsia="Calibri" w:hAnsi="FrankRuehl" w:cs="FrankRuehl"/>
          <w:sz w:val="28"/>
          <w:szCs w:val="28"/>
          <w:rtl/>
        </w:rPr>
        <w:t>ביטול הרשעה בעבירות סמים בנסיבות חמורות</w:t>
      </w:r>
      <w:r>
        <w:rPr>
          <w:rFonts w:ascii="FrankRuehl" w:eastAsia="Calibri" w:hAnsi="FrankRuehl" w:cs="FrankRuehl" w:hint="cs"/>
          <w:sz w:val="28"/>
          <w:szCs w:val="28"/>
          <w:rtl/>
        </w:rPr>
        <w:t>:</w:t>
      </w:r>
      <w:r w:rsidRPr="00AE55B4">
        <w:rPr>
          <w:rFonts w:ascii="FrankRuehl" w:eastAsia="Calibri" w:hAnsi="FrankRuehl" w:cs="FrankRuehl"/>
          <w:sz w:val="28"/>
          <w:szCs w:val="28"/>
          <w:rtl/>
        </w:rPr>
        <w:t xml:space="preserve"> </w:t>
      </w:r>
      <w:hyperlink r:id="rId14" w:history="1">
        <w:r w:rsidR="0086491B" w:rsidRPr="0086491B">
          <w:rPr>
            <w:rFonts w:ascii="FrankRuehl" w:eastAsia="Calibri" w:hAnsi="FrankRuehl" w:cs="FrankRuehl"/>
            <w:color w:val="0000FF"/>
            <w:sz w:val="28"/>
            <w:szCs w:val="28"/>
            <w:u w:val="single"/>
            <w:rtl/>
          </w:rPr>
          <w:t>ע"פ (ירושלים) 11045-09-18</w:t>
        </w:r>
      </w:hyperlink>
      <w:r w:rsidRPr="00AE55B4">
        <w:rPr>
          <w:rFonts w:ascii="FrankRuehl" w:eastAsia="Calibri" w:hAnsi="FrankRuehl" w:cs="FrankRuehl"/>
          <w:sz w:val="28"/>
          <w:szCs w:val="28"/>
          <w:rtl/>
        </w:rPr>
        <w:t xml:space="preserve"> </w:t>
      </w:r>
      <w:r w:rsidRPr="00AE55B4">
        <w:rPr>
          <w:rFonts w:ascii="FrankRuehl" w:eastAsia="Calibri" w:hAnsi="FrankRuehl" w:cs="Miriam"/>
          <w:b/>
          <w:sz w:val="28"/>
          <w:rtl/>
        </w:rPr>
        <w:t>אליאסיאן נ' מדינת ישראל</w:t>
      </w:r>
      <w:r w:rsidRPr="00AE55B4">
        <w:rPr>
          <w:rFonts w:ascii="FrankRuehl" w:eastAsia="Calibri" w:hAnsi="FrankRuehl" w:cs="FrankRuehl"/>
          <w:sz w:val="28"/>
          <w:szCs w:val="28"/>
          <w:rtl/>
        </w:rPr>
        <w:t xml:space="preserve"> (3.3.19); ע"פ (ת"א) </w:t>
      </w:r>
      <w:hyperlink r:id="rId15" w:history="1">
        <w:r w:rsidR="00BC0596" w:rsidRPr="00BC0596">
          <w:rPr>
            <w:rFonts w:ascii="FrankRuehl" w:eastAsia="Calibri" w:hAnsi="FrankRuehl" w:cs="FrankRuehl"/>
            <w:color w:val="0000FF"/>
            <w:sz w:val="28"/>
            <w:szCs w:val="28"/>
            <w:u w:val="single"/>
            <w:rtl/>
          </w:rPr>
          <w:t xml:space="preserve">33377-03-20 </w:t>
        </w:r>
      </w:hyperlink>
      <w:r w:rsidRPr="00AE55B4">
        <w:rPr>
          <w:rFonts w:ascii="FrankRuehl" w:eastAsia="Calibri" w:hAnsi="FrankRuehl" w:cs="FrankRuehl"/>
          <w:sz w:val="28"/>
          <w:szCs w:val="28"/>
          <w:rtl/>
        </w:rPr>
        <w:t xml:space="preserve"> </w:t>
      </w:r>
      <w:r w:rsidRPr="00AE55B4">
        <w:rPr>
          <w:rFonts w:ascii="FrankRuehl" w:eastAsia="Calibri" w:hAnsi="FrankRuehl" w:cs="Miriam"/>
          <w:b/>
          <w:sz w:val="28"/>
          <w:rtl/>
        </w:rPr>
        <w:t xml:space="preserve">מדינת ישראל נ' אלשיך </w:t>
      </w:r>
      <w:r w:rsidRPr="00AE55B4">
        <w:rPr>
          <w:rFonts w:ascii="FrankRuehl" w:eastAsia="Calibri" w:hAnsi="FrankRuehl" w:cs="FrankRuehl"/>
          <w:sz w:val="28"/>
          <w:szCs w:val="28"/>
          <w:rtl/>
        </w:rPr>
        <w:t xml:space="preserve">(16.12.20); </w:t>
      </w:r>
      <w:hyperlink r:id="rId16" w:history="1">
        <w:r w:rsidR="0086491B" w:rsidRPr="0086491B">
          <w:rPr>
            <w:rFonts w:ascii="FrankRuehl" w:eastAsia="Calibri" w:hAnsi="FrankRuehl" w:cs="FrankRuehl"/>
            <w:color w:val="0000FF"/>
            <w:sz w:val="28"/>
            <w:szCs w:val="28"/>
            <w:u w:val="single"/>
            <w:rtl/>
          </w:rPr>
          <w:t>עפ"ג (מרכז-לוד) 53504-01-11</w:t>
        </w:r>
      </w:hyperlink>
      <w:r w:rsidRPr="00AE55B4">
        <w:rPr>
          <w:rFonts w:ascii="FrankRuehl" w:eastAsia="Calibri" w:hAnsi="FrankRuehl" w:cs="FrankRuehl"/>
          <w:sz w:val="28"/>
          <w:szCs w:val="28"/>
          <w:rtl/>
        </w:rPr>
        <w:t xml:space="preserve"> </w:t>
      </w:r>
      <w:r w:rsidRPr="00AE55B4">
        <w:rPr>
          <w:rFonts w:ascii="FrankRuehl" w:eastAsia="Calibri" w:hAnsi="FrankRuehl" w:cs="Miriam"/>
          <w:b/>
          <w:sz w:val="28"/>
          <w:rtl/>
        </w:rPr>
        <w:t xml:space="preserve">אדם אלון נ' מדינת ישראל </w:t>
      </w:r>
      <w:r w:rsidRPr="00AE55B4">
        <w:rPr>
          <w:rFonts w:ascii="FrankRuehl" w:eastAsia="Calibri" w:hAnsi="FrankRuehl" w:cs="FrankRuehl"/>
          <w:sz w:val="28"/>
          <w:szCs w:val="28"/>
          <w:rtl/>
        </w:rPr>
        <w:t>(22.5.11).</w:t>
      </w:r>
      <w:r>
        <w:rPr>
          <w:rFonts w:ascii="FrankRuehl" w:eastAsia="Calibri" w:hAnsi="FrankRuehl" w:cs="FrankRuehl" w:hint="cs"/>
          <w:sz w:val="28"/>
          <w:szCs w:val="28"/>
          <w:rtl/>
        </w:rPr>
        <w:t xml:space="preserve"> </w:t>
      </w:r>
      <w:r>
        <w:rPr>
          <w:rFonts w:ascii="FrankRuehl" w:eastAsia="Calibri" w:hAnsi="FrankRuehl" w:cs="FrankRuehl"/>
          <w:sz w:val="28"/>
          <w:szCs w:val="28"/>
          <w:rtl/>
        </w:rPr>
        <w:t>בשל מצבו הכלכלי העגום</w:t>
      </w:r>
      <w:r>
        <w:rPr>
          <w:rFonts w:ascii="FrankRuehl" w:eastAsia="Calibri" w:hAnsi="FrankRuehl" w:cs="FrankRuehl" w:hint="cs"/>
          <w:sz w:val="28"/>
          <w:szCs w:val="28"/>
          <w:rtl/>
        </w:rPr>
        <w:t xml:space="preserve"> של הנאשם </w:t>
      </w:r>
      <w:r w:rsidRPr="00FF1DCA">
        <w:rPr>
          <w:rFonts w:ascii="FrankRuehl" w:eastAsia="Calibri" w:hAnsi="FrankRuehl" w:cs="FrankRuehl"/>
          <w:sz w:val="28"/>
          <w:szCs w:val="28"/>
          <w:rtl/>
        </w:rPr>
        <w:t>ולנוכח ההתפתחויות בנסיבותיו עליהן עמדתי לעיל, החלטתי באופן חריג להימנע מגזירת קנס מוחשי ולהסתפק בהתחייבות צופה פני עתיד.</w:t>
      </w:r>
    </w:p>
    <w:p w14:paraId="0DC2F03A" w14:textId="77777777" w:rsidR="0026250A" w:rsidRPr="00FF1DCA" w:rsidRDefault="0026250A" w:rsidP="0026250A">
      <w:pPr>
        <w:spacing w:line="360" w:lineRule="auto"/>
        <w:jc w:val="both"/>
        <w:rPr>
          <w:rFonts w:ascii="FrankRuehl" w:eastAsia="Calibri" w:hAnsi="FrankRuehl" w:cs="FrankRuehl"/>
          <w:sz w:val="28"/>
          <w:szCs w:val="28"/>
          <w:rtl/>
        </w:rPr>
      </w:pPr>
    </w:p>
    <w:p w14:paraId="0A8691C7" w14:textId="77777777" w:rsidR="0026250A" w:rsidRPr="00FF1DCA" w:rsidRDefault="0026250A" w:rsidP="0026250A">
      <w:pPr>
        <w:spacing w:line="360" w:lineRule="auto"/>
        <w:jc w:val="both"/>
        <w:rPr>
          <w:rFonts w:ascii="FrankRuehl" w:eastAsia="Calibri" w:hAnsi="FrankRuehl" w:cs="FrankRuehl"/>
          <w:sz w:val="28"/>
          <w:szCs w:val="28"/>
          <w:rtl/>
        </w:rPr>
      </w:pPr>
      <w:r w:rsidRPr="00FF1DCA">
        <w:rPr>
          <w:rFonts w:ascii="FrankRuehl" w:eastAsia="Calibri" w:hAnsi="FrankRuehl" w:cs="FrankRuehl"/>
          <w:sz w:val="28"/>
          <w:szCs w:val="28"/>
          <w:rtl/>
        </w:rPr>
        <w:tab/>
        <w:t>סוף דבר, החלטתי לגזור על הנאשם את העונשים הבאים:</w:t>
      </w:r>
    </w:p>
    <w:p w14:paraId="67933550" w14:textId="77777777" w:rsidR="0026250A" w:rsidRPr="00FF1DCA" w:rsidRDefault="0026250A" w:rsidP="0026250A">
      <w:pPr>
        <w:spacing w:line="360" w:lineRule="auto"/>
        <w:ind w:left="1440" w:hanging="720"/>
        <w:jc w:val="both"/>
        <w:rPr>
          <w:rFonts w:ascii="FrankRuehl" w:hAnsi="FrankRuehl" w:cs="FrankRuehl"/>
          <w:sz w:val="28"/>
          <w:szCs w:val="28"/>
          <w:rtl/>
        </w:rPr>
      </w:pPr>
      <w:r w:rsidRPr="00FF1DCA">
        <w:rPr>
          <w:rFonts w:ascii="FrankRuehl" w:hAnsi="FrankRuehl" w:cs="FrankRuehl"/>
          <w:sz w:val="28"/>
          <w:szCs w:val="28"/>
          <w:rtl/>
        </w:rPr>
        <w:t>א.</w:t>
      </w:r>
      <w:r w:rsidRPr="00FF1DCA">
        <w:rPr>
          <w:rFonts w:ascii="FrankRuehl" w:hAnsi="FrankRuehl" w:cs="FrankRuehl"/>
          <w:sz w:val="28"/>
          <w:szCs w:val="28"/>
          <w:rtl/>
        </w:rPr>
        <w:tab/>
        <w:t>8 חודשי מאסר אותם לא ירצה הנאשם אלא אם יעבור תוך שלוש שנים עבירה על פקודת הסמים מסוג פשע.</w:t>
      </w:r>
    </w:p>
    <w:p w14:paraId="15713CD8" w14:textId="77777777" w:rsidR="0026250A" w:rsidRPr="00FF1DCA" w:rsidRDefault="0026250A" w:rsidP="0026250A">
      <w:pPr>
        <w:spacing w:line="360" w:lineRule="auto"/>
        <w:ind w:left="1440" w:hanging="720"/>
        <w:jc w:val="both"/>
        <w:rPr>
          <w:rFonts w:ascii="FrankRuehl" w:hAnsi="FrankRuehl" w:cs="FrankRuehl"/>
          <w:sz w:val="28"/>
          <w:szCs w:val="28"/>
          <w:rtl/>
        </w:rPr>
      </w:pPr>
      <w:r w:rsidRPr="00FF1DCA">
        <w:rPr>
          <w:rFonts w:ascii="FrankRuehl" w:hAnsi="FrankRuehl" w:cs="FrankRuehl"/>
          <w:sz w:val="28"/>
          <w:szCs w:val="28"/>
          <w:rtl/>
        </w:rPr>
        <w:t>ב.</w:t>
      </w:r>
      <w:r w:rsidRPr="00FF1DCA">
        <w:rPr>
          <w:rFonts w:ascii="FrankRuehl" w:hAnsi="FrankRuehl" w:cs="FrankRuehl"/>
          <w:sz w:val="28"/>
          <w:szCs w:val="28"/>
          <w:rtl/>
        </w:rPr>
        <w:tab/>
        <w:t>הנאשם יבצע 350 שעות שירות לתועלת הציבור (של"צ) בעמותת "קופת הצדקה המרכזית" בנתניה בהתאם לאמור בתסקיר המבחן. על הנאשם להשלים את ביצוע השל"צ תוך שנה מהיום. הוסבר לנאשם כי אם לא יעשה כן, עשוי בית המשפט לגזור את דינו מחדש.</w:t>
      </w:r>
    </w:p>
    <w:p w14:paraId="3437EAD5" w14:textId="77777777" w:rsidR="0026250A" w:rsidRPr="00FF1DCA" w:rsidRDefault="0026250A" w:rsidP="0026250A">
      <w:pPr>
        <w:spacing w:line="360" w:lineRule="auto"/>
        <w:ind w:left="1440" w:hanging="720"/>
        <w:jc w:val="both"/>
        <w:rPr>
          <w:rFonts w:ascii="FrankRuehl" w:hAnsi="FrankRuehl" w:cs="FrankRuehl"/>
          <w:sz w:val="28"/>
          <w:szCs w:val="28"/>
          <w:rtl/>
        </w:rPr>
      </w:pPr>
      <w:r w:rsidRPr="00FF1DCA">
        <w:rPr>
          <w:rFonts w:ascii="FrankRuehl" w:hAnsi="FrankRuehl" w:cs="FrankRuehl"/>
          <w:sz w:val="28"/>
          <w:szCs w:val="28"/>
          <w:rtl/>
        </w:rPr>
        <w:t>ג.</w:t>
      </w:r>
      <w:r w:rsidRPr="00FF1DCA">
        <w:rPr>
          <w:rFonts w:ascii="FrankRuehl" w:hAnsi="FrankRuehl" w:cs="FrankRuehl"/>
          <w:sz w:val="28"/>
          <w:szCs w:val="28"/>
          <w:rtl/>
        </w:rPr>
        <w:tab/>
        <w:t>צו מבחן למשך שנה. הוסברה לנאשם משמעותו של צו המבחן ואפשרות הפקעתו והטלת עונש במקומו.</w:t>
      </w:r>
    </w:p>
    <w:p w14:paraId="6038C857" w14:textId="77777777" w:rsidR="0026250A" w:rsidRPr="00FF1DCA" w:rsidRDefault="0026250A" w:rsidP="0026250A">
      <w:pPr>
        <w:spacing w:line="360" w:lineRule="auto"/>
        <w:ind w:left="1440" w:hanging="720"/>
        <w:jc w:val="both"/>
        <w:rPr>
          <w:rFonts w:ascii="FrankRuehl" w:hAnsi="FrankRuehl" w:cs="FrankRuehl"/>
          <w:sz w:val="28"/>
          <w:szCs w:val="28"/>
          <w:rtl/>
        </w:rPr>
      </w:pPr>
      <w:r w:rsidRPr="00FF1DCA">
        <w:rPr>
          <w:rFonts w:ascii="FrankRuehl" w:hAnsi="FrankRuehl" w:cs="FrankRuehl"/>
          <w:sz w:val="28"/>
          <w:szCs w:val="28"/>
          <w:rtl/>
        </w:rPr>
        <w:t>ד.</w:t>
      </w:r>
      <w:r w:rsidRPr="00FF1DCA">
        <w:rPr>
          <w:rFonts w:ascii="FrankRuehl" w:hAnsi="FrankRuehl" w:cs="FrankRuehl"/>
          <w:sz w:val="28"/>
          <w:szCs w:val="28"/>
          <w:rtl/>
        </w:rPr>
        <w:tab/>
        <w:t xml:space="preserve">הנאשם ייתן התחייבות בסך 10,000 ₪ להימנע במשך שלוש שנים מביצוע עבירה על פקודת הסמים מסוג פשע. הנאשם יצהיר על התחייבותו לפניי עוד היום, שאם לא כן, ירצה תקופת מאסר בת 5 ימים. </w:t>
      </w:r>
    </w:p>
    <w:p w14:paraId="7D6A9F13" w14:textId="77777777" w:rsidR="0026250A" w:rsidRPr="0086491B" w:rsidRDefault="0086491B" w:rsidP="0026250A">
      <w:pPr>
        <w:spacing w:line="360" w:lineRule="auto"/>
        <w:jc w:val="both"/>
        <w:rPr>
          <w:rFonts w:ascii="FrankRuehl" w:hAnsi="FrankRuehl" w:cs="FrankRuehl"/>
          <w:color w:val="FFFFFF"/>
          <w:sz w:val="2"/>
          <w:szCs w:val="2"/>
          <w:rtl/>
        </w:rPr>
      </w:pPr>
      <w:r w:rsidRPr="0086491B">
        <w:rPr>
          <w:rFonts w:ascii="FrankRuehl" w:hAnsi="FrankRuehl" w:cs="FrankRuehl"/>
          <w:color w:val="FFFFFF"/>
          <w:sz w:val="2"/>
          <w:szCs w:val="2"/>
          <w:rtl/>
        </w:rPr>
        <w:t>5129371</w:t>
      </w:r>
    </w:p>
    <w:p w14:paraId="7E658433" w14:textId="77777777" w:rsidR="0026250A" w:rsidRPr="00FF1DCA" w:rsidRDefault="0086491B" w:rsidP="0026250A">
      <w:pPr>
        <w:spacing w:line="360" w:lineRule="auto"/>
        <w:jc w:val="both"/>
        <w:rPr>
          <w:rFonts w:ascii="Miriam" w:hAnsi="Miriam" w:cs="Miriam"/>
          <w:u w:val="single"/>
          <w:rtl/>
        </w:rPr>
      </w:pPr>
      <w:r w:rsidRPr="0086491B">
        <w:rPr>
          <w:rFonts w:ascii="Miriam" w:hAnsi="Miriam" w:cs="Miriam"/>
          <w:color w:val="FFFFFF"/>
          <w:sz w:val="2"/>
          <w:szCs w:val="2"/>
          <w:u w:val="single"/>
          <w:rtl/>
        </w:rPr>
        <w:t>54678313</w:t>
      </w:r>
      <w:r w:rsidR="0026250A" w:rsidRPr="00FF1DCA">
        <w:rPr>
          <w:rFonts w:ascii="Miriam" w:hAnsi="Miriam" w:cs="Miriam"/>
          <w:u w:val="single"/>
          <w:rtl/>
        </w:rPr>
        <w:t>זכות ערעור לבית המשפט המחוזי תוך 45 ימים מהיום.</w:t>
      </w:r>
    </w:p>
    <w:p w14:paraId="178D92BD" w14:textId="77777777" w:rsidR="0026250A" w:rsidRPr="000F2247" w:rsidRDefault="0026250A" w:rsidP="0026250A">
      <w:pPr>
        <w:rPr>
          <w:rFonts w:ascii="Arial" w:hAnsi="Arial"/>
          <w:b/>
          <w:bCs/>
          <w:sz w:val="26"/>
          <w:szCs w:val="26"/>
          <w:rtl/>
        </w:rPr>
      </w:pPr>
    </w:p>
    <w:p w14:paraId="2D431A07" w14:textId="77777777" w:rsidR="0026250A" w:rsidRPr="000F2247" w:rsidRDefault="0086491B" w:rsidP="0026250A">
      <w:pPr>
        <w:spacing w:line="360" w:lineRule="auto"/>
        <w:jc w:val="both"/>
        <w:rPr>
          <w:rFonts w:ascii="Arial" w:hAnsi="Arial"/>
          <w:b/>
          <w:bCs/>
          <w:sz w:val="26"/>
          <w:szCs w:val="26"/>
          <w:rtl/>
        </w:rPr>
      </w:pPr>
      <w:bookmarkStart w:id="8" w:name="Nitan"/>
      <w:r>
        <w:rPr>
          <w:rFonts w:ascii="FrankRuehl" w:hAnsi="FrankRuehl" w:cs="FrankRuehl"/>
          <w:sz w:val="28"/>
          <w:szCs w:val="28"/>
          <w:rtl/>
        </w:rPr>
        <w:t xml:space="preserve">ניתן היום,  ב' אייר תשפ"ג, 23 אפריל 2023, במעמד הצדדים. </w:t>
      </w:r>
      <w:bookmarkEnd w:id="8"/>
      <w:r w:rsidR="0026250A" w:rsidRPr="00FF1DCA">
        <w:rPr>
          <w:rFonts w:ascii="FrankRuehl" w:hAnsi="FrankRuehl" w:cs="FrankRuehl"/>
          <w:sz w:val="28"/>
          <w:szCs w:val="28"/>
          <w:rtl/>
        </w:rPr>
        <w:t>המזכירות תעביר עותק מגזר הדין לשירות המבחן.</w:t>
      </w:r>
      <w:r w:rsidR="0026250A">
        <w:rPr>
          <w:rFonts w:ascii="Arial" w:hAnsi="Arial"/>
          <w:b/>
          <w:bCs/>
          <w:sz w:val="26"/>
          <w:szCs w:val="26"/>
          <w:rtl/>
        </w:rPr>
        <w:tab/>
      </w:r>
      <w:r w:rsidR="0026250A">
        <w:rPr>
          <w:rFonts w:ascii="Arial" w:hAnsi="Arial"/>
          <w:b/>
          <w:bCs/>
          <w:sz w:val="26"/>
          <w:szCs w:val="26"/>
          <w:rtl/>
        </w:rPr>
        <w:tab/>
      </w:r>
      <w:r w:rsidR="0026250A">
        <w:rPr>
          <w:rFonts w:ascii="Arial" w:hAnsi="Arial"/>
          <w:b/>
          <w:bCs/>
          <w:sz w:val="26"/>
          <w:szCs w:val="26"/>
          <w:rtl/>
        </w:rPr>
        <w:tab/>
      </w:r>
      <w:r w:rsidR="0026250A">
        <w:rPr>
          <w:rFonts w:ascii="Arial" w:hAnsi="Arial"/>
          <w:b/>
          <w:bCs/>
          <w:sz w:val="26"/>
          <w:szCs w:val="26"/>
          <w:rtl/>
        </w:rPr>
        <w:tab/>
      </w:r>
      <w:r w:rsidR="0026250A">
        <w:rPr>
          <w:rFonts w:ascii="Arial" w:hAnsi="Arial"/>
          <w:b/>
          <w:bCs/>
          <w:sz w:val="26"/>
          <w:szCs w:val="26"/>
          <w:rtl/>
        </w:rPr>
        <w:tab/>
      </w:r>
      <w:r w:rsidR="0026250A">
        <w:rPr>
          <w:rFonts w:ascii="Arial" w:hAnsi="Arial" w:hint="cs"/>
          <w:b/>
          <w:bCs/>
          <w:sz w:val="26"/>
          <w:szCs w:val="26"/>
          <w:rtl/>
        </w:rPr>
        <w:t xml:space="preserve">         </w:t>
      </w:r>
    </w:p>
    <w:p w14:paraId="024A4F52" w14:textId="77777777" w:rsidR="0086491B" w:rsidRDefault="0086491B" w:rsidP="0086491B">
      <w:pPr>
        <w:rPr>
          <w:rtl/>
        </w:rPr>
      </w:pPr>
    </w:p>
    <w:p w14:paraId="77D1A8EB" w14:textId="77777777" w:rsidR="0086491B" w:rsidRDefault="0086491B" w:rsidP="0086491B">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414A3F0D" w14:textId="77777777" w:rsidR="006430C4" w:rsidRPr="006430C4" w:rsidRDefault="006430C4" w:rsidP="006430C4">
      <w:pPr>
        <w:keepNext/>
        <w:rPr>
          <w:rFonts w:ascii="David" w:hAnsi="David"/>
          <w:color w:val="000000"/>
          <w:sz w:val="22"/>
          <w:szCs w:val="22"/>
          <w:rtl/>
        </w:rPr>
      </w:pPr>
    </w:p>
    <w:p w14:paraId="5861B40E" w14:textId="77777777" w:rsidR="006430C4" w:rsidRPr="006430C4" w:rsidRDefault="006430C4" w:rsidP="006430C4">
      <w:pPr>
        <w:keepNext/>
        <w:rPr>
          <w:rFonts w:ascii="David" w:hAnsi="David"/>
          <w:color w:val="000000"/>
          <w:sz w:val="22"/>
          <w:szCs w:val="22"/>
          <w:rtl/>
        </w:rPr>
      </w:pPr>
      <w:r w:rsidRPr="006430C4">
        <w:rPr>
          <w:rFonts w:ascii="David" w:hAnsi="David"/>
          <w:color w:val="000000"/>
          <w:sz w:val="22"/>
          <w:szCs w:val="22"/>
          <w:rtl/>
        </w:rPr>
        <w:t>גיא אבנון 54678313-/</w:t>
      </w:r>
    </w:p>
    <w:p w14:paraId="3745713A" w14:textId="77777777" w:rsidR="0086491B" w:rsidRPr="0086491B" w:rsidRDefault="006430C4" w:rsidP="006430C4">
      <w:pPr>
        <w:rPr>
          <w:color w:val="0000FF"/>
          <w:u w:val="single"/>
        </w:rPr>
      </w:pPr>
      <w:r w:rsidRPr="006430C4">
        <w:rPr>
          <w:color w:val="000000"/>
          <w:u w:val="single"/>
          <w:rtl/>
        </w:rPr>
        <w:t>נוסח מסמך זה כפוף לשינויי ניסוח ועריכה</w:t>
      </w:r>
    </w:p>
    <w:sectPr w:rsidR="0086491B" w:rsidRPr="0086491B" w:rsidSect="006430C4">
      <w:headerReference w:type="even" r:id="rId18"/>
      <w:headerReference w:type="default" r:id="rId19"/>
      <w:footerReference w:type="even" r:id="rId20"/>
      <w:footerReference w:type="default" r:id="rId21"/>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D8B9B" w14:textId="77777777" w:rsidR="006D1A2D" w:rsidRDefault="006D1A2D" w:rsidP="007C0ADF">
      <w:r>
        <w:separator/>
      </w:r>
    </w:p>
  </w:endnote>
  <w:endnote w:type="continuationSeparator" w:id="0">
    <w:p w14:paraId="04C27A84" w14:textId="77777777" w:rsidR="006D1A2D" w:rsidRDefault="006D1A2D" w:rsidP="007C0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7F6CD" w14:textId="77777777" w:rsidR="006430C4" w:rsidRDefault="006430C4" w:rsidP="006430C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63E42D" w14:textId="77777777" w:rsidR="000D2547" w:rsidRPr="006430C4" w:rsidRDefault="006430C4" w:rsidP="006430C4">
    <w:pPr>
      <w:pStyle w:val="a5"/>
      <w:pBdr>
        <w:top w:val="single" w:sz="4" w:space="1" w:color="auto"/>
        <w:between w:val="single" w:sz="4" w:space="0" w:color="auto"/>
      </w:pBdr>
      <w:spacing w:after="60"/>
      <w:jc w:val="center"/>
      <w:rPr>
        <w:rFonts w:ascii="FrankRuehl" w:hAnsi="FrankRuehl" w:cs="FrankRuehl"/>
        <w:color w:val="000000"/>
      </w:rPr>
    </w:pPr>
    <w:r w:rsidRPr="006430C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84966" w14:textId="77777777" w:rsidR="006430C4" w:rsidRDefault="006430C4" w:rsidP="006430C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2736">
      <w:rPr>
        <w:rFonts w:ascii="FrankRuehl" w:hAnsi="FrankRuehl" w:cs="FrankRuehl"/>
        <w:noProof/>
        <w:rtl/>
      </w:rPr>
      <w:t>1</w:t>
    </w:r>
    <w:r>
      <w:rPr>
        <w:rFonts w:ascii="FrankRuehl" w:hAnsi="FrankRuehl" w:cs="FrankRuehl"/>
        <w:rtl/>
      </w:rPr>
      <w:fldChar w:fldCharType="end"/>
    </w:r>
  </w:p>
  <w:p w14:paraId="4484AC51" w14:textId="77777777" w:rsidR="000D2547" w:rsidRPr="006430C4" w:rsidRDefault="006430C4" w:rsidP="006430C4">
    <w:pPr>
      <w:pStyle w:val="a5"/>
      <w:pBdr>
        <w:top w:val="single" w:sz="4" w:space="1" w:color="auto"/>
        <w:between w:val="single" w:sz="4" w:space="0" w:color="auto"/>
      </w:pBdr>
      <w:spacing w:after="60"/>
      <w:jc w:val="center"/>
      <w:rPr>
        <w:rFonts w:ascii="FrankRuehl" w:hAnsi="FrankRuehl" w:cs="FrankRuehl"/>
        <w:color w:val="000000"/>
      </w:rPr>
    </w:pPr>
    <w:r w:rsidRPr="006430C4">
      <w:rPr>
        <w:rFonts w:ascii="FrankRuehl" w:hAnsi="FrankRuehl" w:cs="FrankRuehl"/>
        <w:color w:val="000000"/>
      </w:rPr>
      <w:pict w14:anchorId="3044E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D0F595" w14:textId="77777777" w:rsidR="006D1A2D" w:rsidRDefault="006D1A2D" w:rsidP="007C0ADF">
      <w:r>
        <w:separator/>
      </w:r>
    </w:p>
  </w:footnote>
  <w:footnote w:type="continuationSeparator" w:id="0">
    <w:p w14:paraId="4890EBB4" w14:textId="77777777" w:rsidR="006D1A2D" w:rsidRDefault="006D1A2D" w:rsidP="007C0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5F234" w14:textId="77777777" w:rsidR="0086491B" w:rsidRPr="006430C4" w:rsidRDefault="006430C4" w:rsidP="006430C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47336-11-19</w:t>
    </w:r>
    <w:r>
      <w:rPr>
        <w:rFonts w:ascii="David" w:hAnsi="David"/>
        <w:color w:val="000000"/>
        <w:sz w:val="22"/>
        <w:szCs w:val="22"/>
        <w:rtl/>
      </w:rPr>
      <w:tab/>
      <w:t xml:space="preserve"> מדינת ישראל נ' יוסי אילוז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CAECA" w14:textId="77777777" w:rsidR="0086491B" w:rsidRPr="006430C4" w:rsidRDefault="006430C4" w:rsidP="006430C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47336-11-19</w:t>
    </w:r>
    <w:r>
      <w:rPr>
        <w:rFonts w:ascii="David" w:hAnsi="David"/>
        <w:color w:val="000000"/>
        <w:sz w:val="22"/>
        <w:szCs w:val="22"/>
        <w:rtl/>
      </w:rPr>
      <w:tab/>
      <w:t xml:space="preserve"> מדינת ישראל נ' יוסי אילוז</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6250A"/>
    <w:rsid w:val="000D2547"/>
    <w:rsid w:val="001A6FBC"/>
    <w:rsid w:val="001B5A3B"/>
    <w:rsid w:val="0026250A"/>
    <w:rsid w:val="00413884"/>
    <w:rsid w:val="00482736"/>
    <w:rsid w:val="006430C4"/>
    <w:rsid w:val="006D1A2D"/>
    <w:rsid w:val="007C0ADF"/>
    <w:rsid w:val="007C185F"/>
    <w:rsid w:val="0086491B"/>
    <w:rsid w:val="00BC0596"/>
    <w:rsid w:val="00C62837"/>
    <w:rsid w:val="00D304D0"/>
    <w:rsid w:val="00D67AF6"/>
    <w:rsid w:val="00DE02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AEFB7D"/>
  <w15:chartTrackingRefBased/>
  <w15:docId w15:val="{D274DBD0-365B-4D0D-AA3A-A6A0701A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6250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6250A"/>
    <w:pPr>
      <w:tabs>
        <w:tab w:val="center" w:pos="4153"/>
        <w:tab w:val="right" w:pos="8306"/>
      </w:tabs>
    </w:pPr>
  </w:style>
  <w:style w:type="character" w:customStyle="1" w:styleId="a4">
    <w:name w:val="כותרת עליונה תו"/>
    <w:link w:val="a3"/>
    <w:rsid w:val="0026250A"/>
    <w:rPr>
      <w:rFonts w:ascii="Times New Roman" w:eastAsia="Times New Roman" w:hAnsi="Times New Roman" w:cs="David"/>
      <w:sz w:val="24"/>
      <w:szCs w:val="24"/>
    </w:rPr>
  </w:style>
  <w:style w:type="paragraph" w:styleId="a5">
    <w:name w:val="footer"/>
    <w:basedOn w:val="a"/>
    <w:link w:val="a6"/>
    <w:rsid w:val="0026250A"/>
    <w:pPr>
      <w:tabs>
        <w:tab w:val="center" w:pos="4153"/>
        <w:tab w:val="right" w:pos="8306"/>
      </w:tabs>
    </w:pPr>
  </w:style>
  <w:style w:type="character" w:customStyle="1" w:styleId="a6">
    <w:name w:val="כותרת תחתונה תו"/>
    <w:link w:val="a5"/>
    <w:rsid w:val="0026250A"/>
    <w:rPr>
      <w:rFonts w:ascii="Times New Roman" w:eastAsia="Times New Roman" w:hAnsi="Times New Roman" w:cs="David"/>
      <w:sz w:val="24"/>
      <w:szCs w:val="24"/>
    </w:rPr>
  </w:style>
  <w:style w:type="character" w:styleId="a7">
    <w:name w:val="page number"/>
    <w:rsid w:val="0026250A"/>
  </w:style>
  <w:style w:type="character" w:styleId="Hyperlink">
    <w:name w:val="Hyperlink"/>
    <w:rsid w:val="00864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4216/6" TargetMode="External"/><Relationship Id="rId12" Type="http://schemas.openxmlformats.org/officeDocument/2006/relationships/hyperlink" Target="http://www.nevo.co.il/law/70301/400"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5633505"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yperlink" Target="http://www.nevo.co.il/case/26542736" TargetMode="External"/><Relationship Id="rId23" Type="http://schemas.openxmlformats.org/officeDocument/2006/relationships/theme" Target="theme/theme1.xml"/><Relationship Id="rId10" Type="http://schemas.openxmlformats.org/officeDocument/2006/relationships/hyperlink" Target="http://www.nevo.co.il/law/4216/6"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400" TargetMode="External"/><Relationship Id="rId14" Type="http://schemas.openxmlformats.org/officeDocument/2006/relationships/hyperlink" Target="http://www.nevo.co.il/case/2497123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1083</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6490</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3539057</vt:i4>
      </vt:variant>
      <vt:variant>
        <vt:i4>30</vt:i4>
      </vt:variant>
      <vt:variant>
        <vt:i4>0</vt:i4>
      </vt:variant>
      <vt:variant>
        <vt:i4>5</vt:i4>
      </vt:variant>
      <vt:variant>
        <vt:lpwstr>http://www.nevo.co.il/case/5633505</vt:lpwstr>
      </vt:variant>
      <vt:variant>
        <vt:lpwstr/>
      </vt:variant>
      <vt:variant>
        <vt:i4>3539057</vt:i4>
      </vt:variant>
      <vt:variant>
        <vt:i4>27</vt:i4>
      </vt:variant>
      <vt:variant>
        <vt:i4>0</vt:i4>
      </vt:variant>
      <vt:variant>
        <vt:i4>5</vt:i4>
      </vt:variant>
      <vt:variant>
        <vt:lpwstr>http://www.nevo.co.il/case/26542736</vt:lpwstr>
      </vt:variant>
      <vt:variant>
        <vt:lpwstr/>
      </vt:variant>
      <vt:variant>
        <vt:i4>3735669</vt:i4>
      </vt:variant>
      <vt:variant>
        <vt:i4>24</vt:i4>
      </vt:variant>
      <vt:variant>
        <vt:i4>0</vt:i4>
      </vt:variant>
      <vt:variant>
        <vt:i4>5</vt:i4>
      </vt:variant>
      <vt:variant>
        <vt:lpwstr>http://www.nevo.co.il/case/24971234</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6619233</vt:i4>
      </vt:variant>
      <vt:variant>
        <vt:i4>9</vt:i4>
      </vt:variant>
      <vt:variant>
        <vt:i4>0</vt:i4>
      </vt:variant>
      <vt:variant>
        <vt:i4>5</vt:i4>
      </vt:variant>
      <vt:variant>
        <vt:lpwstr>http://www.nevo.co.il/law/70301/400</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2025-04-23T00:22:00Z</dcterms:created>
  <dcterms:modified xsi:type="dcterms:W3CDTF">2025-04-23T00:22:00Z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47336</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יוסי אילוז</vt:lpwstr>
  </property>
  <property fmtid="{D5CDD505-2E9C-101B-9397-08002B2CF9AE}" pid="10" name="LAWYER">
    <vt:lpwstr>שני מלול;סיון ועקנין;ארי שמאי</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20230423</vt:lpwstr>
  </property>
  <property fmtid="{D5CDD505-2E9C-101B-9397-08002B2CF9AE}" pid="14" name="TYPE_N_DATE">
    <vt:lpwstr>38020230423</vt:lpwstr>
  </property>
  <property fmtid="{D5CDD505-2E9C-101B-9397-08002B2CF9AE}" pid="15" name="WORDNUMPAGES">
    <vt:lpwstr>4</vt:lpwstr>
  </property>
  <property fmtid="{D5CDD505-2E9C-101B-9397-08002B2CF9AE}" pid="16" name="TYPE_ABS_DATE">
    <vt:lpwstr>380020230423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24971234;26542736;5633505</vt:lpwstr>
  </property>
  <property fmtid="{D5CDD505-2E9C-101B-9397-08002B2CF9AE}" pid="36" name="LAWLISTTMP1">
    <vt:lpwstr>4216/006</vt:lpwstr>
  </property>
  <property fmtid="{D5CDD505-2E9C-101B-9397-08002B2CF9AE}" pid="37" name="LAWLISTTMP2">
    <vt:lpwstr>70301/400</vt:lpwstr>
  </property>
</Properties>
</file>