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764D78" w:rsidRPr="00B77A7C" w14:paraId="0E857018" w14:textId="77777777" w:rsidTr="004C34AD">
        <w:trPr>
          <w:trHeight w:hRule="exact" w:val="418"/>
          <w:jc w:val="center"/>
        </w:trPr>
        <w:tc>
          <w:tcPr>
            <w:tcW w:w="8523" w:type="dxa"/>
            <w:gridSpan w:val="2"/>
          </w:tcPr>
          <w:p w14:paraId="2802CD29" w14:textId="77777777" w:rsidR="00764D78" w:rsidRPr="00B77A7C" w:rsidRDefault="00764D78" w:rsidP="008C32A4">
            <w:pPr>
              <w:pStyle w:val="a3"/>
              <w:jc w:val="center"/>
              <w:rPr>
                <w:rFonts w:ascii="Tahoma" w:hAnsi="Tahoma"/>
                <w:color w:val="000080"/>
                <w:sz w:val="32"/>
                <w:szCs w:val="32"/>
                <w:rtl/>
              </w:rPr>
            </w:pPr>
            <w:bookmarkStart w:id="0" w:name="LastJudge"/>
            <w:r w:rsidRPr="00B77A7C">
              <w:rPr>
                <w:rFonts w:ascii="Tahoma" w:hAnsi="Tahoma"/>
                <w:b/>
                <w:bCs/>
                <w:color w:val="000080"/>
                <w:sz w:val="32"/>
                <w:szCs w:val="32"/>
                <w:rtl/>
              </w:rPr>
              <w:t>בית משפט השלום בתל אביב - יפו</w:t>
            </w:r>
          </w:p>
        </w:tc>
      </w:tr>
      <w:tr w:rsidR="00764D78" w:rsidRPr="00B77A7C" w14:paraId="13DF7D98" w14:textId="77777777" w:rsidTr="004C34AD">
        <w:trPr>
          <w:trHeight w:val="337"/>
          <w:jc w:val="center"/>
        </w:trPr>
        <w:tc>
          <w:tcPr>
            <w:tcW w:w="4946" w:type="dxa"/>
          </w:tcPr>
          <w:p w14:paraId="302A0629" w14:textId="77777777" w:rsidR="00764D78" w:rsidRPr="00B77A7C" w:rsidRDefault="00764D78" w:rsidP="008C32A4">
            <w:pPr>
              <w:spacing w:line="360" w:lineRule="auto"/>
              <w:rPr>
                <w:b/>
                <w:bCs/>
                <w:sz w:val="26"/>
                <w:szCs w:val="26"/>
                <w:rtl/>
              </w:rPr>
            </w:pPr>
            <w:r w:rsidRPr="00B77A7C">
              <w:rPr>
                <w:b/>
                <w:bCs/>
                <w:sz w:val="26"/>
                <w:szCs w:val="26"/>
                <w:rtl/>
              </w:rPr>
              <w:t>ת"פ</w:t>
            </w:r>
            <w:r w:rsidRPr="00B77A7C">
              <w:rPr>
                <w:rFonts w:hint="cs"/>
                <w:b/>
                <w:bCs/>
                <w:sz w:val="26"/>
                <w:szCs w:val="26"/>
                <w:rtl/>
              </w:rPr>
              <w:t xml:space="preserve"> </w:t>
            </w:r>
            <w:r w:rsidRPr="00B77A7C">
              <w:rPr>
                <w:b/>
                <w:bCs/>
                <w:sz w:val="26"/>
                <w:szCs w:val="26"/>
                <w:rtl/>
              </w:rPr>
              <w:t>70531-11-19</w:t>
            </w:r>
            <w:r w:rsidRPr="00B77A7C">
              <w:rPr>
                <w:rFonts w:hint="cs"/>
                <w:b/>
                <w:bCs/>
                <w:sz w:val="26"/>
                <w:szCs w:val="26"/>
                <w:rtl/>
              </w:rPr>
              <w:t xml:space="preserve"> </w:t>
            </w:r>
            <w:r w:rsidRPr="00B77A7C">
              <w:rPr>
                <w:b/>
                <w:bCs/>
                <w:sz w:val="26"/>
                <w:szCs w:val="26"/>
                <w:rtl/>
              </w:rPr>
              <w:t>מדינת ישראל נ' שוויצר</w:t>
            </w:r>
          </w:p>
        </w:tc>
        <w:tc>
          <w:tcPr>
            <w:tcW w:w="3577" w:type="dxa"/>
          </w:tcPr>
          <w:p w14:paraId="573B2AA2" w14:textId="77777777" w:rsidR="00764D78" w:rsidRPr="00B77A7C" w:rsidRDefault="00764D78" w:rsidP="008C32A4">
            <w:pPr>
              <w:pStyle w:val="a3"/>
              <w:jc w:val="right"/>
              <w:rPr>
                <w:rFonts w:cs="FrankRuehl"/>
                <w:sz w:val="28"/>
                <w:szCs w:val="28"/>
                <w:rtl/>
              </w:rPr>
            </w:pPr>
          </w:p>
        </w:tc>
      </w:tr>
    </w:tbl>
    <w:p w14:paraId="7FE1E38B" w14:textId="77777777" w:rsidR="00764D78" w:rsidRPr="00B77A7C" w:rsidRDefault="00764D78" w:rsidP="00764D78">
      <w:pPr>
        <w:pStyle w:val="a3"/>
        <w:rPr>
          <w:rtl/>
        </w:rPr>
      </w:pPr>
      <w:r w:rsidRPr="00B77A7C">
        <w:rPr>
          <w:rFonts w:hint="cs"/>
          <w:rtl/>
        </w:rPr>
        <w:t xml:space="preserve"> </w:t>
      </w:r>
    </w:p>
    <w:p w14:paraId="17E33599" w14:textId="77777777" w:rsidR="00764D78" w:rsidRPr="00B77A7C" w:rsidRDefault="00764D78" w:rsidP="00764D78">
      <w:pPr>
        <w:rPr>
          <w:rFonts w:ascii="David" w:hAnsi="David"/>
          <w:rtl/>
        </w:rPr>
      </w:pPr>
    </w:p>
    <w:p w14:paraId="028BE9DB" w14:textId="77777777" w:rsidR="00764D78" w:rsidRPr="00B77A7C" w:rsidRDefault="00764D78" w:rsidP="00764D78">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764D78" w:rsidRPr="00B77A7C" w14:paraId="5C5A2248" w14:textId="77777777" w:rsidTr="00764D78">
        <w:trPr>
          <w:trHeight w:val="295"/>
          <w:jc w:val="center"/>
        </w:trPr>
        <w:tc>
          <w:tcPr>
            <w:tcW w:w="8820" w:type="dxa"/>
            <w:gridSpan w:val="3"/>
            <w:tcBorders>
              <w:top w:val="nil"/>
              <w:left w:val="nil"/>
              <w:bottom w:val="nil"/>
              <w:right w:val="nil"/>
            </w:tcBorders>
            <w:shd w:val="clear" w:color="auto" w:fill="auto"/>
          </w:tcPr>
          <w:p w14:paraId="4C971DAC" w14:textId="77777777" w:rsidR="00764D78" w:rsidRPr="00B77A7C" w:rsidRDefault="00764D78" w:rsidP="00764D78">
            <w:pPr>
              <w:jc w:val="both"/>
              <w:rPr>
                <w:rFonts w:ascii="David" w:hAnsi="David"/>
                <w:b/>
                <w:bCs/>
                <w:sz w:val="26"/>
                <w:szCs w:val="26"/>
              </w:rPr>
            </w:pPr>
            <w:r w:rsidRPr="00B77A7C">
              <w:rPr>
                <w:rFonts w:ascii="David" w:hAnsi="David"/>
                <w:b/>
                <w:bCs/>
                <w:sz w:val="26"/>
                <w:szCs w:val="26"/>
                <w:rtl/>
              </w:rPr>
              <w:t>לפני כבוד השופטת דנה אמיר</w:t>
            </w:r>
          </w:p>
        </w:tc>
      </w:tr>
      <w:tr w:rsidR="00764D78" w:rsidRPr="00B77A7C" w14:paraId="6DE58A05" w14:textId="77777777" w:rsidTr="00764D78">
        <w:trPr>
          <w:trHeight w:val="355"/>
          <w:jc w:val="center"/>
        </w:trPr>
        <w:tc>
          <w:tcPr>
            <w:tcW w:w="1231" w:type="dxa"/>
            <w:tcBorders>
              <w:top w:val="nil"/>
              <w:left w:val="nil"/>
              <w:bottom w:val="nil"/>
              <w:right w:val="nil"/>
            </w:tcBorders>
            <w:shd w:val="clear" w:color="auto" w:fill="auto"/>
          </w:tcPr>
          <w:p w14:paraId="08E209FD" w14:textId="77777777" w:rsidR="00764D78" w:rsidRPr="00B77A7C" w:rsidRDefault="00764D78" w:rsidP="00764D78">
            <w:pPr>
              <w:jc w:val="both"/>
              <w:rPr>
                <w:rFonts w:ascii="David" w:hAnsi="David"/>
                <w:b/>
                <w:bCs/>
                <w:sz w:val="26"/>
                <w:szCs w:val="26"/>
              </w:rPr>
            </w:pPr>
            <w:bookmarkStart w:id="1" w:name="FirstAppellant"/>
            <w:r w:rsidRPr="00B77A7C">
              <w:rPr>
                <w:rFonts w:ascii="David" w:hAnsi="David"/>
                <w:b/>
                <w:bCs/>
                <w:sz w:val="26"/>
                <w:szCs w:val="26"/>
                <w:rtl/>
              </w:rPr>
              <w:t>המאשימה</w:t>
            </w:r>
          </w:p>
        </w:tc>
        <w:tc>
          <w:tcPr>
            <w:tcW w:w="4206" w:type="dxa"/>
            <w:tcBorders>
              <w:top w:val="nil"/>
              <w:left w:val="nil"/>
              <w:bottom w:val="nil"/>
              <w:right w:val="nil"/>
            </w:tcBorders>
            <w:shd w:val="clear" w:color="auto" w:fill="auto"/>
          </w:tcPr>
          <w:p w14:paraId="62A5DC9D" w14:textId="77777777" w:rsidR="00764D78" w:rsidRPr="00B77A7C" w:rsidRDefault="00764D78" w:rsidP="008C32A4">
            <w:pPr>
              <w:rPr>
                <w:rFonts w:ascii="David" w:hAnsi="David"/>
                <w:b/>
                <w:bCs/>
                <w:sz w:val="26"/>
                <w:szCs w:val="26"/>
              </w:rPr>
            </w:pPr>
            <w:r w:rsidRPr="00B77A7C">
              <w:rPr>
                <w:rFonts w:ascii="David" w:hAnsi="David"/>
                <w:b/>
                <w:bCs/>
                <w:sz w:val="26"/>
                <w:szCs w:val="26"/>
                <w:rtl/>
              </w:rPr>
              <w:t>מדינת ישראל</w:t>
            </w:r>
          </w:p>
        </w:tc>
        <w:tc>
          <w:tcPr>
            <w:tcW w:w="3383" w:type="dxa"/>
            <w:tcBorders>
              <w:top w:val="nil"/>
              <w:left w:val="nil"/>
              <w:bottom w:val="nil"/>
              <w:right w:val="nil"/>
            </w:tcBorders>
            <w:shd w:val="clear" w:color="auto" w:fill="auto"/>
          </w:tcPr>
          <w:p w14:paraId="100D6B99" w14:textId="77777777" w:rsidR="00764D78" w:rsidRPr="00B77A7C" w:rsidRDefault="00764D78" w:rsidP="00764D78">
            <w:pPr>
              <w:jc w:val="both"/>
              <w:rPr>
                <w:rFonts w:ascii="David" w:hAnsi="David"/>
                <w:sz w:val="26"/>
                <w:szCs w:val="26"/>
              </w:rPr>
            </w:pPr>
          </w:p>
        </w:tc>
      </w:tr>
      <w:bookmarkEnd w:id="1"/>
      <w:tr w:rsidR="00764D78" w:rsidRPr="00B77A7C" w14:paraId="1E7D99A7" w14:textId="77777777" w:rsidTr="00764D78">
        <w:trPr>
          <w:trHeight w:val="373"/>
          <w:jc w:val="center"/>
        </w:trPr>
        <w:tc>
          <w:tcPr>
            <w:tcW w:w="1231" w:type="dxa"/>
            <w:tcBorders>
              <w:top w:val="nil"/>
              <w:left w:val="nil"/>
              <w:bottom w:val="nil"/>
              <w:right w:val="nil"/>
            </w:tcBorders>
            <w:shd w:val="clear" w:color="auto" w:fill="auto"/>
          </w:tcPr>
          <w:p w14:paraId="19ECDFEC" w14:textId="77777777" w:rsidR="00764D78" w:rsidRPr="00B77A7C" w:rsidRDefault="00764D78" w:rsidP="00764D78">
            <w:pPr>
              <w:jc w:val="both"/>
              <w:rPr>
                <w:rFonts w:ascii="David" w:hAnsi="David"/>
                <w:b/>
                <w:bCs/>
                <w:sz w:val="26"/>
                <w:szCs w:val="26"/>
                <w:rtl/>
              </w:rPr>
            </w:pPr>
          </w:p>
        </w:tc>
        <w:tc>
          <w:tcPr>
            <w:tcW w:w="7589" w:type="dxa"/>
            <w:gridSpan w:val="2"/>
            <w:tcBorders>
              <w:top w:val="nil"/>
              <w:left w:val="nil"/>
              <w:bottom w:val="nil"/>
              <w:right w:val="nil"/>
            </w:tcBorders>
            <w:shd w:val="clear" w:color="auto" w:fill="auto"/>
          </w:tcPr>
          <w:p w14:paraId="2F572F30" w14:textId="77777777" w:rsidR="00764D78" w:rsidRPr="00B77A7C" w:rsidRDefault="00764D78" w:rsidP="00764D78">
            <w:pPr>
              <w:jc w:val="center"/>
              <w:rPr>
                <w:rFonts w:ascii="David" w:hAnsi="David"/>
                <w:b/>
                <w:bCs/>
                <w:sz w:val="26"/>
                <w:szCs w:val="26"/>
                <w:rtl/>
              </w:rPr>
            </w:pPr>
          </w:p>
          <w:p w14:paraId="3EB9FEBB" w14:textId="77777777" w:rsidR="00764D78" w:rsidRPr="00B77A7C" w:rsidRDefault="00764D78" w:rsidP="00764D78">
            <w:pPr>
              <w:jc w:val="center"/>
              <w:rPr>
                <w:rFonts w:ascii="David" w:hAnsi="David"/>
                <w:b/>
                <w:bCs/>
                <w:sz w:val="26"/>
                <w:szCs w:val="26"/>
                <w:rtl/>
              </w:rPr>
            </w:pPr>
            <w:r w:rsidRPr="00B77A7C">
              <w:rPr>
                <w:rFonts w:ascii="David" w:hAnsi="David"/>
                <w:b/>
                <w:bCs/>
                <w:sz w:val="26"/>
                <w:szCs w:val="26"/>
                <w:rtl/>
              </w:rPr>
              <w:t>נגד</w:t>
            </w:r>
          </w:p>
          <w:p w14:paraId="006E31EA" w14:textId="77777777" w:rsidR="00764D78" w:rsidRPr="00B77A7C" w:rsidRDefault="00764D78" w:rsidP="00764D78">
            <w:pPr>
              <w:jc w:val="both"/>
              <w:rPr>
                <w:rFonts w:ascii="David" w:hAnsi="David"/>
                <w:b/>
                <w:bCs/>
                <w:sz w:val="26"/>
                <w:szCs w:val="26"/>
              </w:rPr>
            </w:pPr>
          </w:p>
        </w:tc>
      </w:tr>
      <w:tr w:rsidR="00764D78" w:rsidRPr="00B77A7C" w14:paraId="0993BA70" w14:textId="77777777" w:rsidTr="00764D78">
        <w:trPr>
          <w:trHeight w:val="355"/>
          <w:jc w:val="center"/>
        </w:trPr>
        <w:tc>
          <w:tcPr>
            <w:tcW w:w="1231" w:type="dxa"/>
            <w:tcBorders>
              <w:top w:val="nil"/>
              <w:left w:val="nil"/>
              <w:bottom w:val="nil"/>
              <w:right w:val="nil"/>
            </w:tcBorders>
            <w:shd w:val="clear" w:color="auto" w:fill="auto"/>
          </w:tcPr>
          <w:p w14:paraId="537C659F" w14:textId="77777777" w:rsidR="00764D78" w:rsidRPr="00B77A7C" w:rsidRDefault="00764D78" w:rsidP="008C32A4">
            <w:pPr>
              <w:rPr>
                <w:rFonts w:ascii="David" w:hAnsi="David"/>
                <w:b/>
                <w:bCs/>
                <w:sz w:val="26"/>
                <w:szCs w:val="26"/>
                <w:rtl/>
              </w:rPr>
            </w:pPr>
            <w:r w:rsidRPr="00B77A7C">
              <w:rPr>
                <w:rFonts w:ascii="David" w:hAnsi="David"/>
                <w:b/>
                <w:bCs/>
                <w:sz w:val="26"/>
                <w:szCs w:val="26"/>
                <w:rtl/>
              </w:rPr>
              <w:t>הנאשם</w:t>
            </w:r>
          </w:p>
        </w:tc>
        <w:tc>
          <w:tcPr>
            <w:tcW w:w="4206" w:type="dxa"/>
            <w:tcBorders>
              <w:top w:val="nil"/>
              <w:left w:val="nil"/>
              <w:bottom w:val="nil"/>
              <w:right w:val="nil"/>
            </w:tcBorders>
            <w:shd w:val="clear" w:color="auto" w:fill="auto"/>
          </w:tcPr>
          <w:p w14:paraId="665374D1" w14:textId="77777777" w:rsidR="00764D78" w:rsidRPr="00B77A7C" w:rsidRDefault="00764D78" w:rsidP="008C32A4">
            <w:pPr>
              <w:rPr>
                <w:rFonts w:ascii="David" w:hAnsi="David"/>
                <w:b/>
                <w:bCs/>
                <w:sz w:val="26"/>
                <w:szCs w:val="26"/>
                <w:rtl/>
              </w:rPr>
            </w:pPr>
            <w:r w:rsidRPr="00B77A7C">
              <w:rPr>
                <w:rFonts w:ascii="David" w:hAnsi="David"/>
                <w:b/>
                <w:bCs/>
                <w:sz w:val="26"/>
                <w:szCs w:val="26"/>
                <w:rtl/>
              </w:rPr>
              <w:t>יניב שוויצר</w:t>
            </w:r>
          </w:p>
        </w:tc>
        <w:tc>
          <w:tcPr>
            <w:tcW w:w="3383" w:type="dxa"/>
            <w:tcBorders>
              <w:top w:val="nil"/>
              <w:left w:val="nil"/>
              <w:bottom w:val="nil"/>
              <w:right w:val="nil"/>
            </w:tcBorders>
            <w:shd w:val="clear" w:color="auto" w:fill="auto"/>
          </w:tcPr>
          <w:p w14:paraId="2AB5553C" w14:textId="77777777" w:rsidR="00764D78" w:rsidRPr="00B77A7C" w:rsidRDefault="00764D78" w:rsidP="00764D78">
            <w:pPr>
              <w:jc w:val="right"/>
              <w:rPr>
                <w:rFonts w:ascii="David" w:hAnsi="David"/>
                <w:sz w:val="26"/>
                <w:szCs w:val="26"/>
              </w:rPr>
            </w:pPr>
          </w:p>
        </w:tc>
      </w:tr>
    </w:tbl>
    <w:p w14:paraId="036413C9" w14:textId="77777777" w:rsidR="00764D78" w:rsidRPr="00B77A7C" w:rsidRDefault="00764D78" w:rsidP="00764D78">
      <w:pPr>
        <w:rPr>
          <w:rFonts w:ascii="David" w:hAnsi="David"/>
          <w:rtl/>
        </w:rPr>
      </w:pPr>
    </w:p>
    <w:p w14:paraId="3157C93B" w14:textId="77777777" w:rsidR="00764D78" w:rsidRPr="00B77A7C" w:rsidRDefault="00764D78" w:rsidP="00764D78">
      <w:pPr>
        <w:rPr>
          <w:rFonts w:ascii="David" w:hAnsi="David"/>
          <w:rtl/>
        </w:rPr>
      </w:pPr>
      <w:r w:rsidRPr="00B77A7C">
        <w:rPr>
          <w:rFonts w:ascii="David" w:hAnsi="David" w:hint="cs"/>
          <w:b/>
          <w:bCs/>
          <w:rtl/>
        </w:rPr>
        <w:t>נוכחים</w:t>
      </w:r>
      <w:r w:rsidRPr="00B77A7C">
        <w:rPr>
          <w:rFonts w:ascii="David" w:hAnsi="David" w:hint="cs"/>
          <w:rtl/>
        </w:rPr>
        <w:t>:</w:t>
      </w:r>
    </w:p>
    <w:p w14:paraId="0FCFB3A7" w14:textId="77777777" w:rsidR="00764D78" w:rsidRPr="00B77A7C" w:rsidRDefault="00764D78" w:rsidP="00764D78">
      <w:pPr>
        <w:rPr>
          <w:rFonts w:ascii="David" w:hAnsi="David"/>
          <w:rtl/>
        </w:rPr>
      </w:pPr>
      <w:bookmarkStart w:id="2" w:name="FirstLawyer"/>
      <w:r w:rsidRPr="00B77A7C">
        <w:rPr>
          <w:rFonts w:ascii="David" w:hAnsi="David" w:hint="cs"/>
          <w:rtl/>
        </w:rPr>
        <w:t>ב"כ</w:t>
      </w:r>
      <w:bookmarkEnd w:id="2"/>
      <w:r w:rsidRPr="00B77A7C">
        <w:rPr>
          <w:rFonts w:ascii="David" w:hAnsi="David" w:hint="cs"/>
          <w:rtl/>
        </w:rPr>
        <w:t xml:space="preserve"> המאשימה </w:t>
      </w:r>
      <w:r w:rsidRPr="00B77A7C">
        <w:rPr>
          <w:rFonts w:ascii="David" w:hAnsi="David"/>
          <w:rtl/>
        </w:rPr>
        <w:t>–</w:t>
      </w:r>
      <w:r w:rsidRPr="00B77A7C">
        <w:rPr>
          <w:rFonts w:ascii="David" w:hAnsi="David" w:hint="cs"/>
          <w:rtl/>
        </w:rPr>
        <w:t xml:space="preserve"> עו"ד ליאור סלוצקר</w:t>
      </w:r>
    </w:p>
    <w:p w14:paraId="2E2BD1A1" w14:textId="77777777" w:rsidR="00764D78" w:rsidRPr="00B77A7C" w:rsidRDefault="00764D78" w:rsidP="00764D78">
      <w:pPr>
        <w:rPr>
          <w:rFonts w:ascii="David" w:hAnsi="David"/>
          <w:rtl/>
        </w:rPr>
      </w:pPr>
      <w:r w:rsidRPr="00B77A7C">
        <w:rPr>
          <w:rFonts w:ascii="David" w:hAnsi="David" w:hint="cs"/>
          <w:rtl/>
        </w:rPr>
        <w:t xml:space="preserve">ב"כ הנאשם </w:t>
      </w:r>
      <w:r w:rsidRPr="00B77A7C">
        <w:rPr>
          <w:rFonts w:ascii="David" w:hAnsi="David"/>
          <w:rtl/>
        </w:rPr>
        <w:t>–</w:t>
      </w:r>
      <w:r w:rsidRPr="00B77A7C">
        <w:rPr>
          <w:rFonts w:ascii="David" w:hAnsi="David" w:hint="cs"/>
          <w:rtl/>
        </w:rPr>
        <w:t xml:space="preserve"> עו"ד יוסי בכר</w:t>
      </w:r>
    </w:p>
    <w:p w14:paraId="6215DDA9" w14:textId="77777777" w:rsidR="00764D78" w:rsidRPr="00B77A7C" w:rsidRDefault="00764D78" w:rsidP="00764D78">
      <w:pPr>
        <w:rPr>
          <w:rFonts w:ascii="David" w:hAnsi="David"/>
          <w:rtl/>
        </w:rPr>
      </w:pPr>
      <w:r w:rsidRPr="00B77A7C">
        <w:rPr>
          <w:rFonts w:ascii="David" w:hAnsi="David" w:hint="cs"/>
          <w:rtl/>
        </w:rPr>
        <w:t>הנאשם</w:t>
      </w:r>
    </w:p>
    <w:p w14:paraId="7BE583DE" w14:textId="77777777" w:rsidR="00764D78" w:rsidRPr="00B77A7C" w:rsidRDefault="00764D78" w:rsidP="00764D78">
      <w:pPr>
        <w:rPr>
          <w:rFonts w:ascii="David" w:hAnsi="David"/>
          <w:rtl/>
        </w:rPr>
      </w:pPr>
    </w:p>
    <w:p w14:paraId="2F00D5EF" w14:textId="77777777" w:rsidR="00940DD0" w:rsidRPr="00940DD0" w:rsidRDefault="00940DD0" w:rsidP="00940DD0">
      <w:pPr>
        <w:spacing w:before="120" w:after="120" w:line="240" w:lineRule="exact"/>
        <w:ind w:left="283" w:hanging="283"/>
        <w:jc w:val="both"/>
        <w:rPr>
          <w:rFonts w:ascii="FrankRuehl" w:hAnsi="FrankRuehl" w:cs="FrankRuehl"/>
          <w:rtl/>
        </w:rPr>
      </w:pPr>
    </w:p>
    <w:p w14:paraId="4E1BF615" w14:textId="77777777" w:rsidR="004471B7" w:rsidRDefault="004471B7" w:rsidP="004471B7">
      <w:pPr>
        <w:spacing w:line="360" w:lineRule="auto"/>
        <w:jc w:val="both"/>
        <w:rPr>
          <w:rFonts w:ascii="David" w:hAnsi="David"/>
          <w:rtl/>
        </w:rPr>
      </w:pPr>
      <w:bookmarkStart w:id="3" w:name="LawTable"/>
      <w:bookmarkEnd w:id="3"/>
    </w:p>
    <w:p w14:paraId="21BC6FAD" w14:textId="77777777" w:rsidR="004471B7" w:rsidRPr="004471B7" w:rsidRDefault="004471B7" w:rsidP="004471B7">
      <w:pPr>
        <w:spacing w:before="120" w:after="120" w:line="240" w:lineRule="exact"/>
        <w:ind w:left="283" w:hanging="283"/>
        <w:jc w:val="both"/>
        <w:rPr>
          <w:rFonts w:ascii="FrankRuehl" w:hAnsi="FrankRuehl" w:cs="FrankRuehl"/>
          <w:rtl/>
        </w:rPr>
      </w:pPr>
    </w:p>
    <w:p w14:paraId="551516D7" w14:textId="77777777" w:rsidR="004471B7" w:rsidRPr="004471B7" w:rsidRDefault="004471B7" w:rsidP="004471B7">
      <w:pPr>
        <w:spacing w:before="120" w:after="120" w:line="240" w:lineRule="exact"/>
        <w:ind w:left="283" w:hanging="283"/>
        <w:jc w:val="both"/>
        <w:rPr>
          <w:rFonts w:ascii="FrankRuehl" w:hAnsi="FrankRuehl" w:cs="FrankRuehl"/>
          <w:rtl/>
        </w:rPr>
      </w:pPr>
    </w:p>
    <w:p w14:paraId="251A0B87" w14:textId="77777777" w:rsidR="004471B7" w:rsidRPr="004471B7" w:rsidRDefault="004471B7" w:rsidP="004471B7">
      <w:pPr>
        <w:spacing w:before="120" w:after="120" w:line="240" w:lineRule="exact"/>
        <w:ind w:left="283" w:hanging="283"/>
        <w:jc w:val="both"/>
        <w:rPr>
          <w:rFonts w:ascii="FrankRuehl" w:hAnsi="FrankRuehl" w:cs="FrankRuehl"/>
          <w:rtl/>
        </w:rPr>
      </w:pPr>
      <w:r w:rsidRPr="004471B7">
        <w:rPr>
          <w:rFonts w:ascii="FrankRuehl" w:hAnsi="FrankRuehl" w:cs="FrankRuehl"/>
          <w:rtl/>
        </w:rPr>
        <w:t xml:space="preserve">חקיקה שאוזכרה: </w:t>
      </w:r>
    </w:p>
    <w:p w14:paraId="7338F037" w14:textId="77777777" w:rsidR="004471B7" w:rsidRPr="004471B7" w:rsidRDefault="004471B7" w:rsidP="004471B7">
      <w:pPr>
        <w:spacing w:before="120" w:after="120" w:line="240" w:lineRule="exact"/>
        <w:ind w:left="283" w:hanging="283"/>
        <w:jc w:val="both"/>
        <w:rPr>
          <w:rFonts w:ascii="FrankRuehl" w:hAnsi="FrankRuehl" w:cs="FrankRuehl"/>
          <w:rtl/>
        </w:rPr>
      </w:pPr>
      <w:hyperlink r:id="rId7" w:history="1">
        <w:r w:rsidRPr="004471B7">
          <w:rPr>
            <w:rFonts w:ascii="FrankRuehl" w:hAnsi="FrankRuehl" w:cs="FrankRuehl"/>
            <w:color w:val="0000FF"/>
            <w:rtl/>
          </w:rPr>
          <w:t>פקודת הסמים המסוכנים [נוסח חדש], תשל"ג-1973</w:t>
        </w:r>
      </w:hyperlink>
      <w:r w:rsidRPr="004471B7">
        <w:rPr>
          <w:rFonts w:ascii="FrankRuehl" w:hAnsi="FrankRuehl" w:cs="FrankRuehl"/>
          <w:rtl/>
        </w:rPr>
        <w:t xml:space="preserve">: סע'  </w:t>
      </w:r>
      <w:hyperlink r:id="rId8" w:history="1">
        <w:r w:rsidRPr="004471B7">
          <w:rPr>
            <w:rFonts w:ascii="FrankRuehl" w:hAnsi="FrankRuehl" w:cs="FrankRuehl"/>
            <w:color w:val="0000FF"/>
            <w:rtl/>
          </w:rPr>
          <w:t>13</w:t>
        </w:r>
      </w:hyperlink>
      <w:r w:rsidRPr="004471B7">
        <w:rPr>
          <w:rFonts w:ascii="FrankRuehl" w:hAnsi="FrankRuehl" w:cs="FrankRuehl"/>
          <w:rtl/>
        </w:rPr>
        <w:t xml:space="preserve">, </w:t>
      </w:r>
      <w:hyperlink r:id="rId9" w:history="1">
        <w:r w:rsidRPr="004471B7">
          <w:rPr>
            <w:rFonts w:ascii="FrankRuehl" w:hAnsi="FrankRuehl" w:cs="FrankRuehl"/>
            <w:color w:val="0000FF"/>
            <w:rtl/>
          </w:rPr>
          <w:t>19א</w:t>
        </w:r>
      </w:hyperlink>
    </w:p>
    <w:p w14:paraId="6A645455" w14:textId="77777777" w:rsidR="004471B7" w:rsidRPr="004471B7" w:rsidRDefault="004471B7" w:rsidP="004471B7">
      <w:pPr>
        <w:spacing w:before="120" w:after="120" w:line="240" w:lineRule="exact"/>
        <w:ind w:left="283" w:hanging="283"/>
        <w:jc w:val="both"/>
        <w:rPr>
          <w:rFonts w:ascii="FrankRuehl" w:hAnsi="FrankRuehl" w:cs="FrankRuehl"/>
          <w:rtl/>
        </w:rPr>
      </w:pPr>
      <w:hyperlink r:id="rId10" w:history="1">
        <w:r w:rsidRPr="004471B7">
          <w:rPr>
            <w:rFonts w:ascii="FrankRuehl" w:hAnsi="FrankRuehl" w:cs="FrankRuehl"/>
            <w:color w:val="0000FF"/>
            <w:rtl/>
          </w:rPr>
          <w:t>חוק העונשין, תשל"ז-1977</w:t>
        </w:r>
      </w:hyperlink>
    </w:p>
    <w:p w14:paraId="26041F84" w14:textId="77777777" w:rsidR="004471B7" w:rsidRPr="004471B7" w:rsidRDefault="004471B7" w:rsidP="004471B7">
      <w:pPr>
        <w:spacing w:line="360" w:lineRule="auto"/>
        <w:jc w:val="both"/>
        <w:rPr>
          <w:rFonts w:ascii="David" w:hAnsi="David"/>
          <w:rtl/>
        </w:rPr>
      </w:pPr>
      <w:bookmarkStart w:id="4" w:name="LawTable_End"/>
      <w:bookmarkEnd w:id="4"/>
    </w:p>
    <w:p w14:paraId="0739CE3E" w14:textId="77777777" w:rsidR="00764D78" w:rsidRPr="00940DD0" w:rsidRDefault="00764D78" w:rsidP="00940DD0">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4D78" w:rsidRPr="00F21495" w14:paraId="6BA3FE88" w14:textId="77777777" w:rsidTr="00764D78">
        <w:trPr>
          <w:trHeight w:val="355"/>
          <w:jc w:val="center"/>
        </w:trPr>
        <w:tc>
          <w:tcPr>
            <w:tcW w:w="8820" w:type="dxa"/>
            <w:tcBorders>
              <w:top w:val="nil"/>
              <w:left w:val="nil"/>
              <w:bottom w:val="nil"/>
              <w:right w:val="nil"/>
            </w:tcBorders>
            <w:shd w:val="clear" w:color="auto" w:fill="auto"/>
          </w:tcPr>
          <w:p w14:paraId="4FA9D858" w14:textId="77777777" w:rsidR="00B77A7C" w:rsidRPr="00B77A7C" w:rsidRDefault="00B77A7C" w:rsidP="00B77A7C">
            <w:pPr>
              <w:spacing w:line="360" w:lineRule="auto"/>
              <w:jc w:val="center"/>
              <w:rPr>
                <w:rFonts w:ascii="David" w:hAnsi="David"/>
                <w:b/>
                <w:bCs/>
                <w:sz w:val="28"/>
                <w:szCs w:val="28"/>
                <w:u w:val="single"/>
                <w:rtl/>
              </w:rPr>
            </w:pPr>
            <w:bookmarkStart w:id="5" w:name="PsakDin" w:colFirst="0" w:colLast="0"/>
            <w:bookmarkEnd w:id="0"/>
            <w:r w:rsidRPr="00B77A7C">
              <w:rPr>
                <w:rFonts w:ascii="David" w:hAnsi="David"/>
                <w:b/>
                <w:bCs/>
                <w:sz w:val="28"/>
                <w:szCs w:val="28"/>
                <w:u w:val="single"/>
                <w:rtl/>
              </w:rPr>
              <w:t>גזר דין</w:t>
            </w:r>
          </w:p>
          <w:p w14:paraId="41DD8E2C" w14:textId="77777777" w:rsidR="00764D78" w:rsidRPr="00B77A7C" w:rsidRDefault="00764D78" w:rsidP="00B77A7C">
            <w:pPr>
              <w:spacing w:line="360" w:lineRule="auto"/>
              <w:jc w:val="center"/>
              <w:rPr>
                <w:rFonts w:ascii="David" w:hAnsi="David"/>
                <w:bCs/>
                <w:sz w:val="28"/>
                <w:szCs w:val="28"/>
                <w:u w:val="single"/>
                <w:rtl/>
              </w:rPr>
            </w:pPr>
          </w:p>
        </w:tc>
      </w:tr>
    </w:tbl>
    <w:bookmarkEnd w:id="5"/>
    <w:p w14:paraId="0D688B5D" w14:textId="77777777" w:rsidR="00764D78" w:rsidRPr="00F21495" w:rsidRDefault="00764D78" w:rsidP="00764D78">
      <w:pPr>
        <w:spacing w:line="360" w:lineRule="auto"/>
        <w:jc w:val="both"/>
        <w:rPr>
          <w:rFonts w:ascii="David" w:hAnsi="David"/>
          <w:b/>
          <w:bCs/>
          <w:rtl/>
        </w:rPr>
      </w:pPr>
      <w:r w:rsidRPr="00F21495">
        <w:rPr>
          <w:rFonts w:ascii="David" w:hAnsi="David"/>
          <w:b/>
          <w:bCs/>
          <w:rtl/>
        </w:rPr>
        <w:t>רקע ועובדות כתב האישום</w:t>
      </w:r>
    </w:p>
    <w:p w14:paraId="7EB72E3F" w14:textId="77777777" w:rsidR="00764D78" w:rsidRPr="00F21495" w:rsidRDefault="00764D78" w:rsidP="00764D78">
      <w:pPr>
        <w:pStyle w:val="a9"/>
        <w:numPr>
          <w:ilvl w:val="0"/>
          <w:numId w:val="1"/>
        </w:numPr>
        <w:spacing w:line="360" w:lineRule="auto"/>
        <w:ind w:left="-58" w:firstLine="73"/>
        <w:jc w:val="both"/>
        <w:rPr>
          <w:rFonts w:ascii="David" w:hAnsi="David"/>
          <w:rtl/>
        </w:rPr>
      </w:pPr>
      <w:bookmarkStart w:id="6" w:name="ABSTRACT_START"/>
      <w:bookmarkEnd w:id="6"/>
      <w:r w:rsidRPr="00F21495">
        <w:rPr>
          <w:rFonts w:ascii="David" w:hAnsi="David"/>
          <w:rtl/>
        </w:rPr>
        <w:t>הנאשם הורשע לאחר קיומו של הליך גישור במסגרת דיון בבקשת ההגנה לקבלת חומרי חקירה, על יסוד הודאתו בכתב אישום מתוקן מיום 30.7.2020 (להלן: "</w:t>
      </w:r>
      <w:r w:rsidRPr="00F21495">
        <w:rPr>
          <w:rFonts w:ascii="David" w:hAnsi="David"/>
          <w:b/>
          <w:bCs/>
          <w:rtl/>
        </w:rPr>
        <w:t>כתב האישום</w:t>
      </w:r>
      <w:r w:rsidRPr="00F21495">
        <w:rPr>
          <w:rFonts w:ascii="David" w:hAnsi="David"/>
          <w:rtl/>
        </w:rPr>
        <w:t xml:space="preserve">") בביצוע 2 עבירות של סחר בסמים לפי </w:t>
      </w:r>
      <w:hyperlink r:id="rId11" w:history="1">
        <w:r w:rsidR="004C34AD" w:rsidRPr="004C34AD">
          <w:rPr>
            <w:rStyle w:val="Hyperlink"/>
            <w:rFonts w:ascii="David" w:hAnsi="David"/>
            <w:rtl/>
          </w:rPr>
          <w:t>סעיף 19+13א</w:t>
        </w:r>
      </w:hyperlink>
      <w:r w:rsidRPr="00F21495">
        <w:rPr>
          <w:rFonts w:ascii="David" w:hAnsi="David"/>
          <w:rtl/>
        </w:rPr>
        <w:t xml:space="preserve"> ל</w:t>
      </w:r>
      <w:hyperlink r:id="rId12" w:history="1">
        <w:r w:rsidR="00B77A7C" w:rsidRPr="00B77A7C">
          <w:rPr>
            <w:rFonts w:ascii="David" w:hAnsi="David"/>
            <w:color w:val="0000FF"/>
            <w:u w:val="single"/>
            <w:rtl/>
          </w:rPr>
          <w:t>פקודת הסמים המסוכנים</w:t>
        </w:r>
      </w:hyperlink>
      <w:r w:rsidRPr="00F21495">
        <w:rPr>
          <w:rFonts w:ascii="David" w:hAnsi="David"/>
          <w:rtl/>
        </w:rPr>
        <w:t xml:space="preserve"> [נוסח חדש], תשל"ג-1973 </w:t>
      </w:r>
      <w:bookmarkStart w:id="7" w:name="ABSTRACT_END"/>
      <w:bookmarkEnd w:id="7"/>
      <w:r w:rsidRPr="00F21495">
        <w:rPr>
          <w:rFonts w:ascii="David" w:hAnsi="David"/>
          <w:rtl/>
        </w:rPr>
        <w:t>(להלן: "</w:t>
      </w:r>
      <w:r w:rsidRPr="00F21495">
        <w:rPr>
          <w:rFonts w:ascii="David" w:hAnsi="David"/>
          <w:b/>
          <w:bCs/>
          <w:rtl/>
        </w:rPr>
        <w:t>פקודת הסמים</w:t>
      </w:r>
      <w:r w:rsidRPr="00F21495">
        <w:rPr>
          <w:rFonts w:ascii="David" w:hAnsi="David"/>
          <w:rtl/>
        </w:rPr>
        <w:t>").</w:t>
      </w:r>
    </w:p>
    <w:p w14:paraId="54762152" w14:textId="77777777" w:rsidR="00764D78" w:rsidRPr="00F21495" w:rsidRDefault="00764D78" w:rsidP="00764D78">
      <w:pPr>
        <w:ind w:left="-58"/>
        <w:jc w:val="both"/>
        <w:rPr>
          <w:rFonts w:ascii="David" w:hAnsi="David"/>
          <w:sz w:val="20"/>
          <w:szCs w:val="20"/>
        </w:rPr>
      </w:pPr>
    </w:p>
    <w:p w14:paraId="52E91922"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rtl/>
        </w:rPr>
        <w:t xml:space="preserve">על פי המפורט בחלק הכללי בכתב האישום בין המועדים 19.11.2018 ו-25.11.2019 הופעלה סוכנת משטרתית במטרה להילחם בתופעת הסחר בסמים מסוכנים. במסגרת תפקידה פעלה הסוכנת במסווה כתושבת חדשה בעיר תל אביב. בין הסוכנת לאחר, שזהותו ידועה למאשימה, היכרות מוקדמת. </w:t>
      </w:r>
    </w:p>
    <w:p w14:paraId="53761F18" w14:textId="77777777" w:rsidR="00764D78" w:rsidRPr="00F21495" w:rsidRDefault="00764D78" w:rsidP="00764D78">
      <w:pPr>
        <w:pStyle w:val="a9"/>
        <w:rPr>
          <w:rFonts w:ascii="David" w:hAnsi="David"/>
          <w:sz w:val="20"/>
          <w:szCs w:val="20"/>
        </w:rPr>
      </w:pPr>
    </w:p>
    <w:p w14:paraId="7593AB37" w14:textId="77777777" w:rsidR="00764D78" w:rsidRPr="00F21495" w:rsidRDefault="00764D78" w:rsidP="00764D78">
      <w:pPr>
        <w:pStyle w:val="a9"/>
        <w:numPr>
          <w:ilvl w:val="0"/>
          <w:numId w:val="1"/>
        </w:numPr>
        <w:spacing w:line="360" w:lineRule="auto"/>
        <w:ind w:left="-58" w:firstLine="73"/>
        <w:jc w:val="both"/>
        <w:rPr>
          <w:rFonts w:ascii="David" w:hAnsi="David"/>
          <w:rtl/>
        </w:rPr>
      </w:pPr>
      <w:r w:rsidRPr="00F21495">
        <w:rPr>
          <w:rFonts w:ascii="David" w:hAnsi="David"/>
          <w:rtl/>
        </w:rPr>
        <w:t>על פי האישום הראשון בכתב האישום</w:t>
      </w:r>
      <w:r w:rsidRPr="00F21495">
        <w:rPr>
          <w:rFonts w:ascii="David" w:hAnsi="David" w:hint="cs"/>
          <w:rtl/>
        </w:rPr>
        <w:t>,</w:t>
      </w:r>
      <w:r w:rsidRPr="00F21495">
        <w:rPr>
          <w:rFonts w:ascii="David" w:hAnsi="David"/>
          <w:rtl/>
        </w:rPr>
        <w:t xml:space="preserve"> ביום 21.5.2019 בשעה 21:59 לערך, התקשרה הסוכנת לנאשם ושאלה אותו האם מחר הם מתראים. הנאשם השיב לה שזה קצת בעייתי כי היא מודיעה לו יום לפני אבל הוא ינסה לעשות הכל. ביום 22.5.2019 בשעה 12:59 לערך, התכתבו </w:t>
      </w:r>
      <w:r w:rsidRPr="00F21495">
        <w:rPr>
          <w:rFonts w:ascii="David" w:hAnsi="David"/>
          <w:rtl/>
        </w:rPr>
        <w:lastRenderedPageBreak/>
        <w:t xml:space="preserve">הסוכנת והנאשם וסיכמו על עסקה של רכישת סם כמו בפעם הקודמת. בהמשך למתואר, ביום 22.5.2019 בשעה 19:40 לערך, ברחוב אלנקווה 8 בתל אביב, נפגשו הסוכנת והנאשם, הנאשם העביר לסוכנת קופסת סיגריות ובה שקית שקופה ובתוכה סם מסוכן מסוג </w:t>
      </w:r>
      <w:r w:rsidRPr="00F21495">
        <w:rPr>
          <w:rFonts w:ascii="David" w:hAnsi="David"/>
        </w:rPr>
        <w:t>MDMA</w:t>
      </w:r>
      <w:r w:rsidRPr="00F21495">
        <w:rPr>
          <w:rFonts w:ascii="David" w:hAnsi="David"/>
          <w:rtl/>
        </w:rPr>
        <w:t xml:space="preserve"> במשקל 11.72 גרם נטו בתמורה ל-3,000 ₪. במעשה המתואר סחר הנאשם בסם מסוכן ללא היתר בפקודה או בתקנות וללא רישיון מאת המנהל.</w:t>
      </w:r>
    </w:p>
    <w:p w14:paraId="3D1C5278" w14:textId="77777777" w:rsidR="00764D78" w:rsidRPr="00F21495" w:rsidRDefault="00764D78" w:rsidP="00764D78">
      <w:pPr>
        <w:pStyle w:val="a9"/>
        <w:rPr>
          <w:rFonts w:ascii="David" w:hAnsi="David"/>
          <w:sz w:val="20"/>
          <w:szCs w:val="20"/>
        </w:rPr>
      </w:pPr>
    </w:p>
    <w:p w14:paraId="0294983E"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rtl/>
        </w:rPr>
        <w:t xml:space="preserve">על פי האישום השני ביום 1.7.2019 החל מהשעה 13:39 ועד 20:12 התכתבו הסוכנות והנאשם בקשר לתיאום עסקה של מכירת סם מסוכן מסוג </w:t>
      </w:r>
      <w:r w:rsidRPr="00F21495">
        <w:rPr>
          <w:rFonts w:ascii="David" w:hAnsi="David"/>
        </w:rPr>
        <w:t>MDMA</w:t>
      </w:r>
      <w:r w:rsidRPr="00F21495">
        <w:rPr>
          <w:rFonts w:ascii="David" w:hAnsi="David"/>
          <w:rtl/>
        </w:rPr>
        <w:t xml:space="preserve"> במשקל 12 גרם ליום 2.7.2019 בשעה 19:30/20:00 לערך. באותו המועד בשעה 21:40 לערך, ברחוב אלנקווה 8 בתל אביב, נפגשו הסוכנת והנאשם, והנאשם העביר לסוכנת שקית שקופה ובתוכה סם מסוכן מסוג </w:t>
      </w:r>
      <w:r w:rsidRPr="00F21495">
        <w:rPr>
          <w:rFonts w:ascii="David" w:hAnsi="David"/>
        </w:rPr>
        <w:t>MDMA</w:t>
      </w:r>
      <w:r w:rsidRPr="00F21495">
        <w:rPr>
          <w:rFonts w:ascii="David" w:hAnsi="David"/>
          <w:rtl/>
        </w:rPr>
        <w:t xml:space="preserve"> במשקל 9.89 גרם נטו בתמורה ל-2,500 ₪. במעשה המתואר סחר הנאשם בסם מסוכן ללא היתר בפקודה או בתקנות וללא רישיון מאת המנהל.</w:t>
      </w:r>
    </w:p>
    <w:p w14:paraId="19A1436A" w14:textId="77777777" w:rsidR="00764D78" w:rsidRPr="00F21495" w:rsidRDefault="00764D78" w:rsidP="00764D78">
      <w:pPr>
        <w:pStyle w:val="a9"/>
        <w:rPr>
          <w:rFonts w:ascii="David" w:hAnsi="David"/>
          <w:rtl/>
        </w:rPr>
      </w:pPr>
    </w:p>
    <w:p w14:paraId="5AA3F886"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 xml:space="preserve">בהמשך לבקשת ההגנה לקבלת חומרי חקירה, לאחר קיומו של הליך של גישור, הנאשם הודה כאמור בעובדות כתב האישום המתוקן שלעיל. ביום 7.4.2021 הודיעו </w:t>
      </w:r>
      <w:r w:rsidRPr="00F21495">
        <w:rPr>
          <w:rFonts w:ascii="David" w:hAnsi="David"/>
          <w:rtl/>
        </w:rPr>
        <w:t xml:space="preserve">הצדדים </w:t>
      </w:r>
      <w:r w:rsidRPr="00F21495">
        <w:rPr>
          <w:rFonts w:ascii="David" w:hAnsi="David" w:hint="cs"/>
          <w:rtl/>
        </w:rPr>
        <w:t xml:space="preserve">כי </w:t>
      </w:r>
      <w:r w:rsidRPr="00F21495">
        <w:rPr>
          <w:rFonts w:ascii="David" w:hAnsi="David"/>
          <w:rtl/>
        </w:rPr>
        <w:t>להסדר טיעון בו הסכימו טווח ענישה. על פי הסדר הטיעון הוסכם כי המאשימה תעתור למיקום עו</w:t>
      </w:r>
      <w:r w:rsidRPr="00F21495">
        <w:rPr>
          <w:rFonts w:ascii="David" w:hAnsi="David" w:hint="cs"/>
          <w:rtl/>
        </w:rPr>
        <w:t>נ</w:t>
      </w:r>
      <w:r w:rsidRPr="00F21495">
        <w:rPr>
          <w:rFonts w:ascii="David" w:hAnsi="David"/>
          <w:rtl/>
        </w:rPr>
        <w:t>ש</w:t>
      </w:r>
      <w:r w:rsidRPr="00F21495">
        <w:rPr>
          <w:rFonts w:ascii="David" w:hAnsi="David" w:hint="cs"/>
          <w:rtl/>
        </w:rPr>
        <w:t xml:space="preserve"> המאסר</w:t>
      </w:r>
      <w:r w:rsidRPr="00F21495">
        <w:rPr>
          <w:rFonts w:ascii="David" w:hAnsi="David"/>
          <w:rtl/>
        </w:rPr>
        <w:t xml:space="preserve"> של הנאשם בטווח העליון של עבודות השירות</w:t>
      </w:r>
      <w:r w:rsidRPr="00F21495">
        <w:rPr>
          <w:rFonts w:ascii="David" w:hAnsi="David" w:hint="cs"/>
          <w:rtl/>
        </w:rPr>
        <w:t xml:space="preserve">, על פי דברי ב"כ המאשימה משיקולי שיקום, </w:t>
      </w:r>
      <w:r w:rsidRPr="00F21495">
        <w:rPr>
          <w:rFonts w:ascii="David" w:hAnsi="David"/>
          <w:rtl/>
        </w:rPr>
        <w:t>בעוד שההגנה תעתור למיקו</w:t>
      </w:r>
      <w:r w:rsidRPr="00F21495">
        <w:rPr>
          <w:rFonts w:ascii="David" w:hAnsi="David" w:hint="cs"/>
          <w:rtl/>
        </w:rPr>
        <w:t>ם עונש המאסר שייגזר על</w:t>
      </w:r>
      <w:r w:rsidRPr="00F21495">
        <w:rPr>
          <w:rFonts w:ascii="David" w:hAnsi="David"/>
          <w:rtl/>
        </w:rPr>
        <w:t xml:space="preserve"> הנאשם ברף התחתון </w:t>
      </w:r>
      <w:r w:rsidRPr="00F21495">
        <w:rPr>
          <w:rFonts w:ascii="David" w:hAnsi="David" w:hint="cs"/>
          <w:rtl/>
        </w:rPr>
        <w:t>לריצוי ב</w:t>
      </w:r>
      <w:r w:rsidRPr="00F21495">
        <w:rPr>
          <w:rFonts w:ascii="David" w:hAnsi="David"/>
          <w:rtl/>
        </w:rPr>
        <w:t>עבודות שירות</w:t>
      </w:r>
      <w:r w:rsidRPr="00F21495">
        <w:rPr>
          <w:rFonts w:ascii="David" w:hAnsi="David" w:hint="cs"/>
          <w:rtl/>
        </w:rPr>
        <w:t>, לצד רכיבים נלווים</w:t>
      </w:r>
      <w:r w:rsidRPr="00F21495">
        <w:rPr>
          <w:rFonts w:ascii="David" w:hAnsi="David"/>
          <w:rtl/>
        </w:rPr>
        <w:t xml:space="preserve">. </w:t>
      </w:r>
    </w:p>
    <w:p w14:paraId="5F82144E" w14:textId="77777777" w:rsidR="00764D78" w:rsidRPr="00F21495" w:rsidRDefault="00764D78" w:rsidP="00764D78">
      <w:pPr>
        <w:rPr>
          <w:rFonts w:ascii="David" w:hAnsi="David"/>
          <w:sz w:val="20"/>
          <w:szCs w:val="20"/>
        </w:rPr>
      </w:pPr>
    </w:p>
    <w:p w14:paraId="1C51D632" w14:textId="77777777" w:rsidR="00764D78" w:rsidRPr="00F21495" w:rsidRDefault="00764D78" w:rsidP="00764D78">
      <w:pPr>
        <w:pStyle w:val="a9"/>
        <w:spacing w:line="360" w:lineRule="auto"/>
        <w:ind w:left="15"/>
        <w:jc w:val="both"/>
        <w:rPr>
          <w:rFonts w:ascii="David" w:hAnsi="David"/>
          <w:b/>
          <w:bCs/>
          <w:rtl/>
        </w:rPr>
      </w:pPr>
      <w:r w:rsidRPr="00F21495">
        <w:rPr>
          <w:rFonts w:ascii="David" w:hAnsi="David"/>
          <w:b/>
          <w:bCs/>
          <w:rtl/>
        </w:rPr>
        <w:t>תסקירי שירות המבחן</w:t>
      </w:r>
      <w:r w:rsidRPr="00F21495">
        <w:rPr>
          <w:rFonts w:ascii="David" w:hAnsi="David" w:hint="cs"/>
          <w:b/>
          <w:bCs/>
          <w:rtl/>
        </w:rPr>
        <w:t xml:space="preserve"> והראיות לעונש הנוגעות לנסיבותיו האישיות של הנאשם ולשיקומו</w:t>
      </w:r>
    </w:p>
    <w:p w14:paraId="0A92F82F"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מטעם ההגנה הוגשו כראיות לעונש מסמכים רפואיים המעידים על מצבו הבריאותי של הנאשם הסובל ממחלת הקרוהן מילדות וחלה גם בדלקת פרקים (</w:t>
      </w:r>
      <w:r w:rsidRPr="00F21495">
        <w:rPr>
          <w:rFonts w:ascii="David" w:hAnsi="David" w:hint="cs"/>
          <w:b/>
          <w:bCs/>
          <w:rtl/>
        </w:rPr>
        <w:t>ענ/2</w:t>
      </w:r>
      <w:r w:rsidRPr="00F21495">
        <w:rPr>
          <w:rFonts w:ascii="David" w:hAnsi="David" w:hint="cs"/>
          <w:rtl/>
        </w:rPr>
        <w:t>) ומחזיק רישיון למריחואנה רפואית. בנוסף, הוגשו מספר חוות דעת אשר נערכו על ידי מרכז הטיפול והאבחון</w:t>
      </w:r>
      <w:r w:rsidRPr="00F21495">
        <w:rPr>
          <w:rFonts w:ascii="David" w:hAnsi="David" w:hint="cs"/>
          <w:b/>
          <w:bCs/>
          <w:rtl/>
        </w:rPr>
        <w:t xml:space="preserve"> </w:t>
      </w:r>
      <w:r w:rsidRPr="00F21495">
        <w:rPr>
          <w:rFonts w:ascii="David" w:hAnsi="David" w:hint="cs"/>
          <w:rtl/>
        </w:rPr>
        <w:t>"התחלה חדשה" החל מחודש פברואר 2020 ועד יוני 2021, המעידות על טיפול שעבר הנאשם מאז מעצרו ומפרטות את נסיבות חייו (</w:t>
      </w:r>
      <w:r w:rsidRPr="00F21495">
        <w:rPr>
          <w:rFonts w:ascii="David" w:hAnsi="David" w:hint="cs"/>
          <w:b/>
          <w:bCs/>
          <w:rtl/>
        </w:rPr>
        <w:t>ענ/1</w:t>
      </w:r>
      <w:r w:rsidRPr="00F21495">
        <w:rPr>
          <w:rFonts w:ascii="David" w:hAnsi="David" w:hint="cs"/>
          <w:rtl/>
        </w:rPr>
        <w:t xml:space="preserve">) (להלן: </w:t>
      </w:r>
      <w:r w:rsidRPr="00F21495">
        <w:rPr>
          <w:rFonts w:ascii="David" w:hAnsi="David" w:hint="cs"/>
          <w:b/>
          <w:bCs/>
          <w:rtl/>
        </w:rPr>
        <w:t>"חוות הדעת</w:t>
      </w:r>
      <w:r w:rsidRPr="00F21495">
        <w:rPr>
          <w:rFonts w:ascii="David" w:hAnsi="David" w:hint="cs"/>
          <w:rtl/>
        </w:rPr>
        <w:t xml:space="preserve">"). על פי חוות הדעת הנאשם עשה דרך חיובית ומשמעותית בטיפול מאז מעצרו והשתתף ב- 68 פגישות טיפוליות שבועיות באופן סדיר, אחראי ורציף (פרונטלית ובזום </w:t>
      </w:r>
      <w:r w:rsidRPr="00F21495">
        <w:rPr>
          <w:rFonts w:ascii="David" w:hAnsi="David"/>
          <w:rtl/>
        </w:rPr>
        <w:t>–</w:t>
      </w:r>
      <w:r w:rsidRPr="00F21495">
        <w:rPr>
          <w:rFonts w:ascii="David" w:hAnsi="David" w:hint="cs"/>
          <w:rtl/>
        </w:rPr>
        <w:t xml:space="preserve"> לאור התפרצות הקורונה). פורט כי בפגישות משתף הנאשם במאורעות חייו ומורכבותם על רקע קשייו הבריאותיים ומחלת הקרוהן ממנה סובל. </w:t>
      </w:r>
    </w:p>
    <w:p w14:paraId="4347E982" w14:textId="77777777" w:rsidR="00764D78" w:rsidRPr="00F21495" w:rsidRDefault="00764D78" w:rsidP="00764D78">
      <w:pPr>
        <w:pStyle w:val="a9"/>
        <w:ind w:left="15"/>
        <w:jc w:val="both"/>
        <w:rPr>
          <w:rFonts w:ascii="David" w:hAnsi="David"/>
        </w:rPr>
      </w:pPr>
    </w:p>
    <w:p w14:paraId="38D5F02D"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בחוות הדעת פורט כי הנאשם הגיע להבנה באשר לסיבות בגינן ביצע את העבירות בסתירה לערכים בסיסיים בהם החזיק ומחזיק כיום. ברקע ביצוע העבירות מצבו הבריאותי המורכב ושהייתו זמן ממושך בבית ובבית החולים, לרוב בגפו, בשל גירושי הוריו ופער הגילאים בינו לבין אחיו, ופספוס חוויות משמעותיות הקשורות למערכת החינוך והשירות הצבאי (הנאשם הפסיק לימודיו ללא תעודת בגרות ולא גויס לצה"ל בשל מצבו הבריאותי). להבנת הנאשם, בנסיבות המפורטות ביקש לבחון גבולות מתוך רצון לא מודע "לפצות" את הילד שבו, וביצוע העבירות על ידו הוא סוג של תעלול לא מוצלח (גם אם קיצוני). הנאשם נטל אחריות על מעשיו, הביע צער וחרטה על המעשים ועל הפגיעה שנגרמה מביצועם. צוינה תרומתם המשמעותית המיטיבה של הוריו של הנאשם על שיקומו, ותמיכתם הכלכלית והרגשית בו, על אף שהעבירות שביצע אינן עולות בקנה אחד עם תפיסתם הנורמטיבית.</w:t>
      </w:r>
    </w:p>
    <w:p w14:paraId="026BC0EC" w14:textId="77777777" w:rsidR="00764D78" w:rsidRPr="00F21495" w:rsidRDefault="00764D78" w:rsidP="00764D78">
      <w:pPr>
        <w:pStyle w:val="a9"/>
        <w:ind w:left="15"/>
        <w:jc w:val="both"/>
        <w:rPr>
          <w:rFonts w:ascii="David" w:hAnsi="David"/>
          <w:sz w:val="20"/>
          <w:szCs w:val="20"/>
        </w:rPr>
      </w:pPr>
      <w:r w:rsidRPr="00F21495">
        <w:rPr>
          <w:rFonts w:ascii="David" w:hAnsi="David" w:hint="cs"/>
          <w:rtl/>
        </w:rPr>
        <w:lastRenderedPageBreak/>
        <w:t xml:space="preserve"> </w:t>
      </w:r>
    </w:p>
    <w:p w14:paraId="7AD4D7A7"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בחוות הדעת האחרונה נושאת תאריך 17.6.21 סוכמה הדרך הטובה והמשמעותית אותה עשה הנאשם עד לאותו השלב לשיקום. פורט כי הנאשם משתמש במריחואנה רפואית על פי היתר באופן מדוד ושקול, דואג ליטול טיפול תרופתי במועדו, מקפיד על תזונה וספורט, ונפגש עם בני משפחה וחברים. בנוסף, כי הנאשם סיים בהצטיינות והנאה לימודי מכינה בתחום הפקת סאונד ומוזיקה במכללה, החל לימודיו בשנת תשפ"א, ואף טיפל בדרוש טיפול מול המוסד לביטוח לאומי לקבלת אישור מימון לאור זכאותו לכך. צוין כי הנאשם מתמקצע ומקבל משובים חיובים בלימודים וציוניו גבוהים מאוד. הנאשם נמצא במערכת יחסים זוגית עם בת זוג הנמצאת בפינלנד, מרבה לשתף ולהתייעץ בהקשר זה, ואף טס לבקרה ב- 3 הזדמנויות תוך שהפגין אחריות, ערך בירור מול הגורמים הטיפוליים והיה זמין בעת שהותו בחו"ל. החל מחודש דצמבר 2020 החל הנאשם לעבוד כסוקר טלפוני, זכה בתואר עובד מצטיין בחודש פברואר 2021, ואף מימן בעצמו את נסיעתו השנייה והשלישית לפינלנד כחלק מעצמאותו הכלכלית. הנאשם מקפיד על קשר עם הגורמים הקשורים להליך המשפטי, עומד בקשר ומעדכן את בא כוחו, נפגש עם שירות המבחן ומסר בדיקת שתן מרצונו. הנאשם הקפיד להגיע לפגישות הטיפול גם בעת שהותו בחו"ל, ללא חיסורים, תוך שהוא משתף בעולמו הפנימי.</w:t>
      </w:r>
    </w:p>
    <w:p w14:paraId="52620B2B" w14:textId="77777777" w:rsidR="00764D78" w:rsidRPr="00F21495" w:rsidRDefault="00764D78" w:rsidP="00764D78">
      <w:pPr>
        <w:pStyle w:val="a9"/>
        <w:rPr>
          <w:rFonts w:ascii="David" w:hAnsi="David"/>
          <w:sz w:val="20"/>
          <w:szCs w:val="20"/>
          <w:rtl/>
        </w:rPr>
      </w:pPr>
    </w:p>
    <w:p w14:paraId="165357F3"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גורמי הטיפול במרכז התחלה חדשה סיכמו כי הנאשם כיום לוקח אחריות על כלל תחומי חייו, פועל לפי סולם ערכים נורמטיבי, והמלצתם היא לענישה שיקומית צופה פני עתיד לאור הדרך הטיפולית המרשימה שעשה.</w:t>
      </w:r>
    </w:p>
    <w:p w14:paraId="1661CB43" w14:textId="77777777" w:rsidR="00764D78" w:rsidRPr="00F21495" w:rsidRDefault="00764D78" w:rsidP="00764D78">
      <w:pPr>
        <w:pStyle w:val="a9"/>
        <w:rPr>
          <w:rFonts w:ascii="David" w:hAnsi="David"/>
          <w:b/>
          <w:bCs/>
          <w:rtl/>
        </w:rPr>
      </w:pPr>
    </w:p>
    <w:p w14:paraId="40BF95D8"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גם</w:t>
      </w:r>
      <w:r w:rsidRPr="00F21495">
        <w:rPr>
          <w:rFonts w:ascii="David" w:hAnsi="David" w:hint="cs"/>
          <w:b/>
          <w:bCs/>
          <w:rtl/>
        </w:rPr>
        <w:t xml:space="preserve"> </w:t>
      </w:r>
      <w:r w:rsidRPr="00F21495">
        <w:rPr>
          <w:rFonts w:ascii="David" w:hAnsi="David"/>
          <w:b/>
          <w:bCs/>
          <w:rtl/>
        </w:rPr>
        <w:t>בתסקיר הראשון</w:t>
      </w:r>
      <w:r w:rsidRPr="00F21495">
        <w:rPr>
          <w:rFonts w:ascii="David" w:hAnsi="David"/>
          <w:rtl/>
        </w:rPr>
        <w:t xml:space="preserve"> </w:t>
      </w:r>
      <w:r w:rsidRPr="00F21495">
        <w:rPr>
          <w:rFonts w:ascii="David" w:hAnsi="David" w:hint="cs"/>
          <w:rtl/>
        </w:rPr>
        <w:t xml:space="preserve">לעונש שהתקבל בעניינו של הנאשם מאת שירות המבחן פורטו נסיבות חייו ומצבו הרפואי, והבנתו כיום </w:t>
      </w:r>
      <w:r w:rsidRPr="00F21495">
        <w:rPr>
          <w:rFonts w:ascii="David" w:hAnsi="David"/>
          <w:rtl/>
        </w:rPr>
        <w:t xml:space="preserve">בעזרת </w:t>
      </w:r>
      <w:r w:rsidRPr="00F21495">
        <w:rPr>
          <w:rFonts w:ascii="David" w:hAnsi="David" w:hint="cs"/>
          <w:rtl/>
        </w:rPr>
        <w:t>ה</w:t>
      </w:r>
      <w:r w:rsidRPr="00F21495">
        <w:rPr>
          <w:rFonts w:ascii="David" w:hAnsi="David"/>
          <w:rtl/>
        </w:rPr>
        <w:t xml:space="preserve">טיפול </w:t>
      </w:r>
      <w:r w:rsidRPr="00F21495">
        <w:rPr>
          <w:rFonts w:ascii="David" w:hAnsi="David" w:hint="cs"/>
          <w:rtl/>
        </w:rPr>
        <w:t>ה</w:t>
      </w:r>
      <w:r w:rsidRPr="00F21495">
        <w:rPr>
          <w:rFonts w:ascii="David" w:hAnsi="David"/>
          <w:rtl/>
        </w:rPr>
        <w:t xml:space="preserve">פרטני אותו </w:t>
      </w:r>
      <w:r w:rsidRPr="00F21495">
        <w:rPr>
          <w:rFonts w:ascii="David" w:hAnsi="David" w:hint="cs"/>
          <w:rtl/>
        </w:rPr>
        <w:t>עובר,</w:t>
      </w:r>
      <w:r w:rsidRPr="00F21495">
        <w:rPr>
          <w:rFonts w:ascii="David" w:hAnsi="David"/>
          <w:rtl/>
        </w:rPr>
        <w:t xml:space="preserve"> כי </w:t>
      </w:r>
      <w:r w:rsidRPr="00F21495">
        <w:rPr>
          <w:rFonts w:ascii="David" w:hAnsi="David" w:hint="cs"/>
          <w:rtl/>
        </w:rPr>
        <w:t xml:space="preserve">הוא </w:t>
      </w:r>
      <w:r w:rsidRPr="00F21495">
        <w:rPr>
          <w:rFonts w:ascii="David" w:hAnsi="David"/>
          <w:rtl/>
        </w:rPr>
        <w:t>עדיין זקוק לגבולות.</w:t>
      </w:r>
      <w:r w:rsidRPr="00F21495">
        <w:rPr>
          <w:rFonts w:ascii="David" w:hAnsi="David" w:hint="cs"/>
          <w:rtl/>
        </w:rPr>
        <w:t xml:space="preserve"> הנאשם </w:t>
      </w:r>
      <w:r w:rsidRPr="00F21495">
        <w:rPr>
          <w:rFonts w:ascii="David" w:hAnsi="David"/>
          <w:rtl/>
        </w:rPr>
        <w:t xml:space="preserve">תיאר שימוש ספוראדי </w:t>
      </w:r>
      <w:r w:rsidRPr="00F21495">
        <w:rPr>
          <w:rFonts w:ascii="David" w:hAnsi="David" w:hint="cs"/>
          <w:rtl/>
        </w:rPr>
        <w:t xml:space="preserve">בעבר </w:t>
      </w:r>
      <w:r w:rsidRPr="00F21495">
        <w:rPr>
          <w:rFonts w:ascii="David" w:hAnsi="David"/>
          <w:rtl/>
        </w:rPr>
        <w:t>ובתדירות נמוכה בסמים הזייתיים</w:t>
      </w:r>
      <w:r w:rsidRPr="00F21495">
        <w:rPr>
          <w:rFonts w:ascii="David" w:hAnsi="David" w:hint="cs"/>
          <w:rtl/>
        </w:rPr>
        <w:t>,</w:t>
      </w:r>
      <w:r w:rsidRPr="00F21495">
        <w:rPr>
          <w:rFonts w:ascii="David" w:hAnsi="David"/>
          <w:rtl/>
        </w:rPr>
        <w:t xml:space="preserve"> וקיום קשרים חברתיים עם משתמשים אחרים. </w:t>
      </w:r>
      <w:r w:rsidRPr="00F21495">
        <w:rPr>
          <w:rFonts w:ascii="David" w:hAnsi="David" w:hint="cs"/>
          <w:rtl/>
        </w:rPr>
        <w:t>לדבריו, מאז</w:t>
      </w:r>
      <w:r w:rsidRPr="00F21495">
        <w:rPr>
          <w:rFonts w:ascii="David" w:hAnsi="David"/>
          <w:rtl/>
        </w:rPr>
        <w:t xml:space="preserve"> מעצרו הפסיק שימוש בסמים אלו ומשתמש רק בקנאביס הרפואי המאושר לו. צוין כי בדיקת השתן </w:t>
      </w:r>
      <w:r w:rsidRPr="00F21495">
        <w:rPr>
          <w:rFonts w:ascii="David" w:hAnsi="David" w:hint="cs"/>
          <w:rtl/>
        </w:rPr>
        <w:t>שמסר</w:t>
      </w:r>
      <w:r w:rsidRPr="00F21495">
        <w:rPr>
          <w:rFonts w:ascii="David" w:hAnsi="David"/>
          <w:rtl/>
        </w:rPr>
        <w:t xml:space="preserve"> הניבה תוצאות המעידות על שימוש בקנאביס.</w:t>
      </w:r>
      <w:r w:rsidRPr="00F21495">
        <w:rPr>
          <w:rFonts w:ascii="David" w:hAnsi="David"/>
        </w:rPr>
        <w:t xml:space="preserve"> </w:t>
      </w:r>
      <w:r w:rsidRPr="00F21495">
        <w:rPr>
          <w:rFonts w:ascii="David" w:hAnsi="David"/>
          <w:rtl/>
        </w:rPr>
        <w:t xml:space="preserve">הנאשם תיאר השתתפות בקבוצת עצורי בית, אשר הופסקה בשל מגפת הקורונה וההגבלות, שיתף </w:t>
      </w:r>
      <w:r w:rsidRPr="00F21495">
        <w:rPr>
          <w:rFonts w:ascii="David" w:hAnsi="David" w:hint="cs"/>
          <w:rtl/>
        </w:rPr>
        <w:t>ש</w:t>
      </w:r>
      <w:r w:rsidRPr="00F21495">
        <w:rPr>
          <w:rFonts w:ascii="David" w:hAnsi="David"/>
          <w:rtl/>
        </w:rPr>
        <w:t xml:space="preserve">הרגיש נתרם </w:t>
      </w:r>
      <w:r w:rsidRPr="00F21495">
        <w:rPr>
          <w:rFonts w:ascii="David" w:hAnsi="David" w:hint="cs"/>
          <w:rtl/>
        </w:rPr>
        <w:t>מכך</w:t>
      </w:r>
      <w:r w:rsidRPr="00F21495">
        <w:rPr>
          <w:rFonts w:ascii="David" w:hAnsi="David"/>
          <w:rtl/>
        </w:rPr>
        <w:t xml:space="preserve"> והצטער שנאלצה להפסיק. עוד שיתף </w:t>
      </w:r>
      <w:r w:rsidRPr="00F21495">
        <w:rPr>
          <w:rFonts w:ascii="David" w:hAnsi="David" w:hint="cs"/>
          <w:rtl/>
        </w:rPr>
        <w:t>אודות ה</w:t>
      </w:r>
      <w:r w:rsidRPr="00F21495">
        <w:rPr>
          <w:rFonts w:ascii="David" w:hAnsi="David"/>
          <w:rtl/>
        </w:rPr>
        <w:t xml:space="preserve">טיפול </w:t>
      </w:r>
      <w:r w:rsidRPr="00F21495">
        <w:rPr>
          <w:rFonts w:ascii="David" w:hAnsi="David" w:hint="cs"/>
          <w:rtl/>
        </w:rPr>
        <w:t>ה</w:t>
      </w:r>
      <w:r w:rsidRPr="00F21495">
        <w:rPr>
          <w:rFonts w:ascii="David" w:hAnsi="David"/>
          <w:rtl/>
        </w:rPr>
        <w:t xml:space="preserve">פרטני במסגרת מרכז "התחלה חדשה". משיחה עם מטפלת הנאשם </w:t>
      </w:r>
      <w:r w:rsidRPr="00F21495">
        <w:rPr>
          <w:rFonts w:ascii="David" w:hAnsi="David" w:hint="cs"/>
          <w:rtl/>
        </w:rPr>
        <w:t xml:space="preserve">ב"התחלה חדשה" </w:t>
      </w:r>
      <w:r w:rsidRPr="00F21495">
        <w:rPr>
          <w:rFonts w:ascii="David" w:hAnsi="David"/>
          <w:rtl/>
        </w:rPr>
        <w:t xml:space="preserve">עלה </w:t>
      </w:r>
      <w:r w:rsidRPr="00F21495">
        <w:rPr>
          <w:rFonts w:ascii="David" w:hAnsi="David" w:hint="cs"/>
          <w:rtl/>
        </w:rPr>
        <w:t>שהנאשם</w:t>
      </w:r>
      <w:r w:rsidRPr="00F21495">
        <w:rPr>
          <w:rFonts w:ascii="David" w:hAnsi="David"/>
          <w:rtl/>
        </w:rPr>
        <w:t xml:space="preserve"> שיתף בפתיחות והביע רצון להעמקה. </w:t>
      </w:r>
      <w:r w:rsidRPr="00F21495">
        <w:rPr>
          <w:rFonts w:ascii="David" w:hAnsi="David" w:hint="cs"/>
          <w:rtl/>
        </w:rPr>
        <w:t>להתרשמותה,</w:t>
      </w:r>
      <w:r w:rsidRPr="00F21495">
        <w:rPr>
          <w:rFonts w:ascii="David" w:hAnsi="David"/>
          <w:rtl/>
        </w:rPr>
        <w:t xml:space="preserve"> הנאשם בעל כוחות משמעותיים</w:t>
      </w:r>
      <w:r w:rsidRPr="00F21495">
        <w:rPr>
          <w:rFonts w:ascii="David" w:hAnsi="David" w:hint="cs"/>
          <w:rtl/>
        </w:rPr>
        <w:t>, י</w:t>
      </w:r>
      <w:r w:rsidRPr="00F21495">
        <w:rPr>
          <w:rFonts w:ascii="David" w:hAnsi="David"/>
          <w:rtl/>
        </w:rPr>
        <w:t>כולות טובות להתמודדות עצמית ולמידה</w:t>
      </w:r>
      <w:r w:rsidRPr="00F21495">
        <w:rPr>
          <w:rFonts w:ascii="David" w:hAnsi="David" w:hint="cs"/>
          <w:rtl/>
        </w:rPr>
        <w:t>,</w:t>
      </w:r>
      <w:r w:rsidRPr="00F21495">
        <w:rPr>
          <w:rFonts w:ascii="David" w:hAnsi="David"/>
          <w:rtl/>
        </w:rPr>
        <w:t xml:space="preserve"> קיימת </w:t>
      </w:r>
      <w:r w:rsidRPr="00F21495">
        <w:rPr>
          <w:rFonts w:ascii="David" w:hAnsi="David" w:hint="cs"/>
          <w:rtl/>
        </w:rPr>
        <w:t xml:space="preserve">לנאשם </w:t>
      </w:r>
      <w:r w:rsidRPr="00F21495">
        <w:rPr>
          <w:rFonts w:ascii="David" w:hAnsi="David"/>
          <w:rtl/>
        </w:rPr>
        <w:t>מערכת תמיכה משפחתית משמעותית</w:t>
      </w:r>
      <w:r w:rsidRPr="00F21495">
        <w:rPr>
          <w:rFonts w:ascii="David" w:hAnsi="David" w:hint="cs"/>
          <w:rtl/>
        </w:rPr>
        <w:t>, ו</w:t>
      </w:r>
      <w:r w:rsidRPr="00F21495">
        <w:rPr>
          <w:rFonts w:ascii="David" w:hAnsi="David"/>
          <w:rtl/>
        </w:rPr>
        <w:t xml:space="preserve">קיים סיכוי קלוש להישנות ביצוע העבירה </w:t>
      </w:r>
      <w:r w:rsidRPr="00F21495">
        <w:rPr>
          <w:rFonts w:ascii="David" w:hAnsi="David" w:hint="cs"/>
          <w:rtl/>
        </w:rPr>
        <w:t>על ידו, משהנאשם מבין</w:t>
      </w:r>
      <w:r w:rsidRPr="00F21495">
        <w:rPr>
          <w:rFonts w:ascii="David" w:hAnsi="David"/>
          <w:rtl/>
        </w:rPr>
        <w:t xml:space="preserve"> את חומרתה, מעוניין </w:t>
      </w:r>
      <w:r w:rsidRPr="00F21495">
        <w:rPr>
          <w:rFonts w:ascii="David" w:hAnsi="David" w:hint="cs"/>
          <w:rtl/>
        </w:rPr>
        <w:t>ב</w:t>
      </w:r>
      <w:r w:rsidRPr="00F21495">
        <w:rPr>
          <w:rFonts w:ascii="David" w:hAnsi="David"/>
          <w:rtl/>
        </w:rPr>
        <w:t>שינוי ומחויב להליך הטיפול.</w:t>
      </w:r>
    </w:p>
    <w:p w14:paraId="10E44468" w14:textId="77777777" w:rsidR="00764D78" w:rsidRPr="00F21495" w:rsidRDefault="00764D78" w:rsidP="00764D78">
      <w:pPr>
        <w:pStyle w:val="a9"/>
        <w:rPr>
          <w:rFonts w:ascii="David" w:hAnsi="David"/>
          <w:sz w:val="20"/>
          <w:szCs w:val="20"/>
        </w:rPr>
      </w:pPr>
    </w:p>
    <w:p w14:paraId="20210175" w14:textId="77777777" w:rsidR="00764D78" w:rsidRPr="00F21495" w:rsidRDefault="00764D78" w:rsidP="00764D78">
      <w:pPr>
        <w:pStyle w:val="a9"/>
        <w:numPr>
          <w:ilvl w:val="0"/>
          <w:numId w:val="1"/>
        </w:numPr>
        <w:spacing w:line="360" w:lineRule="auto"/>
        <w:ind w:left="-58" w:firstLine="73"/>
        <w:jc w:val="both"/>
        <w:rPr>
          <w:rFonts w:ascii="David" w:hAnsi="David"/>
          <w:rtl/>
        </w:rPr>
      </w:pPr>
      <w:r w:rsidRPr="00F21495">
        <w:rPr>
          <w:rFonts w:ascii="David" w:hAnsi="David" w:hint="cs"/>
          <w:rtl/>
        </w:rPr>
        <w:t>בתסקיר פורט</w:t>
      </w:r>
      <w:r w:rsidRPr="00F21495">
        <w:rPr>
          <w:rFonts w:ascii="David" w:hAnsi="David"/>
          <w:rtl/>
        </w:rPr>
        <w:t xml:space="preserve"> כי הנאשם נעדר עבר פלילי</w:t>
      </w:r>
      <w:r w:rsidRPr="00F21495">
        <w:rPr>
          <w:rFonts w:ascii="David" w:hAnsi="David" w:hint="cs"/>
          <w:rtl/>
        </w:rPr>
        <w:t xml:space="preserve"> </w:t>
      </w:r>
      <w:r w:rsidRPr="00F21495">
        <w:rPr>
          <w:rFonts w:ascii="David" w:hAnsi="David"/>
          <w:rtl/>
        </w:rPr>
        <w:t>ו</w:t>
      </w:r>
      <w:r w:rsidRPr="00F21495">
        <w:rPr>
          <w:rFonts w:ascii="David" w:hAnsi="David" w:hint="cs"/>
          <w:rtl/>
        </w:rPr>
        <w:t>נוטל</w:t>
      </w:r>
      <w:r w:rsidRPr="00F21495">
        <w:rPr>
          <w:rFonts w:ascii="David" w:hAnsi="David"/>
          <w:rtl/>
        </w:rPr>
        <w:t xml:space="preserve"> אחריות מלאה על ביצוע העבירות הנוכחיות</w:t>
      </w:r>
      <w:r w:rsidRPr="00F21495">
        <w:rPr>
          <w:rFonts w:ascii="David" w:hAnsi="David" w:hint="cs"/>
          <w:rtl/>
        </w:rPr>
        <w:t>, הגם</w:t>
      </w:r>
      <w:r w:rsidRPr="00F21495">
        <w:rPr>
          <w:rFonts w:ascii="David" w:hAnsi="David"/>
          <w:rtl/>
        </w:rPr>
        <w:t xml:space="preserve"> </w:t>
      </w:r>
      <w:r w:rsidRPr="00F21495">
        <w:rPr>
          <w:rFonts w:ascii="David" w:hAnsi="David" w:hint="cs"/>
          <w:rtl/>
        </w:rPr>
        <w:t>ש</w:t>
      </w:r>
      <w:r w:rsidRPr="00F21495">
        <w:rPr>
          <w:rFonts w:ascii="David" w:hAnsi="David"/>
          <w:rtl/>
        </w:rPr>
        <w:t>בחר לצמצם את השיח על העבירות</w:t>
      </w:r>
      <w:r w:rsidRPr="00F21495">
        <w:rPr>
          <w:rFonts w:ascii="David" w:hAnsi="David" w:hint="cs"/>
          <w:rtl/>
        </w:rPr>
        <w:t xml:space="preserve"> ו</w:t>
      </w:r>
      <w:r w:rsidRPr="00F21495">
        <w:rPr>
          <w:rFonts w:ascii="David" w:hAnsi="David"/>
          <w:rtl/>
        </w:rPr>
        <w:t>מסר שכיום מבין שבוצעו על רקע בדיקת גבולות וחיפוש ריגוש.</w:t>
      </w:r>
      <w:r w:rsidRPr="00F21495">
        <w:rPr>
          <w:rFonts w:ascii="David" w:hAnsi="David" w:hint="cs"/>
          <w:rtl/>
        </w:rPr>
        <w:t xml:space="preserve"> </w:t>
      </w:r>
      <w:r w:rsidRPr="00F21495">
        <w:rPr>
          <w:rFonts w:ascii="David" w:hAnsi="David"/>
          <w:rtl/>
        </w:rPr>
        <w:t xml:space="preserve">כגורמי סיכון </w:t>
      </w:r>
      <w:r w:rsidRPr="00F21495">
        <w:rPr>
          <w:rFonts w:ascii="David" w:hAnsi="David" w:hint="cs"/>
          <w:rtl/>
        </w:rPr>
        <w:t xml:space="preserve">צוינו </w:t>
      </w:r>
      <w:r w:rsidRPr="00F21495">
        <w:rPr>
          <w:rFonts w:ascii="David" w:hAnsi="David"/>
          <w:rtl/>
        </w:rPr>
        <w:t xml:space="preserve">הרושם </w:t>
      </w:r>
      <w:r w:rsidRPr="00F21495">
        <w:rPr>
          <w:rFonts w:ascii="David" w:hAnsi="David" w:hint="cs"/>
          <w:rtl/>
        </w:rPr>
        <w:t xml:space="preserve">לפיו </w:t>
      </w:r>
      <w:r w:rsidRPr="00F21495">
        <w:rPr>
          <w:rFonts w:ascii="David" w:hAnsi="David"/>
          <w:rtl/>
        </w:rPr>
        <w:t xml:space="preserve">הנאשם נמצא בשלבי גיבוש אישיותו, כחלק מתהליך התבגרות שמתמשך, נוטה </w:t>
      </w:r>
      <w:r w:rsidRPr="00F21495">
        <w:rPr>
          <w:rFonts w:ascii="David" w:hAnsi="David" w:hint="cs"/>
          <w:rtl/>
        </w:rPr>
        <w:t>לבדוק ו</w:t>
      </w:r>
      <w:r w:rsidRPr="00F21495">
        <w:rPr>
          <w:rFonts w:ascii="David" w:hAnsi="David"/>
          <w:rtl/>
        </w:rPr>
        <w:t>לטשטש גבולות, בעת ביצוע העבירות התמקד בצרכיו המידיים, חיפש ריגוש ופיתוי להשגת כסף קל ללא מחשבה על השלכות התנהלותו, ו</w:t>
      </w:r>
      <w:r w:rsidRPr="00F21495">
        <w:rPr>
          <w:rFonts w:ascii="David" w:hAnsi="David" w:hint="cs"/>
          <w:rtl/>
        </w:rPr>
        <w:t xml:space="preserve">כן </w:t>
      </w:r>
      <w:r w:rsidRPr="00F21495">
        <w:rPr>
          <w:rFonts w:ascii="David" w:hAnsi="David"/>
          <w:rtl/>
        </w:rPr>
        <w:t xml:space="preserve">עמדותיו המקלות </w:t>
      </w:r>
      <w:r w:rsidRPr="00F21495">
        <w:rPr>
          <w:rFonts w:ascii="David" w:hAnsi="David" w:hint="cs"/>
          <w:rtl/>
        </w:rPr>
        <w:t xml:space="preserve">לגביי </w:t>
      </w:r>
      <w:r w:rsidRPr="00F21495">
        <w:rPr>
          <w:rFonts w:ascii="David" w:hAnsi="David"/>
          <w:rtl/>
        </w:rPr>
        <w:t xml:space="preserve">שימוש בסמים </w:t>
      </w:r>
      <w:r w:rsidRPr="00F21495">
        <w:rPr>
          <w:rFonts w:ascii="David" w:hAnsi="David" w:hint="cs"/>
          <w:rtl/>
        </w:rPr>
        <w:t>ש</w:t>
      </w:r>
      <w:r w:rsidRPr="00F21495">
        <w:rPr>
          <w:rFonts w:ascii="David" w:hAnsi="David"/>
          <w:rtl/>
        </w:rPr>
        <w:t xml:space="preserve">אפשרו העמקת קשריו השוליים בתחום זה. כגורמי סיכוי לשיקום </w:t>
      </w:r>
      <w:r w:rsidRPr="00F21495">
        <w:rPr>
          <w:rFonts w:ascii="David" w:hAnsi="David" w:hint="cs"/>
          <w:rtl/>
        </w:rPr>
        <w:t>צוינו</w:t>
      </w:r>
      <w:r w:rsidRPr="00F21495">
        <w:rPr>
          <w:rFonts w:ascii="David" w:hAnsi="David"/>
          <w:rtl/>
        </w:rPr>
        <w:t xml:space="preserve"> העדר עברו הפלילי והרושם שמעצרו הנוכחי של הנאשם הפגיש אותו עם המחירים להתנהגותו והציב גבול עבורו, </w:t>
      </w:r>
      <w:r w:rsidRPr="00F21495">
        <w:rPr>
          <w:rFonts w:ascii="David" w:hAnsi="David" w:hint="cs"/>
          <w:rtl/>
        </w:rPr>
        <w:t>נטילת</w:t>
      </w:r>
      <w:r w:rsidRPr="00F21495">
        <w:rPr>
          <w:rFonts w:ascii="David" w:hAnsi="David"/>
          <w:rtl/>
        </w:rPr>
        <w:t xml:space="preserve"> האחריות על ביצוע העבירות</w:t>
      </w:r>
      <w:r w:rsidRPr="00F21495">
        <w:rPr>
          <w:rFonts w:ascii="David" w:hAnsi="David" w:hint="cs"/>
          <w:rtl/>
        </w:rPr>
        <w:t>,</w:t>
      </w:r>
      <w:r w:rsidRPr="00F21495">
        <w:rPr>
          <w:rFonts w:ascii="David" w:hAnsi="David"/>
          <w:rtl/>
        </w:rPr>
        <w:t xml:space="preserve"> ונקיטת היוזמה מצדו של הנאשם להשתלב בטיפול פרטני במסגרת "התחלה חדשה" מזה כשנה</w:t>
      </w:r>
      <w:r w:rsidRPr="00F21495">
        <w:rPr>
          <w:rFonts w:ascii="David" w:hAnsi="David" w:hint="cs"/>
          <w:rtl/>
        </w:rPr>
        <w:t xml:space="preserve">. </w:t>
      </w:r>
      <w:r w:rsidRPr="00F21495">
        <w:rPr>
          <w:rFonts w:ascii="David" w:hAnsi="David"/>
          <w:rtl/>
        </w:rPr>
        <w:t xml:space="preserve">נוכח </w:t>
      </w:r>
      <w:r w:rsidRPr="00F21495">
        <w:rPr>
          <w:rFonts w:ascii="David" w:hAnsi="David" w:hint="cs"/>
          <w:rtl/>
        </w:rPr>
        <w:t>נטילת</w:t>
      </w:r>
      <w:r w:rsidRPr="00F21495">
        <w:rPr>
          <w:rFonts w:ascii="David" w:hAnsi="David"/>
          <w:rtl/>
        </w:rPr>
        <w:t xml:space="preserve"> </w:t>
      </w:r>
      <w:r w:rsidRPr="00F21495">
        <w:rPr>
          <w:rFonts w:ascii="David" w:hAnsi="David" w:hint="cs"/>
          <w:rtl/>
        </w:rPr>
        <w:t>האחריות</w:t>
      </w:r>
      <w:r w:rsidRPr="00F21495">
        <w:rPr>
          <w:rFonts w:ascii="David" w:hAnsi="David"/>
          <w:rtl/>
        </w:rPr>
        <w:t xml:space="preserve"> של הנאשם על מעשיו </w:t>
      </w:r>
      <w:r w:rsidRPr="00F21495">
        <w:rPr>
          <w:rFonts w:ascii="David" w:hAnsi="David" w:hint="cs"/>
          <w:rtl/>
        </w:rPr>
        <w:t>וההליך השיקומי</w:t>
      </w:r>
      <w:r w:rsidRPr="00F21495">
        <w:rPr>
          <w:rFonts w:ascii="David" w:hAnsi="David"/>
          <w:rtl/>
        </w:rPr>
        <w:t xml:space="preserve"> </w:t>
      </w:r>
      <w:r w:rsidRPr="00F21495">
        <w:rPr>
          <w:rFonts w:ascii="David" w:hAnsi="David" w:hint="cs"/>
          <w:rtl/>
        </w:rPr>
        <w:t>אותו עובר</w:t>
      </w:r>
      <w:r w:rsidRPr="00F21495">
        <w:rPr>
          <w:rFonts w:ascii="David" w:hAnsi="David"/>
          <w:rtl/>
        </w:rPr>
        <w:t xml:space="preserve"> המליץ שירות המבחן על שילובו </w:t>
      </w:r>
      <w:r w:rsidRPr="00F21495">
        <w:rPr>
          <w:rFonts w:ascii="David" w:hAnsi="David" w:hint="cs"/>
          <w:rtl/>
        </w:rPr>
        <w:t xml:space="preserve">של הנאשם </w:t>
      </w:r>
      <w:r w:rsidRPr="00F21495">
        <w:rPr>
          <w:rFonts w:ascii="David" w:hAnsi="David"/>
          <w:rtl/>
        </w:rPr>
        <w:t>בקבוצת צעירים והמשך מעקב אחר טיפולו, ודחיית הדיון לשם כך ב-3 חודשים.</w:t>
      </w:r>
    </w:p>
    <w:p w14:paraId="2D419768" w14:textId="77777777" w:rsidR="00764D78" w:rsidRPr="00F21495" w:rsidRDefault="00764D78" w:rsidP="00764D78">
      <w:pPr>
        <w:pStyle w:val="a9"/>
        <w:rPr>
          <w:rFonts w:ascii="David" w:hAnsi="David"/>
          <w:sz w:val="20"/>
          <w:szCs w:val="20"/>
        </w:rPr>
      </w:pPr>
    </w:p>
    <w:p w14:paraId="485A4992"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b/>
          <w:bCs/>
          <w:rtl/>
        </w:rPr>
        <w:t xml:space="preserve">בתסקיר </w:t>
      </w:r>
      <w:r w:rsidRPr="00F21495">
        <w:rPr>
          <w:rFonts w:ascii="David" w:hAnsi="David" w:hint="cs"/>
          <w:b/>
          <w:bCs/>
          <w:rtl/>
        </w:rPr>
        <w:t>המשלים מיום</w:t>
      </w:r>
      <w:r w:rsidRPr="00F21495">
        <w:rPr>
          <w:rFonts w:ascii="David" w:hAnsi="David"/>
          <w:rtl/>
        </w:rPr>
        <w:t xml:space="preserve"> 20.6.2021 פורט כי הנאשם ממשיך </w:t>
      </w:r>
      <w:r w:rsidRPr="00F21495">
        <w:rPr>
          <w:rFonts w:ascii="David" w:hAnsi="David" w:hint="cs"/>
          <w:rtl/>
        </w:rPr>
        <w:t>בעבודתו בתחום שירות לקוחות מביתו ו</w:t>
      </w:r>
      <w:r w:rsidRPr="00F21495">
        <w:rPr>
          <w:rFonts w:ascii="David" w:hAnsi="David"/>
          <w:rtl/>
        </w:rPr>
        <w:t xml:space="preserve">בלימודיו בתחום המוזיקה. הנאשם שיתף בחשיבות הטיפול עבורו ובתרומתו הרבה להתבגרותו ולניהול חייו. פורט כי על פי דברי </w:t>
      </w:r>
      <w:r w:rsidRPr="00F21495">
        <w:rPr>
          <w:rFonts w:ascii="David" w:hAnsi="David" w:hint="cs"/>
          <w:rtl/>
        </w:rPr>
        <w:t>מטפלת הנאשם ב"התחלה חדשה" הנאשם</w:t>
      </w:r>
      <w:r w:rsidRPr="00F21495">
        <w:rPr>
          <w:rFonts w:ascii="David" w:hAnsi="David"/>
          <w:rtl/>
        </w:rPr>
        <w:t xml:space="preserve"> מתמיד בשיחות ומשתף באופן </w:t>
      </w:r>
      <w:r w:rsidRPr="00F21495">
        <w:rPr>
          <w:rFonts w:ascii="David" w:hAnsi="David" w:hint="cs"/>
          <w:rtl/>
        </w:rPr>
        <w:t>כן</w:t>
      </w:r>
      <w:r w:rsidRPr="00F21495">
        <w:rPr>
          <w:rFonts w:ascii="David" w:hAnsi="David"/>
          <w:rtl/>
        </w:rPr>
        <w:t xml:space="preserve"> ומלא</w:t>
      </w:r>
      <w:r w:rsidRPr="00F21495">
        <w:rPr>
          <w:rFonts w:ascii="David" w:hAnsi="David" w:hint="cs"/>
          <w:rtl/>
        </w:rPr>
        <w:t xml:space="preserve"> ו</w:t>
      </w:r>
      <w:r w:rsidRPr="00F21495">
        <w:rPr>
          <w:rFonts w:ascii="David" w:hAnsi="David"/>
          <w:rtl/>
        </w:rPr>
        <w:t xml:space="preserve">התרשמות המטפלת היא כי הטיפול משמעותי ומועיל. צוין כי הנאשם נמצא ברשימת המתנה </w:t>
      </w:r>
      <w:r w:rsidRPr="00F21495">
        <w:rPr>
          <w:rFonts w:ascii="David" w:hAnsi="David" w:hint="cs"/>
          <w:rtl/>
        </w:rPr>
        <w:t xml:space="preserve">ארוכה </w:t>
      </w:r>
      <w:r w:rsidRPr="00F21495">
        <w:rPr>
          <w:rFonts w:ascii="David" w:hAnsi="David"/>
          <w:rtl/>
        </w:rPr>
        <w:t>להשתתפות בקבוצת הצעירים אשר עתידה להיפתח בשירות המבחן.</w:t>
      </w:r>
      <w:r w:rsidRPr="00F21495">
        <w:rPr>
          <w:rFonts w:ascii="David" w:hAnsi="David"/>
        </w:rPr>
        <w:t xml:space="preserve"> </w:t>
      </w:r>
      <w:r w:rsidRPr="00F21495">
        <w:rPr>
          <w:rFonts w:ascii="David" w:hAnsi="David"/>
          <w:rtl/>
        </w:rPr>
        <w:t xml:space="preserve">בדיקת שתן נוספת שנערכה לנאשם הניבה גם היא תוצאה חיובית לשרידי סם, דבר אשר תואם את הצהרת הנאשם כי </w:t>
      </w:r>
      <w:r w:rsidRPr="00F21495">
        <w:rPr>
          <w:rFonts w:ascii="David" w:hAnsi="David" w:hint="cs"/>
          <w:rtl/>
        </w:rPr>
        <w:t xml:space="preserve">הוא </w:t>
      </w:r>
      <w:r w:rsidRPr="00F21495">
        <w:rPr>
          <w:rFonts w:ascii="David" w:hAnsi="David"/>
          <w:rtl/>
        </w:rPr>
        <w:t>צורך קנאביס רפואי ברישיון. כמו כן פורט כי לא נפתחו לנאשם תיקים חדשים בתקופת הדחייה.</w:t>
      </w:r>
    </w:p>
    <w:p w14:paraId="4AC5493E" w14:textId="77777777" w:rsidR="00764D78" w:rsidRPr="00F21495" w:rsidRDefault="00764D78" w:rsidP="00764D78">
      <w:pPr>
        <w:pStyle w:val="a9"/>
        <w:rPr>
          <w:rFonts w:ascii="David" w:hAnsi="David"/>
          <w:sz w:val="20"/>
          <w:szCs w:val="20"/>
        </w:rPr>
      </w:pPr>
    </w:p>
    <w:p w14:paraId="0D97BC3F"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rPr>
        <w:t xml:space="preserve"> </w:t>
      </w:r>
      <w:r w:rsidRPr="00F21495">
        <w:rPr>
          <w:rFonts w:ascii="David" w:hAnsi="David"/>
          <w:rtl/>
        </w:rPr>
        <w:t xml:space="preserve">להתרשמות שירות המבחן הסיכון </w:t>
      </w:r>
      <w:r w:rsidRPr="00F21495">
        <w:rPr>
          <w:rFonts w:ascii="David" w:hAnsi="David" w:hint="cs"/>
          <w:rtl/>
        </w:rPr>
        <w:t xml:space="preserve">מהנאשם </w:t>
      </w:r>
      <w:r w:rsidRPr="00F21495">
        <w:rPr>
          <w:rFonts w:ascii="David" w:hAnsi="David"/>
          <w:rtl/>
        </w:rPr>
        <w:t xml:space="preserve">למעורבות פלילית דומה בעתיד </w:t>
      </w:r>
      <w:r w:rsidRPr="00F21495">
        <w:rPr>
          <w:rFonts w:ascii="David" w:hAnsi="David" w:hint="cs"/>
          <w:rtl/>
        </w:rPr>
        <w:t>נמוך.</w:t>
      </w:r>
      <w:r w:rsidRPr="00F21495">
        <w:rPr>
          <w:rFonts w:ascii="David" w:hAnsi="David"/>
          <w:rtl/>
        </w:rPr>
        <w:t xml:space="preserve"> </w:t>
      </w:r>
      <w:r w:rsidRPr="00F21495">
        <w:rPr>
          <w:rFonts w:ascii="David" w:hAnsi="David" w:hint="cs"/>
          <w:rtl/>
        </w:rPr>
        <w:t>המלצתו היא</w:t>
      </w:r>
      <w:r w:rsidRPr="00F21495">
        <w:rPr>
          <w:rFonts w:ascii="David" w:hAnsi="David"/>
          <w:rtl/>
        </w:rPr>
        <w:t xml:space="preserve"> </w:t>
      </w:r>
      <w:r w:rsidRPr="00F21495">
        <w:rPr>
          <w:rFonts w:ascii="David" w:hAnsi="David" w:hint="cs"/>
          <w:rtl/>
        </w:rPr>
        <w:t>ל</w:t>
      </w:r>
      <w:r w:rsidRPr="00F21495">
        <w:rPr>
          <w:rFonts w:ascii="David" w:hAnsi="David"/>
          <w:rtl/>
        </w:rPr>
        <w:t xml:space="preserve">הטלת צו מבחן </w:t>
      </w:r>
      <w:r w:rsidRPr="00F21495">
        <w:rPr>
          <w:rFonts w:ascii="David" w:hAnsi="David" w:hint="cs"/>
          <w:rtl/>
        </w:rPr>
        <w:t xml:space="preserve">למשך שנה על הנאשם, </w:t>
      </w:r>
      <w:r w:rsidRPr="00F21495">
        <w:rPr>
          <w:rFonts w:ascii="David" w:hAnsi="David"/>
          <w:rtl/>
        </w:rPr>
        <w:t xml:space="preserve">במהלכה ימשיך בטיפול במסגרת "התחלה חדשה" תוך מעקב של שירות המבחן, </w:t>
      </w:r>
      <w:r w:rsidRPr="00F21495">
        <w:rPr>
          <w:rFonts w:ascii="David" w:hAnsi="David" w:hint="cs"/>
          <w:rtl/>
        </w:rPr>
        <w:t>ו</w:t>
      </w:r>
      <w:r w:rsidRPr="00F21495">
        <w:rPr>
          <w:rFonts w:ascii="David" w:hAnsi="David"/>
          <w:rtl/>
        </w:rPr>
        <w:t>תיבדק אפשרות שילובו בקבוצת הצעירים של שירות המבחן</w:t>
      </w:r>
      <w:r w:rsidRPr="00F21495">
        <w:rPr>
          <w:rFonts w:ascii="David" w:hAnsi="David" w:hint="cs"/>
          <w:rtl/>
        </w:rPr>
        <w:t xml:space="preserve"> בהתאם לרשימת ההמתנה</w:t>
      </w:r>
      <w:r w:rsidRPr="00F21495">
        <w:rPr>
          <w:rFonts w:ascii="David" w:hAnsi="David"/>
          <w:rtl/>
        </w:rPr>
        <w:t>. בנוסף, המליץ שירות המבחן על הטלת צו של"צ בהיקף רחב של 300 שעות והתחייבות להימנע מביצוע עבירה.</w:t>
      </w:r>
    </w:p>
    <w:p w14:paraId="111D85DF" w14:textId="77777777" w:rsidR="00764D78" w:rsidRPr="00F21495" w:rsidRDefault="00764D78" w:rsidP="00764D78">
      <w:pPr>
        <w:pStyle w:val="a9"/>
        <w:rPr>
          <w:rFonts w:ascii="David" w:hAnsi="David"/>
          <w:b/>
          <w:bCs/>
          <w:rtl/>
        </w:rPr>
      </w:pPr>
    </w:p>
    <w:p w14:paraId="34A56C57" w14:textId="77777777" w:rsidR="00764D78" w:rsidRPr="00F21495" w:rsidRDefault="00764D78" w:rsidP="00764D78">
      <w:pPr>
        <w:pStyle w:val="a9"/>
        <w:numPr>
          <w:ilvl w:val="0"/>
          <w:numId w:val="1"/>
        </w:numPr>
        <w:spacing w:line="360" w:lineRule="auto"/>
        <w:ind w:left="-58" w:firstLine="73"/>
        <w:jc w:val="both"/>
        <w:rPr>
          <w:rFonts w:ascii="David" w:hAnsi="David"/>
          <w:rtl/>
        </w:rPr>
      </w:pPr>
      <w:r w:rsidRPr="00F21495">
        <w:rPr>
          <w:rFonts w:ascii="David" w:hAnsi="David"/>
          <w:b/>
          <w:bCs/>
          <w:rtl/>
        </w:rPr>
        <w:t>מטעם ההגנה העדה אימו של הנאשם</w:t>
      </w:r>
      <w:r w:rsidRPr="00F21495">
        <w:rPr>
          <w:rFonts w:ascii="David" w:hAnsi="David"/>
          <w:rtl/>
        </w:rPr>
        <w:t xml:space="preserve"> אשר פירטה אודות ההליך </w:t>
      </w:r>
      <w:r w:rsidRPr="00F21495">
        <w:rPr>
          <w:rFonts w:ascii="David" w:hAnsi="David" w:hint="cs"/>
          <w:rtl/>
        </w:rPr>
        <w:t xml:space="preserve">השיקומי </w:t>
      </w:r>
      <w:r w:rsidRPr="00F21495">
        <w:rPr>
          <w:rFonts w:ascii="David" w:hAnsi="David"/>
          <w:rtl/>
        </w:rPr>
        <w:t>שעובר הנאשם</w:t>
      </w:r>
      <w:r w:rsidRPr="00F21495">
        <w:rPr>
          <w:rFonts w:ascii="David" w:hAnsi="David" w:hint="cs"/>
          <w:rtl/>
        </w:rPr>
        <w:t xml:space="preserve"> שהוא</w:t>
      </w:r>
      <w:r w:rsidRPr="00F21495">
        <w:rPr>
          <w:rFonts w:ascii="David" w:hAnsi="David"/>
          <w:rtl/>
        </w:rPr>
        <w:t xml:space="preserve"> בנה הצעיר</w:t>
      </w:r>
      <w:r w:rsidRPr="00F21495">
        <w:rPr>
          <w:rFonts w:ascii="David" w:hAnsi="David" w:hint="cs"/>
          <w:rtl/>
        </w:rPr>
        <w:t xml:space="preserve"> </w:t>
      </w:r>
      <w:r w:rsidRPr="00F21495">
        <w:rPr>
          <w:rFonts w:ascii="David" w:hAnsi="David"/>
          <w:rtl/>
        </w:rPr>
        <w:t xml:space="preserve">במסגרת "התחלה חדשה" והחשיבות </w:t>
      </w:r>
      <w:r w:rsidRPr="00F21495">
        <w:rPr>
          <w:rFonts w:ascii="David" w:hAnsi="David" w:hint="cs"/>
          <w:rtl/>
        </w:rPr>
        <w:t>ה</w:t>
      </w:r>
      <w:r w:rsidRPr="00F21495">
        <w:rPr>
          <w:rFonts w:ascii="David" w:hAnsi="David"/>
          <w:rtl/>
        </w:rPr>
        <w:t xml:space="preserve">הליך עבורו. עוד </w:t>
      </w:r>
      <w:r w:rsidRPr="00F21495">
        <w:rPr>
          <w:rFonts w:ascii="David" w:hAnsi="David" w:hint="cs"/>
          <w:rtl/>
        </w:rPr>
        <w:t>פירטה אודות לימודי המוזיקה של הנאשם, הצלחתו בלימודים</w:t>
      </w:r>
      <w:r w:rsidRPr="00F21495">
        <w:rPr>
          <w:rFonts w:ascii="David" w:hAnsi="David"/>
          <w:rtl/>
        </w:rPr>
        <w:t xml:space="preserve">, </w:t>
      </w:r>
      <w:r w:rsidRPr="00F21495">
        <w:rPr>
          <w:rFonts w:ascii="David" w:hAnsi="David" w:hint="cs"/>
          <w:rtl/>
        </w:rPr>
        <w:t xml:space="preserve">ומחויבותו להם וכי </w:t>
      </w:r>
      <w:r w:rsidRPr="00F21495">
        <w:rPr>
          <w:rFonts w:ascii="David" w:hAnsi="David"/>
          <w:rtl/>
        </w:rPr>
        <w:t>הנאשם מצוי בקשר זוגי למעלה מחצי שנה.</w:t>
      </w:r>
    </w:p>
    <w:p w14:paraId="493A2583" w14:textId="77777777" w:rsidR="00764D78" w:rsidRPr="00F21495" w:rsidRDefault="00764D78" w:rsidP="00764D78">
      <w:pPr>
        <w:pStyle w:val="a9"/>
        <w:rPr>
          <w:rFonts w:ascii="David" w:hAnsi="David"/>
          <w:sz w:val="20"/>
          <w:szCs w:val="20"/>
        </w:rPr>
      </w:pPr>
    </w:p>
    <w:p w14:paraId="56BDFF9C" w14:textId="77777777" w:rsidR="00764D78" w:rsidRPr="00F21495" w:rsidRDefault="00764D78" w:rsidP="00764D78">
      <w:pPr>
        <w:pStyle w:val="a9"/>
        <w:spacing w:line="360" w:lineRule="auto"/>
        <w:ind w:left="15"/>
        <w:jc w:val="both"/>
        <w:rPr>
          <w:rFonts w:ascii="David" w:hAnsi="David"/>
          <w:b/>
          <w:bCs/>
          <w:rtl/>
        </w:rPr>
      </w:pPr>
      <w:r w:rsidRPr="00F21495">
        <w:rPr>
          <w:rFonts w:ascii="David" w:hAnsi="David"/>
          <w:b/>
          <w:bCs/>
          <w:rtl/>
        </w:rPr>
        <w:t>תמצית ראיות וטיעוני הצדדים לעונש</w:t>
      </w:r>
    </w:p>
    <w:p w14:paraId="5203E886"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b/>
          <w:bCs/>
          <w:rtl/>
        </w:rPr>
        <w:t>ב"כ המאשימה</w:t>
      </w:r>
      <w:r w:rsidRPr="00F21495">
        <w:rPr>
          <w:rFonts w:ascii="David" w:hAnsi="David"/>
          <w:rtl/>
        </w:rPr>
        <w:t xml:space="preserve"> הפנה לערכים המוגנים </w:t>
      </w:r>
      <w:r w:rsidRPr="00F21495">
        <w:rPr>
          <w:rFonts w:ascii="David" w:hAnsi="David" w:hint="cs"/>
          <w:rtl/>
        </w:rPr>
        <w:t>ב</w:t>
      </w:r>
      <w:r w:rsidRPr="00F21495">
        <w:rPr>
          <w:rFonts w:ascii="David" w:hAnsi="David"/>
          <w:rtl/>
        </w:rPr>
        <w:t xml:space="preserve">עבירות </w:t>
      </w:r>
      <w:r w:rsidRPr="00F21495">
        <w:rPr>
          <w:rFonts w:ascii="David" w:hAnsi="David" w:hint="cs"/>
          <w:rtl/>
        </w:rPr>
        <w:t>שבביצוען</w:t>
      </w:r>
      <w:r w:rsidRPr="00F21495">
        <w:rPr>
          <w:rFonts w:ascii="David" w:hAnsi="David"/>
          <w:rtl/>
        </w:rPr>
        <w:t xml:space="preserve"> הורשע הנאשם</w:t>
      </w:r>
      <w:r w:rsidRPr="00F21495">
        <w:rPr>
          <w:rFonts w:ascii="David" w:hAnsi="David" w:hint="cs"/>
          <w:rtl/>
        </w:rPr>
        <w:t xml:space="preserve"> ולנסיבות ביצוען, ונטען כי אלה מלומדות על מידת פגיעה בינונית או גבוהה בהם. בהקשר זה הפנה לתכנון ולהיערכות לביצוע מכירות הסם, לרקע המסחרי למכירתו, </w:t>
      </w:r>
      <w:r w:rsidRPr="00F21495">
        <w:rPr>
          <w:rFonts w:ascii="David" w:hAnsi="David"/>
          <w:rtl/>
        </w:rPr>
        <w:t>לסוג הסם, לכמותו</w:t>
      </w:r>
      <w:r w:rsidRPr="00F21495">
        <w:rPr>
          <w:rFonts w:ascii="David" w:hAnsi="David" w:hint="cs"/>
          <w:rtl/>
        </w:rPr>
        <w:t>, לזמינותו לנאשם</w:t>
      </w:r>
      <w:r w:rsidRPr="00F21495">
        <w:rPr>
          <w:rFonts w:ascii="David" w:hAnsi="David"/>
          <w:rtl/>
        </w:rPr>
        <w:t xml:space="preserve"> ולתמורה שקיבל עבור</w:t>
      </w:r>
      <w:r w:rsidRPr="00F21495">
        <w:rPr>
          <w:rFonts w:ascii="David" w:hAnsi="David" w:hint="cs"/>
          <w:rtl/>
        </w:rPr>
        <w:t xml:space="preserve">ו. לטעמו, בנסיבות אלה ולפי הפסיקה נכון לקבוע בגין העבירות כאירוע מתחם ענישה </w:t>
      </w:r>
      <w:r w:rsidRPr="00F21495">
        <w:rPr>
          <w:rFonts w:ascii="David" w:hAnsi="David"/>
          <w:rtl/>
        </w:rPr>
        <w:t>בין 12 ו-28 חודשי מאסר</w:t>
      </w:r>
      <w:r w:rsidRPr="00F21495">
        <w:rPr>
          <w:rFonts w:ascii="David" w:hAnsi="David" w:hint="cs"/>
          <w:rtl/>
        </w:rPr>
        <w:t>. במקרה דנן,</w:t>
      </w:r>
      <w:r w:rsidRPr="00F21495">
        <w:rPr>
          <w:rFonts w:ascii="David" w:hAnsi="David"/>
          <w:rtl/>
        </w:rPr>
        <w:t xml:space="preserve"> </w:t>
      </w:r>
      <w:r w:rsidRPr="00F21495">
        <w:rPr>
          <w:rFonts w:ascii="David" w:hAnsi="David" w:hint="cs"/>
          <w:rtl/>
        </w:rPr>
        <w:t xml:space="preserve">לאור הנתונים החיוביים בעניינו של הנאשם ושיקולי שיקום הסכים כי ייגזר על הנאשם עונש החורג לקולא ממתחם העונש ההולם, אותו ניתן לרצות בעבודות שירות. </w:t>
      </w:r>
    </w:p>
    <w:p w14:paraId="7AFC493F" w14:textId="77777777" w:rsidR="00764D78" w:rsidRPr="00F21495" w:rsidRDefault="00764D78" w:rsidP="00764D78">
      <w:pPr>
        <w:pStyle w:val="a9"/>
        <w:ind w:left="15"/>
        <w:jc w:val="both"/>
        <w:rPr>
          <w:rFonts w:ascii="David" w:hAnsi="David"/>
          <w:sz w:val="20"/>
          <w:szCs w:val="20"/>
        </w:rPr>
      </w:pPr>
    </w:p>
    <w:p w14:paraId="3B92FDA8" w14:textId="77777777" w:rsidR="00764D78" w:rsidRPr="00F21495" w:rsidRDefault="00764D78" w:rsidP="00764D78">
      <w:pPr>
        <w:pStyle w:val="a9"/>
        <w:numPr>
          <w:ilvl w:val="0"/>
          <w:numId w:val="1"/>
        </w:numPr>
        <w:spacing w:line="360" w:lineRule="auto"/>
        <w:ind w:left="-58" w:firstLine="73"/>
        <w:jc w:val="both"/>
        <w:rPr>
          <w:rFonts w:ascii="David" w:hAnsi="David"/>
          <w:sz w:val="20"/>
          <w:szCs w:val="20"/>
        </w:rPr>
      </w:pPr>
      <w:r w:rsidRPr="00F21495">
        <w:rPr>
          <w:rFonts w:ascii="David" w:hAnsi="David" w:hint="cs"/>
          <w:rtl/>
        </w:rPr>
        <w:t>עמדת ב"כ המאשימה היא שיש לגזור על הנאשם עונש מאסר לריצוי בעבודות שירות ברף הגבוה (תוך ניכוי ימי מעצרו אך ללא ימי מעצרו באיזוק אלקטרוני) ולא פחות מכך, מה שמהווה חריגה מידתית ממתחם העונש ההולם בנסיבות. זאת בשים לב גם לחשיבות האינטרס הציבורי וההרתעה בסוג זה של עבירות בהן מקבלות נסיבות אישיות משקל פחות. בנוסף, עתר כי</w:t>
      </w:r>
      <w:r w:rsidRPr="00F21495">
        <w:rPr>
          <w:rFonts w:ascii="David" w:hAnsi="David"/>
          <w:rtl/>
        </w:rPr>
        <w:t xml:space="preserve"> הנאשם </w:t>
      </w:r>
      <w:r w:rsidRPr="00F21495">
        <w:rPr>
          <w:rFonts w:ascii="David" w:hAnsi="David" w:hint="cs"/>
          <w:rtl/>
        </w:rPr>
        <w:t xml:space="preserve">יוכרז </w:t>
      </w:r>
      <w:r w:rsidRPr="00F21495">
        <w:rPr>
          <w:rFonts w:ascii="David" w:hAnsi="David"/>
          <w:rtl/>
        </w:rPr>
        <w:t xml:space="preserve">"סוחר סמים" </w:t>
      </w:r>
      <w:r w:rsidRPr="00F21495">
        <w:rPr>
          <w:rFonts w:ascii="David" w:hAnsi="David" w:hint="cs"/>
          <w:rtl/>
        </w:rPr>
        <w:t>וה</w:t>
      </w:r>
      <w:r w:rsidRPr="00F21495">
        <w:rPr>
          <w:rFonts w:ascii="David" w:hAnsi="David"/>
          <w:rtl/>
        </w:rPr>
        <w:t>טלפון נייד</w:t>
      </w:r>
      <w:r w:rsidRPr="00F21495">
        <w:rPr>
          <w:rFonts w:ascii="David" w:hAnsi="David" w:hint="cs"/>
          <w:rtl/>
        </w:rPr>
        <w:t xml:space="preserve"> שנתפס מידיו יחולט</w:t>
      </w:r>
      <w:r w:rsidRPr="00F21495">
        <w:rPr>
          <w:rFonts w:ascii="David" w:hAnsi="David"/>
          <w:rtl/>
        </w:rPr>
        <w:t xml:space="preserve">. </w:t>
      </w:r>
      <w:r w:rsidRPr="00F21495">
        <w:rPr>
          <w:rFonts w:ascii="David" w:hAnsi="David" w:hint="cs"/>
          <w:rtl/>
        </w:rPr>
        <w:t>ב"כ המאשימה טען כי טענות הנוגעות לקשיים ראייתיי</w:t>
      </w:r>
      <w:r w:rsidRPr="00F21495">
        <w:rPr>
          <w:rFonts w:ascii="David" w:hAnsi="David" w:hint="eastAsia"/>
          <w:rtl/>
        </w:rPr>
        <w:t>ם</w:t>
      </w:r>
      <w:r w:rsidRPr="00F21495">
        <w:rPr>
          <w:rFonts w:ascii="David" w:hAnsi="David" w:hint="cs"/>
          <w:rtl/>
        </w:rPr>
        <w:t xml:space="preserve"> ומשפטיים באו לידי ביטוי בתיקון כתב האישום ואין לתת להם משקל נוסף, וביחס לחלוף הזמן, המדובר בנתון אובייקטיבי שיילקח בחשבון.</w:t>
      </w:r>
    </w:p>
    <w:p w14:paraId="1119F4F8" w14:textId="77777777" w:rsidR="00764D78" w:rsidRPr="00F21495" w:rsidRDefault="00764D78" w:rsidP="00764D78">
      <w:pPr>
        <w:pStyle w:val="a9"/>
        <w:rPr>
          <w:rFonts w:ascii="David" w:hAnsi="David"/>
          <w:b/>
          <w:bCs/>
          <w:rtl/>
        </w:rPr>
      </w:pPr>
    </w:p>
    <w:p w14:paraId="2BD786E4" w14:textId="77777777" w:rsidR="00764D78" w:rsidRPr="00F21495" w:rsidRDefault="00764D78" w:rsidP="00764D78">
      <w:pPr>
        <w:pStyle w:val="a9"/>
        <w:numPr>
          <w:ilvl w:val="0"/>
          <w:numId w:val="1"/>
        </w:numPr>
        <w:spacing w:line="360" w:lineRule="auto"/>
        <w:ind w:left="-58" w:firstLine="73"/>
        <w:jc w:val="both"/>
        <w:rPr>
          <w:rFonts w:ascii="David" w:hAnsi="David"/>
          <w:sz w:val="20"/>
          <w:szCs w:val="20"/>
        </w:rPr>
      </w:pPr>
      <w:r w:rsidRPr="00F21495">
        <w:rPr>
          <w:rFonts w:ascii="David" w:hAnsi="David"/>
          <w:b/>
          <w:bCs/>
          <w:rtl/>
        </w:rPr>
        <w:t>ב"כ הנאשם</w:t>
      </w:r>
      <w:r w:rsidRPr="00F21495">
        <w:rPr>
          <w:rFonts w:ascii="David" w:hAnsi="David"/>
          <w:rtl/>
        </w:rPr>
        <w:t xml:space="preserve"> עתר למיקומו של הנאשם ברף התחתון של </w:t>
      </w:r>
      <w:r w:rsidRPr="00F21495">
        <w:rPr>
          <w:rFonts w:ascii="David" w:hAnsi="David" w:hint="cs"/>
          <w:rtl/>
        </w:rPr>
        <w:t>עונש המאסר ב</w:t>
      </w:r>
      <w:r w:rsidRPr="00F21495">
        <w:rPr>
          <w:rFonts w:ascii="David" w:hAnsi="David"/>
          <w:rtl/>
        </w:rPr>
        <w:t>עבודות השירות</w:t>
      </w:r>
      <w:r w:rsidRPr="00F21495">
        <w:rPr>
          <w:rFonts w:ascii="David" w:hAnsi="David" w:hint="cs"/>
          <w:rtl/>
        </w:rPr>
        <w:t xml:space="preserve"> בהתאם להסדר הטווח בין הצדדים, הפנה לכך ששירות המבחן המליץ להימנע </w:t>
      </w:r>
      <w:r w:rsidRPr="00F21495">
        <w:rPr>
          <w:rFonts w:ascii="David" w:hAnsi="David"/>
          <w:rtl/>
        </w:rPr>
        <w:t xml:space="preserve">מעונש של עבודות שירות על מנת שלא לפגוע בהליך הטיפולי </w:t>
      </w:r>
      <w:r w:rsidRPr="00F21495">
        <w:rPr>
          <w:rFonts w:ascii="David" w:hAnsi="David" w:hint="cs"/>
          <w:rtl/>
        </w:rPr>
        <w:t xml:space="preserve">וטען </w:t>
      </w:r>
      <w:r w:rsidRPr="00F21495">
        <w:rPr>
          <w:rFonts w:ascii="David" w:hAnsi="David"/>
          <w:rtl/>
        </w:rPr>
        <w:t xml:space="preserve">כי </w:t>
      </w:r>
      <w:r w:rsidRPr="00F21495">
        <w:rPr>
          <w:rFonts w:ascii="David" w:hAnsi="David" w:hint="cs"/>
          <w:rtl/>
        </w:rPr>
        <w:t xml:space="preserve">בנסיבות אלה </w:t>
      </w:r>
      <w:r w:rsidRPr="00F21495">
        <w:rPr>
          <w:rFonts w:ascii="David" w:hAnsi="David"/>
          <w:rtl/>
        </w:rPr>
        <w:t>הסכמת ההגנה להסדר הטווח תפגע במיד</w:t>
      </w:r>
      <w:r w:rsidRPr="00F21495">
        <w:rPr>
          <w:rFonts w:ascii="David" w:hAnsi="David" w:hint="cs"/>
          <w:rtl/>
        </w:rPr>
        <w:t>ה</w:t>
      </w:r>
      <w:r w:rsidRPr="00F21495">
        <w:rPr>
          <w:rFonts w:ascii="David" w:hAnsi="David"/>
          <w:rtl/>
        </w:rPr>
        <w:t xml:space="preserve"> מסוימת </w:t>
      </w:r>
      <w:r w:rsidRPr="00F21495">
        <w:rPr>
          <w:rFonts w:ascii="David" w:hAnsi="David" w:hint="cs"/>
          <w:rtl/>
        </w:rPr>
        <w:t>בהשתלבות הנאשם</w:t>
      </w:r>
      <w:r w:rsidRPr="00F21495">
        <w:rPr>
          <w:rFonts w:ascii="David" w:hAnsi="David"/>
          <w:rtl/>
        </w:rPr>
        <w:t xml:space="preserve"> בלימודים ובעבודה. </w:t>
      </w:r>
      <w:r w:rsidRPr="00F21495">
        <w:rPr>
          <w:rFonts w:ascii="David" w:hAnsi="David" w:hint="cs"/>
          <w:rtl/>
        </w:rPr>
        <w:t>בנוסף</w:t>
      </w:r>
      <w:r w:rsidRPr="00F21495">
        <w:rPr>
          <w:rFonts w:ascii="David" w:hAnsi="David"/>
          <w:rtl/>
        </w:rPr>
        <w:t xml:space="preserve"> </w:t>
      </w:r>
      <w:r w:rsidRPr="00F21495">
        <w:rPr>
          <w:rFonts w:ascii="David" w:hAnsi="David" w:hint="cs"/>
          <w:rtl/>
        </w:rPr>
        <w:t xml:space="preserve">ציין את </w:t>
      </w:r>
      <w:r w:rsidRPr="00F21495">
        <w:rPr>
          <w:rFonts w:ascii="David" w:hAnsi="David"/>
          <w:rtl/>
        </w:rPr>
        <w:t xml:space="preserve">גילו הצעיר של הנאשם בעת ביצוע העבירות, 21, </w:t>
      </w:r>
      <w:r w:rsidRPr="00F21495">
        <w:rPr>
          <w:rFonts w:ascii="David" w:hAnsi="David" w:hint="cs"/>
          <w:rtl/>
        </w:rPr>
        <w:t xml:space="preserve">הפנה </w:t>
      </w:r>
      <w:r w:rsidRPr="00F21495">
        <w:rPr>
          <w:rFonts w:ascii="David" w:hAnsi="David"/>
          <w:rtl/>
        </w:rPr>
        <w:t xml:space="preserve">לכך שהוא נעדר עבר פלילי, </w:t>
      </w:r>
      <w:r w:rsidRPr="00F21495">
        <w:rPr>
          <w:rFonts w:ascii="David" w:hAnsi="David" w:hint="cs"/>
          <w:rtl/>
        </w:rPr>
        <w:t xml:space="preserve">ממשפחה נורמטיבית, שרוב חייו הבוגרים תפקד בצורה מיטבית, </w:t>
      </w:r>
      <w:r w:rsidRPr="00F21495">
        <w:rPr>
          <w:rFonts w:ascii="David" w:hAnsi="David"/>
          <w:rtl/>
        </w:rPr>
        <w:t>ו</w:t>
      </w:r>
      <w:r w:rsidRPr="00F21495">
        <w:rPr>
          <w:rFonts w:ascii="David" w:hAnsi="David" w:hint="cs"/>
          <w:rtl/>
        </w:rPr>
        <w:t xml:space="preserve">כן הפנה </w:t>
      </w:r>
      <w:r w:rsidRPr="00F21495">
        <w:rPr>
          <w:rFonts w:ascii="David" w:hAnsi="David"/>
          <w:rtl/>
        </w:rPr>
        <w:t xml:space="preserve">למצבו הרפואי בגינו מוכר </w:t>
      </w:r>
      <w:r w:rsidRPr="00F21495">
        <w:rPr>
          <w:rFonts w:ascii="David" w:hAnsi="David" w:hint="cs"/>
          <w:rtl/>
        </w:rPr>
        <w:t xml:space="preserve">הנאשם </w:t>
      </w:r>
      <w:r w:rsidRPr="00F21495">
        <w:rPr>
          <w:rFonts w:ascii="David" w:hAnsi="David"/>
          <w:rtl/>
        </w:rPr>
        <w:t xml:space="preserve">כנכה בדרגה של 60% בעל דרגת אי כושר עבודה של </w:t>
      </w:r>
      <w:r w:rsidRPr="00F21495">
        <w:rPr>
          <w:rFonts w:ascii="David" w:hAnsi="David" w:hint="cs"/>
          <w:rtl/>
        </w:rPr>
        <w:t xml:space="preserve"> (</w:t>
      </w:r>
      <w:r w:rsidRPr="00F21495">
        <w:rPr>
          <w:rFonts w:ascii="David" w:hAnsi="David"/>
          <w:rtl/>
        </w:rPr>
        <w:t>100%</w:t>
      </w:r>
      <w:r w:rsidRPr="00F21495">
        <w:rPr>
          <w:rFonts w:ascii="David" w:hAnsi="David" w:hint="cs"/>
          <w:rtl/>
        </w:rPr>
        <w:t>) (</w:t>
      </w:r>
      <w:r w:rsidRPr="00F21495">
        <w:rPr>
          <w:rFonts w:ascii="David" w:hAnsi="David" w:hint="cs"/>
          <w:b/>
          <w:bCs/>
          <w:rtl/>
        </w:rPr>
        <w:t>ענ/3</w:t>
      </w:r>
      <w:r w:rsidRPr="00F21495">
        <w:rPr>
          <w:rFonts w:ascii="David" w:hAnsi="David" w:hint="cs"/>
          <w:rtl/>
        </w:rPr>
        <w:t xml:space="preserve">). עוד </w:t>
      </w:r>
      <w:r w:rsidRPr="00F21495">
        <w:rPr>
          <w:rFonts w:ascii="David" w:hAnsi="David"/>
          <w:rtl/>
        </w:rPr>
        <w:t>הפנה לתסקירים</w:t>
      </w:r>
      <w:r w:rsidRPr="00F21495">
        <w:rPr>
          <w:rFonts w:ascii="David" w:hAnsi="David" w:hint="cs"/>
          <w:rtl/>
        </w:rPr>
        <w:t xml:space="preserve"> ולחוות הדעת החיוביות</w:t>
      </w:r>
      <w:r w:rsidRPr="00F21495">
        <w:rPr>
          <w:rFonts w:ascii="David" w:hAnsi="David"/>
          <w:rtl/>
        </w:rPr>
        <w:t xml:space="preserve"> </w:t>
      </w:r>
      <w:r w:rsidRPr="00F21495">
        <w:rPr>
          <w:rFonts w:ascii="David" w:hAnsi="David" w:hint="cs"/>
          <w:rtl/>
        </w:rPr>
        <w:t>בעניינו של הנאשם לפיהם</w:t>
      </w:r>
      <w:r w:rsidRPr="00F21495">
        <w:rPr>
          <w:rFonts w:ascii="David" w:hAnsi="David"/>
          <w:rtl/>
        </w:rPr>
        <w:t xml:space="preserve"> </w:t>
      </w:r>
      <w:r w:rsidRPr="00F21495">
        <w:rPr>
          <w:rFonts w:ascii="David" w:hAnsi="David" w:hint="cs"/>
          <w:rtl/>
        </w:rPr>
        <w:t>עשה דרך לשיקום, ולכך ש</w:t>
      </w:r>
      <w:r w:rsidRPr="00F21495">
        <w:rPr>
          <w:rFonts w:ascii="David" w:hAnsi="David"/>
          <w:rtl/>
        </w:rPr>
        <w:t>חרף קשיים רפואיים ואובייקטיביים עשה הנאשם הכל על מנת לתפקד בצורה נורמטיבית, שיתף בפתיחות</w:t>
      </w:r>
      <w:r w:rsidRPr="00F21495">
        <w:rPr>
          <w:rFonts w:ascii="David" w:hAnsi="David" w:hint="cs"/>
          <w:rtl/>
        </w:rPr>
        <w:t xml:space="preserve"> ו</w:t>
      </w:r>
      <w:r w:rsidRPr="00F21495">
        <w:rPr>
          <w:rFonts w:ascii="David" w:hAnsi="David"/>
          <w:rtl/>
        </w:rPr>
        <w:t>נקבע כי קיים סיכוי קלוש לחזרתיות.</w:t>
      </w:r>
    </w:p>
    <w:p w14:paraId="065EA688" w14:textId="77777777" w:rsidR="00764D78" w:rsidRPr="00F21495" w:rsidRDefault="00764D78" w:rsidP="00764D78">
      <w:pPr>
        <w:jc w:val="both"/>
        <w:rPr>
          <w:rFonts w:ascii="David" w:hAnsi="David"/>
          <w:sz w:val="20"/>
          <w:szCs w:val="20"/>
        </w:rPr>
      </w:pPr>
    </w:p>
    <w:p w14:paraId="782770BE" w14:textId="77777777" w:rsidR="00764D78" w:rsidRPr="00F21495" w:rsidRDefault="00764D78" w:rsidP="00764D78">
      <w:pPr>
        <w:pStyle w:val="a9"/>
        <w:numPr>
          <w:ilvl w:val="0"/>
          <w:numId w:val="1"/>
        </w:numPr>
        <w:spacing w:line="360" w:lineRule="auto"/>
        <w:ind w:left="-58" w:firstLine="73"/>
        <w:jc w:val="both"/>
        <w:rPr>
          <w:rFonts w:ascii="David" w:hAnsi="David"/>
          <w:rtl/>
        </w:rPr>
      </w:pPr>
      <w:r w:rsidRPr="00F21495">
        <w:rPr>
          <w:rFonts w:ascii="David" w:hAnsi="David"/>
          <w:rtl/>
        </w:rPr>
        <w:t xml:space="preserve">ב"כ הנאשם </w:t>
      </w:r>
      <w:r w:rsidRPr="00F21495">
        <w:rPr>
          <w:rFonts w:ascii="David" w:hAnsi="David" w:hint="cs"/>
          <w:rtl/>
        </w:rPr>
        <w:t xml:space="preserve">הדגיש כי </w:t>
      </w:r>
      <w:r w:rsidRPr="00F21495">
        <w:rPr>
          <w:rFonts w:ascii="David" w:hAnsi="David"/>
          <w:rtl/>
        </w:rPr>
        <w:t xml:space="preserve">כתב האישום תוקן במידה משמעותית בשל קושי ראייתי וגובש במסגרת הליך של גישור עקב בקשות ההגנה לקבלת חומרי חקירה, שלא נענו, </w:t>
      </w:r>
      <w:r w:rsidRPr="00F21495">
        <w:rPr>
          <w:rFonts w:ascii="David" w:hAnsi="David" w:hint="cs"/>
          <w:rtl/>
        </w:rPr>
        <w:t xml:space="preserve">וכי </w:t>
      </w:r>
      <w:r w:rsidRPr="00F21495">
        <w:rPr>
          <w:rFonts w:ascii="David" w:hAnsi="David"/>
          <w:rtl/>
        </w:rPr>
        <w:t xml:space="preserve">למרות </w:t>
      </w:r>
      <w:r w:rsidRPr="00F21495">
        <w:rPr>
          <w:rFonts w:ascii="David" w:hAnsi="David" w:hint="cs"/>
          <w:rtl/>
        </w:rPr>
        <w:t>ה</w:t>
      </w:r>
      <w:r w:rsidRPr="00F21495">
        <w:rPr>
          <w:rFonts w:ascii="David" w:hAnsi="David"/>
          <w:rtl/>
        </w:rPr>
        <w:t xml:space="preserve">קושי </w:t>
      </w:r>
      <w:r w:rsidRPr="00F21495">
        <w:rPr>
          <w:rFonts w:ascii="David" w:hAnsi="David" w:hint="cs"/>
          <w:rtl/>
        </w:rPr>
        <w:t>ה</w:t>
      </w:r>
      <w:r w:rsidRPr="00F21495">
        <w:rPr>
          <w:rFonts w:ascii="David" w:hAnsi="David"/>
          <w:rtl/>
        </w:rPr>
        <w:t xml:space="preserve">ראייתי </w:t>
      </w:r>
      <w:r w:rsidRPr="00F21495">
        <w:rPr>
          <w:rFonts w:ascii="David" w:hAnsi="David" w:hint="cs"/>
          <w:rtl/>
        </w:rPr>
        <w:t>בחר הנאשם ליטול אחריות ו</w:t>
      </w:r>
      <w:r w:rsidRPr="00F21495">
        <w:rPr>
          <w:rFonts w:ascii="David" w:hAnsi="David"/>
          <w:rtl/>
        </w:rPr>
        <w:t>לא לנהל את ההליך</w:t>
      </w:r>
      <w:r w:rsidRPr="00F21495">
        <w:rPr>
          <w:rFonts w:ascii="David" w:hAnsi="David" w:hint="cs"/>
          <w:rtl/>
        </w:rPr>
        <w:t>. בנוסף, הפנה</w:t>
      </w:r>
      <w:r w:rsidRPr="00F21495">
        <w:rPr>
          <w:rFonts w:ascii="David" w:hAnsi="David"/>
          <w:rtl/>
        </w:rPr>
        <w:t xml:space="preserve"> לחלוף הזמן ממועד ביצוע העבירות</w:t>
      </w:r>
      <w:r w:rsidRPr="00F21495">
        <w:rPr>
          <w:rFonts w:ascii="David" w:hAnsi="David" w:hint="cs"/>
          <w:rtl/>
        </w:rPr>
        <w:t>,</w:t>
      </w:r>
      <w:r w:rsidRPr="00F21495">
        <w:rPr>
          <w:rFonts w:ascii="David" w:hAnsi="David"/>
          <w:rtl/>
        </w:rPr>
        <w:t xml:space="preserve"> </w:t>
      </w:r>
      <w:r w:rsidRPr="00F21495">
        <w:rPr>
          <w:rFonts w:ascii="David" w:hAnsi="David" w:hint="cs"/>
          <w:rtl/>
        </w:rPr>
        <w:t>ולכך שהשיהוי</w:t>
      </w:r>
      <w:r w:rsidRPr="00F21495">
        <w:rPr>
          <w:rFonts w:ascii="David" w:hAnsi="David"/>
          <w:rtl/>
        </w:rPr>
        <w:t xml:space="preserve"> בהליך </w:t>
      </w:r>
      <w:r w:rsidRPr="00F21495">
        <w:rPr>
          <w:rFonts w:ascii="David" w:hAnsi="David" w:hint="cs"/>
          <w:rtl/>
        </w:rPr>
        <w:t>רובץ לפתח המאשימה</w:t>
      </w:r>
      <w:r w:rsidRPr="00F21495">
        <w:rPr>
          <w:rFonts w:ascii="David" w:hAnsi="David"/>
          <w:rtl/>
        </w:rPr>
        <w:t xml:space="preserve"> שלא העבירה חומרי חקירה בזמן, לא ענתה לפניות ההגנה ולא קיימה הוראות בית המשפט</w:t>
      </w:r>
      <w:r w:rsidRPr="00F21495">
        <w:rPr>
          <w:rFonts w:ascii="David" w:hAnsi="David" w:hint="cs"/>
          <w:rtl/>
        </w:rPr>
        <w:t xml:space="preserve"> תוך ש</w:t>
      </w:r>
      <w:r w:rsidRPr="00F21495">
        <w:rPr>
          <w:rFonts w:ascii="David" w:hAnsi="David"/>
          <w:rtl/>
        </w:rPr>
        <w:t>הנאשם נתון תחת התנאים המגבילים משך זמן ממושך</w:t>
      </w:r>
      <w:r w:rsidRPr="00F21495">
        <w:rPr>
          <w:rFonts w:ascii="David" w:hAnsi="David" w:hint="cs"/>
          <w:rtl/>
        </w:rPr>
        <w:t xml:space="preserve">, על הפגיעה שבזכויותיו מכך </w:t>
      </w:r>
      <w:r w:rsidRPr="00F21495">
        <w:rPr>
          <w:rFonts w:ascii="David" w:hAnsi="David"/>
          <w:rtl/>
        </w:rPr>
        <w:t>(</w:t>
      </w:r>
      <w:r w:rsidRPr="00F21495">
        <w:rPr>
          <w:rFonts w:ascii="David" w:hAnsi="David"/>
          <w:b/>
          <w:bCs/>
          <w:rtl/>
        </w:rPr>
        <w:t>ענ/4</w:t>
      </w:r>
      <w:r w:rsidRPr="00F21495">
        <w:rPr>
          <w:rFonts w:ascii="David" w:hAnsi="David"/>
          <w:rtl/>
        </w:rPr>
        <w:t>).</w:t>
      </w:r>
      <w:r w:rsidRPr="00F21495">
        <w:rPr>
          <w:rFonts w:ascii="David" w:hAnsi="David"/>
        </w:rPr>
        <w:t xml:space="preserve"> </w:t>
      </w:r>
      <w:r w:rsidRPr="00F21495">
        <w:rPr>
          <w:rFonts w:ascii="David" w:hAnsi="David" w:hint="cs"/>
          <w:rtl/>
        </w:rPr>
        <w:t>עתירת</w:t>
      </w:r>
      <w:r w:rsidRPr="00F21495">
        <w:rPr>
          <w:rFonts w:ascii="David" w:hAnsi="David"/>
          <w:rtl/>
        </w:rPr>
        <w:t xml:space="preserve"> ב"כ הנאשם </w:t>
      </w:r>
      <w:r w:rsidRPr="00F21495">
        <w:rPr>
          <w:rFonts w:ascii="David" w:hAnsi="David" w:hint="cs"/>
          <w:rtl/>
        </w:rPr>
        <w:t xml:space="preserve">היא כי עונשו של הנאשם ייגזר ל- </w:t>
      </w:r>
      <w:r w:rsidRPr="00F21495">
        <w:rPr>
          <w:rFonts w:ascii="David" w:hAnsi="David"/>
          <w:rtl/>
        </w:rPr>
        <w:t>30 ימי מאסר בדרך של עבודות שירות לצד ענישה נלווית</w:t>
      </w:r>
      <w:r w:rsidRPr="00F21495">
        <w:rPr>
          <w:rFonts w:ascii="David" w:hAnsi="David" w:hint="cs"/>
          <w:rtl/>
        </w:rPr>
        <w:t xml:space="preserve"> וכי יינתן בעונש שייגזר ביטוי לתקופת מעצר הנאשם באיזוק אלקטרוני ולתקופה בה שהה תחת תנאים מגבילים</w:t>
      </w:r>
      <w:r w:rsidRPr="00F21495">
        <w:rPr>
          <w:rFonts w:ascii="David" w:hAnsi="David"/>
          <w:rtl/>
        </w:rPr>
        <w:t>.</w:t>
      </w:r>
    </w:p>
    <w:p w14:paraId="1C1D11DA" w14:textId="77777777" w:rsidR="00764D78" w:rsidRPr="00F21495" w:rsidRDefault="00764D78" w:rsidP="00764D78">
      <w:pPr>
        <w:jc w:val="both"/>
        <w:rPr>
          <w:rFonts w:ascii="David" w:hAnsi="David"/>
          <w:sz w:val="20"/>
          <w:szCs w:val="20"/>
        </w:rPr>
      </w:pPr>
    </w:p>
    <w:p w14:paraId="2242902B" w14:textId="77777777" w:rsidR="00764D78" w:rsidRPr="00F21495" w:rsidRDefault="00764D78" w:rsidP="00764D78">
      <w:pPr>
        <w:pStyle w:val="a9"/>
        <w:spacing w:line="360" w:lineRule="auto"/>
        <w:ind w:left="15"/>
        <w:jc w:val="both"/>
        <w:rPr>
          <w:rFonts w:ascii="David" w:hAnsi="David"/>
          <w:b/>
          <w:bCs/>
          <w:rtl/>
        </w:rPr>
      </w:pPr>
      <w:r w:rsidRPr="00F21495">
        <w:rPr>
          <w:rFonts w:ascii="David" w:hAnsi="David"/>
          <w:b/>
          <w:bCs/>
          <w:rtl/>
        </w:rPr>
        <w:t>דברי הנאשם</w:t>
      </w:r>
    </w:p>
    <w:p w14:paraId="6EA18F65" w14:textId="77777777" w:rsidR="00764D78" w:rsidRPr="00F21495" w:rsidRDefault="00764D78" w:rsidP="00764D78">
      <w:pPr>
        <w:pStyle w:val="a9"/>
        <w:numPr>
          <w:ilvl w:val="0"/>
          <w:numId w:val="1"/>
        </w:numPr>
        <w:spacing w:line="360" w:lineRule="auto"/>
        <w:ind w:left="15" w:firstLine="73"/>
        <w:jc w:val="both"/>
        <w:rPr>
          <w:rFonts w:ascii="David" w:hAnsi="David"/>
        </w:rPr>
      </w:pPr>
      <w:r w:rsidRPr="00F21495">
        <w:rPr>
          <w:rFonts w:ascii="David" w:hAnsi="David"/>
          <w:rtl/>
        </w:rPr>
        <w:t>הנאשם מסר שמרגיש שהצליח לעבור תהליך שיקומי, לנהל זוגיות ולהתמיד בלימודי המו</w:t>
      </w:r>
      <w:r w:rsidRPr="00F21495">
        <w:rPr>
          <w:rFonts w:ascii="David" w:hAnsi="David" w:hint="cs"/>
          <w:rtl/>
        </w:rPr>
        <w:t>ז</w:t>
      </w:r>
      <w:r w:rsidRPr="00F21495">
        <w:rPr>
          <w:rFonts w:ascii="David" w:hAnsi="David"/>
          <w:rtl/>
        </w:rPr>
        <w:t>יקה ובעבודתו כסוקר. עוד שיתף בכך שמתכנן להתחיל קורס בבניית אתרים.</w:t>
      </w:r>
    </w:p>
    <w:p w14:paraId="4707045C" w14:textId="77777777" w:rsidR="00764D78" w:rsidRPr="00F21495" w:rsidRDefault="00764D78" w:rsidP="00764D78">
      <w:pPr>
        <w:pStyle w:val="a9"/>
        <w:ind w:left="88"/>
        <w:jc w:val="both"/>
        <w:rPr>
          <w:rFonts w:ascii="David" w:hAnsi="David"/>
          <w:sz w:val="20"/>
          <w:szCs w:val="20"/>
        </w:rPr>
      </w:pPr>
    </w:p>
    <w:p w14:paraId="733F2233" w14:textId="77777777" w:rsidR="00764D78" w:rsidRPr="00F21495" w:rsidRDefault="00764D78" w:rsidP="00764D78">
      <w:pPr>
        <w:pStyle w:val="a9"/>
        <w:spacing w:line="360" w:lineRule="auto"/>
        <w:ind w:left="15"/>
        <w:jc w:val="both"/>
        <w:rPr>
          <w:rFonts w:ascii="David" w:hAnsi="David"/>
          <w:b/>
          <w:bCs/>
        </w:rPr>
      </w:pPr>
      <w:r w:rsidRPr="00F21495">
        <w:rPr>
          <w:rFonts w:ascii="David" w:hAnsi="David" w:hint="cs"/>
          <w:b/>
          <w:bCs/>
          <w:rtl/>
        </w:rPr>
        <w:t>דיון והכרעה</w:t>
      </w:r>
    </w:p>
    <w:p w14:paraId="580FE421" w14:textId="77777777" w:rsidR="00764D78" w:rsidRPr="00F21495" w:rsidRDefault="00764D78" w:rsidP="00764D78">
      <w:pPr>
        <w:pStyle w:val="a9"/>
        <w:numPr>
          <w:ilvl w:val="0"/>
          <w:numId w:val="1"/>
        </w:numPr>
        <w:spacing w:line="360" w:lineRule="auto"/>
        <w:ind w:left="-58" w:firstLine="73"/>
        <w:jc w:val="both"/>
        <w:rPr>
          <w:rFonts w:ascii="David" w:hAnsi="David"/>
          <w:sz w:val="20"/>
          <w:szCs w:val="20"/>
        </w:rPr>
      </w:pPr>
      <w:r w:rsidRPr="00F21495">
        <w:rPr>
          <w:rFonts w:ascii="David" w:hAnsi="David" w:hint="cs"/>
          <w:rtl/>
        </w:rPr>
        <w:t xml:space="preserve">כאמור, </w:t>
      </w:r>
      <w:r w:rsidRPr="00F21495">
        <w:rPr>
          <w:rFonts w:ascii="David" w:hAnsi="David"/>
          <w:rtl/>
        </w:rPr>
        <w:t xml:space="preserve">במקרה זה הגיעו הצדדים להסדר טיעון בו הסכימו </w:t>
      </w:r>
      <w:r>
        <w:rPr>
          <w:rFonts w:ascii="David" w:hAnsi="David" w:hint="cs"/>
          <w:rtl/>
        </w:rPr>
        <w:t xml:space="preserve">על </w:t>
      </w:r>
      <w:r w:rsidRPr="00F21495">
        <w:rPr>
          <w:rFonts w:ascii="David" w:hAnsi="David"/>
          <w:rtl/>
        </w:rPr>
        <w:t>טווח ענישה. ב</w:t>
      </w:r>
      <w:hyperlink r:id="rId13" w:history="1">
        <w:r w:rsidR="00B77A7C" w:rsidRPr="00B77A7C">
          <w:rPr>
            <w:rFonts w:ascii="David" w:hAnsi="David"/>
            <w:color w:val="0000FF"/>
            <w:u w:val="single"/>
            <w:rtl/>
          </w:rPr>
          <w:t>ע"פ 2021/17</w:t>
        </w:r>
      </w:hyperlink>
      <w:r w:rsidRPr="00F21495">
        <w:rPr>
          <w:rFonts w:ascii="David" w:hAnsi="David"/>
          <w:rtl/>
        </w:rPr>
        <w:t xml:space="preserve"> </w:t>
      </w:r>
      <w:r w:rsidRPr="00F21495">
        <w:rPr>
          <w:rFonts w:ascii="David" w:hAnsi="David"/>
          <w:b/>
          <w:bCs/>
          <w:rtl/>
        </w:rPr>
        <w:t>מצגר נ' מדינת ישראל</w:t>
      </w:r>
      <w:r w:rsidRPr="00F21495">
        <w:rPr>
          <w:rFonts w:ascii="David" w:hAnsi="David"/>
          <w:rtl/>
        </w:rPr>
        <w:t xml:space="preserve"> (30.4.2017) (להלן: "</w:t>
      </w:r>
      <w:r w:rsidRPr="00F21495">
        <w:rPr>
          <w:rFonts w:ascii="David" w:hAnsi="David"/>
          <w:b/>
          <w:bCs/>
          <w:rtl/>
        </w:rPr>
        <w:t>עניין מצגר</w:t>
      </w:r>
      <w:r w:rsidRPr="00F21495">
        <w:rPr>
          <w:rFonts w:ascii="David" w:hAnsi="David"/>
          <w:rtl/>
        </w:rPr>
        <w:t>") חזר בית המשפט העליון וציין את המדיניות התומכת באימוץ הסדרי טיעון והדגיש את יתרונותיהם, את האינטרס הציבורי שבבסיסם ואת תפקידם הראוי במערכת אכיפת החוק. הכלל הוא כי בית המשפט יטה לכבד הסדר טיעון ויתערב בו רק מטעמים המצדיקים זאת לאחר בחינתו במבחן האיזון אשר נקבע ב</w:t>
      </w:r>
      <w:hyperlink r:id="rId14" w:history="1">
        <w:r w:rsidR="00B77A7C" w:rsidRPr="00B77A7C">
          <w:rPr>
            <w:rFonts w:ascii="David" w:hAnsi="David"/>
            <w:color w:val="0000FF"/>
            <w:u w:val="single"/>
            <w:rtl/>
          </w:rPr>
          <w:t>ע"פ 1958/98</w:t>
        </w:r>
      </w:hyperlink>
      <w:r w:rsidRPr="00F21495">
        <w:rPr>
          <w:rFonts w:ascii="David" w:hAnsi="David"/>
          <w:rtl/>
        </w:rPr>
        <w:t xml:space="preserve"> </w:t>
      </w:r>
      <w:r w:rsidRPr="00F21495">
        <w:rPr>
          <w:rFonts w:ascii="David" w:hAnsi="David"/>
          <w:b/>
          <w:bCs/>
          <w:rtl/>
        </w:rPr>
        <w:t>פלוני נ' מדינת ישראל</w:t>
      </w:r>
      <w:r w:rsidRPr="00F21495">
        <w:rPr>
          <w:rFonts w:ascii="David" w:hAnsi="David"/>
          <w:rtl/>
        </w:rPr>
        <w:t xml:space="preserve"> (25.12.2002), ובשים לב לכך שהשיקולים הנשקלים בעת עריכת הסדר טיעון אינם זהים בהכרח לאלה הנשקלים במסגרת תיקון 113 ל</w:t>
      </w:r>
      <w:hyperlink r:id="rId15" w:history="1">
        <w:r w:rsidR="00B77A7C" w:rsidRPr="00B77A7C">
          <w:rPr>
            <w:rFonts w:ascii="David" w:hAnsi="David"/>
            <w:color w:val="0000FF"/>
            <w:u w:val="single"/>
            <w:rtl/>
          </w:rPr>
          <w:t>חוק העונשין</w:t>
        </w:r>
      </w:hyperlink>
      <w:r w:rsidRPr="00F21495">
        <w:rPr>
          <w:rFonts w:ascii="David" w:hAnsi="David"/>
          <w:rtl/>
        </w:rPr>
        <w:t xml:space="preserve"> התשל"ז-1977 (להלן: "</w:t>
      </w:r>
      <w:r w:rsidRPr="00F21495">
        <w:rPr>
          <w:rFonts w:ascii="David" w:hAnsi="David"/>
          <w:b/>
          <w:bCs/>
          <w:rtl/>
        </w:rPr>
        <w:t>חוק העונשין</w:t>
      </w:r>
      <w:r w:rsidRPr="00F21495">
        <w:rPr>
          <w:rFonts w:ascii="David" w:hAnsi="David"/>
          <w:rtl/>
        </w:rPr>
        <w:t>").</w:t>
      </w:r>
    </w:p>
    <w:p w14:paraId="74AFAB83" w14:textId="77777777" w:rsidR="00764D78" w:rsidRPr="00F21495" w:rsidRDefault="00764D78" w:rsidP="00764D78">
      <w:pPr>
        <w:pStyle w:val="a9"/>
        <w:rPr>
          <w:rFonts w:ascii="David" w:hAnsi="David"/>
          <w:rtl/>
        </w:rPr>
      </w:pPr>
    </w:p>
    <w:p w14:paraId="1253C584" w14:textId="77777777" w:rsidR="00764D78" w:rsidRPr="00F21495" w:rsidRDefault="00764D78" w:rsidP="00764D78">
      <w:pPr>
        <w:pStyle w:val="a9"/>
        <w:spacing w:line="360" w:lineRule="auto"/>
        <w:ind w:left="15" w:firstLine="705"/>
        <w:jc w:val="both"/>
        <w:rPr>
          <w:rFonts w:ascii="David" w:hAnsi="David"/>
          <w:rtl/>
        </w:rPr>
      </w:pPr>
      <w:r w:rsidRPr="00F21495">
        <w:rPr>
          <w:rFonts w:ascii="David" w:hAnsi="David"/>
          <w:rtl/>
        </w:rPr>
        <w:t>הדרך בה על בית המשפט לילך בעת גזירת דינו של נאשם אשר הורשע במסגרת הסדר טיעו</w:t>
      </w:r>
      <w:r w:rsidRPr="00F21495">
        <w:rPr>
          <w:rFonts w:ascii="David" w:hAnsi="David" w:hint="cs"/>
          <w:rtl/>
        </w:rPr>
        <w:t xml:space="preserve">ן </w:t>
      </w:r>
      <w:r w:rsidRPr="00F21495">
        <w:rPr>
          <w:rFonts w:ascii="David" w:hAnsi="David"/>
          <w:rtl/>
        </w:rPr>
        <w:t>לאחר תיקון 113 ל</w:t>
      </w:r>
      <w:hyperlink r:id="rId16" w:history="1">
        <w:r w:rsidR="00B77A7C" w:rsidRPr="00B77A7C">
          <w:rPr>
            <w:rFonts w:ascii="David" w:hAnsi="David"/>
            <w:color w:val="0000FF"/>
            <w:u w:val="single"/>
            <w:rtl/>
          </w:rPr>
          <w:t>חוק העונשין</w:t>
        </w:r>
      </w:hyperlink>
      <w:r w:rsidRPr="00F21495">
        <w:rPr>
          <w:rFonts w:ascii="David" w:hAnsi="David"/>
          <w:rtl/>
        </w:rPr>
        <w:t xml:space="preserve"> נבחנה והובהרה בשורת פסקי דין מפי בית המשפט העליון. על פי הגישה הרווחת, גם מקום בו הסכימו הצדדים בהסדר טיעון על טווח ענישה, תיבחן סבירותו של ההסדר במבחן האיזון בהתאם לאמות מידה מקובלות המעוגנות בתיקון 113 ל</w:t>
      </w:r>
      <w:hyperlink r:id="rId17" w:history="1">
        <w:r w:rsidR="00B77A7C" w:rsidRPr="00B77A7C">
          <w:rPr>
            <w:rFonts w:ascii="David" w:hAnsi="David"/>
            <w:color w:val="0000FF"/>
            <w:u w:val="single"/>
            <w:rtl/>
          </w:rPr>
          <w:t>חוק העונשין</w:t>
        </w:r>
      </w:hyperlink>
      <w:r w:rsidRPr="00F21495">
        <w:rPr>
          <w:rFonts w:ascii="David" w:hAnsi="David"/>
          <w:rtl/>
        </w:rPr>
        <w:t xml:space="preserve"> (עניין מצגר, פסקה 12 (30.4.2017), </w:t>
      </w:r>
      <w:hyperlink r:id="rId18" w:history="1">
        <w:r w:rsidR="00B77A7C" w:rsidRPr="00B77A7C">
          <w:rPr>
            <w:rFonts w:ascii="David" w:hAnsi="David"/>
            <w:color w:val="0000FF"/>
            <w:u w:val="single"/>
            <w:rtl/>
          </w:rPr>
          <w:t>ע"פ 921/17</w:t>
        </w:r>
      </w:hyperlink>
      <w:r w:rsidRPr="00F21495">
        <w:rPr>
          <w:rFonts w:ascii="David" w:hAnsi="David"/>
          <w:rtl/>
        </w:rPr>
        <w:t xml:space="preserve"> </w:t>
      </w:r>
      <w:r w:rsidRPr="00F21495">
        <w:rPr>
          <w:rFonts w:ascii="David" w:hAnsi="David"/>
          <w:b/>
          <w:bCs/>
          <w:rtl/>
        </w:rPr>
        <w:t>אבו זעילה נ' מדינת ישראל</w:t>
      </w:r>
      <w:r w:rsidRPr="00F21495">
        <w:rPr>
          <w:rFonts w:ascii="David" w:hAnsi="David"/>
          <w:rtl/>
        </w:rPr>
        <w:t xml:space="preserve"> (28.5.2017), </w:t>
      </w:r>
      <w:hyperlink r:id="rId19" w:history="1">
        <w:r w:rsidR="00B77A7C" w:rsidRPr="00B77A7C">
          <w:rPr>
            <w:rFonts w:ascii="David" w:hAnsi="David"/>
            <w:color w:val="0000FF"/>
            <w:u w:val="single"/>
            <w:rtl/>
          </w:rPr>
          <w:t>ע"פ 2745/18</w:t>
        </w:r>
      </w:hyperlink>
      <w:r w:rsidRPr="00F21495">
        <w:rPr>
          <w:rFonts w:ascii="David" w:hAnsi="David"/>
          <w:rtl/>
        </w:rPr>
        <w:t xml:space="preserve"> </w:t>
      </w:r>
      <w:r w:rsidRPr="00F21495">
        <w:rPr>
          <w:rFonts w:ascii="David" w:hAnsi="David"/>
          <w:b/>
          <w:bCs/>
          <w:rtl/>
        </w:rPr>
        <w:t>אבו שארב נ' מדינת ישרא</w:t>
      </w:r>
      <w:r w:rsidRPr="00F21495">
        <w:rPr>
          <w:rFonts w:ascii="David" w:hAnsi="David"/>
          <w:rtl/>
        </w:rPr>
        <w:t>ל, פסקה 14 (8.8.2018), ו</w:t>
      </w:r>
      <w:hyperlink r:id="rId20" w:history="1">
        <w:r w:rsidR="00B77A7C" w:rsidRPr="00B77A7C">
          <w:rPr>
            <w:rFonts w:ascii="David" w:hAnsi="David"/>
            <w:color w:val="0000FF"/>
            <w:u w:val="single"/>
            <w:rtl/>
          </w:rPr>
          <w:t>ע"פ 1548/18</w:t>
        </w:r>
      </w:hyperlink>
      <w:r w:rsidRPr="00F21495">
        <w:rPr>
          <w:rFonts w:ascii="David" w:hAnsi="David"/>
          <w:rtl/>
        </w:rPr>
        <w:t xml:space="preserve"> </w:t>
      </w:r>
      <w:r w:rsidRPr="00F21495">
        <w:rPr>
          <w:rFonts w:ascii="David" w:hAnsi="David"/>
          <w:b/>
          <w:bCs/>
          <w:rtl/>
        </w:rPr>
        <w:t>תום נתנאל גיא נ' מדינת ישראל</w:t>
      </w:r>
      <w:r w:rsidRPr="00F21495">
        <w:rPr>
          <w:rFonts w:ascii="David" w:hAnsi="David"/>
          <w:rtl/>
        </w:rPr>
        <w:t>, פסקה 18 (23.11.2018).</w:t>
      </w:r>
    </w:p>
    <w:p w14:paraId="32CD156C" w14:textId="77777777" w:rsidR="00764D78" w:rsidRPr="00F21495" w:rsidRDefault="00764D78" w:rsidP="00764D78">
      <w:pPr>
        <w:pStyle w:val="12"/>
        <w:jc w:val="both"/>
        <w:rPr>
          <w:rFonts w:ascii="David" w:hAnsi="David"/>
          <w:b w:val="0"/>
          <w:bCs w:val="0"/>
          <w:sz w:val="20"/>
          <w:szCs w:val="20"/>
          <w:u w:val="none"/>
          <w:rtl/>
        </w:rPr>
      </w:pPr>
    </w:p>
    <w:p w14:paraId="00BB9A1E" w14:textId="77777777" w:rsidR="00764D78" w:rsidRPr="00F21495" w:rsidRDefault="00764D78" w:rsidP="00764D78">
      <w:pPr>
        <w:pStyle w:val="12"/>
        <w:spacing w:line="360" w:lineRule="auto"/>
        <w:ind w:left="15" w:firstLine="705"/>
        <w:jc w:val="both"/>
        <w:rPr>
          <w:rFonts w:ascii="David" w:hAnsi="David"/>
          <w:b w:val="0"/>
          <w:bCs w:val="0"/>
          <w:u w:val="none"/>
          <w:rtl/>
        </w:rPr>
      </w:pPr>
      <w:r w:rsidRPr="00F21495">
        <w:rPr>
          <w:rFonts w:ascii="David" w:hAnsi="David"/>
          <w:b w:val="0"/>
          <w:bCs w:val="0"/>
          <w:u w:val="none"/>
          <w:rtl/>
        </w:rPr>
        <w:t>ב</w:t>
      </w:r>
      <w:hyperlink r:id="rId21" w:history="1">
        <w:r w:rsidR="00B77A7C" w:rsidRPr="00B77A7C">
          <w:rPr>
            <w:rFonts w:ascii="David" w:hAnsi="David"/>
            <w:b w:val="0"/>
            <w:bCs w:val="0"/>
            <w:color w:val="0000FF"/>
            <w:rtl/>
          </w:rPr>
          <w:t>ע"פ 1901/19</w:t>
        </w:r>
      </w:hyperlink>
      <w:r w:rsidRPr="00F21495">
        <w:rPr>
          <w:rFonts w:ascii="David" w:hAnsi="David"/>
          <w:b w:val="0"/>
          <w:bCs w:val="0"/>
          <w:u w:val="none"/>
          <w:rtl/>
        </w:rPr>
        <w:t xml:space="preserve"> </w:t>
      </w:r>
      <w:r w:rsidRPr="00F21495">
        <w:rPr>
          <w:rFonts w:ascii="David" w:hAnsi="David"/>
          <w:u w:val="none"/>
          <w:rtl/>
        </w:rPr>
        <w:t>שמעון אסולין נ' מדינת ישראל</w:t>
      </w:r>
      <w:r w:rsidRPr="00F21495">
        <w:rPr>
          <w:rFonts w:ascii="David" w:hAnsi="David"/>
          <w:b w:val="0"/>
          <w:bCs w:val="0"/>
          <w:u w:val="none"/>
          <w:rtl/>
        </w:rPr>
        <w:t xml:space="preserve"> (31.5.2020) נקבע כי בית המשפט רשאי לקבוע מתחם ענישה גם מקום בו הגיעו הצדדים להסדר טיעון, ובכלל זאת להסדר טיעון הכולל טווח ענישה, וראוי שכך יעשה. יחד עם זאת, בקביעת המתחם נדרשת זהירות, אין המדובר בקביעת מתחם ענישה במובן הפורמלי של תיקון 113 ל</w:t>
      </w:r>
      <w:hyperlink r:id="rId22" w:history="1">
        <w:r w:rsidR="00B77A7C" w:rsidRPr="00B77A7C">
          <w:rPr>
            <w:rFonts w:ascii="David" w:hAnsi="David"/>
            <w:b w:val="0"/>
            <w:bCs w:val="0"/>
            <w:color w:val="0000FF"/>
            <w:rtl/>
          </w:rPr>
          <w:t>חוק העונשין</w:t>
        </w:r>
      </w:hyperlink>
      <w:r w:rsidRPr="00F21495">
        <w:rPr>
          <w:rFonts w:ascii="David" w:hAnsi="David"/>
          <w:b w:val="0"/>
          <w:bCs w:val="0"/>
          <w:u w:val="none"/>
          <w:rtl/>
        </w:rPr>
        <w:t xml:space="preserve">, וקביעתו תתבצע בצורה רכה לשם </w:t>
      </w:r>
      <w:r w:rsidRPr="00F21495">
        <w:rPr>
          <w:rFonts w:ascii="David" w:hAnsi="David"/>
          <w:u w:val="none"/>
          <w:rtl/>
        </w:rPr>
        <w:t>"קבלת מידע והקשר לעונש שראוי לקבוע בהסדר טווח"</w:t>
      </w:r>
      <w:r w:rsidRPr="00F21495">
        <w:rPr>
          <w:rFonts w:ascii="David" w:hAnsi="David"/>
          <w:b w:val="0"/>
          <w:bCs w:val="0"/>
          <w:u w:val="none"/>
          <w:rtl/>
        </w:rPr>
        <w:t>, בשים לב לקיומן של נסיבות מגוונות שיכולות להוביל להחלטת המדינה להגיע להסדר, כשהמשקל שיש ליתן לשיקולי תיקון 113 ל</w:t>
      </w:r>
      <w:r w:rsidRPr="00B77A7C">
        <w:rPr>
          <w:rFonts w:ascii="David" w:hAnsi="David"/>
          <w:b w:val="0"/>
          <w:bCs w:val="0"/>
          <w:color w:val="000000"/>
          <w:u w:val="none"/>
          <w:rtl/>
        </w:rPr>
        <w:t>חוק העונשין</w:t>
      </w:r>
      <w:r w:rsidRPr="00F21495">
        <w:rPr>
          <w:rFonts w:ascii="David" w:hAnsi="David"/>
          <w:b w:val="0"/>
          <w:bCs w:val="0"/>
          <w:u w:val="none"/>
          <w:rtl/>
        </w:rPr>
        <w:t xml:space="preserve"> ולמתחם הענישה במקרה נתון משתנה בהתאם לנסיבות הקונקרטיות שהביאו להסדר.</w:t>
      </w:r>
    </w:p>
    <w:p w14:paraId="3814281F" w14:textId="77777777" w:rsidR="00764D78" w:rsidRPr="00F21495" w:rsidRDefault="00764D78" w:rsidP="00764D78">
      <w:pPr>
        <w:pStyle w:val="12"/>
        <w:ind w:left="15"/>
        <w:jc w:val="both"/>
        <w:rPr>
          <w:rFonts w:ascii="David" w:hAnsi="David"/>
          <w:b w:val="0"/>
          <w:bCs w:val="0"/>
          <w:sz w:val="20"/>
          <w:szCs w:val="20"/>
          <w:u w:val="none"/>
        </w:rPr>
      </w:pPr>
    </w:p>
    <w:p w14:paraId="78540214" w14:textId="77777777" w:rsidR="00764D78" w:rsidRPr="00F21495" w:rsidRDefault="00764D78" w:rsidP="00764D78">
      <w:pPr>
        <w:pStyle w:val="12"/>
        <w:numPr>
          <w:ilvl w:val="0"/>
          <w:numId w:val="1"/>
        </w:numPr>
        <w:spacing w:line="360" w:lineRule="auto"/>
        <w:ind w:left="-58" w:firstLine="73"/>
        <w:jc w:val="both"/>
        <w:rPr>
          <w:rFonts w:ascii="David" w:hAnsi="David"/>
          <w:u w:val="none"/>
        </w:rPr>
      </w:pPr>
      <w:r w:rsidRPr="00F21495">
        <w:rPr>
          <w:rFonts w:ascii="David" w:hAnsi="David"/>
          <w:b w:val="0"/>
          <w:bCs w:val="0"/>
          <w:u w:val="none"/>
          <w:rtl/>
        </w:rPr>
        <w:t xml:space="preserve">בחנתי את סבירותו של הסדר הטיעון אליו הגיעו הצדדים ואת העתירה העונשית של כל אחד מהצדדים בהתאם לכללים שלעיל. במסגרת זו, נתתי דעתי לערכים המוגנים בעבירה של סחר בסמים, במקרה זה סחר בסם מסוכן מסוג </w:t>
      </w:r>
      <w:r w:rsidRPr="00F21495">
        <w:rPr>
          <w:rFonts w:ascii="David" w:hAnsi="David"/>
          <w:b w:val="0"/>
          <w:bCs w:val="0"/>
          <w:u w:val="none"/>
        </w:rPr>
        <w:t>MDMA</w:t>
      </w:r>
      <w:r w:rsidRPr="00F21495">
        <w:rPr>
          <w:rFonts w:ascii="David" w:hAnsi="David" w:hint="cs"/>
          <w:b w:val="0"/>
          <w:bCs w:val="0"/>
          <w:u w:val="none"/>
          <w:rtl/>
        </w:rPr>
        <w:t xml:space="preserve"> על החומרה שבכך</w:t>
      </w:r>
      <w:r w:rsidRPr="00F21495">
        <w:rPr>
          <w:rFonts w:ascii="David" w:hAnsi="David"/>
          <w:b w:val="0"/>
          <w:bCs w:val="0"/>
          <w:u w:val="none"/>
          <w:rtl/>
        </w:rPr>
        <w:t xml:space="preserve"> </w:t>
      </w:r>
      <w:r w:rsidRPr="00F21495">
        <w:rPr>
          <w:rFonts w:ascii="David" w:hAnsi="David" w:hint="cs"/>
          <w:b w:val="0"/>
          <w:bCs w:val="0"/>
          <w:u w:val="none"/>
          <w:rtl/>
        </w:rPr>
        <w:t>(</w:t>
      </w:r>
      <w:hyperlink r:id="rId23" w:history="1">
        <w:r w:rsidR="00B77A7C" w:rsidRPr="00B77A7C">
          <w:rPr>
            <w:rFonts w:ascii="David" w:hAnsi="David"/>
            <w:b w:val="0"/>
            <w:bCs w:val="0"/>
            <w:color w:val="0000FF"/>
            <w:rtl/>
          </w:rPr>
          <w:t>ת"פ (י-ם) 56179-02-18</w:t>
        </w:r>
      </w:hyperlink>
      <w:r w:rsidRPr="00F21495">
        <w:rPr>
          <w:rFonts w:ascii="David" w:hAnsi="David" w:hint="cs"/>
          <w:b w:val="0"/>
          <w:bCs w:val="0"/>
          <w:u w:val="none"/>
          <w:rtl/>
        </w:rPr>
        <w:t xml:space="preserve"> </w:t>
      </w:r>
      <w:r w:rsidRPr="00F21495">
        <w:rPr>
          <w:rFonts w:ascii="David" w:hAnsi="David" w:hint="cs"/>
          <w:u w:val="none"/>
          <w:rtl/>
        </w:rPr>
        <w:t>מדינת ישראל נ' גאבר</w:t>
      </w:r>
      <w:r w:rsidRPr="00F21495">
        <w:rPr>
          <w:rFonts w:ascii="David" w:hAnsi="David" w:hint="cs"/>
          <w:b w:val="0"/>
          <w:bCs w:val="0"/>
          <w:u w:val="none"/>
          <w:rtl/>
        </w:rPr>
        <w:t xml:space="preserve"> (8.10.2018) והפנייה לת"פ (מחוזי ב"ש) </w:t>
      </w:r>
      <w:hyperlink r:id="rId24" w:history="1">
        <w:r w:rsidR="00940DD0" w:rsidRPr="00940DD0">
          <w:rPr>
            <w:rFonts w:ascii="David" w:hAnsi="David"/>
            <w:b w:val="0"/>
            <w:bCs w:val="0"/>
            <w:color w:val="0000FF"/>
            <w:rtl/>
          </w:rPr>
          <w:t xml:space="preserve">8113/08 </w:t>
        </w:r>
      </w:hyperlink>
      <w:r w:rsidRPr="00F21495">
        <w:rPr>
          <w:rFonts w:ascii="David" w:hAnsi="David" w:hint="cs"/>
          <w:b w:val="0"/>
          <w:bCs w:val="0"/>
          <w:u w:val="none"/>
          <w:rtl/>
        </w:rPr>
        <w:t xml:space="preserve"> </w:t>
      </w:r>
      <w:r w:rsidRPr="00F21495">
        <w:rPr>
          <w:rFonts w:ascii="David" w:hAnsi="David" w:hint="cs"/>
          <w:u w:val="none"/>
          <w:rtl/>
        </w:rPr>
        <w:t>מדינת ישראל נ' בודרם</w:t>
      </w:r>
      <w:r w:rsidRPr="00F21495">
        <w:rPr>
          <w:rFonts w:ascii="David" w:hAnsi="David" w:hint="cs"/>
          <w:b w:val="0"/>
          <w:bCs w:val="0"/>
          <w:u w:val="none"/>
          <w:rtl/>
        </w:rPr>
        <w:t xml:space="preserve"> (30.11.2008)), </w:t>
      </w:r>
      <w:r w:rsidRPr="00F21495">
        <w:rPr>
          <w:rFonts w:ascii="David" w:hAnsi="David"/>
          <w:b w:val="0"/>
          <w:bCs w:val="0"/>
          <w:u w:val="none"/>
          <w:rtl/>
        </w:rPr>
        <w:t>ולחשיבות ההרתעה בעבירה זו. רבות נכתב על אודות הנזק לגוף ולנפש מנגע הסמים, אשר  אף עלול לגרום בדרך עקיפה לביצוען של עבירות אחרות ונוספות. יש לזכור כי הסוחרים בסמים מביאים לכך שהסמים יהיו זמינים לכל דורש, קלים להשגה וכך הם מתפשטים בקלות ובמהירות בקרב הציבור. ראו</w:t>
      </w:r>
      <w:r w:rsidR="00B77A7C">
        <w:rPr>
          <w:rFonts w:ascii="David" w:hAnsi="David"/>
          <w:b w:val="0"/>
          <w:bCs w:val="0"/>
          <w:u w:val="none"/>
          <w:rtl/>
        </w:rPr>
        <w:t xml:space="preserve"> </w:t>
      </w:r>
      <w:r w:rsidRPr="00F21495">
        <w:rPr>
          <w:rFonts w:ascii="David" w:hAnsi="David"/>
          <w:b w:val="0"/>
          <w:bCs w:val="0"/>
          <w:u w:val="none"/>
          <w:rtl/>
        </w:rPr>
        <w:t>בעניין זה</w:t>
      </w:r>
      <w:r w:rsidR="00B77A7C">
        <w:rPr>
          <w:rFonts w:ascii="David" w:hAnsi="David"/>
          <w:b w:val="0"/>
          <w:bCs w:val="0"/>
          <w:u w:val="none"/>
          <w:rtl/>
        </w:rPr>
        <w:t xml:space="preserve"> </w:t>
      </w:r>
      <w:r w:rsidRPr="00F21495">
        <w:rPr>
          <w:rFonts w:ascii="David" w:hAnsi="David"/>
          <w:b w:val="0"/>
          <w:bCs w:val="0"/>
          <w:u w:val="none"/>
          <w:rtl/>
        </w:rPr>
        <w:t xml:space="preserve"> דברי כב' השופט</w:t>
      </w:r>
      <w:r w:rsidR="00B77A7C">
        <w:rPr>
          <w:rFonts w:ascii="David" w:hAnsi="David"/>
          <w:b w:val="0"/>
          <w:bCs w:val="0"/>
          <w:u w:val="none"/>
          <w:rtl/>
        </w:rPr>
        <w:t xml:space="preserve"> </w:t>
      </w:r>
      <w:r w:rsidRPr="00F21495">
        <w:rPr>
          <w:rFonts w:ascii="David" w:hAnsi="David"/>
          <w:b w:val="0"/>
          <w:bCs w:val="0"/>
          <w:u w:val="none"/>
          <w:rtl/>
        </w:rPr>
        <w:t>סולברג ב</w:t>
      </w:r>
      <w:hyperlink r:id="rId25" w:history="1">
        <w:r w:rsidR="00B77A7C" w:rsidRPr="00B77A7C">
          <w:rPr>
            <w:rFonts w:ascii="David" w:hAnsi="David"/>
            <w:b w:val="0"/>
            <w:bCs w:val="0"/>
            <w:color w:val="0000FF"/>
            <w:rtl/>
          </w:rPr>
          <w:t>ע"פ 7952/15</w:t>
        </w:r>
      </w:hyperlink>
      <w:r w:rsidR="00B77A7C">
        <w:rPr>
          <w:rFonts w:ascii="David" w:hAnsi="David"/>
          <w:b w:val="0"/>
          <w:bCs w:val="0"/>
          <w:u w:val="none"/>
          <w:rtl/>
        </w:rPr>
        <w:t xml:space="preserve"> </w:t>
      </w:r>
      <w:r w:rsidRPr="00F21495">
        <w:rPr>
          <w:rFonts w:ascii="David" w:hAnsi="David"/>
          <w:u w:val="none"/>
          <w:rtl/>
        </w:rPr>
        <w:t>מדינת ישראל נ' שץ</w:t>
      </w:r>
      <w:r w:rsidR="00B77A7C">
        <w:rPr>
          <w:rFonts w:ascii="David" w:hAnsi="David"/>
          <w:b w:val="0"/>
          <w:bCs w:val="0"/>
          <w:u w:val="none"/>
          <w:rtl/>
        </w:rPr>
        <w:t xml:space="preserve"> </w:t>
      </w:r>
      <w:r w:rsidRPr="00F21495">
        <w:rPr>
          <w:rFonts w:ascii="David" w:hAnsi="David"/>
          <w:b w:val="0"/>
          <w:bCs w:val="0"/>
          <w:u w:val="none"/>
          <w:rtl/>
        </w:rPr>
        <w:t>(15.2.2016):</w:t>
      </w:r>
    </w:p>
    <w:p w14:paraId="49E0B63F" w14:textId="77777777" w:rsidR="00764D78" w:rsidRPr="00F21495" w:rsidRDefault="00764D78" w:rsidP="00764D78">
      <w:pPr>
        <w:pStyle w:val="a9"/>
        <w:ind w:right="426"/>
        <w:jc w:val="both"/>
        <w:rPr>
          <w:rFonts w:ascii="David" w:hAnsi="David"/>
          <w:b/>
          <w:bCs/>
          <w:sz w:val="22"/>
          <w:szCs w:val="22"/>
          <w:rtl/>
        </w:rPr>
      </w:pPr>
      <w:r w:rsidRPr="00FC36B7">
        <w:rPr>
          <w:rFonts w:ascii="David" w:hAnsi="David"/>
          <w:sz w:val="22"/>
          <w:szCs w:val="22"/>
          <w:rtl/>
        </w:rPr>
        <w:t>"</w:t>
      </w:r>
      <w:r w:rsidRPr="00F21495">
        <w:rPr>
          <w:rFonts w:ascii="David" w:hAnsi="David"/>
          <w:b/>
          <w:bCs/>
          <w:sz w:val="22"/>
          <w:szCs w:val="22"/>
          <w:rtl/>
        </w:rPr>
        <w:t>בית משפט זה עמד לא אחת על החומרה הרבה הטמונה בעבירות סחר והפצה של סמים, לא כל שכן סמים מסוכנים המוגדרים 'קשים' (ראו למשל:</w:t>
      </w:r>
      <w:r w:rsidR="00B77A7C">
        <w:rPr>
          <w:rFonts w:ascii="David" w:hAnsi="David"/>
          <w:b/>
          <w:bCs/>
          <w:sz w:val="22"/>
          <w:szCs w:val="22"/>
          <w:rtl/>
        </w:rPr>
        <w:t xml:space="preserve"> </w:t>
      </w:r>
      <w:hyperlink r:id="rId26" w:history="1">
        <w:r w:rsidR="00B77A7C" w:rsidRPr="00B77A7C">
          <w:rPr>
            <w:rFonts w:ascii="David" w:hAnsi="David"/>
            <w:b/>
            <w:bCs/>
            <w:color w:val="0000FF"/>
            <w:sz w:val="22"/>
            <w:szCs w:val="22"/>
            <w:u w:val="single"/>
            <w:rtl/>
          </w:rPr>
          <w:t>ע"פ 6747/11</w:t>
        </w:r>
      </w:hyperlink>
      <w:r w:rsidR="00B77A7C">
        <w:rPr>
          <w:rFonts w:ascii="David" w:hAnsi="David"/>
          <w:b/>
          <w:bCs/>
          <w:sz w:val="22"/>
          <w:szCs w:val="22"/>
          <w:rtl/>
        </w:rPr>
        <w:t xml:space="preserve"> </w:t>
      </w:r>
      <w:r w:rsidRPr="00F21495">
        <w:rPr>
          <w:rFonts w:ascii="David" w:hAnsi="David"/>
          <w:b/>
          <w:bCs/>
          <w:sz w:val="22"/>
          <w:szCs w:val="22"/>
          <w:rtl/>
        </w:rPr>
        <w:t>מדינת ישראל נ' אבו רקיק</w:t>
      </w:r>
      <w:r w:rsidR="00B77A7C">
        <w:rPr>
          <w:rFonts w:ascii="David" w:hAnsi="David"/>
          <w:b/>
          <w:bCs/>
          <w:sz w:val="22"/>
          <w:szCs w:val="22"/>
          <w:rtl/>
        </w:rPr>
        <w:t xml:space="preserve"> </w:t>
      </w:r>
      <w:r w:rsidRPr="00F21495">
        <w:rPr>
          <w:rFonts w:ascii="David" w:hAnsi="David"/>
          <w:b/>
          <w:bCs/>
          <w:sz w:val="22"/>
          <w:szCs w:val="22"/>
          <w:rtl/>
        </w:rPr>
        <w:t>[פורסם בנבו]</w:t>
      </w:r>
      <w:r w:rsidR="00B77A7C">
        <w:rPr>
          <w:rFonts w:ascii="David" w:hAnsi="David"/>
          <w:b/>
          <w:bCs/>
          <w:sz w:val="22"/>
          <w:szCs w:val="22"/>
          <w:rtl/>
        </w:rPr>
        <w:t xml:space="preserve"> </w:t>
      </w:r>
      <w:r w:rsidRPr="00F21495">
        <w:rPr>
          <w:rFonts w:ascii="David" w:hAnsi="David"/>
          <w:b/>
          <w:bCs/>
          <w:sz w:val="22"/>
          <w:szCs w:val="22"/>
          <w:rtl/>
        </w:rPr>
        <w:t>(3.1.2013)), ועל הצורך להיאבק בהן באמצעות ענישה משמעותית ומרתיעה (</w:t>
      </w:r>
      <w:hyperlink r:id="rId27" w:history="1">
        <w:r w:rsidR="00B77A7C" w:rsidRPr="00B77A7C">
          <w:rPr>
            <w:rFonts w:ascii="David" w:hAnsi="David"/>
            <w:b/>
            <w:bCs/>
            <w:color w:val="0000FF"/>
            <w:sz w:val="22"/>
            <w:szCs w:val="22"/>
            <w:u w:val="single"/>
            <w:rtl/>
          </w:rPr>
          <w:t>ע"פ 9482/09</w:t>
        </w:r>
      </w:hyperlink>
      <w:r w:rsidR="00B77A7C">
        <w:rPr>
          <w:rFonts w:ascii="David" w:hAnsi="David"/>
          <w:b/>
          <w:bCs/>
          <w:sz w:val="22"/>
          <w:szCs w:val="22"/>
          <w:rtl/>
        </w:rPr>
        <w:t xml:space="preserve"> </w:t>
      </w:r>
      <w:r w:rsidRPr="00F21495">
        <w:rPr>
          <w:rFonts w:ascii="David" w:hAnsi="David"/>
          <w:b/>
          <w:bCs/>
          <w:sz w:val="22"/>
          <w:szCs w:val="22"/>
          <w:rtl/>
        </w:rPr>
        <w:t>ביטון נ' מדינת ישראל,</w:t>
      </w:r>
      <w:r w:rsidR="00B77A7C">
        <w:rPr>
          <w:rFonts w:ascii="David" w:hAnsi="David"/>
          <w:b/>
          <w:bCs/>
          <w:sz w:val="22"/>
          <w:szCs w:val="22"/>
          <w:rtl/>
        </w:rPr>
        <w:t xml:space="preserve"> </w:t>
      </w:r>
      <w:r w:rsidRPr="00F21495">
        <w:rPr>
          <w:rFonts w:ascii="David" w:hAnsi="David"/>
          <w:b/>
          <w:bCs/>
          <w:sz w:val="22"/>
          <w:szCs w:val="22"/>
          <w:rtl/>
        </w:rPr>
        <w:t>[פורסם בנבו]</w:t>
      </w:r>
      <w:r w:rsidR="00B77A7C">
        <w:rPr>
          <w:rFonts w:ascii="David" w:hAnsi="David"/>
          <w:b/>
          <w:bCs/>
          <w:sz w:val="22"/>
          <w:szCs w:val="22"/>
          <w:rtl/>
        </w:rPr>
        <w:t xml:space="preserve"> </w:t>
      </w:r>
      <w:r w:rsidRPr="00F21495">
        <w:rPr>
          <w:rFonts w:ascii="David" w:hAnsi="David"/>
          <w:b/>
          <w:bCs/>
          <w:sz w:val="22"/>
          <w:szCs w:val="22"/>
          <w:rtl/>
        </w:rPr>
        <w:t>פסקה 24 (24.7.2011)). זאת, לאור הנזק הרב שהן מסבות לא אך למשתמשים הישירים בסם, אלא לחברה כולה, הסובלת מעבירות רכוש ואלימות מצד העוסקים בסחר ומלקוחותיהם</w:t>
      </w:r>
      <w:r w:rsidRPr="00F21495">
        <w:rPr>
          <w:rFonts w:ascii="David" w:hAnsi="David" w:hint="cs"/>
          <w:b/>
          <w:bCs/>
          <w:sz w:val="22"/>
          <w:szCs w:val="22"/>
          <w:rtl/>
        </w:rPr>
        <w:t>.</w:t>
      </w:r>
      <w:r w:rsidRPr="00FC36B7">
        <w:rPr>
          <w:rFonts w:ascii="David" w:hAnsi="David" w:hint="cs"/>
          <w:sz w:val="22"/>
          <w:szCs w:val="22"/>
          <w:rtl/>
        </w:rPr>
        <w:t>"</w:t>
      </w:r>
    </w:p>
    <w:p w14:paraId="4CBC67D3" w14:textId="77777777" w:rsidR="00764D78" w:rsidRPr="00F21495" w:rsidRDefault="00764D78" w:rsidP="00764D78">
      <w:pPr>
        <w:ind w:right="426"/>
        <w:jc w:val="both"/>
        <w:rPr>
          <w:rFonts w:ascii="David" w:hAnsi="David"/>
          <w:b/>
          <w:bCs/>
          <w:sz w:val="20"/>
          <w:szCs w:val="20"/>
          <w:rtl/>
        </w:rPr>
      </w:pPr>
    </w:p>
    <w:p w14:paraId="72E7FACB" w14:textId="77777777" w:rsidR="00764D78" w:rsidRPr="00F21495" w:rsidRDefault="00764D78" w:rsidP="00764D78">
      <w:pPr>
        <w:pStyle w:val="12"/>
        <w:numPr>
          <w:ilvl w:val="0"/>
          <w:numId w:val="1"/>
        </w:numPr>
        <w:spacing w:line="360" w:lineRule="auto"/>
        <w:ind w:left="-58" w:firstLine="73"/>
        <w:jc w:val="both"/>
        <w:rPr>
          <w:rFonts w:ascii="David" w:hAnsi="David"/>
          <w:b w:val="0"/>
          <w:bCs w:val="0"/>
          <w:u w:val="none"/>
        </w:rPr>
      </w:pPr>
      <w:r w:rsidRPr="00F21495">
        <w:rPr>
          <w:rFonts w:ascii="David" w:hAnsi="David"/>
          <w:b w:val="0"/>
          <w:bCs w:val="0"/>
          <w:u w:val="none"/>
          <w:rtl/>
        </w:rPr>
        <w:t>שקלתי גם את נסיבות ביצוע העבירה המלמדות על פגיעה לא מבוטלת בערכים המוגנים. במסגרת זו נתתי דעתי לכך שהמדובר בסחר בסם מסוכן</w:t>
      </w:r>
      <w:r w:rsidRPr="00F21495">
        <w:rPr>
          <w:rFonts w:ascii="David" w:hAnsi="David" w:hint="cs"/>
          <w:b w:val="0"/>
          <w:bCs w:val="0"/>
          <w:u w:val="none"/>
          <w:rtl/>
        </w:rPr>
        <w:t>, ולסוגו. כמו כן, למשקל הסם בו סחר הנאשם שאינו מבוטל ועומד על</w:t>
      </w:r>
      <w:r w:rsidRPr="00F21495">
        <w:rPr>
          <w:rFonts w:ascii="David" w:hAnsi="David"/>
          <w:b w:val="0"/>
          <w:bCs w:val="0"/>
          <w:u w:val="none"/>
          <w:rtl/>
        </w:rPr>
        <w:t xml:space="preserve"> 21.61 גרם תמורת 5,500 ₪</w:t>
      </w:r>
      <w:r w:rsidRPr="00F21495">
        <w:rPr>
          <w:rFonts w:ascii="David" w:hAnsi="David" w:hint="cs"/>
          <w:b w:val="0"/>
          <w:bCs w:val="0"/>
          <w:u w:val="none"/>
          <w:rtl/>
        </w:rPr>
        <w:t xml:space="preserve">. בנוסף, </w:t>
      </w:r>
      <w:r w:rsidRPr="00F21495">
        <w:rPr>
          <w:rFonts w:ascii="David" w:hAnsi="David"/>
          <w:b w:val="0"/>
          <w:bCs w:val="0"/>
          <w:u w:val="none"/>
          <w:rtl/>
        </w:rPr>
        <w:t xml:space="preserve">לכך שהמדובר </w:t>
      </w:r>
      <w:r w:rsidRPr="00F21495">
        <w:rPr>
          <w:rFonts w:ascii="David" w:hAnsi="David" w:hint="cs"/>
          <w:b w:val="0"/>
          <w:bCs w:val="0"/>
          <w:u w:val="none"/>
          <w:rtl/>
        </w:rPr>
        <w:t>בשתי</w:t>
      </w:r>
      <w:r w:rsidRPr="00F21495">
        <w:rPr>
          <w:rFonts w:ascii="David" w:hAnsi="David"/>
          <w:b w:val="0"/>
          <w:bCs w:val="0"/>
          <w:u w:val="none"/>
          <w:rtl/>
        </w:rPr>
        <w:t xml:space="preserve"> מכירות בהזדמנויות שונות, הגם שהמדובר בקונה אחת</w:t>
      </w:r>
      <w:r w:rsidRPr="00F21495">
        <w:rPr>
          <w:rFonts w:ascii="David" w:hAnsi="David" w:hint="cs"/>
          <w:b w:val="0"/>
          <w:bCs w:val="0"/>
          <w:u w:val="none"/>
          <w:rtl/>
        </w:rPr>
        <w:t>, לזמינות הסם לנאשם, ולכך שהנאשם</w:t>
      </w:r>
      <w:r w:rsidRPr="00F21495">
        <w:rPr>
          <w:rFonts w:ascii="David" w:hAnsi="David"/>
          <w:b w:val="0"/>
          <w:bCs w:val="0"/>
          <w:u w:val="none"/>
          <w:rtl/>
        </w:rPr>
        <w:t xml:space="preserve"> התכתב </w:t>
      </w:r>
      <w:r w:rsidRPr="00F21495">
        <w:rPr>
          <w:rFonts w:ascii="David" w:hAnsi="David" w:hint="cs"/>
          <w:b w:val="0"/>
          <w:bCs w:val="0"/>
          <w:u w:val="none"/>
          <w:rtl/>
        </w:rPr>
        <w:t xml:space="preserve">עם הקונה </w:t>
      </w:r>
      <w:r w:rsidRPr="00F21495">
        <w:rPr>
          <w:rFonts w:ascii="David" w:hAnsi="David"/>
          <w:b w:val="0"/>
          <w:bCs w:val="0"/>
          <w:u w:val="none"/>
          <w:rtl/>
        </w:rPr>
        <w:t>באפליקציה המשמשת פלטפורמה לסוחרי סמים בה הם מציעים את מרכולתם לאחר שנרשם בה כסוחר מאומת</w:t>
      </w:r>
      <w:r w:rsidRPr="00F21495">
        <w:rPr>
          <w:rFonts w:ascii="David" w:hAnsi="David" w:hint="cs"/>
          <w:b w:val="0"/>
          <w:bCs w:val="0"/>
          <w:u w:val="none"/>
          <w:rtl/>
        </w:rPr>
        <w:t>, תוך תכנון והיערכות לביצוע העבירות</w:t>
      </w:r>
      <w:r w:rsidRPr="00F21495">
        <w:rPr>
          <w:rFonts w:ascii="David" w:hAnsi="David"/>
          <w:b w:val="0"/>
          <w:bCs w:val="0"/>
          <w:u w:val="none"/>
          <w:rtl/>
        </w:rPr>
        <w:t xml:space="preserve">. האמור מלמד </w:t>
      </w:r>
      <w:r w:rsidRPr="00F21495">
        <w:rPr>
          <w:rFonts w:ascii="David" w:hAnsi="David" w:hint="cs"/>
          <w:b w:val="0"/>
          <w:bCs w:val="0"/>
          <w:u w:val="none"/>
          <w:rtl/>
        </w:rPr>
        <w:t>ש</w:t>
      </w:r>
      <w:r w:rsidRPr="00F21495">
        <w:rPr>
          <w:rFonts w:ascii="David" w:hAnsi="David"/>
          <w:b w:val="0"/>
          <w:bCs w:val="0"/>
          <w:u w:val="none"/>
          <w:rtl/>
        </w:rPr>
        <w:t>אין המדובר במי שהתנהל באופן חד פעמי ואימפולסיבי לסחר בסם</w:t>
      </w:r>
      <w:r w:rsidRPr="00F21495">
        <w:rPr>
          <w:rFonts w:ascii="David" w:hAnsi="David" w:hint="cs"/>
          <w:b w:val="0"/>
          <w:bCs w:val="0"/>
          <w:u w:val="none"/>
          <w:rtl/>
        </w:rPr>
        <w:t xml:space="preserve"> או במי שסחר בסם על רקע חברי ועל חומרת הנסיבות,</w:t>
      </w:r>
      <w:r w:rsidRPr="00F21495">
        <w:rPr>
          <w:rFonts w:ascii="David" w:hAnsi="David"/>
          <w:b w:val="0"/>
          <w:bCs w:val="0"/>
          <w:u w:val="none"/>
          <w:rtl/>
        </w:rPr>
        <w:t xml:space="preserve"> </w:t>
      </w:r>
      <w:r w:rsidRPr="00F21495">
        <w:rPr>
          <w:rFonts w:ascii="David" w:hAnsi="David" w:hint="cs"/>
          <w:b w:val="0"/>
          <w:bCs w:val="0"/>
          <w:u w:val="none"/>
          <w:rtl/>
        </w:rPr>
        <w:t>זאת גם לאחר מתן משקל לגילו הצעיר של הנאשם בעת ביצוע העבירות, ולכך שמביצוע העבירות לא נגרם הנזק הכבד שיכול היה להיגרם לציבור, משהקונה היא סוכנת משטרתית.</w:t>
      </w:r>
    </w:p>
    <w:p w14:paraId="488D223A" w14:textId="77777777" w:rsidR="00764D78" w:rsidRPr="00F21495" w:rsidRDefault="00764D78" w:rsidP="00764D78">
      <w:pPr>
        <w:pStyle w:val="12"/>
        <w:ind w:left="15"/>
        <w:jc w:val="both"/>
        <w:rPr>
          <w:rFonts w:ascii="David" w:hAnsi="David"/>
          <w:b w:val="0"/>
          <w:bCs w:val="0"/>
          <w:sz w:val="20"/>
          <w:szCs w:val="20"/>
          <w:u w:val="none"/>
        </w:rPr>
      </w:pPr>
    </w:p>
    <w:p w14:paraId="6966D4DF" w14:textId="77777777" w:rsidR="00764D78" w:rsidRPr="00F21495" w:rsidRDefault="00764D78" w:rsidP="00764D78">
      <w:pPr>
        <w:pStyle w:val="12"/>
        <w:numPr>
          <w:ilvl w:val="0"/>
          <w:numId w:val="1"/>
        </w:numPr>
        <w:spacing w:line="360" w:lineRule="auto"/>
        <w:ind w:left="-58" w:firstLine="73"/>
        <w:jc w:val="both"/>
        <w:rPr>
          <w:rFonts w:ascii="David" w:hAnsi="David"/>
          <w:b w:val="0"/>
          <w:bCs w:val="0"/>
          <w:u w:val="none"/>
          <w:rtl/>
        </w:rPr>
      </w:pPr>
      <w:r w:rsidRPr="00F21495">
        <w:rPr>
          <w:rFonts w:ascii="David" w:hAnsi="David"/>
          <w:b w:val="0"/>
          <w:bCs w:val="0"/>
          <w:u w:val="none"/>
          <w:rtl/>
        </w:rPr>
        <w:t>בעת בחינת סבירות הסדר הטיעון נתתי דעתי גם לענישה הנוהגת המלמדת כי בגין ביצוע העבירה הנדונה בנסיבות דומות,</w:t>
      </w:r>
      <w:r w:rsidRPr="00F21495">
        <w:rPr>
          <w:rFonts w:ascii="David" w:hAnsi="David" w:hint="cs"/>
          <w:b w:val="0"/>
          <w:bCs w:val="0"/>
          <w:u w:val="none"/>
          <w:rtl/>
        </w:rPr>
        <w:t xml:space="preserve"> </w:t>
      </w:r>
      <w:r w:rsidRPr="00F21495">
        <w:rPr>
          <w:rFonts w:ascii="David" w:hAnsi="David"/>
          <w:b w:val="0"/>
          <w:bCs w:val="0"/>
          <w:u w:val="none"/>
          <w:rtl/>
        </w:rPr>
        <w:t>נוהגים בתי</w:t>
      </w:r>
      <w:r w:rsidRPr="00F21495">
        <w:rPr>
          <w:rFonts w:ascii="David" w:hAnsi="David"/>
          <w:b w:val="0"/>
          <w:bCs w:val="0"/>
          <w:sz w:val="20"/>
          <w:szCs w:val="20"/>
          <w:u w:val="none"/>
          <w:rtl/>
        </w:rPr>
        <w:t xml:space="preserve"> </w:t>
      </w:r>
      <w:r w:rsidRPr="00F21495">
        <w:rPr>
          <w:rFonts w:ascii="David" w:hAnsi="David"/>
          <w:b w:val="0"/>
          <w:bCs w:val="0"/>
          <w:u w:val="none"/>
          <w:rtl/>
        </w:rPr>
        <w:t xml:space="preserve">המשפט לקבוע מתחמי ענישה הכוללים ענישה קונקרטית, כשבתחתית מתחם הענישה </w:t>
      </w:r>
      <w:r w:rsidRPr="00F21495">
        <w:rPr>
          <w:rFonts w:ascii="David" w:hAnsi="David" w:hint="cs"/>
          <w:b w:val="0"/>
          <w:bCs w:val="0"/>
          <w:u w:val="none"/>
          <w:rtl/>
        </w:rPr>
        <w:t xml:space="preserve">נקבע באופן תדיר </w:t>
      </w:r>
      <w:r w:rsidRPr="00F21495">
        <w:rPr>
          <w:rFonts w:ascii="David" w:hAnsi="David"/>
          <w:b w:val="0"/>
          <w:bCs w:val="0"/>
          <w:u w:val="none"/>
          <w:rtl/>
        </w:rPr>
        <w:t>עונש של מאסר בפועל</w:t>
      </w:r>
      <w:r w:rsidRPr="00F21495">
        <w:rPr>
          <w:rFonts w:ascii="David" w:hAnsi="David" w:hint="cs"/>
          <w:b w:val="0"/>
          <w:bCs w:val="0"/>
          <w:u w:val="none"/>
          <w:rtl/>
        </w:rPr>
        <w:t xml:space="preserve"> לתקופה ממשית, בפרט כאשר מדובר ביותר ממקרה סחר אחד</w:t>
      </w:r>
      <w:r w:rsidRPr="00F21495">
        <w:rPr>
          <w:rFonts w:ascii="David" w:hAnsi="David"/>
          <w:b w:val="0"/>
          <w:bCs w:val="0"/>
          <w:u w:val="none"/>
          <w:rtl/>
        </w:rPr>
        <w:t xml:space="preserve">. ראו לדוגמא: </w:t>
      </w:r>
      <w:hyperlink r:id="rId28" w:history="1">
        <w:r w:rsidR="00B77A7C" w:rsidRPr="00B77A7C">
          <w:rPr>
            <w:rFonts w:ascii="David" w:hAnsi="David"/>
            <w:b w:val="0"/>
            <w:bCs w:val="0"/>
            <w:color w:val="0000FF"/>
            <w:rtl/>
          </w:rPr>
          <w:t>עפ"ג (ת"א) 38035-05-20</w:t>
        </w:r>
      </w:hyperlink>
      <w:r w:rsidRPr="00F21495">
        <w:rPr>
          <w:rFonts w:ascii="David" w:hAnsi="David"/>
          <w:b w:val="0"/>
          <w:bCs w:val="0"/>
          <w:u w:val="none"/>
          <w:rtl/>
        </w:rPr>
        <w:t xml:space="preserve"> </w:t>
      </w:r>
      <w:r w:rsidRPr="00F21495">
        <w:rPr>
          <w:rFonts w:ascii="David" w:hAnsi="David"/>
          <w:u w:val="none"/>
          <w:rtl/>
        </w:rPr>
        <w:t>מדינת ישראל נ' גטאהון</w:t>
      </w:r>
      <w:r w:rsidRPr="00F21495">
        <w:rPr>
          <w:rFonts w:ascii="David" w:hAnsi="David"/>
          <w:b w:val="0"/>
          <w:bCs w:val="0"/>
          <w:u w:val="none"/>
          <w:rtl/>
        </w:rPr>
        <w:t xml:space="preserve"> (7.7.2020), </w:t>
      </w:r>
      <w:hyperlink r:id="rId29" w:history="1">
        <w:r w:rsidR="00B77A7C" w:rsidRPr="00B77A7C">
          <w:rPr>
            <w:rFonts w:ascii="David" w:hAnsi="David"/>
            <w:b w:val="0"/>
            <w:bCs w:val="0"/>
            <w:color w:val="0000FF"/>
            <w:rtl/>
          </w:rPr>
          <w:t>ע"פ 8598/12</w:t>
        </w:r>
      </w:hyperlink>
      <w:r w:rsidR="00B77A7C">
        <w:rPr>
          <w:rFonts w:ascii="David" w:hAnsi="David"/>
          <w:b w:val="0"/>
          <w:bCs w:val="0"/>
          <w:u w:val="none"/>
        </w:rPr>
        <w:t xml:space="preserve"> </w:t>
      </w:r>
      <w:r w:rsidRPr="00F21495">
        <w:rPr>
          <w:rFonts w:ascii="David" w:hAnsi="David"/>
          <w:u w:val="none"/>
          <w:rtl/>
        </w:rPr>
        <w:t>ביאטרה נ' מדינת ישראל</w:t>
      </w:r>
      <w:r w:rsidR="00B77A7C">
        <w:rPr>
          <w:rFonts w:ascii="David" w:hAnsi="David"/>
          <w:b w:val="0"/>
          <w:bCs w:val="0"/>
          <w:u w:val="none"/>
          <w:rtl/>
        </w:rPr>
        <w:t xml:space="preserve"> </w:t>
      </w:r>
      <w:r w:rsidRPr="00F21495">
        <w:rPr>
          <w:rFonts w:ascii="David" w:hAnsi="David"/>
          <w:b w:val="0"/>
          <w:bCs w:val="0"/>
          <w:u w:val="none"/>
        </w:rPr>
        <w:t>(28.1.2013)</w:t>
      </w:r>
      <w:r w:rsidRPr="00F21495">
        <w:rPr>
          <w:rFonts w:ascii="David" w:hAnsi="David"/>
          <w:b w:val="0"/>
          <w:bCs w:val="0"/>
          <w:u w:val="none"/>
          <w:rtl/>
        </w:rPr>
        <w:t xml:space="preserve">, </w:t>
      </w:r>
      <w:hyperlink r:id="rId30" w:history="1">
        <w:r w:rsidR="00B77A7C" w:rsidRPr="00B77A7C">
          <w:rPr>
            <w:rFonts w:ascii="David" w:hAnsi="David"/>
            <w:b w:val="0"/>
            <w:bCs w:val="0"/>
            <w:color w:val="0000FF"/>
            <w:rtl/>
          </w:rPr>
          <w:t>ת"פ (מח'-ת"א) 30538-02-19</w:t>
        </w:r>
      </w:hyperlink>
      <w:r w:rsidRPr="00F21495">
        <w:rPr>
          <w:rFonts w:ascii="David" w:hAnsi="David"/>
          <w:b w:val="0"/>
          <w:bCs w:val="0"/>
          <w:u w:val="none"/>
          <w:rtl/>
        </w:rPr>
        <w:t xml:space="preserve"> </w:t>
      </w:r>
      <w:r w:rsidRPr="00F21495">
        <w:rPr>
          <w:rFonts w:ascii="David" w:hAnsi="David"/>
          <w:u w:val="none"/>
          <w:rtl/>
        </w:rPr>
        <w:t>מדינת ישראל נ' ולקוביץ</w:t>
      </w:r>
      <w:r w:rsidRPr="00F21495">
        <w:rPr>
          <w:rFonts w:ascii="David" w:hAnsi="David"/>
          <w:b w:val="0"/>
          <w:bCs w:val="0"/>
          <w:u w:val="none"/>
          <w:rtl/>
        </w:rPr>
        <w:t xml:space="preserve"> (5.11.2019), </w:t>
      </w:r>
      <w:hyperlink r:id="rId31" w:history="1">
        <w:r w:rsidR="00B77A7C" w:rsidRPr="00B77A7C">
          <w:rPr>
            <w:rFonts w:ascii="David" w:hAnsi="David"/>
            <w:b w:val="0"/>
            <w:bCs w:val="0"/>
            <w:color w:val="0000FF"/>
            <w:rtl/>
          </w:rPr>
          <w:t>ת"פ (מח'-חי') 1108-05-15</w:t>
        </w:r>
      </w:hyperlink>
      <w:r w:rsidRPr="00F21495">
        <w:rPr>
          <w:rFonts w:ascii="David" w:hAnsi="David"/>
          <w:b w:val="0"/>
          <w:bCs w:val="0"/>
          <w:u w:val="none"/>
          <w:rtl/>
        </w:rPr>
        <w:t xml:space="preserve"> </w:t>
      </w:r>
      <w:r w:rsidRPr="00F21495">
        <w:rPr>
          <w:rFonts w:ascii="David" w:hAnsi="David"/>
          <w:u w:val="none"/>
          <w:rtl/>
        </w:rPr>
        <w:t>מדינת ישראל נ' בן יאיר</w:t>
      </w:r>
      <w:r w:rsidRPr="00F21495">
        <w:rPr>
          <w:rFonts w:ascii="David" w:hAnsi="David"/>
          <w:b w:val="0"/>
          <w:bCs w:val="0"/>
          <w:u w:val="none"/>
          <w:rtl/>
        </w:rPr>
        <w:t xml:space="preserve"> (8.12.2015)</w:t>
      </w:r>
      <w:r w:rsidRPr="00F21495">
        <w:rPr>
          <w:rFonts w:ascii="David" w:hAnsi="David" w:hint="cs"/>
          <w:b w:val="0"/>
          <w:bCs w:val="0"/>
          <w:u w:val="none"/>
          <w:rtl/>
        </w:rPr>
        <w:t xml:space="preserve"> והפסיקה המוזכרת שם</w:t>
      </w:r>
      <w:r w:rsidRPr="00F21495">
        <w:rPr>
          <w:rFonts w:ascii="David" w:hAnsi="David"/>
          <w:b w:val="0"/>
          <w:bCs w:val="0"/>
          <w:u w:val="none"/>
          <w:rtl/>
        </w:rPr>
        <w:t xml:space="preserve">, </w:t>
      </w:r>
      <w:hyperlink r:id="rId32" w:history="1">
        <w:r w:rsidR="00B77A7C" w:rsidRPr="00B77A7C">
          <w:rPr>
            <w:rFonts w:ascii="David" w:hAnsi="David"/>
            <w:b w:val="0"/>
            <w:bCs w:val="0"/>
            <w:color w:val="0000FF"/>
            <w:rtl/>
          </w:rPr>
          <w:t>ת"פ (שלום ת"א) 59586-01-14</w:t>
        </w:r>
      </w:hyperlink>
      <w:r w:rsidRPr="00F21495">
        <w:rPr>
          <w:rFonts w:ascii="David" w:hAnsi="David"/>
          <w:b w:val="0"/>
          <w:bCs w:val="0"/>
          <w:u w:val="none"/>
          <w:rtl/>
        </w:rPr>
        <w:t xml:space="preserve"> </w:t>
      </w:r>
      <w:r w:rsidRPr="00F21495">
        <w:rPr>
          <w:rFonts w:ascii="David" w:hAnsi="David"/>
          <w:u w:val="none"/>
          <w:rtl/>
        </w:rPr>
        <w:t>מדינת ישראל נ' קקון</w:t>
      </w:r>
      <w:r w:rsidRPr="00F21495">
        <w:rPr>
          <w:rFonts w:ascii="David" w:hAnsi="David"/>
          <w:b w:val="0"/>
          <w:bCs w:val="0"/>
          <w:u w:val="none"/>
          <w:rtl/>
        </w:rPr>
        <w:t xml:space="preserve"> (6.10.2014)).</w:t>
      </w:r>
    </w:p>
    <w:p w14:paraId="29016BFE" w14:textId="77777777" w:rsidR="00764D78" w:rsidRPr="00F21495" w:rsidRDefault="00764D78" w:rsidP="00764D78">
      <w:pPr>
        <w:pStyle w:val="a9"/>
        <w:rPr>
          <w:rFonts w:ascii="David" w:hAnsi="David"/>
          <w:sz w:val="20"/>
          <w:szCs w:val="20"/>
        </w:rPr>
      </w:pPr>
    </w:p>
    <w:p w14:paraId="3698C837"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מבחינת המפורט לעיל</w:t>
      </w:r>
      <w:r w:rsidRPr="00F21495">
        <w:rPr>
          <w:rFonts w:ascii="David" w:hAnsi="David"/>
          <w:rtl/>
        </w:rPr>
        <w:t xml:space="preserve"> נראה כי אפילו תקרת טווח הענישה המוסכם על הצדדים בהסדר הטיעון העומדת על 9 חודשי מאסר אותם ניתן לרצות בעבודות שירות נמצאת מתחת לרף התחתון של מתחם </w:t>
      </w:r>
      <w:r w:rsidRPr="00F21495">
        <w:rPr>
          <w:rFonts w:ascii="David" w:hAnsi="David" w:hint="cs"/>
          <w:rtl/>
        </w:rPr>
        <w:t>העונש ההולם בנסיבות, שנראה שנכון היה לקבעו לכל הפחות על 10 חודשי מאסר בפועל ו</w:t>
      </w:r>
      <w:r>
        <w:rPr>
          <w:rFonts w:ascii="David" w:hAnsi="David" w:hint="cs"/>
          <w:rtl/>
        </w:rPr>
        <w:t xml:space="preserve">את </w:t>
      </w:r>
      <w:r w:rsidRPr="00F21495">
        <w:rPr>
          <w:rFonts w:ascii="David" w:hAnsi="David" w:hint="cs"/>
          <w:rtl/>
        </w:rPr>
        <w:t>תקרתו על 24 חודשי מאסר בפועל. גם ב"כ המאשימה הבהיר בעת הצגת הסדר הטיעון כי הסכמת המאשימה לטווח הענישה המוסכם נובעת משיקולי שיקום וסוטה לשיטתו לקולא ממתחם העונש ההולם. במכלול הנסיבות שיפורטו להלן</w:t>
      </w:r>
      <w:r>
        <w:rPr>
          <w:rFonts w:ascii="David" w:hAnsi="David" w:hint="cs"/>
          <w:rtl/>
        </w:rPr>
        <w:t>,</w:t>
      </w:r>
      <w:r w:rsidRPr="00F21495">
        <w:rPr>
          <w:rFonts w:ascii="David" w:hAnsi="David" w:hint="cs"/>
          <w:rtl/>
        </w:rPr>
        <w:t xml:space="preserve"> ובפרט הדרך המשמעותית שעשה הנאשם לשיקום, אני מוצאת כי המדובר בהסכמה ראויה ומאמצת את טווח הענישה המוסכם.</w:t>
      </w:r>
    </w:p>
    <w:p w14:paraId="1E45B0C3" w14:textId="77777777" w:rsidR="00764D78" w:rsidRPr="00F21495" w:rsidRDefault="00764D78" w:rsidP="00764D78">
      <w:pPr>
        <w:jc w:val="both"/>
        <w:rPr>
          <w:rFonts w:ascii="David" w:hAnsi="David"/>
          <w:sz w:val="20"/>
          <w:szCs w:val="20"/>
          <w:rtl/>
        </w:rPr>
      </w:pPr>
    </w:p>
    <w:p w14:paraId="729AE6F4"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 xml:space="preserve">כאמור, עיקר ההקלה המגיעה לנאשם נובעת משיקולי שיקום </w:t>
      </w:r>
      <w:r w:rsidRPr="00F21495">
        <w:rPr>
          <w:rFonts w:ascii="David" w:hAnsi="David"/>
          <w:rtl/>
        </w:rPr>
        <w:t>–</w:t>
      </w:r>
      <w:r w:rsidRPr="00F21495">
        <w:rPr>
          <w:rFonts w:ascii="David" w:hAnsi="David" w:hint="cs"/>
          <w:rtl/>
        </w:rPr>
        <w:t xml:space="preserve"> כפי שפורט בהרחבה לעיל, מחוות הדעת ממרכז "התחלה חדשה" (</w:t>
      </w:r>
      <w:r w:rsidRPr="00F21495">
        <w:rPr>
          <w:rFonts w:ascii="David" w:hAnsi="David" w:hint="cs"/>
          <w:b/>
          <w:bCs/>
          <w:rtl/>
        </w:rPr>
        <w:t>ענ/1</w:t>
      </w:r>
      <w:r w:rsidRPr="00F21495">
        <w:rPr>
          <w:rFonts w:ascii="David" w:hAnsi="David" w:hint="cs"/>
          <w:rtl/>
        </w:rPr>
        <w:t>) ומתסקירי שירות המבחן שהוגשו עולה הדרך הטובה והמשמעותית שעשה הנאשם לשיקום, ואין להקל בכך ראש, בפרט בנסיבותיו הרפואיות המורכבות. אזכיר כי הנאשם סובל מילדות ממחלת קרוהן וחלה בדלקת פרקים (</w:t>
      </w:r>
      <w:r w:rsidRPr="00F21495">
        <w:rPr>
          <w:rFonts w:ascii="David" w:hAnsi="David" w:hint="cs"/>
          <w:b/>
          <w:bCs/>
          <w:rtl/>
        </w:rPr>
        <w:t>ענ/2</w:t>
      </w:r>
      <w:r w:rsidRPr="00F21495">
        <w:rPr>
          <w:rFonts w:ascii="David" w:hAnsi="David" w:hint="cs"/>
          <w:rtl/>
        </w:rPr>
        <w:t>). מחלותיו הקשו מאוד על שנות ילדותו והתבגרותו והציבו בפניו אתגרים רבים בשנים אלה. גירושי הוריו ופער הגילאים עם אחיו הביאו לכך ששהה רבות בגפו בבית ובבתי חולים. הנאשם נפלט מבית הספר ללא בגרות ואף לא גויס לצבא, והתמודד עם קשיים ממשיים מול קבוצת השווים.</w:t>
      </w:r>
    </w:p>
    <w:p w14:paraId="3B9B0EBC" w14:textId="77777777" w:rsidR="00764D78" w:rsidRPr="00F21495" w:rsidRDefault="00764D78" w:rsidP="00764D78">
      <w:pPr>
        <w:pStyle w:val="a9"/>
        <w:rPr>
          <w:rFonts w:ascii="David" w:hAnsi="David"/>
          <w:sz w:val="20"/>
          <w:szCs w:val="20"/>
          <w:rtl/>
        </w:rPr>
      </w:pPr>
    </w:p>
    <w:p w14:paraId="469111F2"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 xml:space="preserve"> סמוך לשחרורו ממעצר בקשר להליך דנן החל הנאשם את דרכו לשיקום. הנאשם פנה למרכז "התחלה חדשה", שולב בטיפול והשתתף ב-68 פגישות טיפוליות, ואף נמצא ברשימת המתנה לשילוב בקבוצה מטעם שירות המבחן.  בחוות הדעת האחרונה שהתקבלה בעניינו של הנאשם סוכמה הדרך המשמעותית אותה עשה הנאשם עד לאותו השלב לשיקום, שיתוף הפעולה המלא והאחראי שלו עם הטיפול, וכי כיום הנאשם עצמאי ואחראי בכל תחומי חייו (בפן הבריאותי, התעסוקתי והלימודי), מצטיין בעבודתו ובלימודיו ועל פי מכתב ממעסיקו זכה במצטיין חודש פברואר 2021 ומבצע עבודתו במקצועיות, חריצות ויסודיות (</w:t>
      </w:r>
      <w:r w:rsidRPr="00F21495">
        <w:rPr>
          <w:rFonts w:ascii="David" w:hAnsi="David" w:hint="cs"/>
          <w:b/>
          <w:bCs/>
          <w:rtl/>
        </w:rPr>
        <w:t>ענ/3</w:t>
      </w:r>
      <w:r w:rsidRPr="00F21495">
        <w:rPr>
          <w:rFonts w:ascii="David" w:hAnsi="David" w:hint="cs"/>
          <w:rtl/>
        </w:rPr>
        <w:t>). בנוסף נמצא בקשר זוגי. הנאשם נטל אחריות לביצוע העבירות (הגם ששירות המבחן סבור שצמצם את השיח לגביהן), והביע חרטה וצער על הפגיעה במשפחתו ו</w:t>
      </w:r>
      <w:r>
        <w:rPr>
          <w:rFonts w:ascii="David" w:hAnsi="David" w:hint="cs"/>
          <w:rtl/>
        </w:rPr>
        <w:t>ב</w:t>
      </w:r>
      <w:r w:rsidRPr="00F21495">
        <w:rPr>
          <w:rFonts w:ascii="David" w:hAnsi="David" w:hint="cs"/>
          <w:rtl/>
        </w:rPr>
        <w:t>אחרים. לדעת גורמי הטיפול ב"התחלה חדשה" הנאשם פועל לפי סולם ערכים נורמטיבי, והמלצתם היא לענישה שיקומית צופה פני עתיד לאור הדרך הטיפולית המרשימה שעשה.</w:t>
      </w:r>
    </w:p>
    <w:p w14:paraId="466A4DFA" w14:textId="77777777" w:rsidR="00764D78" w:rsidRPr="00F21495" w:rsidRDefault="00764D78" w:rsidP="00764D78">
      <w:pPr>
        <w:pStyle w:val="a9"/>
        <w:rPr>
          <w:rFonts w:ascii="David" w:hAnsi="David"/>
          <w:sz w:val="20"/>
          <w:szCs w:val="20"/>
          <w:rtl/>
        </w:rPr>
      </w:pPr>
    </w:p>
    <w:p w14:paraId="773E3A39"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 xml:space="preserve">גם </w:t>
      </w:r>
      <w:r w:rsidRPr="00F21495">
        <w:rPr>
          <w:rFonts w:ascii="David" w:hAnsi="David"/>
          <w:rtl/>
        </w:rPr>
        <w:t xml:space="preserve">להתרשמות שירות המבחן הסיכון למעורבות פלילית דומה בעתיד </w:t>
      </w:r>
      <w:r w:rsidRPr="00F21495">
        <w:rPr>
          <w:rFonts w:ascii="David" w:hAnsi="David" w:hint="cs"/>
          <w:rtl/>
        </w:rPr>
        <w:t xml:space="preserve">מצד הנאשם נמוך. זאת גם לאחר שקילת גורמי הסיכון במצבו בדמות </w:t>
      </w:r>
      <w:r w:rsidRPr="00F21495">
        <w:rPr>
          <w:rFonts w:ascii="David" w:hAnsi="David"/>
          <w:rtl/>
        </w:rPr>
        <w:t xml:space="preserve">הרושם </w:t>
      </w:r>
      <w:r w:rsidRPr="00F21495">
        <w:rPr>
          <w:rFonts w:ascii="David" w:hAnsi="David" w:hint="cs"/>
          <w:rtl/>
        </w:rPr>
        <w:t xml:space="preserve">לפיו </w:t>
      </w:r>
      <w:r w:rsidRPr="00F21495">
        <w:rPr>
          <w:rFonts w:ascii="David" w:hAnsi="David"/>
          <w:rtl/>
        </w:rPr>
        <w:t xml:space="preserve">הנאשם נמצא עדיין בשלבי גיבוש אישיותו כחלק מתהליך התבגרות שמתמשך, נוטה לטשטש גבולות ובדיקתם, </w:t>
      </w:r>
      <w:r w:rsidRPr="00F21495">
        <w:rPr>
          <w:rFonts w:ascii="David" w:hAnsi="David" w:hint="cs"/>
          <w:rtl/>
        </w:rPr>
        <w:t xml:space="preserve">וכי </w:t>
      </w:r>
      <w:r w:rsidRPr="00F21495">
        <w:rPr>
          <w:rFonts w:ascii="David" w:hAnsi="David"/>
          <w:rtl/>
        </w:rPr>
        <w:t xml:space="preserve">בעת ביצוע העבירות התמקד בצרכיו המידיים, חיפש ריגוש ופיתוי להשגת כסף קל ללא מחשבה על השלכות התנהלותו, </w:t>
      </w:r>
      <w:r w:rsidRPr="00F21495">
        <w:rPr>
          <w:rFonts w:ascii="David" w:hAnsi="David" w:hint="cs"/>
          <w:rtl/>
        </w:rPr>
        <w:t xml:space="preserve">לצד </w:t>
      </w:r>
      <w:r w:rsidRPr="00F21495">
        <w:rPr>
          <w:rFonts w:ascii="David" w:hAnsi="David"/>
          <w:rtl/>
        </w:rPr>
        <w:t xml:space="preserve">עמדותיו המקלות </w:t>
      </w:r>
      <w:r w:rsidRPr="00F21495">
        <w:rPr>
          <w:rFonts w:ascii="David" w:hAnsi="David" w:hint="cs"/>
          <w:rtl/>
        </w:rPr>
        <w:t xml:space="preserve">לגביי </w:t>
      </w:r>
      <w:r w:rsidRPr="00F21495">
        <w:rPr>
          <w:rFonts w:ascii="David" w:hAnsi="David"/>
          <w:rtl/>
        </w:rPr>
        <w:t xml:space="preserve">שימוש בסמים </w:t>
      </w:r>
      <w:r w:rsidRPr="00F21495">
        <w:rPr>
          <w:rFonts w:ascii="David" w:hAnsi="David" w:hint="cs"/>
          <w:rtl/>
        </w:rPr>
        <w:t>ש</w:t>
      </w:r>
      <w:r w:rsidRPr="00F21495">
        <w:rPr>
          <w:rFonts w:ascii="David" w:hAnsi="David"/>
          <w:rtl/>
        </w:rPr>
        <w:t>אפשרו העמקת קשריו השוליים בתחום זה.</w:t>
      </w:r>
      <w:r w:rsidRPr="00F21495">
        <w:rPr>
          <w:rFonts w:ascii="David" w:hAnsi="David" w:hint="cs"/>
          <w:rtl/>
        </w:rPr>
        <w:t xml:space="preserve"> המלצת שירות המבחן היא</w:t>
      </w:r>
      <w:r w:rsidRPr="00F21495">
        <w:rPr>
          <w:rFonts w:ascii="David" w:hAnsi="David"/>
          <w:rtl/>
        </w:rPr>
        <w:t xml:space="preserve"> </w:t>
      </w:r>
      <w:r w:rsidRPr="00F21495">
        <w:rPr>
          <w:rFonts w:ascii="David" w:hAnsi="David" w:hint="cs"/>
          <w:rtl/>
        </w:rPr>
        <w:t>ל</w:t>
      </w:r>
      <w:r w:rsidRPr="00F21495">
        <w:rPr>
          <w:rFonts w:ascii="David" w:hAnsi="David"/>
          <w:rtl/>
        </w:rPr>
        <w:t xml:space="preserve">הטלת צו מבחן למשך שנה במהלכה ימשיך הנאשם בטיפול במסגרת "התחלה חדשה", תוך מעקב של שירות המבחן, </w:t>
      </w:r>
      <w:r w:rsidRPr="00F21495">
        <w:rPr>
          <w:rFonts w:ascii="David" w:hAnsi="David" w:hint="cs"/>
          <w:rtl/>
        </w:rPr>
        <w:t>ו</w:t>
      </w:r>
      <w:r w:rsidRPr="00F21495">
        <w:rPr>
          <w:rFonts w:ascii="David" w:hAnsi="David"/>
          <w:rtl/>
        </w:rPr>
        <w:t>תיבדק אפשרות שילובו בקבוצת הצעירים של שירות המבחן</w:t>
      </w:r>
      <w:r w:rsidRPr="00F21495">
        <w:rPr>
          <w:rFonts w:ascii="David" w:hAnsi="David" w:hint="cs"/>
          <w:rtl/>
        </w:rPr>
        <w:t xml:space="preserve"> בהתאם לרשימת ההמתנה, לצד</w:t>
      </w:r>
      <w:r w:rsidRPr="00F21495">
        <w:rPr>
          <w:rFonts w:ascii="David" w:hAnsi="David"/>
          <w:rtl/>
        </w:rPr>
        <w:t xml:space="preserve"> צו של"צ בהיקף רחב של 300 שעות והתחייבות להימנע מביצוע עבירה.</w:t>
      </w:r>
    </w:p>
    <w:p w14:paraId="294C84B6" w14:textId="77777777" w:rsidR="00764D78" w:rsidRPr="00F21495" w:rsidRDefault="00764D78" w:rsidP="00764D78">
      <w:pPr>
        <w:pStyle w:val="a9"/>
        <w:rPr>
          <w:rFonts w:ascii="David" w:hAnsi="David"/>
          <w:b/>
          <w:bCs/>
          <w:sz w:val="20"/>
          <w:szCs w:val="20"/>
          <w:rtl/>
        </w:rPr>
      </w:pPr>
    </w:p>
    <w:p w14:paraId="778BF216" w14:textId="77777777" w:rsidR="00764D78" w:rsidRPr="00F21495" w:rsidRDefault="00764D78" w:rsidP="00764D78">
      <w:pPr>
        <w:pStyle w:val="a9"/>
        <w:numPr>
          <w:ilvl w:val="0"/>
          <w:numId w:val="1"/>
        </w:numPr>
        <w:spacing w:line="360" w:lineRule="auto"/>
        <w:ind w:left="-58" w:firstLine="73"/>
        <w:jc w:val="both"/>
        <w:rPr>
          <w:rFonts w:ascii="David" w:hAnsi="David"/>
          <w:sz w:val="20"/>
          <w:szCs w:val="20"/>
        </w:rPr>
      </w:pPr>
      <w:r w:rsidRPr="00F21495">
        <w:rPr>
          <w:rFonts w:ascii="David" w:hAnsi="David" w:hint="cs"/>
          <w:rtl/>
        </w:rPr>
        <w:t xml:space="preserve">שקלתי בין שיקולי גם את גילו של הנאשם, יליד שנת 1998 ונעדר עבר פלילי, חרטתו, נטילת האחריות על ידו והחיסכון שלצד האמור בזמן שיפוטי לא מבוטל לאור טענות ראיתיות ונוספות שהיו בפיו. בנוסף, את חלוף הזמן </w:t>
      </w:r>
      <w:r w:rsidRPr="00F21495">
        <w:rPr>
          <w:rFonts w:ascii="David" w:hAnsi="David"/>
          <w:color w:val="000000"/>
          <w:rtl/>
        </w:rPr>
        <w:t xml:space="preserve">מאז ביצוע העבירות </w:t>
      </w:r>
      <w:r w:rsidRPr="00F21495">
        <w:rPr>
          <w:rFonts w:ascii="David" w:hAnsi="David" w:hint="cs"/>
          <w:color w:val="000000"/>
          <w:rtl/>
        </w:rPr>
        <w:t>(</w:t>
      </w:r>
      <w:r w:rsidRPr="00F21495">
        <w:rPr>
          <w:rFonts w:ascii="David" w:hAnsi="David"/>
          <w:color w:val="000000"/>
          <w:rtl/>
        </w:rPr>
        <w:t>כשנתיים וחצי</w:t>
      </w:r>
      <w:r w:rsidRPr="00F21495">
        <w:rPr>
          <w:rFonts w:ascii="David" w:hAnsi="David" w:hint="cs"/>
          <w:color w:val="000000"/>
          <w:rtl/>
        </w:rPr>
        <w:t>) ומאז הגשת כתב האישום בחודש נובמבר 2019, ואת מחדלי המאשימה בהעברת חומרי החקירה אשר הביאו לעיכוב ההליך בעת שהנאשם נתון תחת תנאים מגבילים והפגיעה שבכך בזכויותיו, המצדיקה הקלה נוספת בעונשו של הנאשם במנותק מסוגיית הקושי הראייתי שבאה לידי ביטוי בתיקון הנרחב של כתב האישום. תקופת מעצרו של הנאשם תנוכה בהסכמה מתקופת המאסר בעבודות שירות שתיגזר עליו, אך בעת קביעת עונשו יש לתת משקל מתאים גם לכך שהנאשם היה נתון במעצר באיזוק אלקטרוני בין 15.12.2019 ובין 5.1.2020 משך 21 ימים, ותחת תנאים מגבילים, הכוללים מעצר בית עם שעות התאווררו</w:t>
      </w:r>
      <w:r w:rsidRPr="00F21495">
        <w:rPr>
          <w:rFonts w:ascii="David" w:hAnsi="David" w:hint="eastAsia"/>
          <w:color w:val="000000"/>
          <w:rtl/>
        </w:rPr>
        <w:t>ת</w:t>
      </w:r>
      <w:r w:rsidRPr="00F21495">
        <w:rPr>
          <w:rFonts w:ascii="David" w:hAnsi="David" w:hint="cs"/>
          <w:color w:val="000000"/>
          <w:rtl/>
        </w:rPr>
        <w:t xml:space="preserve"> יומיות בין 5.1.2020 ובין 11.5.2020, כשלאור מחדלי המאשימה בהעברת חומרי חקירה הורה השופט גת על הקלה בהם כך שמיום 11.5.2020 עד יום 15.7.2020 שהה במעצר בית לילי בלבד, שלאחר מכן בוטל גם הוא על ידי השופט גת בשל כך.</w:t>
      </w:r>
    </w:p>
    <w:p w14:paraId="4ED32A21" w14:textId="77777777" w:rsidR="00764D78" w:rsidRPr="00F21495" w:rsidRDefault="00764D78" w:rsidP="00764D78">
      <w:pPr>
        <w:pStyle w:val="a9"/>
        <w:rPr>
          <w:rFonts w:ascii="David" w:hAnsi="David"/>
          <w:sz w:val="20"/>
          <w:szCs w:val="20"/>
          <w:rtl/>
        </w:rPr>
      </w:pPr>
    </w:p>
    <w:p w14:paraId="160422CF"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rtl/>
        </w:rPr>
        <w:t>שקלתי את כלל המפורט לעיל,</w:t>
      </w:r>
      <w:r w:rsidRPr="00F21495">
        <w:rPr>
          <w:rFonts w:ascii="David" w:hAnsi="David" w:hint="cs"/>
          <w:rtl/>
        </w:rPr>
        <w:t xml:space="preserve"> תוך מתן משקל ממשי לדרך הטובה והמשמעותית שעושה הנאשם עד כה לשיקום בתמיכת הוריו ובסיוע גורמי הטיפול, לנסיבותיו הרפואיות המורכבות וכן לחשיבות חיזוק כוחותיו. נתתי דעתי גם לפסיקה אליה הפנתה ההגנה לפיה קיימים מקרים בהם בעניינם של נאשמים אשר הורשעו בעבירות דומות ואף חמורות/רבות יותר הקלו בית המשפט משיקולי שיקום עד כדי פסיקת של"צ ללא עונש מאסר כלל. עיון בפסיקה מעלה כי כל מקרה נבחן על פי נסיבותיו. כך לדוגמא ב</w:t>
      </w:r>
      <w:hyperlink r:id="rId33" w:history="1">
        <w:r w:rsidR="00B77A7C" w:rsidRPr="00B77A7C">
          <w:rPr>
            <w:rFonts w:ascii="David" w:hAnsi="David"/>
            <w:color w:val="0000FF"/>
            <w:u w:val="single"/>
            <w:rtl/>
          </w:rPr>
          <w:t>ת"פ 45136-02-13</w:t>
        </w:r>
      </w:hyperlink>
      <w:r w:rsidRPr="00F21495">
        <w:rPr>
          <w:rFonts w:ascii="David" w:hAnsi="David" w:hint="cs"/>
          <w:rtl/>
        </w:rPr>
        <w:t xml:space="preserve"> </w:t>
      </w:r>
      <w:r w:rsidRPr="00F21495">
        <w:rPr>
          <w:rFonts w:ascii="David" w:hAnsi="David" w:hint="cs"/>
          <w:b/>
          <w:bCs/>
          <w:rtl/>
        </w:rPr>
        <w:t>מדינת ישראל נ' מצרי</w:t>
      </w:r>
      <w:r w:rsidRPr="00F21495">
        <w:rPr>
          <w:rFonts w:ascii="David" w:hAnsi="David" w:hint="cs"/>
          <w:rtl/>
        </w:rPr>
        <w:t xml:space="preserve"> (19.10.2014) אליו הפנתה ההגנה בו נגזרו על נאשם שהורשע ב-5 אירועי סחר בקוקאין של"צ וענישה נלווית תוך סטייה ממתחם הענישה דובר במי ששהה במעצר 8 חודשים. ב</w:t>
      </w:r>
      <w:hyperlink r:id="rId34" w:history="1">
        <w:r w:rsidR="00B77A7C" w:rsidRPr="00B77A7C">
          <w:rPr>
            <w:rFonts w:ascii="David" w:hAnsi="David"/>
            <w:color w:val="0000FF"/>
            <w:u w:val="single"/>
            <w:rtl/>
          </w:rPr>
          <w:t>ת"פ 32907-10-19</w:t>
        </w:r>
      </w:hyperlink>
      <w:r w:rsidRPr="00F21495">
        <w:rPr>
          <w:rFonts w:ascii="David" w:hAnsi="David" w:hint="cs"/>
          <w:rtl/>
        </w:rPr>
        <w:t xml:space="preserve"> </w:t>
      </w:r>
      <w:r w:rsidRPr="00F21495">
        <w:rPr>
          <w:rFonts w:ascii="David" w:hAnsi="David" w:hint="cs"/>
          <w:b/>
          <w:bCs/>
          <w:rtl/>
        </w:rPr>
        <w:t>מדינת ישראל נ' עבאדי</w:t>
      </w:r>
      <w:r w:rsidRPr="00F21495">
        <w:rPr>
          <w:rFonts w:ascii="David" w:hAnsi="David" w:hint="cs"/>
          <w:rtl/>
        </w:rPr>
        <w:t xml:space="preserve"> (17.2.2021) בו הואשם הנאשם בקוקאין דובר בעונש מוסכם, וב</w:t>
      </w:r>
      <w:hyperlink r:id="rId35" w:history="1">
        <w:r w:rsidR="00B77A7C" w:rsidRPr="00B77A7C">
          <w:rPr>
            <w:rFonts w:ascii="David" w:hAnsi="David"/>
            <w:color w:val="0000FF"/>
            <w:u w:val="single"/>
            <w:rtl/>
          </w:rPr>
          <w:t>ת"פ 42225-09-17</w:t>
        </w:r>
      </w:hyperlink>
      <w:r w:rsidRPr="00F21495">
        <w:rPr>
          <w:rFonts w:ascii="David" w:hAnsi="David" w:hint="cs"/>
          <w:rtl/>
        </w:rPr>
        <w:t xml:space="preserve"> </w:t>
      </w:r>
      <w:r w:rsidRPr="00F21495">
        <w:rPr>
          <w:rFonts w:ascii="David" w:hAnsi="David" w:hint="cs"/>
          <w:b/>
          <w:bCs/>
          <w:rtl/>
        </w:rPr>
        <w:t>מדינת ישראל נ' אוחנה</w:t>
      </w:r>
      <w:r w:rsidRPr="00F21495">
        <w:rPr>
          <w:rFonts w:ascii="David" w:hAnsi="David" w:hint="cs"/>
          <w:rtl/>
        </w:rPr>
        <w:t xml:space="preserve"> (1.1.2020) דובר במי שנגזר עליו עונש של של"צ לצד ענישה נלווית משיקולי שיקום ומשלא נמצא כשיר לבצע עבודות שירות בשל מצבו הרפואי </w:t>
      </w:r>
      <w:r w:rsidRPr="00F21495">
        <w:rPr>
          <w:rFonts w:ascii="David" w:hAnsi="David"/>
          <w:rtl/>
        </w:rPr>
        <w:t>–</w:t>
      </w:r>
      <w:r w:rsidRPr="00F21495">
        <w:rPr>
          <w:rFonts w:ascii="David" w:hAnsi="David" w:hint="cs"/>
          <w:rtl/>
        </w:rPr>
        <w:t xml:space="preserve"> פסיכיאטרי </w:t>
      </w:r>
      <w:r w:rsidRPr="00F21495">
        <w:rPr>
          <w:rFonts w:ascii="David" w:hAnsi="David"/>
          <w:rtl/>
        </w:rPr>
        <w:t>.</w:t>
      </w:r>
      <w:r w:rsidRPr="00F21495">
        <w:rPr>
          <w:rFonts w:ascii="David" w:hAnsi="David" w:hint="cs"/>
          <w:rtl/>
        </w:rPr>
        <w:t xml:space="preserve"> </w:t>
      </w:r>
    </w:p>
    <w:p w14:paraId="37B82B7A" w14:textId="77777777" w:rsidR="00764D78" w:rsidRPr="00F21495" w:rsidRDefault="00764D78" w:rsidP="00764D78">
      <w:pPr>
        <w:pStyle w:val="a9"/>
        <w:rPr>
          <w:rFonts w:ascii="David" w:hAnsi="David"/>
          <w:rtl/>
        </w:rPr>
      </w:pPr>
    </w:p>
    <w:p w14:paraId="2F68BDB7"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כידוע, מדיניות הענישה היא רק אחד הפרמטרים לשקול ואף לא בהכרח החשוב בהם, ו</w:t>
      </w:r>
      <w:r w:rsidRPr="00F21495">
        <w:rPr>
          <w:rFonts w:ascii="David" w:hAnsi="David"/>
          <w:rtl/>
        </w:rPr>
        <w:t>עצם העובדה שלעולם יוכל כל צד למצוא פסקי דין התומכים בעמדתו מלמדת כי אין המדובר במדד מדויק, ולבית המשפט נתון בהקשר זה מרחב מסוים של גמישות (</w:t>
      </w:r>
      <w:hyperlink r:id="rId36" w:history="1">
        <w:r w:rsidR="00B77A7C" w:rsidRPr="00B77A7C">
          <w:rPr>
            <w:rFonts w:ascii="David" w:hAnsi="David"/>
            <w:color w:val="0000FF"/>
            <w:u w:val="single"/>
            <w:rtl/>
          </w:rPr>
          <w:t>ע"פ 1323/13</w:t>
        </w:r>
      </w:hyperlink>
      <w:r w:rsidRPr="00F21495">
        <w:rPr>
          <w:rFonts w:ascii="David" w:hAnsi="David"/>
          <w:rtl/>
        </w:rPr>
        <w:t xml:space="preserve"> </w:t>
      </w:r>
      <w:r w:rsidRPr="00F21495">
        <w:rPr>
          <w:rFonts w:ascii="David" w:hAnsi="David"/>
          <w:b/>
          <w:bCs/>
          <w:rtl/>
        </w:rPr>
        <w:t>חסן נגד מדינת ישראל</w:t>
      </w:r>
      <w:r w:rsidRPr="00F21495">
        <w:rPr>
          <w:rFonts w:ascii="David" w:hAnsi="David"/>
          <w:rtl/>
        </w:rPr>
        <w:t xml:space="preserve"> (5.06.2013) </w:t>
      </w:r>
      <w:r w:rsidRPr="00F21495">
        <w:rPr>
          <w:rFonts w:ascii="David" w:hAnsi="David"/>
        </w:rPr>
        <w:t xml:space="preserve"> </w:t>
      </w:r>
      <w:hyperlink r:id="rId37" w:history="1">
        <w:r w:rsidR="00B77A7C" w:rsidRPr="00B77A7C">
          <w:rPr>
            <w:rFonts w:ascii="David" w:hAnsi="David"/>
            <w:color w:val="0000FF"/>
            <w:u w:val="single"/>
            <w:rtl/>
          </w:rPr>
          <w:t>עפ"ג (ת"א) 12063-04-15</w:t>
        </w:r>
      </w:hyperlink>
      <w:r w:rsidRPr="00F21495">
        <w:rPr>
          <w:rFonts w:ascii="David" w:hAnsi="David"/>
          <w:rtl/>
        </w:rPr>
        <w:t xml:space="preserve">  </w:t>
      </w:r>
      <w:r w:rsidRPr="00F21495">
        <w:rPr>
          <w:rFonts w:ascii="David" w:hAnsi="David"/>
          <w:b/>
          <w:bCs/>
          <w:rtl/>
        </w:rPr>
        <w:t>בראונר נ' מדינת ישראל</w:t>
      </w:r>
      <w:r w:rsidRPr="00F21495">
        <w:rPr>
          <w:rFonts w:ascii="David" w:hAnsi="David"/>
          <w:rtl/>
        </w:rPr>
        <w:t xml:space="preserve"> (20.07.2015)</w:t>
      </w:r>
      <w:r w:rsidRPr="00F21495">
        <w:rPr>
          <w:rFonts w:ascii="David" w:hAnsi="David" w:hint="cs"/>
          <w:rtl/>
        </w:rPr>
        <w:t>. האמור נכון ביתר שאת בכל הנוגע לענישה שנגזרת משיקולי שיקום. בנוסף, אין להתעלם מפסיקת בית המשפט העליון לפיה בסוג זה של עבירות יש חשיבות רבה לשיקולי אינטרס ציבורי, והמשקל שיש לתת לנסיבות אישיות פחות (</w:t>
      </w:r>
      <w:hyperlink r:id="rId38" w:history="1">
        <w:r w:rsidR="00B77A7C" w:rsidRPr="00B77A7C">
          <w:rPr>
            <w:rFonts w:ascii="David" w:hAnsi="David"/>
            <w:color w:val="0000FF"/>
            <w:u w:val="single"/>
            <w:rtl/>
          </w:rPr>
          <w:t>ע"פ 7070/03</w:t>
        </w:r>
      </w:hyperlink>
      <w:r w:rsidRPr="00F21495">
        <w:rPr>
          <w:rFonts w:ascii="David" w:hAnsi="David" w:hint="cs"/>
          <w:rtl/>
        </w:rPr>
        <w:t xml:space="preserve"> </w:t>
      </w:r>
      <w:r w:rsidRPr="00F21495">
        <w:rPr>
          <w:rFonts w:ascii="David" w:hAnsi="David" w:hint="cs"/>
          <w:b/>
          <w:bCs/>
          <w:rtl/>
        </w:rPr>
        <w:t>זניד נ' מדינת ישראל</w:t>
      </w:r>
      <w:r w:rsidRPr="00F21495">
        <w:rPr>
          <w:rFonts w:ascii="David" w:hAnsi="David" w:hint="cs"/>
          <w:rtl/>
        </w:rPr>
        <w:t xml:space="preserve"> (3.4.2006)). </w:t>
      </w:r>
    </w:p>
    <w:p w14:paraId="6042D984" w14:textId="77777777" w:rsidR="00764D78" w:rsidRPr="00F21495" w:rsidRDefault="00764D78" w:rsidP="00764D78">
      <w:pPr>
        <w:pStyle w:val="a9"/>
        <w:rPr>
          <w:rFonts w:ascii="David" w:hAnsi="David"/>
          <w:rtl/>
        </w:rPr>
      </w:pPr>
    </w:p>
    <w:p w14:paraId="7F9F7417" w14:textId="77777777" w:rsidR="00764D78" w:rsidRPr="00F21495" w:rsidRDefault="00764D78" w:rsidP="00764D78">
      <w:pPr>
        <w:pStyle w:val="a9"/>
        <w:numPr>
          <w:ilvl w:val="0"/>
          <w:numId w:val="1"/>
        </w:numPr>
        <w:spacing w:line="360" w:lineRule="auto"/>
        <w:ind w:left="-58" w:firstLine="73"/>
        <w:jc w:val="both"/>
        <w:rPr>
          <w:rFonts w:ascii="David" w:hAnsi="David"/>
        </w:rPr>
      </w:pPr>
      <w:r w:rsidRPr="00F21495">
        <w:rPr>
          <w:rFonts w:ascii="David" w:hAnsi="David" w:hint="cs"/>
          <w:rtl/>
        </w:rPr>
        <w:t>אמנם, אינני מוצאת להיעתר לעתירה העונשית של הסנגור בנסיבות. יחד עם זאת, לאחר איזון בין חומרת המעשים, חשיבות האינטרס הציבורי וההרתעה אל מול השיקום המשמעותי שעבר ועובר הנאשם בגילו הצעיר וכלל השיקולים לקולא שפורטו לעיל, כהבעת אמון בו, על מנת לחזק כוחותיו ולא להקשות למשך תקופה ארוכה מהנדרש על עבודתו ולימודיו, מצאתי לגזור את עונשו למאסר בעבודות שירות לתקופה בת מספר חודשיים ולא ברף העליון, גם לאור האינטרס הציבורי הרחב הכולל את חשיבות השיקום.</w:t>
      </w:r>
    </w:p>
    <w:p w14:paraId="2335A013" w14:textId="77777777" w:rsidR="00764D78" w:rsidRPr="00F21495" w:rsidRDefault="00764D78" w:rsidP="00764D78">
      <w:pPr>
        <w:pStyle w:val="a9"/>
        <w:rPr>
          <w:rFonts w:ascii="David" w:hAnsi="David"/>
          <w:rtl/>
        </w:rPr>
      </w:pPr>
    </w:p>
    <w:p w14:paraId="5B4ACD58" w14:textId="77777777" w:rsidR="00764D78" w:rsidRPr="00F21495" w:rsidRDefault="00764D78" w:rsidP="00764D78">
      <w:pPr>
        <w:pStyle w:val="a9"/>
        <w:numPr>
          <w:ilvl w:val="0"/>
          <w:numId w:val="1"/>
        </w:numPr>
        <w:spacing w:line="360" w:lineRule="auto"/>
        <w:ind w:left="-58" w:firstLine="73"/>
        <w:jc w:val="both"/>
        <w:rPr>
          <w:rFonts w:ascii="David" w:hAnsi="David"/>
          <w:rtl/>
        </w:rPr>
      </w:pPr>
      <w:r w:rsidRPr="00F21495">
        <w:rPr>
          <w:rFonts w:ascii="David" w:hAnsi="David" w:hint="cs"/>
          <w:rtl/>
        </w:rPr>
        <w:t xml:space="preserve">אשר על כן, אני </w:t>
      </w:r>
      <w:r w:rsidRPr="00F21495">
        <w:rPr>
          <w:rFonts w:ascii="David" w:hAnsi="David"/>
          <w:rtl/>
        </w:rPr>
        <w:t xml:space="preserve">גוזרת </w:t>
      </w:r>
      <w:r w:rsidRPr="00F21495">
        <w:rPr>
          <w:rFonts w:ascii="David" w:hAnsi="David" w:hint="cs"/>
          <w:rtl/>
        </w:rPr>
        <w:t>על הנאשם</w:t>
      </w:r>
      <w:r w:rsidRPr="00F21495">
        <w:rPr>
          <w:rFonts w:ascii="David" w:hAnsi="David"/>
          <w:rtl/>
        </w:rPr>
        <w:t xml:space="preserve"> את העונשים הבאים:</w:t>
      </w:r>
    </w:p>
    <w:p w14:paraId="5FB49E01" w14:textId="77777777" w:rsidR="00764D78" w:rsidRPr="00F21495" w:rsidRDefault="00764D78" w:rsidP="00764D78">
      <w:pPr>
        <w:pStyle w:val="11"/>
        <w:numPr>
          <w:ilvl w:val="0"/>
          <w:numId w:val="2"/>
        </w:numPr>
        <w:bidi/>
        <w:spacing w:before="0" w:beforeAutospacing="0" w:after="0" w:afterAutospacing="0" w:line="360" w:lineRule="atLeast"/>
        <w:jc w:val="both"/>
        <w:rPr>
          <w:rFonts w:ascii="David" w:hAnsi="David" w:cs="David"/>
          <w:rtl/>
        </w:rPr>
      </w:pPr>
      <w:r w:rsidRPr="00F21495">
        <w:rPr>
          <w:rFonts w:ascii="David" w:hAnsi="David" w:cs="David"/>
          <w:rtl/>
        </w:rPr>
        <w:t xml:space="preserve">מאסר לתקופה של </w:t>
      </w:r>
      <w:r w:rsidRPr="00F21495">
        <w:rPr>
          <w:rFonts w:ascii="David" w:hAnsi="David" w:cs="David" w:hint="cs"/>
          <w:rtl/>
        </w:rPr>
        <w:t xml:space="preserve">4 </w:t>
      </w:r>
      <w:r w:rsidRPr="00F21495">
        <w:rPr>
          <w:rFonts w:ascii="David" w:hAnsi="David" w:cs="David"/>
          <w:rtl/>
        </w:rPr>
        <w:t xml:space="preserve">חודשים אשר ירוצה בדרך של עבודות שירות בהתאם להמלצת הממונה על עבודות השירות </w:t>
      </w:r>
      <w:r w:rsidRPr="00F21495">
        <w:rPr>
          <w:rFonts w:ascii="David" w:hAnsi="David" w:cs="David" w:hint="cs"/>
          <w:rtl/>
        </w:rPr>
        <w:t>במפעל חיים בירושלים, רח' הצבי 11, ירושלים</w:t>
      </w:r>
      <w:r w:rsidRPr="00F21495">
        <w:rPr>
          <w:rFonts w:ascii="David" w:hAnsi="David" w:cs="David"/>
          <w:rtl/>
        </w:rPr>
        <w:t>. הנאשם יתייצב לריצוי העונש ביום</w:t>
      </w:r>
      <w:r w:rsidRPr="00F21495">
        <w:rPr>
          <w:rFonts w:ascii="David" w:hAnsi="David" w:cs="David" w:hint="cs"/>
          <w:rtl/>
        </w:rPr>
        <w:t xml:space="preserve"> 23.12.21 </w:t>
      </w:r>
      <w:r w:rsidRPr="00F21495">
        <w:rPr>
          <w:rFonts w:ascii="David" w:hAnsi="David" w:cs="David"/>
          <w:rtl/>
        </w:rPr>
        <w:t xml:space="preserve">במפקדת מחוז </w:t>
      </w:r>
      <w:r>
        <w:rPr>
          <w:rFonts w:ascii="David" w:hAnsi="David" w:cs="David" w:hint="cs"/>
          <w:rtl/>
        </w:rPr>
        <w:t>דרום</w:t>
      </w:r>
      <w:r w:rsidRPr="00F21495">
        <w:rPr>
          <w:rFonts w:ascii="David" w:hAnsi="David" w:cs="David"/>
          <w:rtl/>
        </w:rPr>
        <w:t xml:space="preserve">, יחידת עבודות שירות, </w:t>
      </w:r>
      <w:r>
        <w:rPr>
          <w:rFonts w:ascii="David" w:hAnsi="David" w:cs="David" w:hint="cs"/>
          <w:rtl/>
        </w:rPr>
        <w:t>סמוך לכלא באר שבע, בשעה 08:00.</w:t>
      </w:r>
    </w:p>
    <w:p w14:paraId="2F1E81ED" w14:textId="77777777" w:rsidR="00764D78" w:rsidRPr="00F21495" w:rsidRDefault="00764D78" w:rsidP="00764D78">
      <w:pPr>
        <w:pStyle w:val="11"/>
        <w:bidi/>
        <w:spacing w:before="0" w:beforeAutospacing="0" w:after="0" w:afterAutospacing="0" w:line="360" w:lineRule="atLeast"/>
        <w:ind w:left="720"/>
        <w:jc w:val="both"/>
        <w:rPr>
          <w:rFonts w:ascii="David" w:hAnsi="David" w:cs="David"/>
          <w:rtl/>
        </w:rPr>
      </w:pPr>
      <w:r w:rsidRPr="00F21495">
        <w:rPr>
          <w:rFonts w:ascii="David" w:hAnsi="David" w:cs="David"/>
          <w:rtl/>
        </w:rPr>
        <w:t>הובהרה לנאשם המשמעות של אי עמידה בעבודות שירות.</w:t>
      </w:r>
    </w:p>
    <w:p w14:paraId="406B3AB6" w14:textId="77777777" w:rsidR="00764D78" w:rsidRPr="00F21495" w:rsidRDefault="00764D78" w:rsidP="00764D78">
      <w:pPr>
        <w:pStyle w:val="11"/>
        <w:bidi/>
        <w:spacing w:before="0" w:beforeAutospacing="0" w:after="0" w:afterAutospacing="0" w:line="360" w:lineRule="atLeast"/>
        <w:ind w:left="720"/>
        <w:jc w:val="both"/>
        <w:rPr>
          <w:rFonts w:ascii="David" w:hAnsi="David" w:cs="David"/>
          <w:b/>
          <w:bCs/>
        </w:rPr>
      </w:pPr>
      <w:r w:rsidRPr="00F21495">
        <w:rPr>
          <w:rFonts w:ascii="David" w:hAnsi="David" w:cs="David" w:hint="cs"/>
          <w:b/>
          <w:bCs/>
          <w:rtl/>
        </w:rPr>
        <w:t xml:space="preserve">מתקופת המאסר בעבודות שירות ינוכו </w:t>
      </w:r>
      <w:r w:rsidRPr="00F21495">
        <w:rPr>
          <w:rFonts w:ascii="David" w:hAnsi="David" w:cs="David"/>
          <w:b/>
          <w:bCs/>
          <w:rtl/>
        </w:rPr>
        <w:t xml:space="preserve">ימי מעצרו </w:t>
      </w:r>
      <w:r w:rsidRPr="00F21495">
        <w:rPr>
          <w:rFonts w:ascii="David" w:hAnsi="David" w:cs="David" w:hint="cs"/>
          <w:b/>
          <w:bCs/>
          <w:rtl/>
        </w:rPr>
        <w:t xml:space="preserve">של הנאשם </w:t>
      </w:r>
      <w:r w:rsidRPr="00F21495">
        <w:rPr>
          <w:rFonts w:ascii="David" w:hAnsi="David" w:cs="David"/>
          <w:b/>
          <w:bCs/>
          <w:rtl/>
        </w:rPr>
        <w:t>מיום 25.11.2019 ועד 20.12.2019</w:t>
      </w:r>
      <w:r w:rsidRPr="00F21495">
        <w:rPr>
          <w:rFonts w:ascii="David" w:hAnsi="David" w:cs="David" w:hint="cs"/>
          <w:b/>
          <w:bCs/>
          <w:rtl/>
        </w:rPr>
        <w:t>.</w:t>
      </w:r>
    </w:p>
    <w:p w14:paraId="6CB83B3F" w14:textId="77777777" w:rsidR="00764D78" w:rsidRPr="00F21495" w:rsidRDefault="00764D78" w:rsidP="00764D78">
      <w:pPr>
        <w:pStyle w:val="11"/>
        <w:numPr>
          <w:ilvl w:val="0"/>
          <w:numId w:val="2"/>
        </w:numPr>
        <w:bidi/>
        <w:spacing w:before="0" w:beforeAutospacing="0" w:after="0" w:afterAutospacing="0" w:line="360" w:lineRule="atLeast"/>
        <w:jc w:val="both"/>
        <w:rPr>
          <w:rFonts w:ascii="David" w:hAnsi="David" w:cs="David"/>
        </w:rPr>
      </w:pPr>
      <w:r w:rsidRPr="00F21495">
        <w:rPr>
          <w:rFonts w:ascii="David" w:hAnsi="David" w:cs="David"/>
          <w:rtl/>
        </w:rPr>
        <w:t>מאסר על תנאי למשך 6 חודשים לתקופה של 3 שנים, והתנאי שהנאשם לא יעבור עבירה מסוג פשע על פי פקודת הסמים.</w:t>
      </w:r>
    </w:p>
    <w:p w14:paraId="72C5C5A3" w14:textId="77777777" w:rsidR="00764D78" w:rsidRPr="00F21495" w:rsidRDefault="00764D78" w:rsidP="00764D78">
      <w:pPr>
        <w:pStyle w:val="11"/>
        <w:numPr>
          <w:ilvl w:val="0"/>
          <w:numId w:val="2"/>
        </w:numPr>
        <w:bidi/>
        <w:spacing w:before="0" w:beforeAutospacing="0" w:after="0" w:afterAutospacing="0" w:line="360" w:lineRule="atLeast"/>
        <w:jc w:val="both"/>
        <w:rPr>
          <w:rFonts w:ascii="David" w:hAnsi="David" w:cs="David"/>
        </w:rPr>
      </w:pPr>
      <w:r w:rsidRPr="00F21495">
        <w:rPr>
          <w:rFonts w:ascii="David" w:hAnsi="David" w:cs="David"/>
          <w:rtl/>
        </w:rPr>
        <w:t xml:space="preserve">מאסר על תנאי למשך </w:t>
      </w:r>
      <w:r w:rsidRPr="00F21495">
        <w:rPr>
          <w:rFonts w:ascii="David" w:hAnsi="David" w:cs="David" w:hint="cs"/>
          <w:rtl/>
        </w:rPr>
        <w:t xml:space="preserve">3 </w:t>
      </w:r>
      <w:r w:rsidRPr="00F21495">
        <w:rPr>
          <w:rFonts w:ascii="David" w:hAnsi="David" w:cs="David"/>
          <w:rtl/>
        </w:rPr>
        <w:t xml:space="preserve">חודשים לתקופה של 3 שנים, והתנאי שהנאשם לא יעבור עבירה </w:t>
      </w:r>
      <w:r>
        <w:rPr>
          <w:rFonts w:ascii="David" w:hAnsi="David" w:cs="David" w:hint="cs"/>
          <w:rtl/>
        </w:rPr>
        <w:t xml:space="preserve">מסוג עוון </w:t>
      </w:r>
      <w:r w:rsidRPr="00F21495">
        <w:rPr>
          <w:rFonts w:ascii="David" w:hAnsi="David" w:cs="David"/>
          <w:rtl/>
        </w:rPr>
        <w:t>על פי פקודת הסמים.</w:t>
      </w:r>
    </w:p>
    <w:p w14:paraId="283BF1D5" w14:textId="77777777" w:rsidR="00764D78" w:rsidRPr="00CB7649" w:rsidRDefault="00764D78" w:rsidP="00764D78">
      <w:pPr>
        <w:pStyle w:val="11"/>
        <w:numPr>
          <w:ilvl w:val="0"/>
          <w:numId w:val="2"/>
        </w:numPr>
        <w:bidi/>
        <w:spacing w:before="0" w:beforeAutospacing="0" w:after="0" w:afterAutospacing="0" w:line="360" w:lineRule="atLeast"/>
        <w:jc w:val="both"/>
        <w:rPr>
          <w:rFonts w:ascii="David" w:hAnsi="David" w:cs="David"/>
        </w:rPr>
      </w:pPr>
      <w:r w:rsidRPr="00CB7649">
        <w:rPr>
          <w:rFonts w:ascii="David" w:hAnsi="David" w:cs="David"/>
          <w:rtl/>
        </w:rPr>
        <w:t>אני פוסלת את הנאשם מלקבל או להחזיק רישיון נהיגה למשך 3 חודשים, וזאת על תנאי, והתנאי הוא שמשך שנתיים מהיום לא יעבור עבירה על פקודת הסמים</w:t>
      </w:r>
      <w:r w:rsidRPr="00CB7649">
        <w:rPr>
          <w:rFonts w:ascii="David" w:hAnsi="David" w:cs="David"/>
        </w:rPr>
        <w:t>.</w:t>
      </w:r>
    </w:p>
    <w:p w14:paraId="1EB93659" w14:textId="77777777" w:rsidR="00764D78" w:rsidRPr="00F21495" w:rsidRDefault="00764D78" w:rsidP="00764D78">
      <w:pPr>
        <w:pStyle w:val="11"/>
        <w:numPr>
          <w:ilvl w:val="0"/>
          <w:numId w:val="2"/>
        </w:numPr>
        <w:bidi/>
        <w:spacing w:before="0" w:beforeAutospacing="0" w:after="0" w:afterAutospacing="0" w:line="360" w:lineRule="atLeast"/>
        <w:jc w:val="both"/>
        <w:rPr>
          <w:rFonts w:ascii="David" w:hAnsi="David" w:cs="David"/>
          <w:rtl/>
        </w:rPr>
      </w:pPr>
      <w:r w:rsidRPr="00F21495">
        <w:rPr>
          <w:rFonts w:ascii="David" w:hAnsi="David" w:cs="David"/>
          <w:rtl/>
        </w:rPr>
        <w:t xml:space="preserve">קנס בסך </w:t>
      </w:r>
      <w:r w:rsidRPr="00F21495">
        <w:rPr>
          <w:rFonts w:ascii="David" w:hAnsi="David" w:cs="David" w:hint="cs"/>
          <w:rtl/>
        </w:rPr>
        <w:t>1,500</w:t>
      </w:r>
      <w:r w:rsidRPr="00F21495">
        <w:rPr>
          <w:rFonts w:ascii="David" w:hAnsi="David" w:cs="David"/>
          <w:rtl/>
        </w:rPr>
        <w:t xml:space="preserve"> ₪ או </w:t>
      </w:r>
      <w:r w:rsidRPr="00F21495">
        <w:rPr>
          <w:rFonts w:ascii="David" w:hAnsi="David" w:cs="David" w:hint="cs"/>
          <w:rtl/>
        </w:rPr>
        <w:t>20</w:t>
      </w:r>
      <w:r w:rsidRPr="00F21495">
        <w:rPr>
          <w:rFonts w:ascii="David" w:hAnsi="David" w:cs="David"/>
          <w:rtl/>
        </w:rPr>
        <w:t xml:space="preserve"> ימי מאסר תמורתו. סכום הקנס יקוזז מסכום הפיקדון שהופקד בתיק המ"ת הקשור </w:t>
      </w:r>
      <w:r w:rsidRPr="00F21495">
        <w:rPr>
          <w:rFonts w:ascii="David" w:hAnsi="David" w:cs="David" w:hint="cs"/>
          <w:rtl/>
        </w:rPr>
        <w:t xml:space="preserve">(מ"ת </w:t>
      </w:r>
      <w:r w:rsidRPr="00F21495">
        <w:rPr>
          <w:rFonts w:ascii="David" w:hAnsi="David" w:cs="David"/>
          <w:rtl/>
        </w:rPr>
        <w:t>70531-11-19) בכפוף לכל מניעה על פי דין. ככל שלא יקוזז הפיקדון לטובת הקנס, הקנס ישולם עד ליום</w:t>
      </w:r>
      <w:r>
        <w:rPr>
          <w:rFonts w:ascii="David" w:hAnsi="David" w:cs="David" w:hint="cs"/>
          <w:rtl/>
        </w:rPr>
        <w:t xml:space="preserve"> 1.12.2021</w:t>
      </w:r>
      <w:r w:rsidRPr="00F21495">
        <w:rPr>
          <w:rFonts w:ascii="David" w:hAnsi="David" w:cs="David"/>
          <w:rtl/>
        </w:rPr>
        <w:t>.</w:t>
      </w:r>
    </w:p>
    <w:p w14:paraId="4266B020" w14:textId="77777777" w:rsidR="00764D78" w:rsidRPr="00F21495" w:rsidRDefault="00764D78" w:rsidP="00764D78">
      <w:pPr>
        <w:pStyle w:val="11"/>
        <w:bidi/>
        <w:spacing w:before="0" w:beforeAutospacing="0" w:after="0" w:afterAutospacing="0" w:line="360" w:lineRule="atLeast"/>
        <w:ind w:left="720"/>
        <w:jc w:val="both"/>
        <w:rPr>
          <w:rFonts w:ascii="David" w:hAnsi="David" w:cs="David"/>
        </w:rPr>
      </w:pPr>
      <w:r w:rsidRPr="00F21495">
        <w:rPr>
          <w:rFonts w:ascii="David" w:hAnsi="David" w:cs="David"/>
          <w:rtl/>
        </w:rPr>
        <w:t>בכפוף לכל מניעה על פי דין, לאחר קיזוז הפיקדון לטובת הקנס, תושב היתרה שבפיקדון בתיק</w:t>
      </w:r>
      <w:r w:rsidR="00B77A7C">
        <w:rPr>
          <w:rFonts w:ascii="David" w:hAnsi="David" w:cs="David"/>
          <w:rtl/>
        </w:rPr>
        <w:t xml:space="preserve"> </w:t>
      </w:r>
      <w:r w:rsidRPr="00F21495">
        <w:rPr>
          <w:rFonts w:ascii="David" w:hAnsi="David" w:cs="David"/>
          <w:rtl/>
        </w:rPr>
        <w:t>מ"ת 70531-11-19</w:t>
      </w:r>
      <w:r w:rsidR="00B77A7C">
        <w:rPr>
          <w:rFonts w:ascii="David" w:hAnsi="David" w:cs="David"/>
          <w:rtl/>
        </w:rPr>
        <w:t xml:space="preserve"> </w:t>
      </w:r>
      <w:r w:rsidRPr="00F21495">
        <w:rPr>
          <w:rFonts w:ascii="David" w:hAnsi="David" w:cs="David"/>
          <w:rtl/>
        </w:rPr>
        <w:t>לידי הנאשם</w:t>
      </w:r>
      <w:r>
        <w:rPr>
          <w:rFonts w:ascii="David" w:hAnsi="David" w:cs="David" w:hint="cs"/>
          <w:rtl/>
        </w:rPr>
        <w:t xml:space="preserve"> או לאִמו, גברת רחל שוויצר, מ"ז </w:t>
      </w:r>
      <w:r w:rsidR="00B77A7C">
        <w:rPr>
          <w:rFonts w:ascii="David" w:hAnsi="David" w:cs="David"/>
        </w:rPr>
        <w:t>xxxxxxxxx</w:t>
      </w:r>
      <w:r>
        <w:rPr>
          <w:rFonts w:ascii="David" w:hAnsi="David" w:cs="David" w:hint="cs"/>
          <w:rtl/>
        </w:rPr>
        <w:t>, לבקשת הסנגור</w:t>
      </w:r>
      <w:r w:rsidRPr="00F21495">
        <w:rPr>
          <w:rFonts w:ascii="David" w:hAnsi="David" w:cs="David"/>
          <w:rtl/>
        </w:rPr>
        <w:t>.</w:t>
      </w:r>
    </w:p>
    <w:p w14:paraId="787F9383" w14:textId="77777777" w:rsidR="00764D78" w:rsidRPr="00F21495" w:rsidRDefault="00764D78" w:rsidP="00764D78">
      <w:pPr>
        <w:pStyle w:val="a9"/>
        <w:numPr>
          <w:ilvl w:val="0"/>
          <w:numId w:val="2"/>
        </w:numPr>
        <w:spacing w:line="360" w:lineRule="atLeast"/>
        <w:jc w:val="both"/>
        <w:rPr>
          <w:rFonts w:ascii="David" w:hAnsi="David"/>
          <w:color w:val="000000"/>
          <w:sz w:val="22"/>
          <w:szCs w:val="22"/>
        </w:rPr>
      </w:pPr>
      <w:r w:rsidRPr="00F21495">
        <w:rPr>
          <w:rFonts w:ascii="David" w:hAnsi="David"/>
          <w:color w:val="000000"/>
          <w:rtl/>
        </w:rPr>
        <w:t>מוצא בזאת צו מבחן למשך 12 חודשים, לאחר שהנאש</w:t>
      </w:r>
      <w:r w:rsidRPr="00F21495">
        <w:rPr>
          <w:rFonts w:ascii="David" w:hAnsi="David" w:hint="cs"/>
          <w:color w:val="000000"/>
          <w:rtl/>
        </w:rPr>
        <w:t>ם</w:t>
      </w:r>
      <w:r w:rsidRPr="00F21495">
        <w:rPr>
          <w:rFonts w:ascii="David" w:hAnsi="David"/>
          <w:color w:val="000000"/>
          <w:rtl/>
        </w:rPr>
        <w:t xml:space="preserve"> מסר הסכמת</w:t>
      </w:r>
      <w:r w:rsidRPr="00F21495">
        <w:rPr>
          <w:rFonts w:ascii="David" w:hAnsi="David" w:hint="cs"/>
          <w:color w:val="000000"/>
          <w:rtl/>
        </w:rPr>
        <w:t>ו</w:t>
      </w:r>
      <w:r w:rsidRPr="00F21495">
        <w:rPr>
          <w:rFonts w:ascii="David" w:hAnsi="David"/>
          <w:color w:val="000000"/>
          <w:rtl/>
        </w:rPr>
        <w:t xml:space="preserve"> והתחייב לשתף פעולה עם שירות המבחן. מובהר לנאש</w:t>
      </w:r>
      <w:r w:rsidRPr="00F21495">
        <w:rPr>
          <w:rFonts w:ascii="David" w:hAnsi="David" w:hint="cs"/>
          <w:color w:val="000000"/>
          <w:rtl/>
        </w:rPr>
        <w:t>ם</w:t>
      </w:r>
      <w:r w:rsidRPr="00F21495">
        <w:rPr>
          <w:rFonts w:ascii="David" w:hAnsi="David"/>
          <w:color w:val="000000"/>
          <w:rtl/>
        </w:rPr>
        <w:t xml:space="preserve"> כי עלי</w:t>
      </w:r>
      <w:r w:rsidRPr="00F21495">
        <w:rPr>
          <w:rFonts w:ascii="David" w:hAnsi="David" w:hint="cs"/>
          <w:color w:val="000000"/>
          <w:rtl/>
        </w:rPr>
        <w:t>ו</w:t>
      </w:r>
      <w:r w:rsidRPr="00F21495">
        <w:rPr>
          <w:rFonts w:ascii="David" w:hAnsi="David"/>
          <w:color w:val="000000"/>
          <w:rtl/>
        </w:rPr>
        <w:t xml:space="preserve"> למלא אחר הוראות שירות המבחן וככל שלא </w:t>
      </w:r>
      <w:r w:rsidRPr="00F21495">
        <w:rPr>
          <w:rFonts w:ascii="David" w:hAnsi="David" w:hint="cs"/>
          <w:color w:val="000000"/>
          <w:rtl/>
        </w:rPr>
        <w:t>י</w:t>
      </w:r>
      <w:r w:rsidRPr="00F21495">
        <w:rPr>
          <w:rFonts w:ascii="David" w:hAnsi="David"/>
          <w:color w:val="000000"/>
          <w:rtl/>
        </w:rPr>
        <w:t>עשה כן, ניתן יהיה להפקיע את הצו ולהטיל עלי</w:t>
      </w:r>
      <w:r w:rsidRPr="00F21495">
        <w:rPr>
          <w:rFonts w:ascii="David" w:hAnsi="David" w:hint="cs"/>
          <w:color w:val="000000"/>
          <w:rtl/>
        </w:rPr>
        <w:t>ו</w:t>
      </w:r>
      <w:r w:rsidRPr="00F21495">
        <w:rPr>
          <w:rFonts w:ascii="David" w:hAnsi="David"/>
          <w:color w:val="000000"/>
          <w:rtl/>
        </w:rPr>
        <w:t xml:space="preserve"> ענישה נוספת, וכן גם אם </w:t>
      </w:r>
      <w:r w:rsidRPr="00F21495">
        <w:rPr>
          <w:rFonts w:ascii="David" w:hAnsi="David" w:hint="cs"/>
          <w:color w:val="000000"/>
          <w:rtl/>
        </w:rPr>
        <w:t>י</w:t>
      </w:r>
      <w:r w:rsidRPr="00F21495">
        <w:rPr>
          <w:rFonts w:ascii="David" w:hAnsi="David"/>
          <w:color w:val="000000"/>
          <w:rtl/>
        </w:rPr>
        <w:t>בצע עבירה נוספת בתקופת המבחן</w:t>
      </w:r>
      <w:r w:rsidRPr="00F21495">
        <w:rPr>
          <w:rFonts w:ascii="David" w:hAnsi="David"/>
          <w:color w:val="000000"/>
        </w:rPr>
        <w:t>.</w:t>
      </w:r>
      <w:r w:rsidRPr="00F21495">
        <w:rPr>
          <w:rFonts w:ascii="David" w:hAnsi="David" w:hint="cs"/>
          <w:rtl/>
        </w:rPr>
        <w:t xml:space="preserve"> כבקשת הממונה על עבודות השירות, שירות המבחן יעשה מאמץ לשבץ את הנאשם בקבוצה בשעות אחר הצהריים נוכח עונש המאסר בעבודות שירות אשר נגזר עליו, כשמרבית המעסיקים עובדים בשעות הבוקר בלבד</w:t>
      </w:r>
      <w:r>
        <w:rPr>
          <w:rFonts w:ascii="David" w:hAnsi="David" w:hint="cs"/>
          <w:color w:val="000000"/>
          <w:sz w:val="22"/>
          <w:szCs w:val="22"/>
          <w:rtl/>
        </w:rPr>
        <w:t>.</w:t>
      </w:r>
    </w:p>
    <w:p w14:paraId="514B0B44" w14:textId="77777777" w:rsidR="00764D78" w:rsidRPr="00F21495" w:rsidRDefault="00764D78" w:rsidP="00764D78">
      <w:pPr>
        <w:pStyle w:val="a9"/>
        <w:numPr>
          <w:ilvl w:val="0"/>
          <w:numId w:val="2"/>
        </w:numPr>
        <w:spacing w:line="360" w:lineRule="atLeast"/>
        <w:jc w:val="both"/>
        <w:rPr>
          <w:rFonts w:ascii="David" w:hAnsi="David"/>
          <w:color w:val="000000"/>
          <w:rtl/>
        </w:rPr>
      </w:pPr>
      <w:r w:rsidRPr="00F21495">
        <w:rPr>
          <w:rFonts w:ascii="David" w:hAnsi="David" w:hint="cs"/>
          <w:color w:val="000000"/>
          <w:rtl/>
        </w:rPr>
        <w:t>בהסכמת הצדדים, אני מורה על חילוט הטלפון הנייד מסוג "אייפון" שנתפס בקשר לתיק הנדון. בנסיבות אלה ועל פי דברי ב"כ המאשימה בעת מתן גזר הדין, היא אינה עומדת על הכרזת הנאשם כסוחר סמים</w:t>
      </w:r>
      <w:r>
        <w:rPr>
          <w:rFonts w:ascii="David" w:hAnsi="David" w:hint="cs"/>
          <w:color w:val="000000"/>
          <w:rtl/>
        </w:rPr>
        <w:t>, ואני לא מכריזה עליו כאמור</w:t>
      </w:r>
      <w:r w:rsidRPr="00F21495">
        <w:rPr>
          <w:rFonts w:ascii="David" w:hAnsi="David" w:hint="cs"/>
          <w:color w:val="000000"/>
          <w:rtl/>
        </w:rPr>
        <w:t>.</w:t>
      </w:r>
    </w:p>
    <w:p w14:paraId="46FC0126" w14:textId="77777777" w:rsidR="00764D78" w:rsidRPr="00F21495" w:rsidRDefault="00764D78" w:rsidP="00764D78">
      <w:pPr>
        <w:pStyle w:val="11"/>
        <w:bidi/>
        <w:spacing w:before="0" w:beforeAutospacing="0" w:after="0" w:afterAutospacing="0"/>
        <w:jc w:val="both"/>
        <w:rPr>
          <w:rFonts w:ascii="David" w:hAnsi="David" w:cs="David"/>
          <w:rtl/>
        </w:rPr>
      </w:pPr>
    </w:p>
    <w:p w14:paraId="4CC4F9A7" w14:textId="77777777" w:rsidR="00764D78" w:rsidRPr="00F21495" w:rsidRDefault="00764D78" w:rsidP="00764D78">
      <w:pPr>
        <w:pStyle w:val="11"/>
        <w:bidi/>
        <w:spacing w:before="0" w:beforeAutospacing="0" w:after="0" w:afterAutospacing="0" w:line="360" w:lineRule="atLeast"/>
        <w:jc w:val="both"/>
        <w:rPr>
          <w:rFonts w:ascii="David" w:hAnsi="David" w:cs="David"/>
          <w:b/>
          <w:bCs/>
          <w:rtl/>
        </w:rPr>
      </w:pPr>
      <w:r w:rsidRPr="00F21495">
        <w:rPr>
          <w:rFonts w:ascii="David" w:hAnsi="David" w:cs="David" w:hint="cs"/>
          <w:b/>
          <w:bCs/>
          <w:rtl/>
        </w:rPr>
        <w:t>המזכירות תעביר עותק גזר הדין לממונה על עבודות השירות ולשירות המבחן שיעביר צו מבחן לחתימתי.</w:t>
      </w:r>
    </w:p>
    <w:p w14:paraId="3BAA5642" w14:textId="77777777" w:rsidR="00764D78" w:rsidRPr="00F21495" w:rsidRDefault="00764D78" w:rsidP="00764D78">
      <w:pPr>
        <w:pStyle w:val="11"/>
        <w:bidi/>
        <w:spacing w:before="0" w:beforeAutospacing="0" w:after="0" w:afterAutospacing="0" w:line="360" w:lineRule="atLeast"/>
        <w:jc w:val="both"/>
        <w:rPr>
          <w:rFonts w:ascii="David" w:hAnsi="David" w:cs="David"/>
          <w:b/>
          <w:bCs/>
          <w:rtl/>
        </w:rPr>
      </w:pPr>
    </w:p>
    <w:p w14:paraId="10BBEC9C" w14:textId="77777777" w:rsidR="00764D78" w:rsidRPr="00F21495" w:rsidRDefault="00764D78" w:rsidP="00764D78">
      <w:pPr>
        <w:pStyle w:val="11"/>
        <w:bidi/>
        <w:spacing w:before="0" w:beforeAutospacing="0" w:after="0" w:afterAutospacing="0" w:line="360" w:lineRule="atLeast"/>
        <w:jc w:val="both"/>
        <w:rPr>
          <w:rFonts w:ascii="David" w:hAnsi="David" w:cs="David"/>
          <w:b/>
          <w:bCs/>
          <w:rtl/>
        </w:rPr>
      </w:pPr>
      <w:r w:rsidRPr="00F21495">
        <w:rPr>
          <w:rFonts w:ascii="David" w:hAnsi="David" w:cs="David" w:hint="cs"/>
          <w:b/>
          <w:bCs/>
          <w:rtl/>
        </w:rPr>
        <w:t>ניתן צו למוצגים לשיקול דעת קצין משטרה.</w:t>
      </w:r>
    </w:p>
    <w:p w14:paraId="1470CCDB" w14:textId="77777777" w:rsidR="00764D78" w:rsidRPr="00F21495" w:rsidRDefault="00764D78" w:rsidP="00764D78">
      <w:pPr>
        <w:pStyle w:val="11"/>
        <w:bidi/>
        <w:spacing w:before="0" w:beforeAutospacing="0" w:after="0" w:afterAutospacing="0"/>
        <w:jc w:val="both"/>
        <w:rPr>
          <w:rFonts w:ascii="David" w:hAnsi="David" w:cs="David"/>
          <w:b/>
          <w:bCs/>
          <w:rtl/>
        </w:rPr>
      </w:pPr>
    </w:p>
    <w:p w14:paraId="466F992B" w14:textId="77777777" w:rsidR="00764D78" w:rsidRPr="00F21495" w:rsidRDefault="00764D78" w:rsidP="00764D78">
      <w:pPr>
        <w:pStyle w:val="11"/>
        <w:bidi/>
        <w:spacing w:before="0" w:beforeAutospacing="0" w:after="0" w:afterAutospacing="0" w:line="360" w:lineRule="atLeast"/>
        <w:jc w:val="both"/>
        <w:rPr>
          <w:rFonts w:ascii="David" w:hAnsi="David" w:cs="David"/>
          <w:b/>
          <w:bCs/>
          <w:rtl/>
        </w:rPr>
      </w:pPr>
      <w:r w:rsidRPr="00F21495">
        <w:rPr>
          <w:rFonts w:ascii="David" w:hAnsi="David" w:cs="David" w:hint="cs"/>
          <w:b/>
          <w:bCs/>
          <w:rtl/>
        </w:rPr>
        <w:t xml:space="preserve">זכות ערעור כחוק תוך 45 יום לבית המשפט המחוזי. </w:t>
      </w:r>
    </w:p>
    <w:p w14:paraId="4253D585" w14:textId="77777777" w:rsidR="00764D78" w:rsidRPr="00B77A7C" w:rsidRDefault="00B77A7C" w:rsidP="00764D78">
      <w:pPr>
        <w:rPr>
          <w:rFonts w:ascii="David" w:hAnsi="David"/>
          <w:b/>
          <w:bCs/>
          <w:color w:val="FFFFFF"/>
          <w:sz w:val="2"/>
          <w:szCs w:val="2"/>
          <w:rtl/>
        </w:rPr>
      </w:pPr>
      <w:r w:rsidRPr="00B77A7C">
        <w:rPr>
          <w:rFonts w:ascii="David" w:hAnsi="David"/>
          <w:b/>
          <w:bCs/>
          <w:color w:val="FFFFFF"/>
          <w:sz w:val="2"/>
          <w:szCs w:val="2"/>
          <w:rtl/>
        </w:rPr>
        <w:t>5129371</w:t>
      </w:r>
    </w:p>
    <w:p w14:paraId="2533336C" w14:textId="77777777" w:rsidR="00764D78" w:rsidRPr="00B77A7C" w:rsidRDefault="00B77A7C" w:rsidP="00764D78">
      <w:pPr>
        <w:rPr>
          <w:rFonts w:ascii="David" w:hAnsi="David"/>
          <w:color w:val="FFFFFF"/>
          <w:sz w:val="2"/>
          <w:szCs w:val="2"/>
          <w:rtl/>
        </w:rPr>
      </w:pPr>
      <w:r w:rsidRPr="00B77A7C">
        <w:rPr>
          <w:rFonts w:ascii="David" w:hAnsi="David"/>
          <w:color w:val="FFFFFF"/>
          <w:sz w:val="2"/>
          <w:szCs w:val="2"/>
          <w:rtl/>
        </w:rPr>
        <w:t>54678313</w:t>
      </w:r>
    </w:p>
    <w:p w14:paraId="3848837C" w14:textId="77777777" w:rsidR="00764D78" w:rsidRPr="00F21495" w:rsidRDefault="00B77A7C" w:rsidP="00764D78">
      <w:pPr>
        <w:rPr>
          <w:rFonts w:ascii="David" w:hAnsi="David"/>
          <w:rtl/>
        </w:rPr>
      </w:pPr>
      <w:bookmarkStart w:id="8" w:name="Nitan"/>
      <w:r>
        <w:rPr>
          <w:rFonts w:ascii="David" w:hAnsi="David"/>
          <w:rtl/>
        </w:rPr>
        <w:t xml:space="preserve">ניתן היום,  ה' חשוון תשפ"ב, 11 אוקטובר 2021, במעמד הצדדים. </w:t>
      </w:r>
      <w:bookmarkEnd w:id="8"/>
    </w:p>
    <w:p w14:paraId="50E9104D" w14:textId="77777777" w:rsidR="00764D78" w:rsidRPr="00F21495" w:rsidRDefault="00764D78" w:rsidP="00B77A7C">
      <w:pPr>
        <w:jc w:val="center"/>
      </w:pPr>
      <w:r w:rsidRPr="00F21495">
        <w:rPr>
          <w:rFonts w:ascii="David" w:hAnsi="David"/>
          <w:rtl/>
        </w:rPr>
        <w:t xml:space="preserve">   </w:t>
      </w:r>
      <w:r w:rsidRPr="00F21495">
        <w:rPr>
          <w:rFonts w:ascii="David" w:hAnsi="David"/>
          <w:rtl/>
        </w:rPr>
        <w:tab/>
      </w:r>
      <w:r w:rsidRPr="00F21495">
        <w:rPr>
          <w:rFonts w:ascii="David" w:hAnsi="David"/>
          <w:rtl/>
        </w:rPr>
        <w:tab/>
      </w:r>
      <w:r w:rsidRPr="00F21495">
        <w:rPr>
          <w:rFonts w:ascii="David" w:hAnsi="David"/>
          <w:rtl/>
        </w:rPr>
        <w:tab/>
      </w:r>
      <w:r w:rsidRPr="00F21495">
        <w:rPr>
          <w:rFonts w:ascii="David" w:hAnsi="David"/>
          <w:rtl/>
        </w:rPr>
        <w:tab/>
      </w:r>
      <w:r w:rsidRPr="00F21495">
        <w:rPr>
          <w:rFonts w:ascii="David" w:hAnsi="David"/>
          <w:rtl/>
        </w:rPr>
        <w:tab/>
      </w:r>
    </w:p>
    <w:p w14:paraId="1823352A" w14:textId="77777777" w:rsidR="00764D78" w:rsidRPr="00F21495" w:rsidRDefault="00764D78" w:rsidP="00764D78">
      <w:pPr>
        <w:jc w:val="center"/>
        <w:rPr>
          <w:rFonts w:ascii="David" w:hAnsi="David"/>
          <w:rtl/>
        </w:rPr>
      </w:pPr>
    </w:p>
    <w:p w14:paraId="19BB41E9" w14:textId="77777777" w:rsidR="00764D78" w:rsidRPr="00F21495" w:rsidRDefault="00764D78" w:rsidP="00764D78">
      <w:pPr>
        <w:pStyle w:val="a3"/>
        <w:rPr>
          <w:rFonts w:ascii="David" w:hAnsi="David"/>
          <w:rtl/>
        </w:rPr>
      </w:pPr>
    </w:p>
    <w:p w14:paraId="3FDC3D38" w14:textId="77777777" w:rsidR="00695B03" w:rsidRPr="00B77A7C" w:rsidRDefault="00695B03" w:rsidP="00B77A7C">
      <w:pPr>
        <w:keepNext/>
        <w:rPr>
          <w:rFonts w:ascii="David" w:hAnsi="David"/>
          <w:color w:val="000000"/>
          <w:sz w:val="22"/>
          <w:szCs w:val="22"/>
          <w:rtl/>
        </w:rPr>
      </w:pPr>
    </w:p>
    <w:p w14:paraId="7F25624F" w14:textId="77777777" w:rsidR="00B77A7C" w:rsidRPr="00B77A7C" w:rsidRDefault="00B77A7C" w:rsidP="00B77A7C">
      <w:pPr>
        <w:keepNext/>
        <w:rPr>
          <w:rFonts w:ascii="David" w:hAnsi="David"/>
          <w:color w:val="000000"/>
          <w:sz w:val="22"/>
          <w:szCs w:val="22"/>
          <w:rtl/>
        </w:rPr>
      </w:pPr>
      <w:r w:rsidRPr="00B77A7C">
        <w:rPr>
          <w:rFonts w:ascii="David" w:hAnsi="David"/>
          <w:color w:val="000000"/>
          <w:sz w:val="22"/>
          <w:szCs w:val="22"/>
          <w:rtl/>
        </w:rPr>
        <w:t>דנה אמיר 54678313</w:t>
      </w:r>
    </w:p>
    <w:p w14:paraId="58397027" w14:textId="77777777" w:rsidR="00B77A7C" w:rsidRDefault="00B77A7C" w:rsidP="00B77A7C">
      <w:r w:rsidRPr="00B77A7C">
        <w:rPr>
          <w:color w:val="000000"/>
          <w:rtl/>
        </w:rPr>
        <w:t>נוסח מסמך זה כפוף לשינויי ניסוח ועריכה</w:t>
      </w:r>
    </w:p>
    <w:p w14:paraId="2E9060F6" w14:textId="77777777" w:rsidR="00B77A7C" w:rsidRDefault="00B77A7C" w:rsidP="00B77A7C">
      <w:pPr>
        <w:rPr>
          <w:rtl/>
        </w:rPr>
      </w:pPr>
    </w:p>
    <w:p w14:paraId="73E47A35" w14:textId="77777777" w:rsidR="00B77A7C" w:rsidRDefault="00B77A7C" w:rsidP="00B77A7C">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F312FFA" w14:textId="77777777" w:rsidR="00B77A7C" w:rsidRPr="00B77A7C" w:rsidRDefault="00B77A7C" w:rsidP="00B77A7C">
      <w:pPr>
        <w:jc w:val="center"/>
        <w:rPr>
          <w:color w:val="0000FF"/>
          <w:u w:val="single"/>
        </w:rPr>
      </w:pPr>
    </w:p>
    <w:sectPr w:rsidR="00B77A7C" w:rsidRPr="00B77A7C" w:rsidSect="00B77A7C">
      <w:headerReference w:type="even" r:id="rId40"/>
      <w:headerReference w:type="default" r:id="rId41"/>
      <w:footerReference w:type="even" r:id="rId42"/>
      <w:footerReference w:type="default" r:id="rId4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DC96B" w14:textId="77777777" w:rsidR="002E72B1" w:rsidRDefault="002E72B1" w:rsidP="006D04A6">
      <w:r>
        <w:separator/>
      </w:r>
    </w:p>
  </w:endnote>
  <w:endnote w:type="continuationSeparator" w:id="0">
    <w:p w14:paraId="4859F23C" w14:textId="77777777" w:rsidR="002E72B1" w:rsidRDefault="002E72B1" w:rsidP="006D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1941" w14:textId="77777777" w:rsidR="00B77A7C" w:rsidRDefault="00B77A7C" w:rsidP="00B77A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5DAE1A" w14:textId="77777777" w:rsidR="008C32A4" w:rsidRPr="00B77A7C" w:rsidRDefault="00B77A7C" w:rsidP="00B77A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BB18C" w14:textId="77777777" w:rsidR="00B77A7C" w:rsidRDefault="00B77A7C" w:rsidP="00B77A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5CD6">
      <w:rPr>
        <w:rFonts w:ascii="FrankRuehl" w:hAnsi="FrankRuehl" w:cs="FrankRuehl"/>
        <w:noProof/>
        <w:rtl/>
      </w:rPr>
      <w:t>1</w:t>
    </w:r>
    <w:r>
      <w:rPr>
        <w:rFonts w:ascii="FrankRuehl" w:hAnsi="FrankRuehl" w:cs="FrankRuehl"/>
        <w:rtl/>
      </w:rPr>
      <w:fldChar w:fldCharType="end"/>
    </w:r>
  </w:p>
  <w:p w14:paraId="40E71E54" w14:textId="77777777" w:rsidR="008C32A4" w:rsidRPr="00B77A7C" w:rsidRDefault="00B77A7C" w:rsidP="00B77A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23A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A3909" w14:textId="77777777" w:rsidR="002E72B1" w:rsidRDefault="002E72B1" w:rsidP="006D04A6">
      <w:r>
        <w:separator/>
      </w:r>
    </w:p>
  </w:footnote>
  <w:footnote w:type="continuationSeparator" w:id="0">
    <w:p w14:paraId="52C2087B" w14:textId="77777777" w:rsidR="002E72B1" w:rsidRDefault="002E72B1" w:rsidP="006D0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60C1B" w14:textId="77777777" w:rsidR="00B77A7C" w:rsidRPr="00B77A7C" w:rsidRDefault="00B77A7C" w:rsidP="00B77A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70531-11-19</w:t>
    </w:r>
    <w:r>
      <w:rPr>
        <w:rFonts w:ascii="David" w:hAnsi="David"/>
        <w:color w:val="000000"/>
        <w:sz w:val="22"/>
        <w:szCs w:val="22"/>
        <w:rtl/>
      </w:rPr>
      <w:tab/>
      <w:t xml:space="preserve"> מדינת ישראל נ' יניב שוויצר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59498" w14:textId="77777777" w:rsidR="00B77A7C" w:rsidRPr="00B77A7C" w:rsidRDefault="00B77A7C" w:rsidP="00B77A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70531-11-19</w:t>
    </w:r>
    <w:r>
      <w:rPr>
        <w:rFonts w:ascii="David" w:hAnsi="David"/>
        <w:color w:val="000000"/>
        <w:sz w:val="22"/>
        <w:szCs w:val="22"/>
        <w:rtl/>
      </w:rPr>
      <w:tab/>
      <w:t xml:space="preserve"> מדינת ישראל נ' יניב שוויצר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6A53"/>
    <w:multiLevelType w:val="hybridMultilevel"/>
    <w:tmpl w:val="59FEB996"/>
    <w:lvl w:ilvl="0" w:tplc="33D28B2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1976CD"/>
    <w:multiLevelType w:val="hybridMultilevel"/>
    <w:tmpl w:val="89FAD422"/>
    <w:lvl w:ilvl="0" w:tplc="BE8C7196">
      <w:start w:val="1"/>
      <w:numFmt w:val="decimal"/>
      <w:lvlText w:val="%1."/>
      <w:lvlJc w:val="left"/>
      <w:pPr>
        <w:ind w:left="720" w:hanging="360"/>
      </w:pPr>
      <w:rPr>
        <w:rFonts w:ascii="David" w:hAnsi="David" w:cs="David" w:hint="default"/>
        <w:b w:val="0"/>
        <w:bCs w:val="0"/>
        <w:sz w:val="24"/>
        <w:szCs w:val="24"/>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3730888">
    <w:abstractNumId w:val="1"/>
  </w:num>
  <w:num w:numId="2" w16cid:durableId="1244946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4D78"/>
    <w:rsid w:val="00035CD6"/>
    <w:rsid w:val="001B5A3B"/>
    <w:rsid w:val="002531E7"/>
    <w:rsid w:val="002E72B1"/>
    <w:rsid w:val="004471B7"/>
    <w:rsid w:val="004C34AD"/>
    <w:rsid w:val="00603D24"/>
    <w:rsid w:val="00695B03"/>
    <w:rsid w:val="006D04A6"/>
    <w:rsid w:val="00764D78"/>
    <w:rsid w:val="007F5563"/>
    <w:rsid w:val="008C32A4"/>
    <w:rsid w:val="00940DD0"/>
    <w:rsid w:val="00B77A7C"/>
    <w:rsid w:val="00CB0AD0"/>
    <w:rsid w:val="00D635C1"/>
    <w:rsid w:val="00E14E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C5D8EE"/>
  <w15:chartTrackingRefBased/>
  <w15:docId w15:val="{88827A25-7653-40AD-98D7-818A7119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4D7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4D78"/>
    <w:pPr>
      <w:tabs>
        <w:tab w:val="center" w:pos="4153"/>
        <w:tab w:val="right" w:pos="8306"/>
      </w:tabs>
    </w:pPr>
  </w:style>
  <w:style w:type="character" w:customStyle="1" w:styleId="a4">
    <w:name w:val="כותרת עליונה תו"/>
    <w:link w:val="a3"/>
    <w:rsid w:val="00764D78"/>
    <w:rPr>
      <w:rFonts w:ascii="Times New Roman" w:eastAsia="Times New Roman" w:hAnsi="Times New Roman" w:cs="David"/>
      <w:sz w:val="24"/>
      <w:szCs w:val="24"/>
    </w:rPr>
  </w:style>
  <w:style w:type="paragraph" w:styleId="a5">
    <w:name w:val="footer"/>
    <w:basedOn w:val="a"/>
    <w:link w:val="a6"/>
    <w:rsid w:val="00764D78"/>
    <w:pPr>
      <w:tabs>
        <w:tab w:val="center" w:pos="4153"/>
        <w:tab w:val="right" w:pos="8306"/>
      </w:tabs>
    </w:pPr>
  </w:style>
  <w:style w:type="character" w:customStyle="1" w:styleId="a6">
    <w:name w:val="כותרת תחתונה תו"/>
    <w:link w:val="a5"/>
    <w:rsid w:val="00764D78"/>
    <w:rPr>
      <w:rFonts w:ascii="Times New Roman" w:eastAsia="Times New Roman" w:hAnsi="Times New Roman" w:cs="David"/>
      <w:sz w:val="24"/>
      <w:szCs w:val="24"/>
    </w:rPr>
  </w:style>
  <w:style w:type="table" w:styleId="a7">
    <w:name w:val="Table Grid"/>
    <w:basedOn w:val="a1"/>
    <w:rsid w:val="00764D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4D78"/>
  </w:style>
  <w:style w:type="character" w:styleId="Hyperlink">
    <w:name w:val="Hyperlink"/>
    <w:rsid w:val="00764D78"/>
    <w:rPr>
      <w:color w:val="0000FF"/>
      <w:u w:val="single"/>
    </w:rPr>
  </w:style>
  <w:style w:type="paragraph" w:styleId="a9">
    <w:name w:val="List Paragraph"/>
    <w:basedOn w:val="a"/>
    <w:qFormat/>
    <w:rsid w:val="00764D78"/>
    <w:pPr>
      <w:ind w:left="720"/>
      <w:contextualSpacing/>
    </w:pPr>
  </w:style>
  <w:style w:type="paragraph" w:customStyle="1" w:styleId="11">
    <w:name w:val="11"/>
    <w:basedOn w:val="a"/>
    <w:rsid w:val="00764D78"/>
    <w:pPr>
      <w:bidi w:val="0"/>
      <w:spacing w:before="100" w:beforeAutospacing="1" w:after="100" w:afterAutospacing="1"/>
    </w:pPr>
    <w:rPr>
      <w:rFonts w:cs="Times New Roman"/>
    </w:rPr>
  </w:style>
  <w:style w:type="paragraph" w:customStyle="1" w:styleId="12">
    <w:name w:val="רגיל + ‏12 נק'"/>
    <w:aliases w:val="מיושר לשני הצדדים,מרווח בין שורות:  שורה וחצי"/>
    <w:basedOn w:val="a"/>
    <w:rsid w:val="00764D7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294063" TargetMode="External"/><Relationship Id="rId18" Type="http://schemas.openxmlformats.org/officeDocument/2006/relationships/hyperlink" Target="http://www.nevo.co.il/case/22201884" TargetMode="External"/><Relationship Id="rId26" Type="http://schemas.openxmlformats.org/officeDocument/2006/relationships/hyperlink" Target="http://www.nevo.co.il/case/558505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535302" TargetMode="External"/><Relationship Id="rId34" Type="http://schemas.openxmlformats.org/officeDocument/2006/relationships/hyperlink" Target="http://www.nevo.co.il/case/26117216"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6083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 TargetMode="External"/><Relationship Id="rId24" Type="http://schemas.openxmlformats.org/officeDocument/2006/relationships/hyperlink" Target="http://www.nevo.co.il/case/2243617" TargetMode="External"/><Relationship Id="rId32" Type="http://schemas.openxmlformats.org/officeDocument/2006/relationships/hyperlink" Target="http://www.nevo.co.il/case/11280470" TargetMode="External"/><Relationship Id="rId37" Type="http://schemas.openxmlformats.org/officeDocument/2006/relationships/hyperlink" Target="http://www.nevo.co.il/case/20172118"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3666663" TargetMode="External"/><Relationship Id="rId28" Type="http://schemas.openxmlformats.org/officeDocument/2006/relationships/hyperlink" Target="http://www.nevo.co.il/case/26677652" TargetMode="External"/><Relationship Id="rId36" Type="http://schemas.openxmlformats.org/officeDocument/2006/relationships/hyperlink" Target="http://www.nevo.co.il/case/6473037"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842034" TargetMode="External"/><Relationship Id="rId31" Type="http://schemas.openxmlformats.org/officeDocument/2006/relationships/hyperlink" Target="http://www.nevo.co.il/case/2024053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16189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26579" TargetMode="External"/><Relationship Id="rId30" Type="http://schemas.openxmlformats.org/officeDocument/2006/relationships/hyperlink" Target="http://www.nevo.co.il/case/25442339" TargetMode="External"/><Relationship Id="rId35" Type="http://schemas.openxmlformats.org/officeDocument/2006/relationships/hyperlink" Target="http://www.nevo.co.il/case/23001522" TargetMode="External"/><Relationship Id="rId43"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683594" TargetMode="External"/><Relationship Id="rId33" Type="http://schemas.openxmlformats.org/officeDocument/2006/relationships/hyperlink" Target="http://www.nevo.co.il/case/6793436" TargetMode="External"/><Relationship Id="rId38" Type="http://schemas.openxmlformats.org/officeDocument/2006/relationships/hyperlink" Target="http://www.nevo.co.il/case/6094597" TargetMode="External"/><Relationship Id="rId20" Type="http://schemas.openxmlformats.org/officeDocument/2006/relationships/hyperlink" Target="http://www.nevo.co.il/case/2375105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3999</Words>
  <Characters>19997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23949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3997817</vt:i4>
      </vt:variant>
      <vt:variant>
        <vt:i4>93</vt:i4>
      </vt:variant>
      <vt:variant>
        <vt:i4>0</vt:i4>
      </vt:variant>
      <vt:variant>
        <vt:i4>5</vt:i4>
      </vt:variant>
      <vt:variant>
        <vt:lpwstr>http://www.nevo.co.il/case/6094597</vt:lpwstr>
      </vt:variant>
      <vt:variant>
        <vt:lpwstr/>
      </vt:variant>
      <vt:variant>
        <vt:i4>3145842</vt:i4>
      </vt:variant>
      <vt:variant>
        <vt:i4>90</vt:i4>
      </vt:variant>
      <vt:variant>
        <vt:i4>0</vt:i4>
      </vt:variant>
      <vt:variant>
        <vt:i4>5</vt:i4>
      </vt:variant>
      <vt:variant>
        <vt:lpwstr>http://www.nevo.co.il/case/20172118</vt:lpwstr>
      </vt:variant>
      <vt:variant>
        <vt:lpwstr/>
      </vt:variant>
      <vt:variant>
        <vt:i4>3539056</vt:i4>
      </vt:variant>
      <vt:variant>
        <vt:i4>87</vt:i4>
      </vt:variant>
      <vt:variant>
        <vt:i4>0</vt:i4>
      </vt:variant>
      <vt:variant>
        <vt:i4>5</vt:i4>
      </vt:variant>
      <vt:variant>
        <vt:lpwstr>http://www.nevo.co.il/case/6473037</vt:lpwstr>
      </vt:variant>
      <vt:variant>
        <vt:lpwstr/>
      </vt:variant>
      <vt:variant>
        <vt:i4>3211378</vt:i4>
      </vt:variant>
      <vt:variant>
        <vt:i4>84</vt:i4>
      </vt:variant>
      <vt:variant>
        <vt:i4>0</vt:i4>
      </vt:variant>
      <vt:variant>
        <vt:i4>5</vt:i4>
      </vt:variant>
      <vt:variant>
        <vt:lpwstr>http://www.nevo.co.il/case/23001522</vt:lpwstr>
      </vt:variant>
      <vt:variant>
        <vt:lpwstr/>
      </vt:variant>
      <vt:variant>
        <vt:i4>3473521</vt:i4>
      </vt:variant>
      <vt:variant>
        <vt:i4>81</vt:i4>
      </vt:variant>
      <vt:variant>
        <vt:i4>0</vt:i4>
      </vt:variant>
      <vt:variant>
        <vt:i4>5</vt:i4>
      </vt:variant>
      <vt:variant>
        <vt:lpwstr>http://www.nevo.co.il/case/26117216</vt:lpwstr>
      </vt:variant>
      <vt:variant>
        <vt:lpwstr/>
      </vt:variant>
      <vt:variant>
        <vt:i4>3997811</vt:i4>
      </vt:variant>
      <vt:variant>
        <vt:i4>78</vt:i4>
      </vt:variant>
      <vt:variant>
        <vt:i4>0</vt:i4>
      </vt:variant>
      <vt:variant>
        <vt:i4>5</vt:i4>
      </vt:variant>
      <vt:variant>
        <vt:lpwstr>http://www.nevo.co.il/case/6793436</vt:lpwstr>
      </vt:variant>
      <vt:variant>
        <vt:lpwstr/>
      </vt:variant>
      <vt:variant>
        <vt:i4>3407993</vt:i4>
      </vt:variant>
      <vt:variant>
        <vt:i4>75</vt:i4>
      </vt:variant>
      <vt:variant>
        <vt:i4>0</vt:i4>
      </vt:variant>
      <vt:variant>
        <vt:i4>5</vt:i4>
      </vt:variant>
      <vt:variant>
        <vt:lpwstr>http://www.nevo.co.il/case/11280470</vt:lpwstr>
      </vt:variant>
      <vt:variant>
        <vt:lpwstr/>
      </vt:variant>
      <vt:variant>
        <vt:i4>3342453</vt:i4>
      </vt:variant>
      <vt:variant>
        <vt:i4>72</vt:i4>
      </vt:variant>
      <vt:variant>
        <vt:i4>0</vt:i4>
      </vt:variant>
      <vt:variant>
        <vt:i4>5</vt:i4>
      </vt:variant>
      <vt:variant>
        <vt:lpwstr>http://www.nevo.co.il/case/20240530</vt:lpwstr>
      </vt:variant>
      <vt:variant>
        <vt:lpwstr/>
      </vt:variant>
      <vt:variant>
        <vt:i4>3604598</vt:i4>
      </vt:variant>
      <vt:variant>
        <vt:i4>69</vt:i4>
      </vt:variant>
      <vt:variant>
        <vt:i4>0</vt:i4>
      </vt:variant>
      <vt:variant>
        <vt:i4>5</vt:i4>
      </vt:variant>
      <vt:variant>
        <vt:lpwstr>http://www.nevo.co.il/case/25442339</vt:lpwstr>
      </vt:variant>
      <vt:variant>
        <vt:lpwstr/>
      </vt:variant>
      <vt:variant>
        <vt:i4>3276924</vt:i4>
      </vt:variant>
      <vt:variant>
        <vt:i4>66</vt:i4>
      </vt:variant>
      <vt:variant>
        <vt:i4>0</vt:i4>
      </vt:variant>
      <vt:variant>
        <vt:i4>5</vt:i4>
      </vt:variant>
      <vt:variant>
        <vt:lpwstr>http://www.nevo.co.il/case/5608364</vt:lpwstr>
      </vt:variant>
      <vt:variant>
        <vt:lpwstr/>
      </vt:variant>
      <vt:variant>
        <vt:i4>3539059</vt:i4>
      </vt:variant>
      <vt:variant>
        <vt:i4>63</vt:i4>
      </vt:variant>
      <vt:variant>
        <vt:i4>0</vt:i4>
      </vt:variant>
      <vt:variant>
        <vt:i4>5</vt:i4>
      </vt:variant>
      <vt:variant>
        <vt:lpwstr>http://www.nevo.co.il/case/26677652</vt:lpwstr>
      </vt:variant>
      <vt:variant>
        <vt:lpwstr/>
      </vt:variant>
      <vt:variant>
        <vt:i4>3866738</vt:i4>
      </vt:variant>
      <vt:variant>
        <vt:i4>60</vt:i4>
      </vt:variant>
      <vt:variant>
        <vt:i4>0</vt:i4>
      </vt:variant>
      <vt:variant>
        <vt:i4>5</vt:i4>
      </vt:variant>
      <vt:variant>
        <vt:lpwstr>http://www.nevo.co.il/case/5726579</vt:lpwstr>
      </vt:variant>
      <vt:variant>
        <vt:lpwstr/>
      </vt:variant>
      <vt:variant>
        <vt:i4>4128881</vt:i4>
      </vt:variant>
      <vt:variant>
        <vt:i4>57</vt:i4>
      </vt:variant>
      <vt:variant>
        <vt:i4>0</vt:i4>
      </vt:variant>
      <vt:variant>
        <vt:i4>5</vt:i4>
      </vt:variant>
      <vt:variant>
        <vt:lpwstr>http://www.nevo.co.il/case/5585052</vt:lpwstr>
      </vt:variant>
      <vt:variant>
        <vt:lpwstr/>
      </vt:variant>
      <vt:variant>
        <vt:i4>4063353</vt:i4>
      </vt:variant>
      <vt:variant>
        <vt:i4>54</vt:i4>
      </vt:variant>
      <vt:variant>
        <vt:i4>0</vt:i4>
      </vt:variant>
      <vt:variant>
        <vt:i4>5</vt:i4>
      </vt:variant>
      <vt:variant>
        <vt:lpwstr>http://www.nevo.co.il/case/20683594</vt:lpwstr>
      </vt:variant>
      <vt:variant>
        <vt:lpwstr/>
      </vt:variant>
      <vt:variant>
        <vt:i4>3604596</vt:i4>
      </vt:variant>
      <vt:variant>
        <vt:i4>51</vt:i4>
      </vt:variant>
      <vt:variant>
        <vt:i4>0</vt:i4>
      </vt:variant>
      <vt:variant>
        <vt:i4>5</vt:i4>
      </vt:variant>
      <vt:variant>
        <vt:lpwstr>http://www.nevo.co.il/case/2243617</vt:lpwstr>
      </vt:variant>
      <vt:variant>
        <vt:lpwstr/>
      </vt:variant>
      <vt:variant>
        <vt:i4>3407991</vt:i4>
      </vt:variant>
      <vt:variant>
        <vt:i4>48</vt:i4>
      </vt:variant>
      <vt:variant>
        <vt:i4>0</vt:i4>
      </vt:variant>
      <vt:variant>
        <vt:i4>5</vt:i4>
      </vt:variant>
      <vt:variant>
        <vt:lpwstr>http://www.nevo.co.il/case/23666663</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3276913</vt:i4>
      </vt:variant>
      <vt:variant>
        <vt:i4>42</vt:i4>
      </vt:variant>
      <vt:variant>
        <vt:i4>0</vt:i4>
      </vt:variant>
      <vt:variant>
        <vt:i4>5</vt:i4>
      </vt:variant>
      <vt:variant>
        <vt:lpwstr>http://www.nevo.co.il/case/25535302</vt:lpwstr>
      </vt:variant>
      <vt:variant>
        <vt:lpwstr/>
      </vt:variant>
      <vt:variant>
        <vt:i4>3211378</vt:i4>
      </vt:variant>
      <vt:variant>
        <vt:i4>39</vt:i4>
      </vt:variant>
      <vt:variant>
        <vt:i4>0</vt:i4>
      </vt:variant>
      <vt:variant>
        <vt:i4>5</vt:i4>
      </vt:variant>
      <vt:variant>
        <vt:lpwstr>http://www.nevo.co.il/case/23751050</vt:lpwstr>
      </vt:variant>
      <vt:variant>
        <vt:lpwstr/>
      </vt:variant>
      <vt:variant>
        <vt:i4>3866739</vt:i4>
      </vt:variant>
      <vt:variant>
        <vt:i4>36</vt:i4>
      </vt:variant>
      <vt:variant>
        <vt:i4>0</vt:i4>
      </vt:variant>
      <vt:variant>
        <vt:i4>5</vt:i4>
      </vt:variant>
      <vt:variant>
        <vt:lpwstr>http://www.nevo.co.il/case/23842034</vt:lpwstr>
      </vt:variant>
      <vt:variant>
        <vt:lpwstr/>
      </vt:variant>
      <vt:variant>
        <vt:i4>3735678</vt:i4>
      </vt:variant>
      <vt:variant>
        <vt:i4>33</vt:i4>
      </vt:variant>
      <vt:variant>
        <vt:i4>0</vt:i4>
      </vt:variant>
      <vt:variant>
        <vt:i4>5</vt:i4>
      </vt:variant>
      <vt:variant>
        <vt:lpwstr>http://www.nevo.co.il/case/22201884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589898</vt:i4>
      </vt:variant>
      <vt:variant>
        <vt:i4>21</vt:i4>
      </vt:variant>
      <vt:variant>
        <vt:i4>0</vt:i4>
      </vt:variant>
      <vt:variant>
        <vt:i4>5</vt:i4>
      </vt:variant>
      <vt:variant>
        <vt:lpwstr>http://www.nevo.co.il/case/161892</vt:lpwstr>
      </vt:variant>
      <vt:variant>
        <vt:lpwstr/>
      </vt:variant>
      <vt:variant>
        <vt:i4>3276927</vt:i4>
      </vt:variant>
      <vt:variant>
        <vt:i4>18</vt:i4>
      </vt:variant>
      <vt:variant>
        <vt:i4>0</vt:i4>
      </vt:variant>
      <vt:variant>
        <vt:i4>5</vt:i4>
      </vt:variant>
      <vt:variant>
        <vt:lpwstr>http://www.nevo.co.il/case/22294063</vt:lpwstr>
      </vt:variant>
      <vt:variant>
        <vt:lpwstr/>
      </vt:variant>
      <vt:variant>
        <vt:i4>8257637</vt:i4>
      </vt:variant>
      <vt:variant>
        <vt:i4>15</vt:i4>
      </vt:variant>
      <vt:variant>
        <vt:i4>0</vt:i4>
      </vt:variant>
      <vt:variant>
        <vt:i4>5</vt:i4>
      </vt:variant>
      <vt:variant>
        <vt:lpwstr>http://www.nevo.co.il/law/4216</vt:lpwstr>
      </vt:variant>
      <vt:variant>
        <vt:lpwstr/>
      </vt:variant>
      <vt:variant>
        <vt:i4>5046344</vt:i4>
      </vt:variant>
      <vt:variant>
        <vt:i4>12</vt:i4>
      </vt:variant>
      <vt:variant>
        <vt:i4>0</vt:i4>
      </vt:variant>
      <vt:variant>
        <vt:i4>5</vt:i4>
      </vt:variant>
      <vt:variant>
        <vt:lpwstr>http://www.nevo.co.il/law/4216/13;19a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70531</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יניב שוויצר</vt:lpwstr>
  </property>
  <property fmtid="{D5CDD505-2E9C-101B-9397-08002B2CF9AE}" pid="10" name="LAWYER">
    <vt:lpwstr>ליאור סלוצקר;יוסי בכר</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20211011</vt:lpwstr>
  </property>
  <property fmtid="{D5CDD505-2E9C-101B-9397-08002B2CF9AE}" pid="14" name="TYPE_N_DATE">
    <vt:lpwstr>38020211011</vt:lpwstr>
  </property>
  <property fmtid="{D5CDD505-2E9C-101B-9397-08002B2CF9AE}" pid="15" name="WORDNUMPAGES">
    <vt:lpwstr>10</vt:lpwstr>
  </property>
  <property fmtid="{D5CDD505-2E9C-101B-9397-08002B2CF9AE}" pid="16" name="TYPE_ABS_DATE">
    <vt:lpwstr>380020211011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22294063;161892;22201884;23842034;23751050;25535302;23666663;2243617;20683594;5585052;5726579;26677652;5608364;25442339;20240530;11280470;6793436;26117216;23001522;6473037;20172118;6094597</vt:lpwstr>
  </property>
  <property fmtid="{D5CDD505-2E9C-101B-9397-08002B2CF9AE}" pid="36" name="LAWLISTTMP1">
    <vt:lpwstr>4216/013;019a</vt:lpwstr>
  </property>
  <property fmtid="{D5CDD505-2E9C-101B-9397-08002B2CF9AE}" pid="37" name="LAWLISTTMP2">
    <vt:lpwstr>70301:4</vt:lpwstr>
  </property>
</Properties>
</file>