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91D75" w:rsidRPr="00B067D4" w14:paraId="0EB1DEBD" w14:textId="77777777" w:rsidTr="00EF6EDB">
        <w:trPr>
          <w:trHeight w:hRule="exact" w:val="418"/>
          <w:jc w:val="center"/>
        </w:trPr>
        <w:tc>
          <w:tcPr>
            <w:tcW w:w="8721" w:type="dxa"/>
            <w:gridSpan w:val="2"/>
          </w:tcPr>
          <w:p w14:paraId="72F07B2A" w14:textId="77777777" w:rsidR="00C91D75" w:rsidRPr="00B067D4" w:rsidRDefault="00C91D75" w:rsidP="00B90DD0">
            <w:pPr>
              <w:pStyle w:val="a3"/>
              <w:jc w:val="center"/>
              <w:rPr>
                <w:rFonts w:ascii="Tahoma" w:hAnsi="Tahoma" w:cs="Tahoma"/>
                <w:color w:val="000080"/>
                <w:rtl/>
              </w:rPr>
            </w:pPr>
            <w:bookmarkStart w:id="0" w:name="LastJudge"/>
            <w:r w:rsidRPr="00B067D4">
              <w:rPr>
                <w:rFonts w:ascii="Tahoma" w:hAnsi="Tahoma" w:cs="Tahoma"/>
                <w:b/>
                <w:bCs/>
                <w:color w:val="000080"/>
                <w:rtl/>
              </w:rPr>
              <w:t>בית משפט השלום בירושלים</w:t>
            </w:r>
          </w:p>
        </w:tc>
      </w:tr>
      <w:tr w:rsidR="00C91D75" w:rsidRPr="00B067D4" w14:paraId="43FC4CB5" w14:textId="77777777" w:rsidTr="00EF6EDB">
        <w:trPr>
          <w:trHeight w:val="337"/>
          <w:jc w:val="center"/>
        </w:trPr>
        <w:tc>
          <w:tcPr>
            <w:tcW w:w="5054" w:type="dxa"/>
          </w:tcPr>
          <w:p w14:paraId="58BAC277" w14:textId="77777777" w:rsidR="00C91D75" w:rsidRPr="00B067D4" w:rsidRDefault="00C91D75" w:rsidP="00B90DD0">
            <w:pPr>
              <w:rPr>
                <w:rFonts w:cs="FrankRuehl"/>
                <w:sz w:val="28"/>
                <w:szCs w:val="28"/>
                <w:rtl/>
              </w:rPr>
            </w:pPr>
            <w:r w:rsidRPr="00B067D4">
              <w:rPr>
                <w:rFonts w:cs="FrankRuehl"/>
                <w:sz w:val="28"/>
                <w:szCs w:val="28"/>
                <w:rtl/>
              </w:rPr>
              <w:t>ת"פ</w:t>
            </w:r>
            <w:r w:rsidRPr="00B067D4">
              <w:rPr>
                <w:rFonts w:cs="FrankRuehl" w:hint="cs"/>
                <w:sz w:val="28"/>
                <w:szCs w:val="28"/>
                <w:rtl/>
              </w:rPr>
              <w:t xml:space="preserve"> </w:t>
            </w:r>
            <w:r w:rsidRPr="00B067D4">
              <w:rPr>
                <w:rFonts w:cs="FrankRuehl"/>
                <w:sz w:val="28"/>
                <w:szCs w:val="28"/>
                <w:rtl/>
              </w:rPr>
              <w:t>8202-11-19</w:t>
            </w:r>
            <w:r w:rsidRPr="00B067D4">
              <w:rPr>
                <w:rFonts w:cs="FrankRuehl" w:hint="cs"/>
                <w:sz w:val="28"/>
                <w:szCs w:val="28"/>
                <w:rtl/>
              </w:rPr>
              <w:t xml:space="preserve"> </w:t>
            </w:r>
            <w:r w:rsidRPr="00B067D4">
              <w:rPr>
                <w:rFonts w:cs="FrankRuehl"/>
                <w:sz w:val="28"/>
                <w:szCs w:val="28"/>
                <w:rtl/>
              </w:rPr>
              <w:t>מדינת ישראל נ' נתנילוב</w:t>
            </w:r>
          </w:p>
          <w:p w14:paraId="0FC325DA" w14:textId="77777777" w:rsidR="00C91D75" w:rsidRPr="00B067D4" w:rsidRDefault="00C91D75" w:rsidP="00B90DD0">
            <w:pPr>
              <w:pStyle w:val="a3"/>
              <w:rPr>
                <w:rFonts w:cs="FrankRuehl"/>
                <w:sz w:val="28"/>
                <w:szCs w:val="28"/>
                <w:rtl/>
              </w:rPr>
            </w:pPr>
          </w:p>
        </w:tc>
        <w:tc>
          <w:tcPr>
            <w:tcW w:w="3667" w:type="dxa"/>
          </w:tcPr>
          <w:p w14:paraId="4C8FCEC5" w14:textId="77777777" w:rsidR="00C91D75" w:rsidRPr="00B067D4" w:rsidRDefault="00C91D75" w:rsidP="00B90DD0">
            <w:pPr>
              <w:pStyle w:val="a3"/>
              <w:jc w:val="right"/>
              <w:rPr>
                <w:rFonts w:cs="FrankRuehl"/>
                <w:sz w:val="28"/>
                <w:szCs w:val="28"/>
                <w:rtl/>
              </w:rPr>
            </w:pPr>
          </w:p>
        </w:tc>
      </w:tr>
    </w:tbl>
    <w:p w14:paraId="4117A03C" w14:textId="77777777" w:rsidR="00C91D75" w:rsidRPr="00B067D4" w:rsidRDefault="00C91D75" w:rsidP="00C91D75">
      <w:pPr>
        <w:pStyle w:val="a3"/>
        <w:rPr>
          <w:rtl/>
        </w:rPr>
      </w:pPr>
      <w:r w:rsidRPr="00B067D4">
        <w:rPr>
          <w:rFonts w:hint="cs"/>
          <w:rtl/>
        </w:rPr>
        <w:t xml:space="preserve"> </w:t>
      </w:r>
    </w:p>
    <w:p w14:paraId="426AE787" w14:textId="77777777" w:rsidR="00C91D75" w:rsidRPr="00B067D4" w:rsidRDefault="00C91D75" w:rsidP="00C91D75">
      <w:pPr>
        <w:rPr>
          <w:rtl/>
        </w:rPr>
      </w:pPr>
    </w:p>
    <w:p w14:paraId="1A40F5B2" w14:textId="77777777" w:rsidR="00C91D75" w:rsidRPr="00B067D4" w:rsidRDefault="00C91D75" w:rsidP="00C91D7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91D75" w:rsidRPr="00B067D4" w14:paraId="3EBB45F5" w14:textId="77777777" w:rsidTr="00C91D75">
        <w:trPr>
          <w:trHeight w:val="295"/>
          <w:jc w:val="center"/>
        </w:trPr>
        <w:tc>
          <w:tcPr>
            <w:tcW w:w="923" w:type="dxa"/>
            <w:tcBorders>
              <w:top w:val="nil"/>
              <w:left w:val="nil"/>
              <w:bottom w:val="nil"/>
              <w:right w:val="nil"/>
            </w:tcBorders>
            <w:shd w:val="clear" w:color="auto" w:fill="auto"/>
          </w:tcPr>
          <w:p w14:paraId="491E645D" w14:textId="77777777" w:rsidR="00C91D75" w:rsidRPr="00B067D4" w:rsidRDefault="00C91D75" w:rsidP="00C91D75">
            <w:pPr>
              <w:jc w:val="both"/>
              <w:rPr>
                <w:rFonts w:ascii="David" w:hAnsi="David"/>
                <w:sz w:val="26"/>
                <w:szCs w:val="26"/>
              </w:rPr>
            </w:pPr>
            <w:r w:rsidRPr="00B067D4">
              <w:rPr>
                <w:rFonts w:ascii="David" w:hAnsi="David" w:hint="cs"/>
                <w:sz w:val="26"/>
                <w:szCs w:val="26"/>
                <w:rtl/>
              </w:rPr>
              <w:t>ל</w:t>
            </w:r>
            <w:r w:rsidRPr="00B067D4">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DFD0E31" w14:textId="77777777" w:rsidR="00C91D75" w:rsidRPr="00B067D4" w:rsidRDefault="00C91D75" w:rsidP="00B90DD0">
            <w:pPr>
              <w:rPr>
                <w:rFonts w:ascii="David" w:hAnsi="David"/>
                <w:b/>
                <w:bCs/>
                <w:sz w:val="26"/>
                <w:szCs w:val="26"/>
                <w:rtl/>
              </w:rPr>
            </w:pPr>
            <w:r w:rsidRPr="00B067D4">
              <w:rPr>
                <w:rFonts w:ascii="David" w:hAnsi="David"/>
                <w:b/>
                <w:bCs/>
                <w:sz w:val="26"/>
                <w:szCs w:val="26"/>
                <w:rtl/>
              </w:rPr>
              <w:t>כבוד השופט  מוחמד חאג' יחיא</w:t>
            </w:r>
          </w:p>
          <w:p w14:paraId="60162F70" w14:textId="77777777" w:rsidR="00C91D75" w:rsidRPr="00B067D4" w:rsidRDefault="00C91D75" w:rsidP="00B90DD0">
            <w:pPr>
              <w:rPr>
                <w:rFonts w:ascii="David" w:hAnsi="David"/>
                <w:sz w:val="26"/>
                <w:szCs w:val="26"/>
                <w:rtl/>
              </w:rPr>
            </w:pPr>
          </w:p>
          <w:p w14:paraId="4E26BA06" w14:textId="77777777" w:rsidR="00C91D75" w:rsidRPr="00B067D4" w:rsidRDefault="00C91D75" w:rsidP="00C91D75">
            <w:pPr>
              <w:jc w:val="both"/>
              <w:rPr>
                <w:rFonts w:ascii="David" w:hAnsi="David"/>
                <w:sz w:val="26"/>
                <w:szCs w:val="26"/>
              </w:rPr>
            </w:pPr>
          </w:p>
        </w:tc>
      </w:tr>
      <w:tr w:rsidR="00C91D75" w:rsidRPr="00B067D4" w14:paraId="6841B232" w14:textId="77777777" w:rsidTr="00C91D75">
        <w:trPr>
          <w:trHeight w:val="355"/>
          <w:jc w:val="center"/>
        </w:trPr>
        <w:tc>
          <w:tcPr>
            <w:tcW w:w="923" w:type="dxa"/>
            <w:tcBorders>
              <w:top w:val="nil"/>
              <w:left w:val="nil"/>
              <w:bottom w:val="nil"/>
              <w:right w:val="nil"/>
            </w:tcBorders>
            <w:shd w:val="clear" w:color="auto" w:fill="auto"/>
          </w:tcPr>
          <w:p w14:paraId="31779050" w14:textId="77777777" w:rsidR="00C91D75" w:rsidRPr="00B067D4" w:rsidRDefault="00C91D75" w:rsidP="00C91D75">
            <w:pPr>
              <w:jc w:val="both"/>
              <w:rPr>
                <w:rFonts w:ascii="David" w:hAnsi="David"/>
              </w:rPr>
            </w:pPr>
            <w:bookmarkStart w:id="1" w:name="FirstAppellant"/>
            <w:r w:rsidRPr="00B067D4">
              <w:rPr>
                <w:rFonts w:ascii="David" w:hAnsi="David"/>
                <w:rtl/>
              </w:rPr>
              <w:t>בעניין:</w:t>
            </w:r>
          </w:p>
        </w:tc>
        <w:tc>
          <w:tcPr>
            <w:tcW w:w="3219" w:type="dxa"/>
            <w:tcBorders>
              <w:top w:val="nil"/>
              <w:left w:val="nil"/>
              <w:bottom w:val="nil"/>
              <w:right w:val="nil"/>
            </w:tcBorders>
            <w:shd w:val="clear" w:color="auto" w:fill="auto"/>
          </w:tcPr>
          <w:p w14:paraId="52E80B67" w14:textId="77777777" w:rsidR="00C91D75" w:rsidRPr="00B067D4" w:rsidRDefault="00C91D75" w:rsidP="00C91D75">
            <w:pPr>
              <w:suppressLineNumbers/>
            </w:pPr>
            <w:r w:rsidRPr="00B067D4">
              <w:rPr>
                <w:rFonts w:ascii="Arial" w:hAnsi="Arial" w:hint="cs"/>
                <w:b/>
                <w:bCs/>
                <w:rtl/>
              </w:rPr>
              <w:t>ה</w:t>
            </w:r>
            <w:r w:rsidRPr="00B067D4">
              <w:rPr>
                <w:rFonts w:ascii="Arial" w:hAnsi="Arial"/>
                <w:b/>
                <w:bCs/>
                <w:rtl/>
              </w:rPr>
              <w:t>מאשימה</w:t>
            </w:r>
          </w:p>
          <w:p w14:paraId="2B0A4D0E" w14:textId="77777777" w:rsidR="00C91D75" w:rsidRPr="00B067D4" w:rsidRDefault="00C91D75" w:rsidP="00B90DD0">
            <w:pPr>
              <w:rPr>
                <w:rFonts w:ascii="David" w:hAnsi="David"/>
              </w:rPr>
            </w:pPr>
          </w:p>
        </w:tc>
        <w:tc>
          <w:tcPr>
            <w:tcW w:w="4678" w:type="dxa"/>
            <w:tcBorders>
              <w:top w:val="nil"/>
              <w:left w:val="nil"/>
              <w:bottom w:val="nil"/>
              <w:right w:val="nil"/>
            </w:tcBorders>
            <w:shd w:val="clear" w:color="auto" w:fill="auto"/>
            <w:vAlign w:val="center"/>
          </w:tcPr>
          <w:p w14:paraId="453AD55F" w14:textId="77777777" w:rsidR="00C91D75" w:rsidRPr="00B067D4" w:rsidRDefault="00C91D75" w:rsidP="00C91D75">
            <w:pPr>
              <w:suppressLineNumbers/>
              <w:rPr>
                <w:rFonts w:ascii="Arial" w:hAnsi="Arial"/>
                <w:b/>
                <w:bCs/>
                <w:rtl/>
              </w:rPr>
            </w:pPr>
            <w:r w:rsidRPr="00B067D4">
              <w:rPr>
                <w:rFonts w:ascii="Arial" w:hAnsi="Arial"/>
                <w:b/>
                <w:bCs/>
                <w:rtl/>
              </w:rPr>
              <w:t>מדינת ישראל</w:t>
            </w:r>
            <w:r w:rsidRPr="00B067D4">
              <w:rPr>
                <w:rFonts w:ascii="Arial" w:hAnsi="Arial" w:hint="cs"/>
                <w:b/>
                <w:bCs/>
                <w:rtl/>
              </w:rPr>
              <w:t xml:space="preserve"> </w:t>
            </w:r>
          </w:p>
          <w:p w14:paraId="7D187BB1" w14:textId="77777777" w:rsidR="00C91D75" w:rsidRPr="00B067D4" w:rsidRDefault="00C91D75" w:rsidP="00C91D75">
            <w:pPr>
              <w:suppressLineNumbers/>
            </w:pPr>
            <w:r w:rsidRPr="00B067D4">
              <w:rPr>
                <w:rFonts w:ascii="Arial" w:hAnsi="Arial"/>
                <w:rtl/>
              </w:rPr>
              <w:t xml:space="preserve">ע"י </w:t>
            </w:r>
            <w:r w:rsidRPr="00B067D4">
              <w:rPr>
                <w:rFonts w:ascii="Arial" w:hAnsi="Arial" w:hint="cs"/>
                <w:rtl/>
              </w:rPr>
              <w:t xml:space="preserve">משטרת ישראל </w:t>
            </w:r>
            <w:r w:rsidRPr="00B067D4">
              <w:rPr>
                <w:rFonts w:ascii="Arial" w:hAnsi="Arial"/>
                <w:rtl/>
              </w:rPr>
              <w:t>–</w:t>
            </w:r>
            <w:r w:rsidRPr="00B067D4">
              <w:rPr>
                <w:rFonts w:ascii="Arial" w:hAnsi="Arial" w:hint="cs"/>
                <w:rtl/>
              </w:rPr>
              <w:t xml:space="preserve"> יחידת התביעות במחוז י-ם</w:t>
            </w:r>
          </w:p>
          <w:p w14:paraId="2F4E41DE" w14:textId="77777777" w:rsidR="00C91D75" w:rsidRPr="00B067D4" w:rsidRDefault="00C91D75" w:rsidP="00B90DD0">
            <w:pPr>
              <w:rPr>
                <w:rFonts w:ascii="David" w:hAnsi="David"/>
              </w:rPr>
            </w:pPr>
          </w:p>
        </w:tc>
      </w:tr>
      <w:bookmarkEnd w:id="1"/>
      <w:tr w:rsidR="00C91D75" w:rsidRPr="00B067D4" w14:paraId="4253EB54" w14:textId="77777777" w:rsidTr="00C91D75">
        <w:trPr>
          <w:trHeight w:val="355"/>
          <w:jc w:val="center"/>
        </w:trPr>
        <w:tc>
          <w:tcPr>
            <w:tcW w:w="923" w:type="dxa"/>
            <w:tcBorders>
              <w:top w:val="nil"/>
              <w:left w:val="nil"/>
              <w:bottom w:val="nil"/>
              <w:right w:val="nil"/>
            </w:tcBorders>
            <w:shd w:val="clear" w:color="auto" w:fill="auto"/>
          </w:tcPr>
          <w:p w14:paraId="3B5E0C1E" w14:textId="77777777" w:rsidR="00C91D75" w:rsidRPr="00B067D4" w:rsidRDefault="00C91D75" w:rsidP="00C91D75">
            <w:pPr>
              <w:jc w:val="both"/>
              <w:rPr>
                <w:rFonts w:ascii="David" w:hAnsi="David"/>
                <w:rtl/>
              </w:rPr>
            </w:pPr>
          </w:p>
        </w:tc>
        <w:tc>
          <w:tcPr>
            <w:tcW w:w="7897" w:type="dxa"/>
            <w:gridSpan w:val="2"/>
            <w:tcBorders>
              <w:top w:val="nil"/>
              <w:left w:val="nil"/>
              <w:bottom w:val="nil"/>
              <w:right w:val="nil"/>
            </w:tcBorders>
            <w:shd w:val="clear" w:color="auto" w:fill="auto"/>
          </w:tcPr>
          <w:p w14:paraId="2203C094" w14:textId="77777777" w:rsidR="00C91D75" w:rsidRPr="00B067D4" w:rsidRDefault="00C91D75" w:rsidP="00C91D75">
            <w:pPr>
              <w:jc w:val="center"/>
              <w:rPr>
                <w:rFonts w:ascii="David" w:hAnsi="David"/>
                <w:b/>
                <w:bCs/>
                <w:rtl/>
              </w:rPr>
            </w:pPr>
          </w:p>
          <w:p w14:paraId="04FFB3E7" w14:textId="77777777" w:rsidR="00C91D75" w:rsidRPr="00B067D4" w:rsidRDefault="00C91D75" w:rsidP="00C91D75">
            <w:pPr>
              <w:jc w:val="center"/>
              <w:rPr>
                <w:rFonts w:ascii="David" w:hAnsi="David"/>
                <w:b/>
                <w:bCs/>
                <w:rtl/>
              </w:rPr>
            </w:pPr>
            <w:r w:rsidRPr="00B067D4">
              <w:rPr>
                <w:rFonts w:ascii="David" w:hAnsi="David"/>
                <w:b/>
                <w:bCs/>
                <w:rtl/>
              </w:rPr>
              <w:t>נגד</w:t>
            </w:r>
          </w:p>
          <w:p w14:paraId="60A558FE" w14:textId="77777777" w:rsidR="00C91D75" w:rsidRPr="00B067D4" w:rsidRDefault="00C91D75" w:rsidP="00C91D75">
            <w:pPr>
              <w:jc w:val="both"/>
              <w:rPr>
                <w:rFonts w:ascii="David" w:hAnsi="David"/>
              </w:rPr>
            </w:pPr>
          </w:p>
        </w:tc>
      </w:tr>
      <w:tr w:rsidR="00C91D75" w:rsidRPr="00B067D4" w14:paraId="05CABFD2" w14:textId="77777777" w:rsidTr="00C91D75">
        <w:trPr>
          <w:trHeight w:val="355"/>
          <w:jc w:val="center"/>
        </w:trPr>
        <w:tc>
          <w:tcPr>
            <w:tcW w:w="923" w:type="dxa"/>
            <w:tcBorders>
              <w:top w:val="nil"/>
              <w:left w:val="nil"/>
              <w:bottom w:val="nil"/>
              <w:right w:val="nil"/>
            </w:tcBorders>
            <w:shd w:val="clear" w:color="auto" w:fill="auto"/>
          </w:tcPr>
          <w:p w14:paraId="2877D44D" w14:textId="77777777" w:rsidR="00C91D75" w:rsidRPr="00B067D4" w:rsidRDefault="00C91D75" w:rsidP="00B90DD0">
            <w:pPr>
              <w:rPr>
                <w:rFonts w:ascii="David" w:hAnsi="David"/>
                <w:rtl/>
              </w:rPr>
            </w:pPr>
            <w:bookmarkStart w:id="2" w:name="FirstLawyer"/>
          </w:p>
        </w:tc>
        <w:tc>
          <w:tcPr>
            <w:tcW w:w="3219" w:type="dxa"/>
            <w:tcBorders>
              <w:top w:val="nil"/>
              <w:left w:val="nil"/>
              <w:bottom w:val="nil"/>
              <w:right w:val="nil"/>
            </w:tcBorders>
            <w:shd w:val="clear" w:color="auto" w:fill="auto"/>
          </w:tcPr>
          <w:p w14:paraId="18185F33" w14:textId="77777777" w:rsidR="00C91D75" w:rsidRPr="00B067D4" w:rsidRDefault="00C91D75" w:rsidP="00B90DD0">
            <w:pPr>
              <w:rPr>
                <w:rFonts w:ascii="Arial" w:hAnsi="Arial"/>
                <w:b/>
                <w:bCs/>
                <w:rtl/>
              </w:rPr>
            </w:pPr>
            <w:r w:rsidRPr="00B067D4">
              <w:rPr>
                <w:rFonts w:ascii="Arial" w:hAnsi="Arial"/>
                <w:b/>
                <w:bCs/>
                <w:rtl/>
              </w:rPr>
              <w:t>הנאש</w:t>
            </w:r>
            <w:r w:rsidRPr="00B067D4">
              <w:rPr>
                <w:rFonts w:ascii="Arial" w:hAnsi="Arial" w:hint="cs"/>
                <w:b/>
                <w:bCs/>
                <w:rtl/>
              </w:rPr>
              <w:t>ם</w:t>
            </w:r>
          </w:p>
        </w:tc>
        <w:tc>
          <w:tcPr>
            <w:tcW w:w="4678" w:type="dxa"/>
            <w:tcBorders>
              <w:top w:val="nil"/>
              <w:left w:val="nil"/>
              <w:bottom w:val="nil"/>
              <w:right w:val="nil"/>
            </w:tcBorders>
            <w:shd w:val="clear" w:color="auto" w:fill="auto"/>
            <w:vAlign w:val="center"/>
          </w:tcPr>
          <w:p w14:paraId="7A08D71B" w14:textId="77777777" w:rsidR="00C91D75" w:rsidRPr="00B067D4" w:rsidRDefault="00C91D75" w:rsidP="00C91D75">
            <w:pPr>
              <w:suppressLineNumbers/>
              <w:rPr>
                <w:rFonts w:ascii="Arial" w:hAnsi="Arial"/>
                <w:b/>
                <w:bCs/>
                <w:rtl/>
              </w:rPr>
            </w:pPr>
            <w:r w:rsidRPr="00B067D4">
              <w:rPr>
                <w:rFonts w:ascii="Arial" w:hAnsi="Arial"/>
                <w:b/>
                <w:bCs/>
                <w:rtl/>
              </w:rPr>
              <w:t>בכור נתנילוב</w:t>
            </w:r>
            <w:r w:rsidRPr="00B067D4">
              <w:rPr>
                <w:rFonts w:ascii="Arial" w:hAnsi="Arial" w:hint="cs"/>
                <w:b/>
                <w:bCs/>
                <w:rtl/>
              </w:rPr>
              <w:t xml:space="preserve"> </w:t>
            </w:r>
          </w:p>
          <w:p w14:paraId="40310DC3" w14:textId="77777777" w:rsidR="00C91D75" w:rsidRPr="00B067D4" w:rsidRDefault="00C91D75" w:rsidP="00C91D75">
            <w:pPr>
              <w:suppressLineNumbers/>
            </w:pPr>
            <w:r w:rsidRPr="00B067D4">
              <w:rPr>
                <w:rFonts w:ascii="Arial" w:hAnsi="Arial"/>
                <w:rtl/>
              </w:rPr>
              <w:t>ע"י ב"כ עו"ד</w:t>
            </w:r>
            <w:r w:rsidRPr="00B067D4">
              <w:rPr>
                <w:rFonts w:ascii="Arial" w:hAnsi="Arial" w:hint="cs"/>
                <w:rtl/>
              </w:rPr>
              <w:t xml:space="preserve"> נתי טרבלסי</w:t>
            </w:r>
          </w:p>
          <w:p w14:paraId="34E9BB7F" w14:textId="77777777" w:rsidR="00C91D75" w:rsidRPr="00B067D4" w:rsidRDefault="00C91D75" w:rsidP="00B90DD0">
            <w:pPr>
              <w:rPr>
                <w:rFonts w:ascii="David" w:hAnsi="David"/>
              </w:rPr>
            </w:pPr>
          </w:p>
        </w:tc>
      </w:tr>
      <w:bookmarkEnd w:id="2"/>
    </w:tbl>
    <w:p w14:paraId="4E2D961B" w14:textId="77777777" w:rsidR="00B067D4" w:rsidRPr="00B067D4" w:rsidRDefault="00B067D4" w:rsidP="00B067D4">
      <w:pPr>
        <w:spacing w:before="120" w:after="120" w:line="240" w:lineRule="exact"/>
        <w:ind w:left="283" w:hanging="283"/>
        <w:jc w:val="both"/>
        <w:rPr>
          <w:rFonts w:ascii="FrankRuehl" w:hAnsi="FrankRuehl" w:cs="FrankRuehl"/>
          <w:rtl/>
        </w:rPr>
      </w:pPr>
    </w:p>
    <w:p w14:paraId="45E47A33" w14:textId="77777777" w:rsidR="00911506" w:rsidRPr="00911506" w:rsidRDefault="00911506" w:rsidP="00911506">
      <w:pPr>
        <w:spacing w:before="120" w:after="120" w:line="240" w:lineRule="exact"/>
        <w:ind w:left="283" w:hanging="283"/>
        <w:jc w:val="both"/>
        <w:rPr>
          <w:rFonts w:ascii="FrankRuehl" w:hAnsi="FrankRuehl" w:cs="FrankRuehl"/>
          <w:rtl/>
        </w:rPr>
      </w:pPr>
    </w:p>
    <w:p w14:paraId="6930E20C" w14:textId="77777777" w:rsidR="000B074E" w:rsidRDefault="000B074E" w:rsidP="000B074E">
      <w:pPr>
        <w:rPr>
          <w:sz w:val="26"/>
          <w:szCs w:val="26"/>
          <w:rtl/>
        </w:rPr>
      </w:pPr>
      <w:bookmarkStart w:id="3" w:name="LawTable"/>
      <w:bookmarkEnd w:id="3"/>
    </w:p>
    <w:p w14:paraId="135CD94D" w14:textId="77777777" w:rsidR="000B074E" w:rsidRPr="000B074E" w:rsidRDefault="000B074E" w:rsidP="000B074E">
      <w:pPr>
        <w:spacing w:before="120" w:after="120" w:line="240" w:lineRule="exact"/>
        <w:ind w:left="283" w:hanging="283"/>
        <w:jc w:val="both"/>
        <w:rPr>
          <w:rFonts w:ascii="FrankRuehl" w:hAnsi="FrankRuehl" w:cs="FrankRuehl"/>
          <w:rtl/>
        </w:rPr>
      </w:pPr>
    </w:p>
    <w:p w14:paraId="6C092ADF" w14:textId="77777777" w:rsidR="000B074E" w:rsidRPr="000B074E" w:rsidRDefault="000B074E" w:rsidP="000B074E">
      <w:pPr>
        <w:spacing w:before="120" w:after="120" w:line="240" w:lineRule="exact"/>
        <w:ind w:left="283" w:hanging="283"/>
        <w:jc w:val="both"/>
        <w:rPr>
          <w:rFonts w:ascii="FrankRuehl" w:hAnsi="FrankRuehl" w:cs="FrankRuehl"/>
          <w:rtl/>
        </w:rPr>
      </w:pPr>
    </w:p>
    <w:p w14:paraId="36BEAD4A" w14:textId="77777777" w:rsidR="000B074E" w:rsidRPr="000B074E" w:rsidRDefault="000B074E" w:rsidP="000B074E">
      <w:pPr>
        <w:spacing w:before="120" w:after="120" w:line="240" w:lineRule="exact"/>
        <w:ind w:left="283" w:hanging="283"/>
        <w:jc w:val="both"/>
        <w:rPr>
          <w:rFonts w:ascii="FrankRuehl" w:hAnsi="FrankRuehl" w:cs="FrankRuehl"/>
          <w:rtl/>
        </w:rPr>
      </w:pPr>
      <w:r w:rsidRPr="000B074E">
        <w:rPr>
          <w:rFonts w:ascii="FrankRuehl" w:hAnsi="FrankRuehl" w:cs="FrankRuehl"/>
          <w:rtl/>
        </w:rPr>
        <w:t xml:space="preserve">חקיקה שאוזכרה: </w:t>
      </w:r>
    </w:p>
    <w:p w14:paraId="4C0AC886" w14:textId="77777777" w:rsidR="000B074E" w:rsidRPr="000B074E" w:rsidRDefault="000B074E" w:rsidP="000B074E">
      <w:pPr>
        <w:spacing w:before="120" w:after="120" w:line="240" w:lineRule="exact"/>
        <w:ind w:left="283" w:hanging="283"/>
        <w:jc w:val="both"/>
        <w:rPr>
          <w:rFonts w:ascii="FrankRuehl" w:hAnsi="FrankRuehl" w:cs="FrankRuehl"/>
          <w:rtl/>
        </w:rPr>
      </w:pPr>
      <w:hyperlink r:id="rId7" w:history="1">
        <w:r w:rsidRPr="000B074E">
          <w:rPr>
            <w:rFonts w:ascii="FrankRuehl" w:hAnsi="FrankRuehl" w:cs="FrankRuehl"/>
            <w:color w:val="0000FF"/>
            <w:rtl/>
          </w:rPr>
          <w:t>פקודת הסמים המסוכנים [נוסח חדש], תשל"ג-1973</w:t>
        </w:r>
      </w:hyperlink>
      <w:r w:rsidRPr="000B074E">
        <w:rPr>
          <w:rFonts w:ascii="FrankRuehl" w:hAnsi="FrankRuehl" w:cs="FrankRuehl"/>
          <w:rtl/>
        </w:rPr>
        <w:t xml:space="preserve">: סע'  </w:t>
      </w:r>
      <w:hyperlink r:id="rId8" w:history="1">
        <w:r w:rsidRPr="000B074E">
          <w:rPr>
            <w:rFonts w:ascii="FrankRuehl" w:hAnsi="FrankRuehl" w:cs="FrankRuehl"/>
            <w:color w:val="0000FF"/>
            <w:rtl/>
          </w:rPr>
          <w:t>7(א)</w:t>
        </w:r>
      </w:hyperlink>
      <w:r w:rsidRPr="000B074E">
        <w:rPr>
          <w:rFonts w:ascii="FrankRuehl" w:hAnsi="FrankRuehl" w:cs="FrankRuehl"/>
          <w:rtl/>
        </w:rPr>
        <w:t xml:space="preserve">, </w:t>
      </w:r>
      <w:hyperlink r:id="rId9" w:history="1">
        <w:r w:rsidRPr="000B074E">
          <w:rPr>
            <w:rFonts w:ascii="FrankRuehl" w:hAnsi="FrankRuehl" w:cs="FrankRuehl"/>
            <w:color w:val="0000FF"/>
            <w:rtl/>
          </w:rPr>
          <w:t>7(ג)</w:t>
        </w:r>
      </w:hyperlink>
    </w:p>
    <w:p w14:paraId="54BB91F2" w14:textId="77777777" w:rsidR="000B074E" w:rsidRPr="000B074E" w:rsidRDefault="000B074E" w:rsidP="000B074E">
      <w:pPr>
        <w:spacing w:before="120" w:after="120" w:line="240" w:lineRule="exact"/>
        <w:ind w:left="283" w:hanging="283"/>
        <w:jc w:val="both"/>
        <w:rPr>
          <w:rFonts w:ascii="FrankRuehl" w:hAnsi="FrankRuehl" w:cs="FrankRuehl"/>
          <w:rtl/>
        </w:rPr>
      </w:pPr>
      <w:hyperlink r:id="rId10" w:history="1">
        <w:r w:rsidRPr="000B074E">
          <w:rPr>
            <w:rFonts w:ascii="FrankRuehl" w:hAnsi="FrankRuehl" w:cs="FrankRuehl"/>
            <w:color w:val="0000FF"/>
            <w:rtl/>
          </w:rPr>
          <w:t>חוק העונשין, תשל"ז-1977</w:t>
        </w:r>
      </w:hyperlink>
      <w:r w:rsidRPr="000B074E">
        <w:rPr>
          <w:rFonts w:ascii="FrankRuehl" w:hAnsi="FrankRuehl" w:cs="FrankRuehl"/>
          <w:rtl/>
        </w:rPr>
        <w:t xml:space="preserve">: סע'  </w:t>
      </w:r>
      <w:hyperlink r:id="rId11" w:history="1">
        <w:r w:rsidRPr="000B074E">
          <w:rPr>
            <w:rFonts w:ascii="FrankRuehl" w:hAnsi="FrankRuehl" w:cs="FrankRuehl"/>
            <w:color w:val="0000FF"/>
            <w:rtl/>
          </w:rPr>
          <w:t>40ב</w:t>
        </w:r>
      </w:hyperlink>
      <w:r w:rsidRPr="000B074E">
        <w:rPr>
          <w:rFonts w:ascii="FrankRuehl" w:hAnsi="FrankRuehl" w:cs="FrankRuehl"/>
          <w:rtl/>
        </w:rPr>
        <w:t xml:space="preserve">, </w:t>
      </w:r>
      <w:hyperlink r:id="rId12" w:history="1">
        <w:r w:rsidRPr="000B074E">
          <w:rPr>
            <w:rFonts w:ascii="FrankRuehl" w:hAnsi="FrankRuehl" w:cs="FrankRuehl"/>
            <w:color w:val="0000FF"/>
            <w:rtl/>
          </w:rPr>
          <w:t>40ג(א)</w:t>
        </w:r>
      </w:hyperlink>
    </w:p>
    <w:p w14:paraId="3ADAE5E1" w14:textId="77777777" w:rsidR="000B074E" w:rsidRPr="000B074E" w:rsidRDefault="000B074E" w:rsidP="000B074E">
      <w:pPr>
        <w:rPr>
          <w:sz w:val="26"/>
          <w:szCs w:val="26"/>
          <w:rtl/>
        </w:rPr>
      </w:pPr>
      <w:bookmarkStart w:id="4" w:name="LawTable_End"/>
      <w:bookmarkEnd w:id="4"/>
    </w:p>
    <w:p w14:paraId="7AB1B0F7" w14:textId="77777777" w:rsidR="00C91D75" w:rsidRPr="00911506" w:rsidRDefault="00C91D75" w:rsidP="0091150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91D75" w14:paraId="649AE8B6" w14:textId="77777777" w:rsidTr="00C91D75">
        <w:trPr>
          <w:trHeight w:val="355"/>
          <w:jc w:val="center"/>
        </w:trPr>
        <w:tc>
          <w:tcPr>
            <w:tcW w:w="8820" w:type="dxa"/>
            <w:tcBorders>
              <w:top w:val="nil"/>
              <w:left w:val="nil"/>
              <w:bottom w:val="nil"/>
              <w:right w:val="nil"/>
            </w:tcBorders>
            <w:shd w:val="clear" w:color="auto" w:fill="auto"/>
          </w:tcPr>
          <w:p w14:paraId="0DDEF7D5" w14:textId="77777777" w:rsidR="00B067D4" w:rsidRPr="00B067D4" w:rsidRDefault="00B067D4" w:rsidP="00B067D4">
            <w:pPr>
              <w:jc w:val="center"/>
              <w:rPr>
                <w:rFonts w:ascii="David" w:hAnsi="David"/>
                <w:b/>
                <w:bCs/>
                <w:sz w:val="32"/>
                <w:szCs w:val="32"/>
                <w:u w:val="single"/>
                <w:rtl/>
              </w:rPr>
            </w:pPr>
            <w:bookmarkStart w:id="5" w:name="PsakDin" w:colFirst="0" w:colLast="0"/>
            <w:bookmarkEnd w:id="0"/>
            <w:r w:rsidRPr="00B067D4">
              <w:rPr>
                <w:rFonts w:ascii="David" w:hAnsi="David"/>
                <w:b/>
                <w:bCs/>
                <w:sz w:val="32"/>
                <w:szCs w:val="32"/>
                <w:u w:val="single"/>
                <w:rtl/>
              </w:rPr>
              <w:t>גזר דין</w:t>
            </w:r>
          </w:p>
          <w:p w14:paraId="3DD662D9" w14:textId="77777777" w:rsidR="00C91D75" w:rsidRPr="00B067D4" w:rsidRDefault="00C91D75" w:rsidP="00B067D4">
            <w:pPr>
              <w:jc w:val="center"/>
              <w:rPr>
                <w:rFonts w:ascii="David" w:hAnsi="David"/>
                <w:bCs/>
                <w:sz w:val="32"/>
                <w:szCs w:val="32"/>
                <w:u w:val="single"/>
                <w:rtl/>
              </w:rPr>
            </w:pPr>
          </w:p>
        </w:tc>
      </w:tr>
      <w:bookmarkEnd w:id="5"/>
    </w:tbl>
    <w:p w14:paraId="25DE6BB4" w14:textId="77777777" w:rsidR="00C91D75" w:rsidRPr="000F2247" w:rsidRDefault="00C91D75" w:rsidP="00C91D75">
      <w:pPr>
        <w:rPr>
          <w:rFonts w:ascii="Arial" w:hAnsi="Arial"/>
          <w:b/>
          <w:bCs/>
          <w:sz w:val="26"/>
          <w:szCs w:val="26"/>
          <w:rtl/>
        </w:rPr>
      </w:pPr>
    </w:p>
    <w:p w14:paraId="60D6AD35" w14:textId="77777777" w:rsidR="00C91D75" w:rsidRDefault="00C91D75" w:rsidP="00C91D75">
      <w:pPr>
        <w:pStyle w:val="a9"/>
        <w:numPr>
          <w:ilvl w:val="0"/>
          <w:numId w:val="1"/>
        </w:numPr>
        <w:spacing w:after="0" w:line="360" w:lineRule="auto"/>
        <w:ind w:hanging="636"/>
        <w:jc w:val="both"/>
        <w:rPr>
          <w:rFonts w:ascii="FrankRuehl" w:hAnsi="FrankRuehl" w:cs="FrankRuehl"/>
          <w:sz w:val="28"/>
          <w:szCs w:val="28"/>
        </w:rPr>
      </w:pPr>
      <w:bookmarkStart w:id="6" w:name="ABSTRACT_START"/>
      <w:bookmarkEnd w:id="6"/>
      <w:r>
        <w:rPr>
          <w:rFonts w:ascii="FrankRuehl" w:hAnsi="FrankRuehl" w:cs="FrankRuehl"/>
          <w:sz w:val="28"/>
          <w:szCs w:val="28"/>
          <w:rtl/>
        </w:rPr>
        <w:t xml:space="preserve">הנאשם הורשע ביום 2.3.2023, לאחר שמיעת עדויות, בהחזקת ושימוש בסמים שלא לצריכה עצמית, עבירה לפי </w:t>
      </w:r>
      <w:hyperlink r:id="rId13" w:history="1">
        <w:r w:rsidR="00EF6EDB" w:rsidRPr="00EF6EDB">
          <w:rPr>
            <w:rStyle w:val="Hyperlink"/>
            <w:rFonts w:ascii="FrankRuehl" w:hAnsi="FrankRuehl" w:cs="FrankRuehl"/>
            <w:sz w:val="28"/>
            <w:szCs w:val="28"/>
            <w:rtl/>
          </w:rPr>
          <w:t>סעיפים 7(א)</w:t>
        </w:r>
      </w:hyperlink>
      <w:r>
        <w:rPr>
          <w:rFonts w:ascii="FrankRuehl" w:hAnsi="FrankRuehl" w:cs="FrankRuehl"/>
          <w:sz w:val="28"/>
          <w:szCs w:val="28"/>
          <w:rtl/>
        </w:rPr>
        <w:t xml:space="preserve"> ו-</w:t>
      </w:r>
      <w:hyperlink r:id="rId14" w:history="1">
        <w:r w:rsidR="00EF6EDB" w:rsidRPr="00EF6EDB">
          <w:rPr>
            <w:rStyle w:val="Hyperlink"/>
            <w:rFonts w:ascii="FrankRuehl" w:hAnsi="FrankRuehl" w:cs="FrankRuehl"/>
            <w:sz w:val="28"/>
            <w:szCs w:val="28"/>
            <w:rtl/>
          </w:rPr>
          <w:t>7(ג)</w:t>
        </w:r>
      </w:hyperlink>
      <w:r>
        <w:rPr>
          <w:rFonts w:ascii="FrankRuehl" w:hAnsi="FrankRuehl" w:cs="FrankRuehl"/>
          <w:sz w:val="28"/>
          <w:szCs w:val="28"/>
          <w:rtl/>
        </w:rPr>
        <w:t xml:space="preserve"> רישא </w:t>
      </w:r>
      <w:r>
        <w:rPr>
          <w:rFonts w:ascii="Miriam" w:hAnsi="Miriam" w:cs="Miriam"/>
          <w:sz w:val="24"/>
          <w:szCs w:val="24"/>
          <w:rtl/>
        </w:rPr>
        <w:t>ב</w:t>
      </w:r>
      <w:hyperlink r:id="rId15" w:history="1">
        <w:r w:rsidR="00B067D4" w:rsidRPr="00B067D4">
          <w:rPr>
            <w:rFonts w:ascii="Miriam" w:hAnsi="Miriam" w:cs="Miriam"/>
            <w:color w:val="0000FF"/>
            <w:sz w:val="24"/>
            <w:szCs w:val="24"/>
            <w:u w:val="single"/>
            <w:rtl/>
          </w:rPr>
          <w:t>פקודת הסמים המסוכנים</w:t>
        </w:r>
      </w:hyperlink>
      <w:r>
        <w:rPr>
          <w:rFonts w:ascii="Miriam" w:hAnsi="Miriam" w:cs="Miriam"/>
          <w:sz w:val="24"/>
          <w:szCs w:val="24"/>
          <w:rtl/>
        </w:rPr>
        <w:t xml:space="preserve"> [נוסח חדש], התשל"ג-1973</w:t>
      </w:r>
      <w:r>
        <w:rPr>
          <w:rFonts w:ascii="FrankRuehl" w:hAnsi="FrankRuehl" w:cs="FrankRuehl"/>
          <w:sz w:val="28"/>
          <w:szCs w:val="28"/>
          <w:rtl/>
        </w:rPr>
        <w:t xml:space="preserve"> </w:t>
      </w:r>
      <w:bookmarkStart w:id="7" w:name="ABSTRACT_END"/>
      <w:bookmarkEnd w:id="7"/>
      <w:r>
        <w:rPr>
          <w:rFonts w:ascii="FrankRuehl" w:hAnsi="FrankRuehl" w:cs="FrankRuehl"/>
          <w:sz w:val="28"/>
          <w:szCs w:val="28"/>
          <w:rtl/>
        </w:rPr>
        <w:t>(להלן: "</w:t>
      </w:r>
      <w:r>
        <w:rPr>
          <w:rFonts w:ascii="Miriam" w:hAnsi="Miriam" w:cs="Miriam"/>
          <w:sz w:val="24"/>
          <w:szCs w:val="24"/>
          <w:rtl/>
        </w:rPr>
        <w:t>פקודת הסמים</w:t>
      </w:r>
      <w:r>
        <w:rPr>
          <w:rFonts w:ascii="FrankRuehl" w:hAnsi="FrankRuehl" w:cs="FrankRuehl"/>
          <w:sz w:val="28"/>
          <w:szCs w:val="28"/>
          <w:rtl/>
        </w:rPr>
        <w:t>").</w:t>
      </w:r>
    </w:p>
    <w:p w14:paraId="26BFBBC6" w14:textId="77777777" w:rsidR="00C91D75" w:rsidRDefault="00C91D75" w:rsidP="00C91D75">
      <w:pPr>
        <w:pStyle w:val="a9"/>
        <w:spacing w:after="0" w:line="360" w:lineRule="auto"/>
        <w:jc w:val="both"/>
        <w:rPr>
          <w:rFonts w:ascii="FrankRuehl" w:hAnsi="FrankRuehl" w:cs="FrankRuehl"/>
          <w:sz w:val="28"/>
          <w:szCs w:val="28"/>
        </w:rPr>
      </w:pPr>
    </w:p>
    <w:p w14:paraId="24935587" w14:textId="77777777" w:rsidR="00C91D75" w:rsidRDefault="00C91D75" w:rsidP="00C91D75">
      <w:pPr>
        <w:pStyle w:val="a9"/>
        <w:numPr>
          <w:ilvl w:val="0"/>
          <w:numId w:val="1"/>
        </w:numPr>
        <w:spacing w:after="0" w:line="360" w:lineRule="auto"/>
        <w:ind w:hanging="636"/>
        <w:jc w:val="both"/>
        <w:rPr>
          <w:rFonts w:ascii="FrankRuehl" w:hAnsi="FrankRuehl" w:cs="FrankRuehl"/>
          <w:sz w:val="28"/>
          <w:szCs w:val="28"/>
        </w:rPr>
      </w:pPr>
      <w:bookmarkStart w:id="8" w:name="_Hlk164190673"/>
      <w:r>
        <w:rPr>
          <w:rFonts w:ascii="FrankRuehl" w:hAnsi="FrankRuehl" w:cs="FrankRuehl"/>
          <w:sz w:val="28"/>
          <w:szCs w:val="28"/>
          <w:rtl/>
        </w:rPr>
        <w:t>לפי האישום וכפי שהוכח במשפט, ביום 18.4.2019, בירושלים, החזיק הנאשם ברכב שכור, סם מסוכן מסוג קנבוס במשקל כולל של 152.54 גרמים נטו (להלן: "</w:t>
      </w:r>
      <w:r>
        <w:rPr>
          <w:rFonts w:ascii="Miriam" w:hAnsi="Miriam" w:cs="Miriam"/>
          <w:sz w:val="24"/>
          <w:szCs w:val="24"/>
          <w:rtl/>
        </w:rPr>
        <w:t>הסמים</w:t>
      </w:r>
      <w:r>
        <w:rPr>
          <w:rFonts w:ascii="FrankRuehl" w:hAnsi="FrankRuehl" w:cs="FrankRuehl"/>
          <w:sz w:val="28"/>
          <w:szCs w:val="28"/>
          <w:rtl/>
        </w:rPr>
        <w:t xml:space="preserve">"). הוא הטמין אותם במספר מקומות ברכב, בין היתר, בדופן דלת הנהג ועל רצפת המושב </w:t>
      </w:r>
      <w:r>
        <w:rPr>
          <w:rFonts w:ascii="FrankRuehl" w:hAnsi="FrankRuehl" w:cs="FrankRuehl"/>
          <w:sz w:val="28"/>
          <w:szCs w:val="28"/>
          <w:rtl/>
        </w:rPr>
        <w:lastRenderedPageBreak/>
        <w:t>הקדמי שלצדו, מתחת למעיל שחור. הסמים היו מחולקים בתוך שקיות גדולות ובתוכן הם מחולקים לכ-20 שקיות קטנות.</w:t>
      </w:r>
      <w:bookmarkEnd w:id="8"/>
    </w:p>
    <w:p w14:paraId="4344D12B" w14:textId="77777777" w:rsidR="00C91D75" w:rsidRDefault="00C91D75" w:rsidP="00C91D75">
      <w:pPr>
        <w:pStyle w:val="a9"/>
        <w:spacing w:after="0" w:line="360" w:lineRule="auto"/>
        <w:rPr>
          <w:rFonts w:ascii="FrankRuehl" w:hAnsi="FrankRuehl" w:cs="FrankRuehl"/>
          <w:sz w:val="20"/>
          <w:szCs w:val="20"/>
        </w:rPr>
      </w:pPr>
    </w:p>
    <w:p w14:paraId="42193025" w14:textId="77777777" w:rsidR="00C91D75" w:rsidRDefault="00C91D75" w:rsidP="00C91D75">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לבקשת ההגנה ובהסכמת המאשימה, הוזמן תסקיר של שירות המבחן, שהוגש ביום 30.8.2023.</w:t>
      </w:r>
    </w:p>
    <w:p w14:paraId="5B58C6E5" w14:textId="77777777" w:rsidR="00C91D75" w:rsidRDefault="00C91D75" w:rsidP="00C91D75">
      <w:pPr>
        <w:pStyle w:val="a9"/>
        <w:spacing w:after="0" w:line="360" w:lineRule="auto"/>
        <w:rPr>
          <w:rFonts w:ascii="FrankRuehl" w:hAnsi="FrankRuehl" w:cs="FrankRuehl"/>
          <w:sz w:val="20"/>
          <w:szCs w:val="20"/>
        </w:rPr>
      </w:pPr>
    </w:p>
    <w:p w14:paraId="77D315A8" w14:textId="77777777" w:rsidR="00C91D75" w:rsidRDefault="00C91D75" w:rsidP="00C91D75">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דיון טיעונים לעונש התקיים רק ביום 2.1.2024, בין היתר ובעיקר עקב חילופי ייצוג של הנאשם. בתום הדיון הוריתי על הזמנת חוות דעת של הממונה, אשר הוגשה ביום 19.3.2024. היום נשמעה השלמה קצרה לטיעונים לעונש, ובעיקר – עתירת הנאשם להימנע מפסילת רישיון נהיגה והקושי הגלום בעבודות שירות, מבחינת הפגיעה בפרנסתו.</w:t>
      </w:r>
    </w:p>
    <w:p w14:paraId="77F2BF65" w14:textId="77777777" w:rsidR="00C91D75" w:rsidRDefault="00C91D75" w:rsidP="00C91D75">
      <w:pPr>
        <w:spacing w:line="360" w:lineRule="auto"/>
        <w:rPr>
          <w:rFonts w:ascii="FrankRuehl" w:hAnsi="FrankRuehl" w:cs="FrankRuehl"/>
          <w:sz w:val="20"/>
          <w:szCs w:val="20"/>
          <w:u w:val="single"/>
        </w:rPr>
      </w:pPr>
    </w:p>
    <w:p w14:paraId="36A57F27" w14:textId="77777777" w:rsidR="00C91D75" w:rsidRDefault="00C91D75" w:rsidP="00C91D75">
      <w:pPr>
        <w:spacing w:line="360" w:lineRule="auto"/>
        <w:rPr>
          <w:rFonts w:ascii="Miriam" w:hAnsi="Miriam" w:cs="Miriam"/>
          <w:u w:val="single"/>
          <w:rtl/>
        </w:rPr>
      </w:pPr>
      <w:r>
        <w:rPr>
          <w:rFonts w:ascii="Miriam" w:hAnsi="Miriam" w:cs="Miriam"/>
          <w:u w:val="single"/>
          <w:rtl/>
        </w:rPr>
        <w:t>התסקיר וחוות הדעת</w:t>
      </w:r>
    </w:p>
    <w:p w14:paraId="060BBF95" w14:textId="77777777" w:rsidR="00C91D75" w:rsidRDefault="00C91D75" w:rsidP="00C91D75">
      <w:pPr>
        <w:spacing w:line="360" w:lineRule="auto"/>
        <w:rPr>
          <w:rFonts w:ascii="FrankRuehl" w:hAnsi="FrankRuehl" w:cs="FrankRuehl"/>
          <w:sz w:val="20"/>
          <w:szCs w:val="20"/>
        </w:rPr>
      </w:pPr>
    </w:p>
    <w:p w14:paraId="0BC16464" w14:textId="77777777" w:rsidR="00C91D75" w:rsidRDefault="00C91D75" w:rsidP="00C91D75">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לפי התסקיר – בתמצית מתוך שמירה על צנעת הפרט – הנאשם בן 28 שנים ואב לתינוקת. הוא השלים 12 שנות לימוד. הוא סובל ממצב רפואי. הנאשם עושה מאמצים לשמור על יציבות תעסוקתית. כיום, לומד קורס הכשרה מקצועית בתחום הפיקוח על הבנייה. ביחס לעבירה שבה הורשע, לפי התסקיר, הנאשם אינו נוטל אחריות. אשר לסיכויי השיקום, ניתנה הדעת ליציבות התעסוקתית שלו ולגילו. אשר לגורמי הסיכון להישנות מעשה עברייני, התסקיר עמד על אי-נטילת האחריות ועל הקושי המסתמן אצל הנאשם בהתבוננות הפנימית במעשיו ותפיסתו הקורבנית. התסקיר לא בא בהמלצה שיקומית, אך המליץ על ענישה מרתיעה שמציבה גבולות.</w:t>
      </w:r>
    </w:p>
    <w:p w14:paraId="1534F8B8" w14:textId="77777777" w:rsidR="00C91D75" w:rsidRDefault="00C91D75" w:rsidP="00C91D75">
      <w:pPr>
        <w:pStyle w:val="a9"/>
        <w:spacing w:after="0" w:line="360" w:lineRule="auto"/>
        <w:jc w:val="both"/>
        <w:rPr>
          <w:rFonts w:ascii="FrankRuehl" w:hAnsi="FrankRuehl" w:cs="FrankRuehl"/>
          <w:sz w:val="28"/>
          <w:szCs w:val="28"/>
          <w:rtl/>
        </w:rPr>
      </w:pPr>
    </w:p>
    <w:p w14:paraId="2C365AA6" w14:textId="77777777" w:rsidR="00C91D75" w:rsidRDefault="00C91D75" w:rsidP="00C91D75">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לפי חוות דעתו של הממונה, נמצא הנאשם מתאים לריצוי עונשו בעבודות שירות.</w:t>
      </w:r>
    </w:p>
    <w:p w14:paraId="3C4067CC" w14:textId="77777777" w:rsidR="00C91D75" w:rsidRDefault="00C91D75" w:rsidP="00C91D75">
      <w:pPr>
        <w:spacing w:line="360" w:lineRule="auto"/>
        <w:rPr>
          <w:rFonts w:ascii="FrankRuehl" w:hAnsi="FrankRuehl" w:cs="FrankRuehl"/>
          <w:sz w:val="28"/>
          <w:szCs w:val="28"/>
        </w:rPr>
      </w:pPr>
    </w:p>
    <w:p w14:paraId="0DDAE09E" w14:textId="77777777" w:rsidR="00C91D75" w:rsidRDefault="00C91D75" w:rsidP="00C91D75">
      <w:pPr>
        <w:spacing w:line="360" w:lineRule="auto"/>
        <w:rPr>
          <w:rFonts w:ascii="Miriam" w:hAnsi="Miriam" w:cs="Miriam"/>
          <w:u w:val="single"/>
        </w:rPr>
      </w:pPr>
      <w:r>
        <w:rPr>
          <w:rFonts w:ascii="Miriam" w:hAnsi="Miriam" w:cs="Miriam"/>
          <w:u w:val="single"/>
          <w:rtl/>
        </w:rPr>
        <w:t>עיקרי טיעוני הצדדים לעונש</w:t>
      </w:r>
    </w:p>
    <w:p w14:paraId="20E7C945" w14:textId="77777777" w:rsidR="00C91D75" w:rsidRDefault="00C91D75" w:rsidP="00C91D75">
      <w:pPr>
        <w:spacing w:line="360" w:lineRule="auto"/>
        <w:rPr>
          <w:rFonts w:ascii="FrankRuehl" w:hAnsi="FrankRuehl" w:cs="FrankRuehl"/>
          <w:sz w:val="28"/>
          <w:szCs w:val="28"/>
        </w:rPr>
      </w:pPr>
    </w:p>
    <w:p w14:paraId="7721148F" w14:textId="77777777" w:rsidR="00C91D75" w:rsidRDefault="00C91D75" w:rsidP="00C91D75">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המאשימה טוענת, בין השאר ובעיקר, כי המעשה שבו הורשע הנאשם ובשים לב לכמות הסם שנתפסה אצלו, הוא מעשה חמור ובעל פוטנציאל נזק בעוצמה גבוהה. הוא פגע בערכים המוגנים של שמירה על בריאות הציבור ובמאמצי רשויות האכיפה למגר את נגע הסמים מתוך החברה. המאשימה עותרת לקביעת מתחם ענישה שנע בין ארבעה חודשי מאסר שיכול וירוצו בעבודות שירות ועד לשנת מאסר בפועל, לצד ענישה כלכלית וענישה </w:t>
      </w:r>
      <w:r>
        <w:rPr>
          <w:rFonts w:ascii="FrankRuehl" w:hAnsi="FrankRuehl" w:cs="FrankRuehl"/>
          <w:sz w:val="28"/>
          <w:szCs w:val="28"/>
          <w:rtl/>
        </w:rPr>
        <w:lastRenderedPageBreak/>
        <w:t>תעבורתית מאחר והאירוע כלל שימוש ברכב. לנוכח התרשמותו השלילית של שירות המבחן מהנאשם ואי-נטילת האחריות על-ידו, סבורה המאשימה שיש להשית עונש מרתיע ומציב גבולות. היא מבקשת למקֵם את העונש בחלק התחתון של המתחם, ולהטיל עליו חמישה חודשי עבודות שירות, לצד מאסר על תנאי, קנס, התחייבות, פסילת רישיון, פסילה על תנאי והשמדת הסמים שנתפסו.</w:t>
      </w:r>
    </w:p>
    <w:p w14:paraId="4B1EB081" w14:textId="77777777" w:rsidR="00C91D75" w:rsidRDefault="00C91D75" w:rsidP="00C91D75">
      <w:pPr>
        <w:pStyle w:val="a9"/>
        <w:spacing w:after="0" w:line="360" w:lineRule="auto"/>
        <w:jc w:val="both"/>
        <w:rPr>
          <w:rFonts w:ascii="FrankRuehl" w:hAnsi="FrankRuehl" w:cs="FrankRuehl"/>
          <w:sz w:val="28"/>
          <w:szCs w:val="28"/>
          <w:rtl/>
        </w:rPr>
      </w:pPr>
    </w:p>
    <w:p w14:paraId="736616C2" w14:textId="77777777" w:rsidR="00C91D75" w:rsidRDefault="00C91D75" w:rsidP="00C91D75">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הנאשם – באמצעות באת כוחו </w:t>
      </w:r>
      <w:r>
        <w:rPr>
          <w:rFonts w:ascii="Miriam" w:hAnsi="Miriam" w:cs="Miriam"/>
          <w:sz w:val="24"/>
          <w:szCs w:val="24"/>
          <w:rtl/>
        </w:rPr>
        <w:t>עו"ד נ' טרבלסי</w:t>
      </w:r>
      <w:r>
        <w:rPr>
          <w:rFonts w:ascii="FrankRuehl" w:hAnsi="FrankRuehl" w:cs="FrankRuehl"/>
          <w:sz w:val="28"/>
          <w:szCs w:val="28"/>
          <w:rtl/>
        </w:rPr>
        <w:t xml:space="preserve"> – טוען מנגד, בין השאר ובעיקר, כי הנאשם יליד 1994, נעדר הרשעות קודמות, וגם לא נפתחו נגדו תיקים חדשים מאז ביצוע העבירה. במועד הרלבנטי לאישום, הוא היה בן 25. כיום, הוא אב לתינוקת, עובד לפרנסת משפחתו למרות מגבלות פיזיות מהן הוא סובל עקב תאונות שעבר, וכן סועד את אמו. הוא גם לומד הכשרה מקצועית וממשיך ביציבות התעסוקתית שלו. בהתייחס לעבירה שבה הורשע, הנאשם נוטל אחריות ומביע חרטה על מעשיו. בהתייחסו לתסקיר, גורס הנאשם כי המסמך אינו מדויק והזכיר דברים שלא קיימים. הנאשם תיאר לפני עורך התסקיר את אשר התרחש, אף תמוה מדוע הוא הסיק שהנאשם אינו נוטל אחריות. מכל מקום, האירוע מושא האישום הוא חד-פעמי. מדיניות הענישה בכגון-דא מצויה במנעד שנע בין מאסר מותנה ועד שמונה חודשי מאסר. ההגנה עותרת להסתפק במאסר מותנה ולהימנע משלילת רישיון הנהיגה, מאחר והנאשם מתפרנס מעבודתו כנהג משאית וזו הרשעתו הראשונה.</w:t>
      </w:r>
    </w:p>
    <w:p w14:paraId="2E83FEC6" w14:textId="77777777" w:rsidR="00C91D75" w:rsidRDefault="00C91D75" w:rsidP="00C91D75">
      <w:pPr>
        <w:pStyle w:val="a9"/>
        <w:spacing w:after="0" w:line="360" w:lineRule="auto"/>
        <w:rPr>
          <w:rFonts w:ascii="FrankRuehl" w:hAnsi="FrankRuehl" w:cs="FrankRuehl"/>
          <w:sz w:val="28"/>
          <w:szCs w:val="28"/>
        </w:rPr>
      </w:pPr>
    </w:p>
    <w:p w14:paraId="18D1B3CB" w14:textId="77777777" w:rsidR="00C91D75" w:rsidRDefault="00C91D75" w:rsidP="00C91D75">
      <w:pPr>
        <w:pStyle w:val="a9"/>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גם הנאשם דיבר לפניי בדיון הטיעונים לעונש. לדבריו, זו פעם ראשונה שבה התנהל נגדו הליך פלילי, והוא התנהל לאחר ייעוץ שקיבל מבלי לדעת את המשמעויות של כך. הוא אדם נורמטיבי, מנהל אורח חיים משפחתי חיובי. כיום, הוא עובד כנהג משאית מזה ארבעה חודשים. הוא מטפל באמו ובמשפחתו ומשתדל להתרחק מ"בעיות".</w:t>
      </w:r>
    </w:p>
    <w:p w14:paraId="3FEB3F9F" w14:textId="77777777" w:rsidR="00C91D75" w:rsidRDefault="00C91D75" w:rsidP="00C91D75">
      <w:pPr>
        <w:spacing w:line="360" w:lineRule="auto"/>
        <w:jc w:val="both"/>
        <w:rPr>
          <w:rFonts w:ascii="Miriam" w:hAnsi="Miriam" w:cs="Miriam"/>
          <w:u w:val="single"/>
        </w:rPr>
      </w:pPr>
    </w:p>
    <w:p w14:paraId="3EF49E8A" w14:textId="77777777" w:rsidR="00C91D75" w:rsidRDefault="00C91D75" w:rsidP="00C91D75">
      <w:pPr>
        <w:spacing w:line="360" w:lineRule="auto"/>
        <w:jc w:val="both"/>
        <w:rPr>
          <w:rFonts w:ascii="Miriam" w:hAnsi="Miriam" w:cs="Miriam"/>
          <w:u w:val="single"/>
          <w:rtl/>
        </w:rPr>
      </w:pPr>
      <w:r>
        <w:rPr>
          <w:rFonts w:ascii="Miriam" w:hAnsi="Miriam" w:cs="Miriam"/>
          <w:u w:val="single"/>
          <w:rtl/>
        </w:rPr>
        <w:t>דיון והכרעה</w:t>
      </w:r>
    </w:p>
    <w:p w14:paraId="4972DD90" w14:textId="77777777" w:rsidR="00C91D75" w:rsidRDefault="00C91D75" w:rsidP="00C91D75">
      <w:pPr>
        <w:spacing w:line="360" w:lineRule="auto"/>
        <w:jc w:val="both"/>
        <w:rPr>
          <w:rFonts w:ascii="FrankRuehl" w:hAnsi="FrankRuehl" w:cs="FrankRuehl"/>
          <w:sz w:val="28"/>
          <w:szCs w:val="28"/>
          <w:rtl/>
        </w:rPr>
      </w:pPr>
    </w:p>
    <w:p w14:paraId="56AAB773" w14:textId="77777777" w:rsidR="00C91D75" w:rsidRDefault="00C91D75" w:rsidP="00C91D75">
      <w:pPr>
        <w:pStyle w:val="a9"/>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לפי </w:t>
      </w:r>
      <w:hyperlink r:id="rId16" w:history="1">
        <w:r w:rsidR="00EF6EDB" w:rsidRPr="00EF6EDB">
          <w:rPr>
            <w:rStyle w:val="Hyperlink"/>
            <w:rFonts w:ascii="FrankRuehl" w:hAnsi="FrankRuehl" w:cs="FrankRuehl"/>
            <w:sz w:val="28"/>
            <w:szCs w:val="28"/>
            <w:rtl/>
          </w:rPr>
          <w:t>סעיף 40ב</w:t>
        </w:r>
      </w:hyperlink>
      <w:r>
        <w:rPr>
          <w:rFonts w:ascii="FrankRuehl" w:hAnsi="FrankRuehl" w:cs="FrankRuehl"/>
          <w:sz w:val="28"/>
          <w:szCs w:val="28"/>
          <w:rtl/>
        </w:rPr>
        <w:t xml:space="preserve"> </w:t>
      </w:r>
      <w:r>
        <w:rPr>
          <w:rFonts w:ascii="Miriam" w:hAnsi="Miriam" w:cs="Miriam"/>
          <w:sz w:val="24"/>
          <w:szCs w:val="24"/>
          <w:rtl/>
        </w:rPr>
        <w:t>ב</w:t>
      </w:r>
      <w:hyperlink r:id="rId17" w:history="1">
        <w:r w:rsidR="00B067D4" w:rsidRPr="00B067D4">
          <w:rPr>
            <w:rFonts w:ascii="Miriam" w:hAnsi="Miriam" w:cs="Miriam"/>
            <w:color w:val="0000FF"/>
            <w:sz w:val="24"/>
            <w:szCs w:val="24"/>
            <w:u w:val="single"/>
            <w:rtl/>
          </w:rPr>
          <w:t>חוק העונשין</w:t>
        </w:r>
      </w:hyperlink>
      <w:r>
        <w:rPr>
          <w:rFonts w:ascii="FrankRuehl" w:hAnsi="FrankRuehl" w:cs="FrankRuehl"/>
          <w:sz w:val="28"/>
          <w:szCs w:val="28"/>
          <w:rtl/>
        </w:rPr>
        <w:t xml:space="preserve">, העיקרון המנחה בענישה הוא קיומו של יחס הולם בין חומרת מעשה העבירה בנסיבותיו ומידת אשמו של הנאשם ובין סוג ומידת העונש המוטל. לפי </w:t>
      </w:r>
      <w:hyperlink r:id="rId18" w:history="1">
        <w:r w:rsidR="00EF6EDB" w:rsidRPr="00EF6EDB">
          <w:rPr>
            <w:rStyle w:val="Hyperlink"/>
            <w:rFonts w:ascii="FrankRuehl" w:hAnsi="FrankRuehl" w:cs="FrankRuehl"/>
            <w:sz w:val="28"/>
            <w:szCs w:val="28"/>
            <w:rtl/>
          </w:rPr>
          <w:t>סעיף 40ג(א)</w:t>
        </w:r>
      </w:hyperlink>
      <w:r>
        <w:rPr>
          <w:rFonts w:ascii="FrankRuehl" w:hAnsi="FrankRuehl" w:cs="FrankRuehl"/>
          <w:sz w:val="28"/>
          <w:szCs w:val="28"/>
          <w:rtl/>
        </w:rPr>
        <w:t>, לקביעת מתחם העונש ההולם, בית המשפט "</w:t>
      </w:r>
      <w:r>
        <w:rPr>
          <w:rFonts w:ascii="Miriam" w:hAnsi="Miriam" w:cs="Miriam"/>
          <w:sz w:val="24"/>
          <w:szCs w:val="24"/>
          <w:rtl/>
        </w:rPr>
        <w:t>יתחשב בערך החברתי שנפגע מביצוע העבירה, במידת הפגיעה בו, במדיניות הענישה הנהוגה ובנסיבות הקשורות בביצוע העבירה כאמור בסעיף 40ט</w:t>
      </w:r>
      <w:r>
        <w:rPr>
          <w:rFonts w:ascii="FrankRuehl" w:hAnsi="FrankRuehl" w:cs="FrankRuehl"/>
          <w:sz w:val="28"/>
          <w:szCs w:val="28"/>
          <w:rtl/>
        </w:rPr>
        <w:t>", ולפי סעיף 40ג(ב) "</w:t>
      </w:r>
      <w:r>
        <w:rPr>
          <w:rFonts w:ascii="Miriam" w:hAnsi="Miriam" w:cs="Miriam"/>
          <w:sz w:val="24"/>
          <w:szCs w:val="24"/>
          <w:rtl/>
        </w:rPr>
        <w:t>בתוך מתחם העונש ההולם יגזור בית המשפט את העונש המתאים לנאשם, בהתחשב בנסיבות שאינן קשורות בביצוע העבירה...</w:t>
      </w:r>
      <w:r>
        <w:rPr>
          <w:rFonts w:ascii="FrankRuehl" w:hAnsi="FrankRuehl" w:cs="FrankRuehl"/>
          <w:sz w:val="28"/>
          <w:szCs w:val="28"/>
          <w:rtl/>
        </w:rPr>
        <w:t>".</w:t>
      </w:r>
    </w:p>
    <w:p w14:paraId="6E4CA452" w14:textId="77777777" w:rsidR="00C91D75" w:rsidRPr="00C91D75" w:rsidRDefault="00C91D75" w:rsidP="00C91D75">
      <w:pPr>
        <w:spacing w:line="360" w:lineRule="auto"/>
        <w:ind w:left="651"/>
        <w:contextualSpacing/>
        <w:jc w:val="both"/>
        <w:rPr>
          <w:rFonts w:ascii="FrankRuehl" w:eastAsia="Calibri" w:hAnsi="FrankRuehl" w:cs="FrankRuehl"/>
          <w:sz w:val="28"/>
          <w:szCs w:val="28"/>
        </w:rPr>
      </w:pPr>
    </w:p>
    <w:p w14:paraId="0D48CD10" w14:textId="77777777" w:rsidR="00C91D75" w:rsidRPr="00C91D75" w:rsidRDefault="00C91D75" w:rsidP="00C91D75">
      <w:pPr>
        <w:numPr>
          <w:ilvl w:val="0"/>
          <w:numId w:val="1"/>
        </w:numPr>
        <w:spacing w:line="360" w:lineRule="auto"/>
        <w:ind w:left="651" w:hanging="566"/>
        <w:contextualSpacing/>
        <w:jc w:val="both"/>
        <w:rPr>
          <w:rFonts w:ascii="FrankRuehl" w:eastAsia="Calibri" w:hAnsi="FrankRuehl" w:cs="FrankRuehl"/>
          <w:rtl/>
        </w:rPr>
      </w:pPr>
      <w:r w:rsidRPr="00C91D75">
        <w:rPr>
          <w:rFonts w:ascii="Miriam" w:eastAsia="Calibri" w:hAnsi="Miriam" w:cs="Miriam"/>
          <w:rtl/>
        </w:rPr>
        <w:t>הערכים המוגנים</w:t>
      </w:r>
      <w:r w:rsidRPr="00C91D75">
        <w:rPr>
          <w:rFonts w:ascii="FrankRuehl" w:eastAsia="Calibri" w:hAnsi="FrankRuehl" w:cs="FrankRuehl"/>
          <w:sz w:val="28"/>
          <w:szCs w:val="28"/>
          <w:rtl/>
        </w:rPr>
        <w:t>: עבירות בתחום הסמים באות להתמודד עם הסיכונים והנזקים הרבים והעמוקים הנשקפים מהחזקת סמים, סחר בהם ולבטח השימוש בהם, בריאותית, חברתית וכלכלית. העיסוק בסמים שלא כדין, כשלעצמו מחולל מעשי עבריינות ופשיעה גם בתחומים פליליים נוספים, הן לצורך גידול או ייצור הסמים, הן לצורך ייבואם או רכישתם והן לצורך הסחר בהם. נכון, יש לנקוט בגישה שמאבחנת בין סוגי הסמים השונים, בהתאם למידת חומרתו של כל סם (</w:t>
      </w:r>
      <w:hyperlink r:id="rId19" w:history="1">
        <w:r w:rsidR="00B067D4" w:rsidRPr="00B067D4">
          <w:rPr>
            <w:rFonts w:ascii="FrankRuehl" w:eastAsia="Calibri" w:hAnsi="FrankRuehl" w:cs="FrankRuehl"/>
            <w:color w:val="0000FF"/>
            <w:sz w:val="28"/>
            <w:szCs w:val="28"/>
            <w:u w:val="single"/>
            <w:rtl/>
          </w:rPr>
          <w:t>בש"פ 8640/20</w:t>
        </w:r>
      </w:hyperlink>
      <w:r w:rsidRPr="00C91D75">
        <w:rPr>
          <w:rFonts w:ascii="FrankRuehl" w:eastAsia="Calibri" w:hAnsi="FrankRuehl" w:cs="FrankRuehl"/>
          <w:sz w:val="28"/>
          <w:szCs w:val="28"/>
          <w:rtl/>
        </w:rPr>
        <w:t xml:space="preserve"> </w:t>
      </w:r>
      <w:r w:rsidRPr="00C91D75">
        <w:rPr>
          <w:rFonts w:ascii="Miriam" w:eastAsia="Calibri" w:hAnsi="Miriam" w:cs="Miriam"/>
          <w:rtl/>
        </w:rPr>
        <w:t>אבו קרינאת נ' מדינת ישראל</w:t>
      </w:r>
      <w:r w:rsidRPr="00C91D75">
        <w:rPr>
          <w:rFonts w:ascii="FrankRuehl" w:eastAsia="Calibri" w:hAnsi="FrankRuehl" w:cs="FrankRuehl"/>
          <w:sz w:val="28"/>
          <w:szCs w:val="28"/>
          <w:rtl/>
        </w:rPr>
        <w:t xml:space="preserve"> (23.12.2020)). ב</w:t>
      </w:r>
      <w:hyperlink r:id="rId20" w:history="1">
        <w:r w:rsidR="00B067D4" w:rsidRPr="00B067D4">
          <w:rPr>
            <w:rFonts w:ascii="FrankRuehl" w:eastAsia="Calibri" w:hAnsi="FrankRuehl" w:cs="FrankRuehl"/>
            <w:color w:val="0000FF"/>
            <w:sz w:val="28"/>
            <w:szCs w:val="28"/>
            <w:u w:val="single"/>
            <w:rtl/>
          </w:rPr>
          <w:t>ע"פ 972/11</w:t>
        </w:r>
      </w:hyperlink>
      <w:r w:rsidRPr="00C91D75">
        <w:rPr>
          <w:rFonts w:ascii="FrankRuehl" w:eastAsia="Calibri" w:hAnsi="FrankRuehl" w:cs="FrankRuehl"/>
          <w:sz w:val="28"/>
          <w:szCs w:val="28"/>
          <w:rtl/>
        </w:rPr>
        <w:t xml:space="preserve"> </w:t>
      </w:r>
      <w:r w:rsidRPr="00C91D75">
        <w:rPr>
          <w:rFonts w:ascii="Miriam" w:eastAsia="Calibri" w:hAnsi="Miriam" w:cs="Miriam"/>
          <w:rtl/>
        </w:rPr>
        <w:t>מדינת ישראל נ' אמארה</w:t>
      </w:r>
      <w:r w:rsidRPr="00C91D75">
        <w:rPr>
          <w:rFonts w:ascii="FrankRuehl" w:eastAsia="Calibri" w:hAnsi="FrankRuehl" w:cs="FrankRuehl"/>
          <w:sz w:val="28"/>
          <w:szCs w:val="28"/>
          <w:rtl/>
        </w:rPr>
        <w:t xml:space="preserve"> (4.7.2012), עמד בית המשפט על חומרת נגע הסמים: </w:t>
      </w:r>
    </w:p>
    <w:p w14:paraId="3CEF8840" w14:textId="77777777" w:rsidR="00C91D75" w:rsidRPr="00C91D75" w:rsidRDefault="00C91D75" w:rsidP="00C91D75">
      <w:pPr>
        <w:spacing w:line="360" w:lineRule="auto"/>
        <w:ind w:left="1440" w:right="567"/>
        <w:contextualSpacing/>
        <w:jc w:val="both"/>
        <w:rPr>
          <w:rFonts w:ascii="FrankRuehl" w:eastAsia="Calibri" w:hAnsi="FrankRuehl" w:cs="FrankRuehl"/>
          <w:sz w:val="28"/>
          <w:szCs w:val="28"/>
        </w:rPr>
      </w:pPr>
    </w:p>
    <w:p w14:paraId="4C4AC3E2" w14:textId="77777777" w:rsidR="00C91D75" w:rsidRPr="00C91D75" w:rsidRDefault="00C91D75" w:rsidP="00C91D75">
      <w:pPr>
        <w:ind w:left="1440" w:right="567"/>
        <w:contextualSpacing/>
        <w:jc w:val="both"/>
        <w:rPr>
          <w:rFonts w:ascii="FrankRuehl" w:eastAsia="Calibri" w:hAnsi="FrankRuehl" w:cs="FrankRuehl"/>
          <w:sz w:val="28"/>
          <w:szCs w:val="28"/>
        </w:rPr>
      </w:pPr>
      <w:r w:rsidRPr="00C91D75">
        <w:rPr>
          <w:rFonts w:ascii="FrankRuehl" w:eastAsia="Calibri" w:hAnsi="FrankRuehl" w:cs="FrankRuehl"/>
          <w:sz w:val="28"/>
          <w:szCs w:val="28"/>
          <w:rtl/>
        </w:rPr>
        <w:t xml:space="preserve">"את נגע הסמים יש </w:t>
      </w:r>
      <w:r w:rsidRPr="00C91D75">
        <w:rPr>
          <w:rFonts w:ascii="Miriam" w:eastAsia="Calibri" w:hAnsi="Miriam" w:cs="Miriam"/>
          <w:rtl/>
        </w:rPr>
        <w:t>לעקור מן השורש</w:t>
      </w:r>
      <w:r w:rsidRPr="00C91D75">
        <w:rPr>
          <w:rFonts w:ascii="FrankRuehl" w:eastAsia="Calibri" w:hAnsi="FrankRuehl" w:cs="FrankRuehl"/>
          <w:sz w:val="28"/>
          <w:szCs w:val="28"/>
          <w:rtl/>
        </w:rPr>
        <w:t xml:space="preserve">. ייצור, הפצה, סחר וכמובן גם שימוש בסמים – כל אלו מסבים </w:t>
      </w:r>
      <w:r w:rsidRPr="00C91D75">
        <w:rPr>
          <w:rFonts w:ascii="Miriam" w:eastAsia="Calibri" w:hAnsi="Miriam" w:cs="Miriam"/>
          <w:rtl/>
        </w:rPr>
        <w:t>נזק עצום</w:t>
      </w:r>
      <w:r w:rsidRPr="00C91D75">
        <w:rPr>
          <w:rFonts w:ascii="FrankRuehl" w:eastAsia="Calibri" w:hAnsi="FrankRuehl" w:cs="FrankRuehl"/>
          <w:sz w:val="28"/>
          <w:szCs w:val="28"/>
          <w:rtl/>
        </w:rPr>
        <w:t>. הנזק נגרם לא רק למעגל הסגור של המעורבים הישירים בביצוע העבירות, אלא גם לחברה בכללותה. ייתכן ועבירות הסמים הקשים הן כה נפוצות עד שהתרגלנו אליהן, ואולי אף אבדה לנו הרגישות למחיר שלא רק החברה משלמת אלא גם המשתמש עצמו.</w:t>
      </w:r>
    </w:p>
    <w:p w14:paraId="6B499DA0" w14:textId="77777777" w:rsidR="00C91D75" w:rsidRPr="00C91D75" w:rsidRDefault="00C91D75" w:rsidP="00C91D75">
      <w:pPr>
        <w:ind w:left="1440" w:right="567"/>
        <w:contextualSpacing/>
        <w:rPr>
          <w:rFonts w:ascii="FrankRuehl" w:eastAsia="Calibri" w:hAnsi="FrankRuehl" w:cs="FrankRuehl"/>
          <w:sz w:val="28"/>
          <w:szCs w:val="28"/>
          <w:rtl/>
        </w:rPr>
      </w:pPr>
      <w:r w:rsidRPr="00C91D75">
        <w:rPr>
          <w:rFonts w:ascii="FrankRuehl" w:eastAsia="Calibri" w:hAnsi="FrankRuehl" w:cs="FrankRuehl"/>
          <w:sz w:val="28"/>
          <w:szCs w:val="28"/>
          <w:rtl/>
        </w:rPr>
        <w:t>...</w:t>
      </w:r>
    </w:p>
    <w:p w14:paraId="0230EBE1" w14:textId="77777777" w:rsidR="00C91D75" w:rsidRPr="00C91D75" w:rsidRDefault="00C91D75" w:rsidP="00C91D75">
      <w:pPr>
        <w:ind w:left="1440" w:right="567"/>
        <w:contextualSpacing/>
        <w:jc w:val="both"/>
        <w:rPr>
          <w:rFonts w:ascii="FrankRuehl" w:eastAsia="Calibri" w:hAnsi="FrankRuehl" w:cs="FrankRuehl"/>
          <w:sz w:val="28"/>
          <w:szCs w:val="28"/>
        </w:rPr>
      </w:pPr>
      <w:r w:rsidRPr="00C91D75">
        <w:rPr>
          <w:rFonts w:ascii="FrankRuehl" w:eastAsia="Calibri" w:hAnsi="FrankRuehl" w:cs="FrankRuehl"/>
          <w:sz w:val="28"/>
          <w:szCs w:val="28"/>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21" w:history="1">
        <w:r w:rsidR="00B067D4" w:rsidRPr="00B067D4">
          <w:rPr>
            <w:rFonts w:ascii="FrankRuehl" w:eastAsia="Calibri" w:hAnsi="FrankRuehl" w:cs="FrankRuehl"/>
            <w:color w:val="0000FF"/>
            <w:sz w:val="28"/>
            <w:szCs w:val="28"/>
            <w:u w:val="single"/>
            <w:rtl/>
          </w:rPr>
          <w:t>ע"פ 8031/10</w:t>
        </w:r>
      </w:hyperlink>
      <w:r w:rsidRPr="00C91D75">
        <w:rPr>
          <w:rFonts w:ascii="FrankRuehl" w:eastAsia="Calibri" w:hAnsi="FrankRuehl" w:cs="FrankRuehl"/>
          <w:sz w:val="28"/>
          <w:szCs w:val="28"/>
          <w:rtl/>
        </w:rPr>
        <w:t xml:space="preserve"> </w:t>
      </w:r>
      <w:r w:rsidRPr="00C91D75">
        <w:rPr>
          <w:rFonts w:ascii="Miriam" w:eastAsia="Calibri" w:hAnsi="Miriam" w:cs="Miriam"/>
          <w:rtl/>
        </w:rPr>
        <w:t>אורוסקו-צ'אבז נ' מדינת ישראל</w:t>
      </w:r>
      <w:r w:rsidRPr="00C91D75">
        <w:rPr>
          <w:rFonts w:ascii="FrankRuehl" w:eastAsia="Calibri" w:hAnsi="FrankRuehl" w:cs="FrankRuehl"/>
          <w:rtl/>
        </w:rPr>
        <w:t xml:space="preserve"> </w:t>
      </w:r>
      <w:r w:rsidRPr="00C91D75">
        <w:rPr>
          <w:rFonts w:ascii="FrankRuehl" w:eastAsia="Calibri" w:hAnsi="FrankRuehl" w:cs="FrankRuehl"/>
          <w:sz w:val="28"/>
          <w:szCs w:val="28"/>
          <w:rtl/>
        </w:rPr>
        <w:t>(1.3.2012))"</w:t>
      </w:r>
    </w:p>
    <w:p w14:paraId="29D5C7D1" w14:textId="77777777" w:rsidR="00C91D75" w:rsidRPr="00C91D75" w:rsidRDefault="00C91D75" w:rsidP="00C91D75">
      <w:pPr>
        <w:ind w:left="1440" w:right="567"/>
        <w:contextualSpacing/>
        <w:jc w:val="right"/>
        <w:rPr>
          <w:rFonts w:ascii="FrankRuehl" w:eastAsia="Calibri" w:hAnsi="FrankRuehl" w:cs="FrankRuehl"/>
          <w:sz w:val="28"/>
          <w:szCs w:val="28"/>
        </w:rPr>
      </w:pPr>
      <w:r w:rsidRPr="00C91D75">
        <w:rPr>
          <w:rFonts w:ascii="FrankRuehl" w:eastAsia="Calibri" w:hAnsi="FrankRuehl" w:cs="FrankRuehl"/>
          <w:sz w:val="28"/>
          <w:szCs w:val="28"/>
          <w:rtl/>
        </w:rPr>
        <w:t>(ההדגשות אינן במקור)</w:t>
      </w:r>
    </w:p>
    <w:p w14:paraId="095F75CC" w14:textId="77777777" w:rsidR="00C91D75" w:rsidRDefault="00C91D75" w:rsidP="00C91D75">
      <w:pPr>
        <w:spacing w:line="360" w:lineRule="auto"/>
        <w:jc w:val="both"/>
        <w:rPr>
          <w:rFonts w:ascii="FrankRuehl" w:hAnsi="FrankRuehl" w:cs="FrankRuehl"/>
          <w:sz w:val="20"/>
          <w:szCs w:val="20"/>
          <w:rtl/>
        </w:rPr>
      </w:pPr>
    </w:p>
    <w:p w14:paraId="2E36C790" w14:textId="77777777" w:rsidR="00C91D75" w:rsidRPr="00C91D75" w:rsidRDefault="00C91D75" w:rsidP="00C91D75">
      <w:pPr>
        <w:numPr>
          <w:ilvl w:val="0"/>
          <w:numId w:val="1"/>
        </w:numPr>
        <w:spacing w:line="360" w:lineRule="auto"/>
        <w:ind w:hanging="636"/>
        <w:contextualSpacing/>
        <w:jc w:val="both"/>
        <w:rPr>
          <w:rFonts w:ascii="FrankRuehl" w:eastAsia="Calibri" w:hAnsi="FrankRuehl" w:cs="FrankRuehl"/>
          <w:sz w:val="28"/>
          <w:szCs w:val="28"/>
        </w:rPr>
      </w:pPr>
      <w:r w:rsidRPr="00C91D75">
        <w:rPr>
          <w:rFonts w:ascii="Miriam" w:eastAsia="Calibri" w:hAnsi="Miriam" w:cs="Miriam"/>
          <w:rtl/>
        </w:rPr>
        <w:t>נסיבות ביצוע העבירה</w:t>
      </w:r>
      <w:r w:rsidRPr="00C91D75">
        <w:rPr>
          <w:rFonts w:ascii="FrankRuehl" w:eastAsia="Calibri" w:hAnsi="FrankRuehl" w:cs="FrankRuehl"/>
          <w:sz w:val="28"/>
          <w:szCs w:val="28"/>
          <w:rtl/>
        </w:rPr>
        <w:t xml:space="preserve">: כפי שהוכח במשפט, בבדיקה אקראית של שתי שוטרות, נמצא הנאשם מחזיק ברכבו (השׂכור), סם מסוכן מסוג קנבוס במשקל כולל של 152 גרמים נטו. הסמים נמצאו מוטמנים במספר מקומות ברכב ומחולקים בתוך שקיות גדולות, שבתוכן הם מחולקים לכעשרים שקיות קטנות. כמות הסם, חלוקתו בשקיות קטנות, אופן מחבואו והימצאו ברכב, יש בכל אלה כדי להצביע על קיומן של נסיבות חמורות. כל זאת לצד, עובדת זמינות הנאשם לסמים. </w:t>
      </w:r>
    </w:p>
    <w:p w14:paraId="0692987D" w14:textId="77777777" w:rsidR="00C91D75" w:rsidRPr="00C91D75" w:rsidRDefault="00C91D75" w:rsidP="00C91D75">
      <w:pPr>
        <w:spacing w:line="360" w:lineRule="auto"/>
        <w:ind w:left="720"/>
        <w:contextualSpacing/>
        <w:jc w:val="both"/>
        <w:rPr>
          <w:rFonts w:ascii="FrankRuehl" w:eastAsia="Calibri" w:hAnsi="FrankRuehl" w:cs="FrankRuehl"/>
          <w:sz w:val="28"/>
          <w:szCs w:val="28"/>
          <w:rtl/>
        </w:rPr>
      </w:pPr>
    </w:p>
    <w:p w14:paraId="40F0973A" w14:textId="77777777" w:rsidR="00C91D75" w:rsidRDefault="00C91D75" w:rsidP="00C91D75">
      <w:pPr>
        <w:numPr>
          <w:ilvl w:val="0"/>
          <w:numId w:val="1"/>
        </w:numPr>
        <w:spacing w:line="360" w:lineRule="auto"/>
        <w:ind w:hanging="636"/>
        <w:contextualSpacing/>
        <w:jc w:val="both"/>
        <w:rPr>
          <w:rFonts w:ascii="FrankRuehl" w:hAnsi="FrankRuehl" w:cs="FrankRuehl"/>
          <w:sz w:val="28"/>
          <w:szCs w:val="28"/>
          <w:rtl/>
        </w:rPr>
      </w:pPr>
      <w:r w:rsidRPr="00C91D75">
        <w:rPr>
          <w:rFonts w:ascii="FrankRuehl" w:eastAsia="Calibri" w:hAnsi="FrankRuehl" w:cs="FrankRuehl"/>
          <w:sz w:val="28"/>
          <w:szCs w:val="28"/>
          <w:rtl/>
        </w:rPr>
        <w:t>בהקשר זה, ניתנת הדעת לסוג הסם שנתפס בהחזקת הנאשם. לעניין סמי הקנביס כבר נקבע, כי אמנם חומר זה אינו מצוי באותה רמת מסוכנות בריאותית וחברתית כמו סמים אחרים (סם הקוקאין למשל), אך עודנו מוגדר כסם מסוכן (</w:t>
      </w:r>
      <w:hyperlink r:id="rId22" w:history="1">
        <w:r w:rsidR="00B067D4" w:rsidRPr="00B067D4">
          <w:rPr>
            <w:rFonts w:ascii="FrankRuehl" w:eastAsia="Calibri" w:hAnsi="FrankRuehl" w:cs="FrankRuehl"/>
            <w:color w:val="0000FF"/>
            <w:sz w:val="28"/>
            <w:szCs w:val="28"/>
            <w:u w:val="single"/>
            <w:rtl/>
          </w:rPr>
          <w:t>רע"פ 174/21</w:t>
        </w:r>
      </w:hyperlink>
      <w:r w:rsidRPr="00C91D75">
        <w:rPr>
          <w:rFonts w:ascii="FrankRuehl" w:eastAsia="Calibri" w:hAnsi="FrankRuehl" w:cs="FrankRuehl"/>
          <w:sz w:val="28"/>
          <w:szCs w:val="28"/>
          <w:rtl/>
        </w:rPr>
        <w:t xml:space="preserve"> </w:t>
      </w:r>
      <w:r w:rsidRPr="00C91D75">
        <w:rPr>
          <w:rFonts w:ascii="Miriam" w:eastAsia="Calibri" w:hAnsi="Miriam" w:cs="Miriam"/>
          <w:rtl/>
        </w:rPr>
        <w:t>סויסה נ' מדינת ישראל</w:t>
      </w:r>
      <w:r w:rsidRPr="00C91D75">
        <w:rPr>
          <w:rFonts w:ascii="FrankRuehl" w:eastAsia="Calibri" w:hAnsi="FrankRuehl" w:cs="FrankRuehl"/>
          <w:sz w:val="28"/>
          <w:szCs w:val="28"/>
          <w:rtl/>
        </w:rPr>
        <w:t xml:space="preserve">, פסקה 11 (25.2.2021); </w:t>
      </w:r>
      <w:hyperlink r:id="rId23" w:history="1">
        <w:r w:rsidR="00B067D4" w:rsidRPr="00B067D4">
          <w:rPr>
            <w:rFonts w:ascii="FrankRuehl" w:eastAsia="Calibri" w:hAnsi="FrankRuehl" w:cs="FrankRuehl"/>
            <w:color w:val="0000FF"/>
            <w:sz w:val="28"/>
            <w:szCs w:val="28"/>
            <w:u w:val="single"/>
            <w:rtl/>
          </w:rPr>
          <w:t>רע"פ 3059/21</w:t>
        </w:r>
      </w:hyperlink>
      <w:r w:rsidRPr="00C91D75">
        <w:rPr>
          <w:rFonts w:ascii="FrankRuehl" w:eastAsia="Calibri" w:hAnsi="FrankRuehl" w:cs="FrankRuehl"/>
          <w:sz w:val="28"/>
          <w:szCs w:val="28"/>
          <w:rtl/>
        </w:rPr>
        <w:t xml:space="preserve"> </w:t>
      </w:r>
      <w:r w:rsidRPr="00C91D75">
        <w:rPr>
          <w:rFonts w:ascii="Miriam" w:eastAsia="Calibri" w:hAnsi="Miriam" w:cs="Miriam"/>
          <w:rtl/>
        </w:rPr>
        <w:t>ימין נ' מדינת ישראל</w:t>
      </w:r>
      <w:r w:rsidRPr="00C91D75">
        <w:rPr>
          <w:rFonts w:ascii="FrankRuehl" w:eastAsia="Calibri" w:hAnsi="FrankRuehl" w:cs="FrankRuehl"/>
          <w:sz w:val="28"/>
          <w:szCs w:val="28"/>
          <w:rtl/>
        </w:rPr>
        <w:t xml:space="preserve">, פסקה 13 (5.5.2021); </w:t>
      </w:r>
      <w:hyperlink r:id="rId24" w:history="1">
        <w:r w:rsidR="00B067D4" w:rsidRPr="00B067D4">
          <w:rPr>
            <w:rFonts w:ascii="FrankRuehl" w:eastAsia="Calibri" w:hAnsi="FrankRuehl" w:cs="FrankRuehl"/>
            <w:color w:val="0000FF"/>
            <w:sz w:val="28"/>
            <w:szCs w:val="28"/>
            <w:u w:val="single"/>
            <w:rtl/>
          </w:rPr>
          <w:t>ע"פ 6299/20</w:t>
        </w:r>
      </w:hyperlink>
      <w:r w:rsidRPr="00C91D75">
        <w:rPr>
          <w:rFonts w:ascii="FrankRuehl" w:eastAsia="Calibri" w:hAnsi="FrankRuehl" w:cs="FrankRuehl"/>
          <w:sz w:val="28"/>
          <w:szCs w:val="28"/>
          <w:rtl/>
        </w:rPr>
        <w:t xml:space="preserve"> </w:t>
      </w:r>
      <w:r w:rsidRPr="00C91D75">
        <w:rPr>
          <w:rFonts w:ascii="Miriam" w:eastAsia="Calibri" w:hAnsi="Miriam" w:cs="Miriam"/>
          <w:rtl/>
        </w:rPr>
        <w:t>חן נ' מדינת ישראל</w:t>
      </w:r>
      <w:r w:rsidRPr="00C91D75">
        <w:rPr>
          <w:rFonts w:ascii="FrankRuehl" w:eastAsia="Calibri" w:hAnsi="FrankRuehl" w:cs="FrankRuehl"/>
          <w:sz w:val="28"/>
          <w:szCs w:val="28"/>
          <w:rtl/>
        </w:rPr>
        <w:t xml:space="preserve"> (4.2.2021)). בכל מקרה, גם בהינתן זאת שאין עסקינן בסחר בסמים, אך ניתנת הדעת גם לכך שהסם אשר נתפס אינו לצריכה עצמית, דבר אשר כשלעצמו, מבסס את פוטנציאל הנזק עקב הפגיעה בערכים המוגנים.</w:t>
      </w:r>
    </w:p>
    <w:p w14:paraId="68E65F2A" w14:textId="77777777" w:rsidR="00C91D75" w:rsidRDefault="00C91D75" w:rsidP="00C91D75">
      <w:pPr>
        <w:spacing w:line="360" w:lineRule="auto"/>
        <w:ind w:left="720"/>
        <w:contextualSpacing/>
        <w:jc w:val="both"/>
        <w:rPr>
          <w:rFonts w:ascii="FrankRuehl" w:hAnsi="FrankRuehl" w:cs="FrankRuehl"/>
          <w:sz w:val="28"/>
          <w:szCs w:val="28"/>
        </w:rPr>
      </w:pPr>
    </w:p>
    <w:p w14:paraId="68DDB8F4" w14:textId="77777777" w:rsidR="00C91D75" w:rsidRDefault="00C91D75" w:rsidP="00C91D75">
      <w:pPr>
        <w:numPr>
          <w:ilvl w:val="0"/>
          <w:numId w:val="1"/>
        </w:numPr>
        <w:spacing w:line="360" w:lineRule="auto"/>
        <w:ind w:hanging="636"/>
        <w:contextualSpacing/>
        <w:jc w:val="both"/>
        <w:rPr>
          <w:rFonts w:ascii="FrankRuehl" w:hAnsi="FrankRuehl" w:cs="FrankRuehl"/>
          <w:sz w:val="28"/>
          <w:szCs w:val="28"/>
        </w:rPr>
      </w:pPr>
      <w:r w:rsidRPr="00C91D75">
        <w:rPr>
          <w:rFonts w:ascii="Miriam" w:eastAsia="Calibri" w:hAnsi="Miriam" w:cs="Miriam"/>
          <w:rtl/>
        </w:rPr>
        <w:t>מדיניות הענישה הנהוגה</w:t>
      </w:r>
      <w:r w:rsidRPr="00C91D75">
        <w:rPr>
          <w:rFonts w:ascii="FrankRuehl" w:eastAsia="Calibri" w:hAnsi="FrankRuehl" w:cs="FrankRuehl"/>
          <w:sz w:val="28"/>
          <w:szCs w:val="28"/>
          <w:rtl/>
        </w:rPr>
        <w:t xml:space="preserve">: לאחר בחינת הפסיקה אליה הפנו הצדדים, לרבות פסיקה נוספת שחלקה התייחס לעבירה בנסיבות חמורות או מקלות יותר (כמות הסם, ביצוען של עבירות נוספות, וכו'), וכן בהתחשב גם בנסיבות ביצוע העבירה לפנינו, סבורני כי מתחם הענישה אליו עתרה המאשימה, הוא סביר ומאוזן, כך שהוא </w:t>
      </w:r>
      <w:r w:rsidRPr="00C91D75">
        <w:rPr>
          <w:rFonts w:ascii="Miriam" w:eastAsia="Calibri" w:hAnsi="Miriam" w:cs="Miriam"/>
          <w:rtl/>
        </w:rPr>
        <w:t>נע בין מספר חודשי מאסר שניתן לרצות בעבודות שירות ועד שנת מאסר מאחורי סורג ובריח, זאת לצד ענישה נלווית</w:t>
      </w:r>
      <w:r w:rsidRPr="00C91D75">
        <w:rPr>
          <w:rFonts w:ascii="FrankRuehl" w:eastAsia="Calibri" w:hAnsi="FrankRuehl" w:cs="FrankRuehl"/>
          <w:sz w:val="28"/>
          <w:szCs w:val="28"/>
          <w:rtl/>
        </w:rPr>
        <w:t>. אכן, ההגנה הפנתה לפסיקה שמצביעה על ענישה מקלה יותר, אך כל מקרה נבחן לגופו ונסיבותיו ולא מצאתי בה כדי להשליך על ענייננו.</w:t>
      </w:r>
    </w:p>
    <w:p w14:paraId="1D0D5BA8" w14:textId="77777777" w:rsidR="00C91D75" w:rsidRDefault="00C91D75" w:rsidP="00C91D75">
      <w:pPr>
        <w:pStyle w:val="a9"/>
        <w:spacing w:after="0" w:line="360" w:lineRule="auto"/>
        <w:rPr>
          <w:rFonts w:ascii="FrankRuehl" w:hAnsi="FrankRuehl" w:cs="FrankRuehl"/>
          <w:sz w:val="28"/>
          <w:szCs w:val="28"/>
        </w:rPr>
      </w:pPr>
    </w:p>
    <w:p w14:paraId="24820EE7" w14:textId="77777777" w:rsidR="00C91D75" w:rsidRPr="00C91D75" w:rsidRDefault="00C91D75" w:rsidP="00C91D75">
      <w:pPr>
        <w:spacing w:line="360" w:lineRule="auto"/>
        <w:ind w:left="720"/>
        <w:contextualSpacing/>
        <w:jc w:val="both"/>
        <w:rPr>
          <w:rFonts w:ascii="FrankRuehl" w:eastAsia="Calibri" w:hAnsi="FrankRuehl" w:cs="FrankRuehl"/>
          <w:sz w:val="28"/>
          <w:szCs w:val="28"/>
        </w:rPr>
      </w:pPr>
      <w:r w:rsidRPr="00C91D75">
        <w:rPr>
          <w:rFonts w:ascii="FrankRuehl" w:eastAsia="Calibri" w:hAnsi="FrankRuehl" w:cs="FrankRuehl"/>
          <w:sz w:val="28"/>
          <w:szCs w:val="28"/>
          <w:rtl/>
        </w:rPr>
        <w:t xml:space="preserve">לקביעת המתחם לעיל, ראו והשוו עם הפסיקה הבאה בשינויים </w:t>
      </w:r>
      <w:r w:rsidRPr="00C91D75">
        <w:rPr>
          <w:rFonts w:ascii="FrankRuehl" w:eastAsia="Calibri" w:hAnsi="FrankRuehl" w:cs="FrankRuehl"/>
          <w:sz w:val="28"/>
          <w:szCs w:val="28"/>
          <w:u w:val="single"/>
          <w:rtl/>
        </w:rPr>
        <w:t>המתחייבים</w:t>
      </w:r>
      <w:r w:rsidRPr="00C91D75">
        <w:rPr>
          <w:rFonts w:ascii="FrankRuehl" w:eastAsia="Calibri" w:hAnsi="FrankRuehl" w:cs="FrankRuehl"/>
          <w:sz w:val="28"/>
          <w:szCs w:val="28"/>
          <w:rtl/>
        </w:rPr>
        <w:t>:</w:t>
      </w:r>
      <w:r>
        <w:rPr>
          <w:rFonts w:ascii="FrankRuehl" w:hAnsi="FrankRuehl" w:cs="FrankRuehl"/>
          <w:sz w:val="28"/>
          <w:szCs w:val="28"/>
          <w:rtl/>
        </w:rPr>
        <w:t xml:space="preserve"> </w:t>
      </w:r>
      <w:hyperlink r:id="rId25" w:history="1">
        <w:r w:rsidR="00B067D4" w:rsidRPr="00B067D4">
          <w:rPr>
            <w:rFonts w:ascii="FrankRuehl" w:eastAsia="Calibri" w:hAnsi="FrankRuehl" w:cs="FrankRuehl"/>
            <w:color w:val="0000FF"/>
            <w:sz w:val="28"/>
            <w:szCs w:val="28"/>
            <w:u w:val="single"/>
            <w:rtl/>
          </w:rPr>
          <w:t>רע"פ 1267/23</w:t>
        </w:r>
      </w:hyperlink>
      <w:r w:rsidRPr="00C91D75">
        <w:rPr>
          <w:rFonts w:ascii="FrankRuehl" w:eastAsia="Calibri" w:hAnsi="FrankRuehl" w:cs="FrankRuehl"/>
          <w:sz w:val="28"/>
          <w:szCs w:val="28"/>
          <w:rtl/>
        </w:rPr>
        <w:t xml:space="preserve"> </w:t>
      </w:r>
      <w:r w:rsidRPr="00C91D75">
        <w:rPr>
          <w:rFonts w:ascii="Miriam" w:eastAsia="Calibri" w:hAnsi="Miriam" w:cs="Miriam"/>
          <w:rtl/>
        </w:rPr>
        <w:t>בלקר נ' מדינת ישראל</w:t>
      </w:r>
      <w:r w:rsidRPr="00C91D75">
        <w:rPr>
          <w:rFonts w:ascii="FrankRuehl" w:eastAsia="Calibri" w:hAnsi="FrankRuehl" w:cs="FrankRuehl"/>
          <w:sz w:val="28"/>
          <w:szCs w:val="28"/>
          <w:rtl/>
        </w:rPr>
        <w:t xml:space="preserve"> (6.3.2023); </w:t>
      </w:r>
      <w:hyperlink r:id="rId26" w:history="1">
        <w:r w:rsidR="00B067D4" w:rsidRPr="00B067D4">
          <w:rPr>
            <w:rFonts w:ascii="FrankRuehl" w:eastAsia="Calibri" w:hAnsi="FrankRuehl" w:cs="FrankRuehl"/>
            <w:color w:val="0000FF"/>
            <w:sz w:val="28"/>
            <w:szCs w:val="28"/>
            <w:u w:val="single"/>
            <w:rtl/>
          </w:rPr>
          <w:t>רע"פ 4030/22</w:t>
        </w:r>
      </w:hyperlink>
      <w:r w:rsidRPr="00C91D75">
        <w:rPr>
          <w:rFonts w:ascii="FrankRuehl" w:eastAsia="Calibri" w:hAnsi="FrankRuehl" w:cs="FrankRuehl"/>
          <w:sz w:val="28"/>
          <w:szCs w:val="28"/>
          <w:rtl/>
        </w:rPr>
        <w:t xml:space="preserve"> </w:t>
      </w:r>
      <w:r w:rsidRPr="00C91D75">
        <w:rPr>
          <w:rFonts w:ascii="Miriam" w:eastAsia="Calibri" w:hAnsi="Miriam" w:cs="Miriam"/>
          <w:rtl/>
        </w:rPr>
        <w:t>יפרח נ' מדינת ישראל</w:t>
      </w:r>
      <w:r w:rsidRPr="00C91D75">
        <w:rPr>
          <w:rFonts w:ascii="FrankRuehl" w:eastAsia="Calibri" w:hAnsi="FrankRuehl" w:cs="FrankRuehl"/>
          <w:sz w:val="28"/>
          <w:szCs w:val="28"/>
          <w:rtl/>
        </w:rPr>
        <w:t xml:space="preserve"> (19.6.2022); </w:t>
      </w:r>
      <w:hyperlink r:id="rId27" w:history="1">
        <w:r w:rsidR="00B067D4" w:rsidRPr="00B067D4">
          <w:rPr>
            <w:rFonts w:ascii="FrankRuehl" w:hAnsi="FrankRuehl" w:cs="FrankRuehl"/>
            <w:color w:val="0000FF"/>
            <w:sz w:val="28"/>
            <w:szCs w:val="28"/>
            <w:u w:val="single"/>
            <w:rtl/>
          </w:rPr>
          <w:t>ת.פ. (שלום י-ם) 16441-01-21</w:t>
        </w:r>
      </w:hyperlink>
      <w:r>
        <w:rPr>
          <w:rFonts w:ascii="FrankRuehl" w:hAnsi="FrankRuehl" w:cs="FrankRuehl"/>
          <w:sz w:val="28"/>
          <w:szCs w:val="28"/>
          <w:rtl/>
        </w:rPr>
        <w:t xml:space="preserve">‏ </w:t>
      </w:r>
      <w:r>
        <w:rPr>
          <w:rFonts w:ascii="Miriam" w:hAnsi="Miriam" w:cs="Miriam"/>
          <w:rtl/>
        </w:rPr>
        <w:t>‏מדינת ישראל נ' איסטחרוב</w:t>
      </w:r>
      <w:r>
        <w:rPr>
          <w:rFonts w:ascii="FrankRuehl" w:hAnsi="FrankRuehl" w:cs="FrankRuehl"/>
          <w:sz w:val="28"/>
          <w:szCs w:val="28"/>
          <w:rtl/>
        </w:rPr>
        <w:t xml:space="preserve"> (3.3.2024); </w:t>
      </w:r>
      <w:hyperlink r:id="rId28" w:history="1">
        <w:r w:rsidR="00B067D4" w:rsidRPr="00B067D4">
          <w:rPr>
            <w:rFonts w:ascii="FrankRuehl" w:hAnsi="FrankRuehl" w:cs="FrankRuehl"/>
            <w:color w:val="0000FF"/>
            <w:sz w:val="28"/>
            <w:szCs w:val="28"/>
            <w:u w:val="single"/>
            <w:rtl/>
          </w:rPr>
          <w:t>ת.פ. (שלום נתניה) 43840-06-22</w:t>
        </w:r>
      </w:hyperlink>
      <w:r>
        <w:rPr>
          <w:rFonts w:ascii="FrankRuehl" w:hAnsi="FrankRuehl" w:cs="FrankRuehl"/>
          <w:sz w:val="28"/>
          <w:szCs w:val="28"/>
          <w:rtl/>
        </w:rPr>
        <w:t xml:space="preserve"> </w:t>
      </w:r>
      <w:r>
        <w:rPr>
          <w:rFonts w:ascii="Miriam" w:hAnsi="Miriam" w:cs="Miriam"/>
          <w:rtl/>
        </w:rPr>
        <w:t>מדינת ישראל נ' לוי</w:t>
      </w:r>
      <w:r>
        <w:rPr>
          <w:rFonts w:ascii="FrankRuehl" w:hAnsi="FrankRuehl" w:cs="FrankRuehl"/>
          <w:sz w:val="28"/>
          <w:szCs w:val="28"/>
          <w:rtl/>
        </w:rPr>
        <w:t xml:space="preserve"> (26.12.2023); </w:t>
      </w:r>
      <w:hyperlink r:id="rId29" w:history="1">
        <w:r w:rsidR="00B067D4" w:rsidRPr="00B067D4">
          <w:rPr>
            <w:rFonts w:ascii="FrankRuehl" w:hAnsi="FrankRuehl" w:cs="FrankRuehl"/>
            <w:color w:val="0000FF"/>
            <w:sz w:val="28"/>
            <w:szCs w:val="28"/>
            <w:u w:val="single"/>
            <w:rtl/>
          </w:rPr>
          <w:t>ת.פ. (שלום ב"ש) 61181-02-19</w:t>
        </w:r>
      </w:hyperlink>
      <w:r>
        <w:rPr>
          <w:rFonts w:ascii="FrankRuehl" w:hAnsi="FrankRuehl" w:cs="FrankRuehl"/>
          <w:sz w:val="28"/>
          <w:szCs w:val="28"/>
          <w:rtl/>
        </w:rPr>
        <w:t xml:space="preserve">  </w:t>
      </w:r>
      <w:r>
        <w:rPr>
          <w:rFonts w:ascii="Miriam" w:hAnsi="Miriam" w:cs="Miriam"/>
          <w:rtl/>
        </w:rPr>
        <w:t>מדינת ישראל נ' רובינוב</w:t>
      </w:r>
      <w:r>
        <w:rPr>
          <w:rFonts w:ascii="FrankRuehl" w:hAnsi="FrankRuehl" w:cs="FrankRuehl"/>
          <w:sz w:val="28"/>
          <w:szCs w:val="28"/>
          <w:rtl/>
        </w:rPr>
        <w:t xml:space="preserve"> (30.3.2022); </w:t>
      </w:r>
      <w:hyperlink r:id="rId30" w:history="1">
        <w:r w:rsidR="00B067D4" w:rsidRPr="00B067D4">
          <w:rPr>
            <w:rFonts w:ascii="FrankRuehl" w:hAnsi="FrankRuehl" w:cs="FrankRuehl"/>
            <w:color w:val="0000FF"/>
            <w:sz w:val="28"/>
            <w:szCs w:val="28"/>
            <w:u w:val="single"/>
            <w:rtl/>
          </w:rPr>
          <w:t>ת.פ. (שלום אש') 31276-05-19</w:t>
        </w:r>
      </w:hyperlink>
      <w:r>
        <w:rPr>
          <w:rFonts w:ascii="FrankRuehl" w:hAnsi="FrankRuehl" w:cs="FrankRuehl"/>
          <w:sz w:val="28"/>
          <w:szCs w:val="28"/>
          <w:rtl/>
        </w:rPr>
        <w:t xml:space="preserve">‏ </w:t>
      </w:r>
      <w:r>
        <w:rPr>
          <w:rFonts w:ascii="Miriam" w:hAnsi="Miriam" w:cs="Miriam"/>
          <w:rtl/>
        </w:rPr>
        <w:t>מדינת ישראל נ' סרי</w:t>
      </w:r>
      <w:r>
        <w:rPr>
          <w:rFonts w:ascii="FrankRuehl" w:hAnsi="FrankRuehl" w:cs="FrankRuehl"/>
          <w:sz w:val="28"/>
          <w:szCs w:val="28"/>
          <w:rtl/>
        </w:rPr>
        <w:t xml:space="preserve"> (19.5.2020)).</w:t>
      </w:r>
    </w:p>
    <w:p w14:paraId="2C8289B6" w14:textId="77777777" w:rsidR="00C91D75" w:rsidRDefault="00C91D75" w:rsidP="00C91D75">
      <w:pPr>
        <w:spacing w:line="360" w:lineRule="auto"/>
        <w:jc w:val="both"/>
        <w:rPr>
          <w:rFonts w:ascii="FrankRuehl" w:hAnsi="FrankRuehl" w:cs="FrankRuehl"/>
          <w:sz w:val="20"/>
          <w:szCs w:val="20"/>
        </w:rPr>
      </w:pPr>
    </w:p>
    <w:p w14:paraId="26E9E422" w14:textId="77777777" w:rsidR="00C91D75" w:rsidRPr="00C91D75" w:rsidRDefault="00C91D75" w:rsidP="00C91D75">
      <w:pPr>
        <w:numPr>
          <w:ilvl w:val="0"/>
          <w:numId w:val="1"/>
        </w:numPr>
        <w:spacing w:line="360" w:lineRule="auto"/>
        <w:ind w:left="651" w:hanging="567"/>
        <w:contextualSpacing/>
        <w:jc w:val="both"/>
        <w:rPr>
          <w:rFonts w:ascii="FrankRuehl" w:eastAsia="Calibri" w:hAnsi="FrankRuehl" w:cs="FrankRuehl"/>
          <w:sz w:val="28"/>
          <w:szCs w:val="28"/>
          <w:rtl/>
        </w:rPr>
      </w:pPr>
      <w:r w:rsidRPr="00C91D75">
        <w:rPr>
          <w:rFonts w:ascii="Miriam" w:eastAsia="Calibri" w:hAnsi="Miriam" w:cs="Miriam"/>
          <w:rtl/>
        </w:rPr>
        <w:t>נסיבות שאינן קשורות בביצוע העבירות</w:t>
      </w:r>
      <w:r w:rsidRPr="00C91D75">
        <w:rPr>
          <w:rFonts w:ascii="FrankRuehl" w:eastAsia="Calibri" w:hAnsi="FrankRuehl" w:cs="FrankRuehl"/>
          <w:sz w:val="28"/>
          <w:szCs w:val="28"/>
          <w:rtl/>
        </w:rPr>
        <w:t>: הנאשם בן 30 כיום. הוא היה בן 25 במועד ביצוע העבירה. ניתנת הדעת לגילו הצעיר יחסית אז והיום. כיום, הוא אב לתינוקת ומהווה משענת כלכלית למשפחתו. הוא אף סועד את אמו. לקולת העונש נזקפת העובדה לפיה, הוא נעדר הרשעות קודמות (בשונה מהמצוין בתסקיר). עוד לחיוב, נזקפת עובדת השתדלותו של הנאשם לשמור על יציבות תעסוקתית ואף להתפתח, באופן שבו הוא עמל לרכוש הכשרה מקצועית בתחום ששונה מתחום עיסוקו (נהג משאית, וכיום צוין שהוא עמל להיות בעל הכשרה כנהג מנוף – ראו מוצגים נ/3-1). הנתון האחרון הוא מעודד, ויש בו להצביע על דרך המוטב לפני הנאשם. עוד ניתנת הדעת למצבו הרפואי כפי שנטען על-ידי הסניגור בדיון הטיעונים לעונש והוצג במסמכים הרפואיים (נ/1).</w:t>
      </w:r>
    </w:p>
    <w:p w14:paraId="75E1BE18" w14:textId="77777777" w:rsidR="00C91D75" w:rsidRPr="00C91D75" w:rsidRDefault="00C91D75" w:rsidP="00C91D75">
      <w:pPr>
        <w:spacing w:line="360" w:lineRule="auto"/>
        <w:ind w:left="651"/>
        <w:contextualSpacing/>
        <w:jc w:val="both"/>
        <w:rPr>
          <w:rFonts w:ascii="FrankRuehl" w:eastAsia="Calibri" w:hAnsi="FrankRuehl" w:cs="FrankRuehl"/>
          <w:sz w:val="28"/>
          <w:szCs w:val="28"/>
        </w:rPr>
      </w:pPr>
    </w:p>
    <w:p w14:paraId="7046A570" w14:textId="77777777" w:rsidR="00C91D75" w:rsidRPr="00C91D75" w:rsidRDefault="00C91D75" w:rsidP="00C91D75">
      <w:pPr>
        <w:numPr>
          <w:ilvl w:val="0"/>
          <w:numId w:val="1"/>
        </w:numPr>
        <w:spacing w:line="360" w:lineRule="auto"/>
        <w:ind w:left="651" w:hanging="567"/>
        <w:contextualSpacing/>
        <w:jc w:val="both"/>
        <w:rPr>
          <w:rFonts w:ascii="FrankRuehl" w:eastAsia="Calibri" w:hAnsi="FrankRuehl" w:cs="FrankRuehl"/>
          <w:sz w:val="28"/>
          <w:szCs w:val="28"/>
          <w:rtl/>
        </w:rPr>
      </w:pPr>
      <w:r w:rsidRPr="00C91D75">
        <w:rPr>
          <w:rFonts w:ascii="FrankRuehl" w:eastAsia="Calibri" w:hAnsi="FrankRuehl" w:cs="FrankRuehl"/>
          <w:sz w:val="28"/>
          <w:szCs w:val="28"/>
          <w:rtl/>
        </w:rPr>
        <w:t>אשר למיוחס לו באישום, הנאשם ניהל את ההליך המשפטי תוך הכחשה עקבית של המיוחס לו. ניצני חרטה נשמעו לראשונה רק בדיון הטיעונים לעונש. חרטה כזו לא הובעה לפני עורך התסקיר. הטענה לפיה, דבריו של הנאשם בריאיון לא הובנו כהלכה על-ידי עורך התסקיר, בכל הכבוד, אינה משכנעת. למרות הטעות שבתסקיר לעניין העבר הפלילי, אך להתרשמותי שהוא נימק היטב מדוע לא התרשם מאי-נטילת האחריות על-ידי הנאשם. התסקיר ניתן בסוף חודש 08/2023 ודיון הטיעונים לעונש התקיים כארבעה חודשים לאחר מכן. לא נתבקש על-ידי הנאשם ריאיון חוזר או הבהרה משירות המבחן לפני הטיעונים לעונש. בכל אופן, אף שהנאשם אינו זכאי "להקלה" המגיעה למי שבוחר ליטול אחריות על מעשיו, באופן מלא או חלקי, תוך חיסכון בזמן ובמשאבים, יש לזקוף לקולת העונש, במידה מסוימת, גם את נטילת האחריות המאוחרת, בבחינת "</w:t>
      </w:r>
      <w:r w:rsidRPr="00C91D75">
        <w:rPr>
          <w:rFonts w:ascii="Miriam" w:eastAsia="Calibri" w:hAnsi="Miriam" w:cs="Miriam"/>
          <w:rtl/>
        </w:rPr>
        <w:t>טוב מאוחר מלעולם לא</w:t>
      </w:r>
      <w:r w:rsidRPr="00C91D75">
        <w:rPr>
          <w:rFonts w:ascii="FrankRuehl" w:eastAsia="Calibri" w:hAnsi="FrankRuehl" w:cs="FrankRuehl"/>
          <w:sz w:val="28"/>
          <w:szCs w:val="28"/>
          <w:rtl/>
        </w:rPr>
        <w:t xml:space="preserve">". בהקשר אחרון זה, ניתנת הדעת בגזירת הדין, לכך שעונש אשר יכלול פסילה בפועל של רישיון הנהיגה, יש בו לפגוע באופן משמעותי בפרנסת הנאשם ומשפחתו. </w:t>
      </w:r>
    </w:p>
    <w:p w14:paraId="6145AA4E" w14:textId="77777777" w:rsidR="00C91D75" w:rsidRPr="00C91D75" w:rsidRDefault="00C91D75" w:rsidP="00C91D75">
      <w:pPr>
        <w:spacing w:line="360" w:lineRule="auto"/>
        <w:ind w:left="651"/>
        <w:contextualSpacing/>
        <w:jc w:val="both"/>
        <w:rPr>
          <w:rFonts w:ascii="FrankRuehl" w:eastAsia="Calibri" w:hAnsi="FrankRuehl" w:cs="FrankRuehl"/>
        </w:rPr>
      </w:pPr>
    </w:p>
    <w:p w14:paraId="48A34C79" w14:textId="77777777" w:rsidR="00C91D75" w:rsidRPr="00C91D75" w:rsidRDefault="00C91D75" w:rsidP="00C91D75">
      <w:pPr>
        <w:numPr>
          <w:ilvl w:val="0"/>
          <w:numId w:val="1"/>
        </w:numPr>
        <w:spacing w:line="360" w:lineRule="auto"/>
        <w:ind w:hanging="636"/>
        <w:contextualSpacing/>
        <w:jc w:val="both"/>
        <w:rPr>
          <w:rFonts w:ascii="Miriam" w:eastAsia="Calibri" w:hAnsi="Miriam" w:cs="Miriam"/>
          <w:sz w:val="20"/>
          <w:szCs w:val="20"/>
          <w:u w:val="single"/>
        </w:rPr>
      </w:pPr>
      <w:r w:rsidRPr="00C91D75">
        <w:rPr>
          <w:rFonts w:ascii="FrankRuehl" w:eastAsia="Calibri" w:hAnsi="FrankRuehl" w:cs="FrankRuehl"/>
          <w:sz w:val="28"/>
          <w:szCs w:val="28"/>
          <w:rtl/>
        </w:rPr>
        <w:t>לאחר שקלול האמור לעיל, קובע כי עונשו של הנאשם, יהיה בתוך השליש התחתון במתחם.</w:t>
      </w:r>
    </w:p>
    <w:p w14:paraId="3BB9AB81" w14:textId="77777777" w:rsidR="00C91D75" w:rsidRDefault="00C91D75" w:rsidP="00C91D75">
      <w:pPr>
        <w:spacing w:line="360" w:lineRule="auto"/>
        <w:jc w:val="both"/>
        <w:rPr>
          <w:rFonts w:ascii="Miriam" w:hAnsi="Miriam" w:cs="Miriam"/>
          <w:sz w:val="20"/>
          <w:szCs w:val="20"/>
          <w:u w:val="single"/>
        </w:rPr>
      </w:pPr>
    </w:p>
    <w:p w14:paraId="5CF53CC4" w14:textId="77777777" w:rsidR="00C91D75" w:rsidRDefault="00C91D75" w:rsidP="00C91D75">
      <w:pPr>
        <w:spacing w:line="360" w:lineRule="auto"/>
        <w:jc w:val="both"/>
        <w:rPr>
          <w:rFonts w:ascii="FrankRuehl" w:hAnsi="FrankRuehl" w:cs="FrankRuehl"/>
          <w:sz w:val="28"/>
          <w:szCs w:val="28"/>
        </w:rPr>
      </w:pPr>
      <w:r>
        <w:rPr>
          <w:rFonts w:ascii="Miriam" w:hAnsi="Miriam" w:cs="Miriam"/>
          <w:u w:val="single"/>
          <w:rtl/>
        </w:rPr>
        <w:t>סיכום</w:t>
      </w:r>
    </w:p>
    <w:p w14:paraId="4729214A" w14:textId="77777777" w:rsidR="00C91D75" w:rsidRDefault="00C91D75" w:rsidP="00C91D75">
      <w:pPr>
        <w:spacing w:line="360" w:lineRule="auto"/>
        <w:jc w:val="both"/>
        <w:rPr>
          <w:rFonts w:ascii="FrankRuehl" w:hAnsi="FrankRuehl" w:cs="FrankRuehl"/>
          <w:sz w:val="20"/>
          <w:szCs w:val="20"/>
          <w:rtl/>
        </w:rPr>
      </w:pPr>
    </w:p>
    <w:p w14:paraId="0FEEF7EA" w14:textId="77777777" w:rsidR="00C91D75" w:rsidRPr="00C91D75" w:rsidRDefault="00C91D75" w:rsidP="00C91D75">
      <w:pPr>
        <w:numPr>
          <w:ilvl w:val="0"/>
          <w:numId w:val="1"/>
        </w:numPr>
        <w:spacing w:line="360" w:lineRule="auto"/>
        <w:ind w:hanging="636"/>
        <w:contextualSpacing/>
        <w:jc w:val="both"/>
        <w:rPr>
          <w:rFonts w:ascii="FrankRuehl" w:eastAsia="Calibri" w:hAnsi="FrankRuehl" w:cs="FrankRuehl"/>
          <w:sz w:val="28"/>
          <w:szCs w:val="28"/>
          <w:rtl/>
        </w:rPr>
      </w:pPr>
      <w:r w:rsidRPr="00C91D75">
        <w:rPr>
          <w:rFonts w:ascii="FrankRuehl" w:eastAsia="Calibri" w:hAnsi="FrankRuehl" w:cs="FrankRuehl"/>
          <w:sz w:val="28"/>
          <w:szCs w:val="28"/>
          <w:rtl/>
        </w:rPr>
        <w:t>לאור האמור, משית על הנאשם את העונשים הבאים:</w:t>
      </w:r>
    </w:p>
    <w:p w14:paraId="5DA9924A" w14:textId="77777777" w:rsidR="00C91D75" w:rsidRPr="00C91D75" w:rsidRDefault="00C91D75" w:rsidP="00C91D75">
      <w:pPr>
        <w:spacing w:line="360" w:lineRule="auto"/>
        <w:ind w:left="720"/>
        <w:contextualSpacing/>
        <w:jc w:val="both"/>
        <w:rPr>
          <w:rFonts w:ascii="FrankRuehl" w:eastAsia="Calibri" w:hAnsi="FrankRuehl" w:cs="FrankRuehl"/>
          <w:sz w:val="20"/>
          <w:szCs w:val="20"/>
        </w:rPr>
      </w:pPr>
    </w:p>
    <w:p w14:paraId="4D5E0942" w14:textId="77777777" w:rsidR="00C91D75" w:rsidRDefault="00C91D75" w:rsidP="00C91D75">
      <w:pPr>
        <w:pStyle w:val="a9"/>
        <w:numPr>
          <w:ilvl w:val="0"/>
          <w:numId w:val="2"/>
        </w:numPr>
        <w:spacing w:after="0" w:line="360" w:lineRule="auto"/>
        <w:ind w:left="1360" w:hanging="567"/>
        <w:jc w:val="both"/>
        <w:rPr>
          <w:rFonts w:ascii="FrankRuehl" w:hAnsi="FrankRuehl" w:cs="FrankRuehl"/>
          <w:sz w:val="28"/>
          <w:szCs w:val="28"/>
          <w:rtl/>
        </w:rPr>
      </w:pPr>
      <w:r>
        <w:rPr>
          <w:rFonts w:ascii="FrankRuehl" w:hAnsi="FrankRuehl" w:cs="FrankRuehl"/>
          <w:sz w:val="28"/>
          <w:szCs w:val="28"/>
          <w:rtl/>
        </w:rPr>
        <w:t xml:space="preserve">ארבעה חודשי מאסר אשר יכול וירוצו בעבודות שירות. ריצוי העונש יחל </w:t>
      </w:r>
      <w:r>
        <w:rPr>
          <w:rFonts w:ascii="FrankRuehl" w:hAnsi="FrankRuehl" w:cs="FrankRuehl"/>
          <w:sz w:val="28"/>
          <w:szCs w:val="28"/>
          <w:u w:val="single"/>
          <w:rtl/>
        </w:rPr>
        <w:t>ביום 16.5.2024</w:t>
      </w:r>
      <w:r>
        <w:rPr>
          <w:rFonts w:ascii="FrankRuehl" w:hAnsi="FrankRuehl" w:cs="FrankRuehl"/>
          <w:sz w:val="28"/>
          <w:szCs w:val="28"/>
          <w:rtl/>
        </w:rPr>
        <w:t>, זאת לפי חוות דעתו של הממונה מיום 19.3.2024. מוזהר הנאשם בכך, כי אם לא יעמוד בהוראות הממונה כלשונן וכמשמען, הוא ירצה את יתרת עונשו מאחורי סורג ובריח.</w:t>
      </w:r>
    </w:p>
    <w:p w14:paraId="2B9603CB" w14:textId="77777777" w:rsidR="00C91D75" w:rsidRDefault="00C91D75" w:rsidP="00C91D75">
      <w:pPr>
        <w:pStyle w:val="a9"/>
        <w:spacing w:after="0" w:line="360" w:lineRule="auto"/>
        <w:ind w:left="1360"/>
        <w:jc w:val="both"/>
        <w:rPr>
          <w:rFonts w:ascii="FrankRuehl" w:hAnsi="FrankRuehl" w:cs="FrankRuehl"/>
          <w:sz w:val="20"/>
          <w:szCs w:val="20"/>
        </w:rPr>
      </w:pPr>
    </w:p>
    <w:p w14:paraId="351C3BEB" w14:textId="77777777" w:rsidR="00C91D75" w:rsidRDefault="00C91D75" w:rsidP="00C91D75">
      <w:pPr>
        <w:pStyle w:val="a9"/>
        <w:numPr>
          <w:ilvl w:val="0"/>
          <w:numId w:val="2"/>
        </w:numPr>
        <w:spacing w:after="0" w:line="360" w:lineRule="auto"/>
        <w:ind w:left="1360" w:hanging="567"/>
        <w:jc w:val="both"/>
        <w:rPr>
          <w:rFonts w:ascii="FrankRuehl" w:hAnsi="FrankRuehl" w:cs="FrankRuehl"/>
          <w:sz w:val="28"/>
          <w:szCs w:val="28"/>
        </w:rPr>
      </w:pPr>
      <w:r>
        <w:rPr>
          <w:rFonts w:ascii="FrankRuehl" w:hAnsi="FrankRuehl" w:cs="FrankRuehl"/>
          <w:sz w:val="28"/>
          <w:szCs w:val="28"/>
          <w:rtl/>
        </w:rPr>
        <w:t>ארבעה חודשי מאסר, זאת ככל שיעבור הנאשם עבירת סמים, תוך שלוש שנים מהיום.</w:t>
      </w:r>
    </w:p>
    <w:p w14:paraId="1733708E" w14:textId="77777777" w:rsidR="00C91D75" w:rsidRDefault="00C91D75" w:rsidP="00C91D75">
      <w:pPr>
        <w:pStyle w:val="a9"/>
        <w:spacing w:after="0" w:line="360" w:lineRule="auto"/>
        <w:rPr>
          <w:rFonts w:ascii="FrankRuehl" w:hAnsi="FrankRuehl" w:cs="FrankRuehl"/>
          <w:color w:val="000000"/>
          <w:sz w:val="20"/>
          <w:szCs w:val="20"/>
        </w:rPr>
      </w:pPr>
    </w:p>
    <w:p w14:paraId="2B71A452" w14:textId="77777777" w:rsidR="00C91D75" w:rsidRDefault="00C91D75" w:rsidP="00C91D75">
      <w:pPr>
        <w:pStyle w:val="a9"/>
        <w:numPr>
          <w:ilvl w:val="0"/>
          <w:numId w:val="2"/>
        </w:numPr>
        <w:spacing w:after="0" w:line="360" w:lineRule="auto"/>
        <w:ind w:left="1360" w:hanging="567"/>
        <w:jc w:val="both"/>
        <w:rPr>
          <w:rFonts w:ascii="FrankRuehl" w:hAnsi="FrankRuehl" w:cs="FrankRuehl"/>
          <w:sz w:val="28"/>
          <w:szCs w:val="28"/>
        </w:rPr>
      </w:pPr>
      <w:r>
        <w:rPr>
          <w:rFonts w:ascii="FrankRuehl" w:hAnsi="FrankRuehl" w:cs="FrankRuehl"/>
          <w:color w:val="000000"/>
          <w:sz w:val="28"/>
          <w:szCs w:val="28"/>
          <w:rtl/>
        </w:rPr>
        <w:t xml:space="preserve">הנאשם ייפסל מלהחזיק רישיון נהיגה למשך שישה חודשים, זאת ככל שיעבור עבירת סמים תוך </w:t>
      </w:r>
      <w:r>
        <w:rPr>
          <w:rFonts w:ascii="FrankRuehl" w:hAnsi="FrankRuehl" w:cs="FrankRuehl" w:hint="cs"/>
          <w:color w:val="000000"/>
          <w:sz w:val="28"/>
          <w:szCs w:val="28"/>
          <w:rtl/>
        </w:rPr>
        <w:t>שנתיים</w:t>
      </w:r>
      <w:r>
        <w:rPr>
          <w:rFonts w:ascii="FrankRuehl" w:hAnsi="FrankRuehl" w:cs="FrankRuehl"/>
          <w:color w:val="000000"/>
          <w:sz w:val="28"/>
          <w:szCs w:val="28"/>
          <w:rtl/>
        </w:rPr>
        <w:t xml:space="preserve"> מהיום.</w:t>
      </w:r>
    </w:p>
    <w:p w14:paraId="41B9A220" w14:textId="77777777" w:rsidR="00C91D75" w:rsidRDefault="00C91D75" w:rsidP="00C91D75">
      <w:pPr>
        <w:pStyle w:val="a9"/>
        <w:spacing w:after="0" w:line="360" w:lineRule="auto"/>
        <w:rPr>
          <w:rFonts w:ascii="FrankRuehl" w:hAnsi="FrankRuehl" w:cs="FrankRuehl"/>
          <w:sz w:val="20"/>
          <w:szCs w:val="20"/>
        </w:rPr>
      </w:pPr>
    </w:p>
    <w:p w14:paraId="098D7248" w14:textId="77777777" w:rsidR="00C91D75" w:rsidRDefault="00C91D75" w:rsidP="00C91D75">
      <w:pPr>
        <w:pStyle w:val="a9"/>
        <w:numPr>
          <w:ilvl w:val="0"/>
          <w:numId w:val="2"/>
        </w:numPr>
        <w:spacing w:after="0" w:line="360" w:lineRule="auto"/>
        <w:ind w:left="1360" w:hanging="567"/>
        <w:jc w:val="both"/>
        <w:rPr>
          <w:rFonts w:ascii="FrankRuehl" w:hAnsi="FrankRuehl" w:cs="FrankRuehl"/>
          <w:sz w:val="28"/>
          <w:szCs w:val="28"/>
          <w:rtl/>
        </w:rPr>
      </w:pPr>
      <w:r>
        <w:rPr>
          <w:rFonts w:ascii="FrankRuehl" w:hAnsi="FrankRuehl" w:cs="FrankRuehl"/>
          <w:sz w:val="28"/>
          <w:szCs w:val="28"/>
          <w:rtl/>
        </w:rPr>
        <w:t xml:space="preserve">משית על הנאשם קנס בסך 5,000 ₪ או 30 ימי מאסר תמורתו. הקנס ישולם ב-10 תשלומים חודשיים שווים ועוקבים, </w:t>
      </w:r>
      <w:r>
        <w:rPr>
          <w:rFonts w:ascii="FrankRuehl" w:hAnsi="FrankRuehl" w:cs="FrankRuehl"/>
          <w:sz w:val="28"/>
          <w:szCs w:val="28"/>
          <w:u w:val="single"/>
          <w:rtl/>
        </w:rPr>
        <w:t>החל מיום 1.5.2024</w:t>
      </w:r>
      <w:r>
        <w:rPr>
          <w:rFonts w:ascii="FrankRuehl" w:hAnsi="FrankRuehl" w:cs="FrankRuehl"/>
          <w:sz w:val="28"/>
          <w:szCs w:val="28"/>
          <w:rtl/>
        </w:rPr>
        <w:t>, ובכל יום הראשון של החודש העוקב. הקנס ישולם באמצעות רשות האכיפה והגבייה, בטלפון, באינטרנט או במזומן (בדואר). באחריות הנאשם ליצור קשר עם הרשות בטלפונים (35592* או  073-2055000).</w:t>
      </w:r>
    </w:p>
    <w:p w14:paraId="1265E0AB" w14:textId="77777777" w:rsidR="00C91D75" w:rsidRDefault="00C91D75" w:rsidP="00C91D75">
      <w:pPr>
        <w:pStyle w:val="a9"/>
        <w:spacing w:after="0" w:line="360" w:lineRule="auto"/>
        <w:rPr>
          <w:rFonts w:ascii="FrankRuehl" w:hAnsi="FrankRuehl" w:cs="FrankRuehl"/>
          <w:sz w:val="20"/>
          <w:szCs w:val="20"/>
        </w:rPr>
      </w:pPr>
    </w:p>
    <w:p w14:paraId="6968AF8C" w14:textId="77777777" w:rsidR="00C91D75" w:rsidRDefault="00C91D75" w:rsidP="00C91D75">
      <w:pPr>
        <w:pStyle w:val="a9"/>
        <w:numPr>
          <w:ilvl w:val="0"/>
          <w:numId w:val="2"/>
        </w:numPr>
        <w:spacing w:after="0" w:line="360" w:lineRule="auto"/>
        <w:ind w:left="1360" w:hanging="567"/>
        <w:jc w:val="both"/>
        <w:rPr>
          <w:rFonts w:ascii="FrankRuehl" w:hAnsi="FrankRuehl" w:cs="FrankRuehl"/>
          <w:sz w:val="28"/>
          <w:szCs w:val="28"/>
          <w:rtl/>
        </w:rPr>
      </w:pPr>
      <w:r>
        <w:rPr>
          <w:rFonts w:ascii="FrankRuehl" w:hAnsi="FrankRuehl" w:cs="FrankRuehl"/>
          <w:sz w:val="28"/>
          <w:szCs w:val="28"/>
          <w:rtl/>
        </w:rPr>
        <w:t>הנאשם יתחייב לשלם סך 10,000 ₪ זאת ככל שיעבור עבירת סמים תוך שנתיים מהיום.</w:t>
      </w:r>
    </w:p>
    <w:p w14:paraId="70238D3C" w14:textId="77777777" w:rsidR="00C91D75" w:rsidRDefault="00C91D75" w:rsidP="00C91D75">
      <w:pPr>
        <w:spacing w:line="360" w:lineRule="auto"/>
        <w:rPr>
          <w:rFonts w:ascii="FrankRuehl" w:hAnsi="FrankRuehl" w:cs="FrankRuehl"/>
          <w:sz w:val="20"/>
          <w:szCs w:val="20"/>
        </w:rPr>
      </w:pPr>
    </w:p>
    <w:p w14:paraId="1EEE2EE9" w14:textId="77777777" w:rsidR="00C91D75" w:rsidRPr="00C91D75" w:rsidRDefault="00C91D75" w:rsidP="00C91D75">
      <w:pPr>
        <w:numPr>
          <w:ilvl w:val="0"/>
          <w:numId w:val="1"/>
        </w:numPr>
        <w:spacing w:line="360" w:lineRule="auto"/>
        <w:ind w:hanging="636"/>
        <w:contextualSpacing/>
        <w:jc w:val="both"/>
        <w:rPr>
          <w:rFonts w:ascii="FrankRuehl" w:eastAsia="Calibri" w:hAnsi="FrankRuehl" w:cs="FrankRuehl"/>
          <w:sz w:val="28"/>
          <w:szCs w:val="28"/>
          <w:rtl/>
        </w:rPr>
      </w:pPr>
      <w:r w:rsidRPr="00C91D75">
        <w:rPr>
          <w:rFonts w:ascii="FrankRuehl" w:eastAsia="Calibri" w:hAnsi="FrankRuehl" w:cs="FrankRuehl"/>
          <w:sz w:val="28"/>
          <w:szCs w:val="28"/>
          <w:rtl/>
        </w:rPr>
        <w:t xml:space="preserve">הנאשם יתאם את תחילת ריצוי עונשו עם יחידת ברקאי (עבודות שירות), שלוחת דרום, סמוך לכלא באר שבע, טלפון: 074-7831218, פקס: 08-9193006, דוא"ל: </w:t>
      </w:r>
      <w:r w:rsidRPr="00C91D75">
        <w:rPr>
          <w:rFonts w:ascii="FrankRuehl" w:eastAsia="Calibri" w:hAnsi="FrankRuehl" w:cs="FrankRuehl"/>
          <w:sz w:val="28"/>
          <w:szCs w:val="28"/>
        </w:rPr>
        <w:t>avshdarom@ips.gov.il</w:t>
      </w:r>
      <w:r w:rsidRPr="00C91D75">
        <w:rPr>
          <w:rFonts w:ascii="FrankRuehl" w:eastAsia="Calibri" w:hAnsi="FrankRuehl" w:cs="FrankRuehl"/>
          <w:sz w:val="28"/>
          <w:szCs w:val="28"/>
          <w:rtl/>
        </w:rPr>
        <w:t>. ככל שלא יקבל הנחיה אחרת, יתייצב הנאשם ביום 16.5.2024 בשעה 08:00 בכתובת היחידה האמור כשהוא מצויד בגזר הדין.</w:t>
      </w:r>
    </w:p>
    <w:p w14:paraId="328A5AB7" w14:textId="77777777" w:rsidR="00C91D75" w:rsidRPr="00C91D75" w:rsidRDefault="00C91D75" w:rsidP="00C91D75">
      <w:pPr>
        <w:spacing w:line="360" w:lineRule="auto"/>
        <w:ind w:left="720"/>
        <w:contextualSpacing/>
        <w:rPr>
          <w:rFonts w:ascii="FrankRuehl" w:eastAsia="Calibri" w:hAnsi="FrankRuehl" w:cs="FrankRuehl"/>
          <w:sz w:val="28"/>
          <w:szCs w:val="28"/>
        </w:rPr>
      </w:pPr>
    </w:p>
    <w:p w14:paraId="00C6EF8F" w14:textId="77777777" w:rsidR="00C91D75" w:rsidRPr="00C91D75" w:rsidRDefault="00C91D75" w:rsidP="00C91D75">
      <w:pPr>
        <w:numPr>
          <w:ilvl w:val="0"/>
          <w:numId w:val="1"/>
        </w:numPr>
        <w:spacing w:line="360" w:lineRule="auto"/>
        <w:ind w:hanging="636"/>
        <w:contextualSpacing/>
        <w:jc w:val="both"/>
        <w:rPr>
          <w:rFonts w:ascii="FrankRuehl" w:eastAsia="Calibri" w:hAnsi="FrankRuehl" w:cs="FrankRuehl"/>
          <w:sz w:val="28"/>
          <w:szCs w:val="28"/>
          <w:rtl/>
        </w:rPr>
      </w:pPr>
      <w:r w:rsidRPr="00C91D75">
        <w:rPr>
          <w:rFonts w:ascii="FrankRuehl" w:eastAsia="Calibri" w:hAnsi="FrankRuehl" w:cs="FrankRuehl"/>
          <w:sz w:val="28"/>
          <w:szCs w:val="28"/>
          <w:rtl/>
        </w:rPr>
        <w:t>ניתן בזאת צו כללי להשמדת הסמים שנתפסו בחקירה, הכל לפי שיקול דעת קצין.</w:t>
      </w:r>
    </w:p>
    <w:p w14:paraId="6AE0E297" w14:textId="77777777" w:rsidR="00C91D75" w:rsidRDefault="00C91D75" w:rsidP="00C91D75">
      <w:pPr>
        <w:spacing w:line="360" w:lineRule="auto"/>
        <w:jc w:val="both"/>
        <w:rPr>
          <w:rFonts w:ascii="FrankRuehl" w:hAnsi="FrankRuehl" w:cs="FrankRuehl"/>
          <w:sz w:val="20"/>
          <w:szCs w:val="20"/>
        </w:rPr>
      </w:pPr>
    </w:p>
    <w:p w14:paraId="5061AA0D" w14:textId="77777777" w:rsidR="00C91D75" w:rsidRDefault="00C91D75" w:rsidP="00C91D75">
      <w:pPr>
        <w:spacing w:line="360" w:lineRule="auto"/>
        <w:jc w:val="both"/>
        <w:rPr>
          <w:rFonts w:ascii="FrankRuehl" w:hAnsi="FrankRuehl" w:cs="FrankRuehl"/>
          <w:sz w:val="28"/>
          <w:szCs w:val="28"/>
          <w:rtl/>
        </w:rPr>
      </w:pPr>
      <w:r>
        <w:rPr>
          <w:rFonts w:ascii="FrankRuehl" w:hAnsi="FrankRuehl" w:cs="FrankRuehl"/>
          <w:sz w:val="28"/>
          <w:szCs w:val="28"/>
          <w:rtl/>
        </w:rPr>
        <w:t>זכות ערעור לבית המשפט המחוזי בירושלים תוך 45 יום.</w:t>
      </w:r>
    </w:p>
    <w:p w14:paraId="4DC58904" w14:textId="77777777" w:rsidR="00C91D75" w:rsidRPr="00B067D4" w:rsidRDefault="00B067D4" w:rsidP="00C91D75">
      <w:pPr>
        <w:spacing w:line="360" w:lineRule="auto"/>
        <w:jc w:val="both"/>
        <w:rPr>
          <w:rFonts w:ascii="FrankRuehl" w:hAnsi="FrankRuehl" w:cs="FrankRuehl"/>
          <w:color w:val="FFFFFF"/>
          <w:sz w:val="2"/>
          <w:szCs w:val="2"/>
        </w:rPr>
      </w:pPr>
      <w:r w:rsidRPr="00B067D4">
        <w:rPr>
          <w:rFonts w:ascii="FrankRuehl" w:hAnsi="FrankRuehl" w:cs="FrankRuehl"/>
          <w:color w:val="FFFFFF"/>
          <w:sz w:val="2"/>
          <w:szCs w:val="2"/>
          <w:rtl/>
        </w:rPr>
        <w:t>5129371</w:t>
      </w:r>
    </w:p>
    <w:p w14:paraId="2E26458E" w14:textId="77777777" w:rsidR="00C91D75" w:rsidRDefault="00B067D4" w:rsidP="00C91D75">
      <w:pPr>
        <w:spacing w:line="360" w:lineRule="auto"/>
        <w:jc w:val="both"/>
        <w:rPr>
          <w:rFonts w:ascii="FrankRuehl" w:hAnsi="FrankRuehl" w:cs="FrankRuehl"/>
          <w:sz w:val="28"/>
          <w:szCs w:val="28"/>
        </w:rPr>
      </w:pPr>
      <w:r w:rsidRPr="00B067D4">
        <w:rPr>
          <w:rFonts w:ascii="FrankRuehl" w:hAnsi="FrankRuehl" w:cs="FrankRuehl"/>
          <w:color w:val="FFFFFF"/>
          <w:sz w:val="2"/>
          <w:szCs w:val="2"/>
          <w:u w:val="single"/>
          <w:rtl/>
        </w:rPr>
        <w:t>54678313</w:t>
      </w:r>
      <w:r w:rsidR="00C91D75">
        <w:rPr>
          <w:rFonts w:ascii="FrankRuehl" w:hAnsi="FrankRuehl" w:cs="FrankRuehl"/>
          <w:sz w:val="28"/>
          <w:szCs w:val="28"/>
          <w:u w:val="single"/>
          <w:rtl/>
        </w:rPr>
        <w:t>המזכירות – להודיע לממונה ולשירות המבחן בהתאם.</w:t>
      </w:r>
    </w:p>
    <w:p w14:paraId="0D473008" w14:textId="77777777" w:rsidR="00C91D75" w:rsidRPr="000F2247" w:rsidRDefault="00C91D75" w:rsidP="00C91D75">
      <w:pPr>
        <w:rPr>
          <w:rFonts w:ascii="Arial" w:hAnsi="Arial"/>
          <w:b/>
          <w:bCs/>
          <w:sz w:val="26"/>
          <w:szCs w:val="26"/>
          <w:rtl/>
        </w:rPr>
      </w:pPr>
    </w:p>
    <w:p w14:paraId="7F0A5568" w14:textId="77777777" w:rsidR="00C91D75" w:rsidRPr="000F2247" w:rsidRDefault="00B067D4" w:rsidP="00C91D75">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ט' ניסן תשפ"ד, 17 אפריל 2024, במעמד הצדדים. </w:t>
      </w:r>
      <w:bookmarkEnd w:id="9"/>
      <w:r w:rsidR="00C91D75">
        <w:rPr>
          <w:rFonts w:ascii="Arial" w:hAnsi="Arial"/>
          <w:b/>
          <w:bCs/>
          <w:sz w:val="26"/>
          <w:szCs w:val="26"/>
          <w:rtl/>
        </w:rPr>
        <w:tab/>
      </w:r>
      <w:r w:rsidR="00C91D75">
        <w:rPr>
          <w:rFonts w:ascii="Arial" w:hAnsi="Arial"/>
          <w:b/>
          <w:bCs/>
          <w:sz w:val="26"/>
          <w:szCs w:val="26"/>
          <w:rtl/>
        </w:rPr>
        <w:tab/>
      </w:r>
      <w:r w:rsidR="00C91D75">
        <w:rPr>
          <w:rFonts w:ascii="Arial" w:hAnsi="Arial"/>
          <w:b/>
          <w:bCs/>
          <w:sz w:val="26"/>
          <w:szCs w:val="26"/>
          <w:rtl/>
        </w:rPr>
        <w:tab/>
      </w:r>
      <w:r w:rsidR="00C91D75">
        <w:rPr>
          <w:rFonts w:ascii="Arial" w:hAnsi="Arial"/>
          <w:b/>
          <w:bCs/>
          <w:sz w:val="26"/>
          <w:szCs w:val="26"/>
          <w:rtl/>
        </w:rPr>
        <w:tab/>
      </w:r>
      <w:r w:rsidR="00C91D75">
        <w:rPr>
          <w:rFonts w:ascii="Arial" w:hAnsi="Arial"/>
          <w:b/>
          <w:bCs/>
          <w:sz w:val="26"/>
          <w:szCs w:val="26"/>
          <w:rtl/>
        </w:rPr>
        <w:tab/>
      </w:r>
      <w:r w:rsidR="00C91D75">
        <w:rPr>
          <w:rFonts w:ascii="Arial" w:hAnsi="Arial"/>
          <w:b/>
          <w:bCs/>
          <w:sz w:val="26"/>
          <w:szCs w:val="26"/>
          <w:rtl/>
        </w:rPr>
        <w:tab/>
      </w:r>
      <w:r w:rsidR="00C91D75">
        <w:rPr>
          <w:rFonts w:ascii="Arial" w:hAnsi="Arial"/>
          <w:b/>
          <w:bCs/>
          <w:sz w:val="26"/>
          <w:szCs w:val="26"/>
          <w:rtl/>
        </w:rPr>
        <w:tab/>
      </w:r>
      <w:r w:rsidR="00C91D75">
        <w:rPr>
          <w:rFonts w:ascii="Arial" w:hAnsi="Arial" w:hint="cs"/>
          <w:b/>
          <w:bCs/>
          <w:sz w:val="26"/>
          <w:szCs w:val="26"/>
          <w:rtl/>
        </w:rPr>
        <w:t xml:space="preserve">         </w:t>
      </w:r>
    </w:p>
    <w:p w14:paraId="4A7B60F4" w14:textId="77777777" w:rsidR="00C91D75" w:rsidRPr="000F2247" w:rsidRDefault="00C91D75" w:rsidP="00B067D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A435950" w14:textId="77777777" w:rsidR="00C91D75" w:rsidRPr="000F2247" w:rsidRDefault="00C91D75" w:rsidP="00C91D75">
      <w:pPr>
        <w:jc w:val="center"/>
        <w:rPr>
          <w:rFonts w:ascii="Arial" w:hAnsi="Arial"/>
          <w:b/>
          <w:bCs/>
          <w:sz w:val="26"/>
          <w:szCs w:val="26"/>
          <w:rtl/>
        </w:rPr>
      </w:pPr>
    </w:p>
    <w:p w14:paraId="04C648C1" w14:textId="77777777" w:rsidR="00876967" w:rsidRPr="00B067D4" w:rsidRDefault="00876967" w:rsidP="00B067D4">
      <w:pPr>
        <w:keepNext/>
        <w:rPr>
          <w:rFonts w:ascii="David" w:hAnsi="David"/>
          <w:color w:val="000000"/>
          <w:sz w:val="22"/>
          <w:szCs w:val="22"/>
          <w:rtl/>
        </w:rPr>
      </w:pPr>
    </w:p>
    <w:p w14:paraId="45E1BCCD" w14:textId="77777777" w:rsidR="00B067D4" w:rsidRPr="00B067D4" w:rsidRDefault="00B067D4" w:rsidP="00B067D4">
      <w:pPr>
        <w:keepNext/>
        <w:rPr>
          <w:rFonts w:ascii="David" w:hAnsi="David"/>
          <w:color w:val="000000"/>
          <w:sz w:val="22"/>
          <w:szCs w:val="22"/>
          <w:rtl/>
        </w:rPr>
      </w:pPr>
      <w:r w:rsidRPr="00B067D4">
        <w:rPr>
          <w:rFonts w:ascii="David" w:hAnsi="David"/>
          <w:color w:val="000000"/>
          <w:sz w:val="22"/>
          <w:szCs w:val="22"/>
          <w:rtl/>
        </w:rPr>
        <w:t>מוחמד חאג' יחיא 54678313</w:t>
      </w:r>
    </w:p>
    <w:p w14:paraId="0014D028" w14:textId="77777777" w:rsidR="00B067D4" w:rsidRDefault="00B067D4" w:rsidP="00B067D4">
      <w:r w:rsidRPr="00B067D4">
        <w:rPr>
          <w:color w:val="000000"/>
          <w:rtl/>
        </w:rPr>
        <w:t>נוסח מסמך זה כפוף לשינויי ניסוח ועריכה</w:t>
      </w:r>
    </w:p>
    <w:p w14:paraId="39822D2D" w14:textId="77777777" w:rsidR="00B067D4" w:rsidRDefault="00B067D4" w:rsidP="00B067D4">
      <w:pPr>
        <w:rPr>
          <w:rtl/>
        </w:rPr>
      </w:pPr>
    </w:p>
    <w:p w14:paraId="520BFC5A" w14:textId="77777777" w:rsidR="00B067D4" w:rsidRDefault="00B067D4" w:rsidP="00B067D4">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30DCEA7A" w14:textId="77777777" w:rsidR="00B067D4" w:rsidRPr="00B067D4" w:rsidRDefault="00B067D4" w:rsidP="00B067D4">
      <w:pPr>
        <w:jc w:val="center"/>
        <w:rPr>
          <w:color w:val="0000FF"/>
          <w:u w:val="single"/>
        </w:rPr>
      </w:pPr>
    </w:p>
    <w:sectPr w:rsidR="00B067D4" w:rsidRPr="00B067D4" w:rsidSect="00B067D4">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907FF" w14:textId="77777777" w:rsidR="001E33FC" w:rsidRDefault="001E33FC" w:rsidP="004B24EF">
      <w:r>
        <w:separator/>
      </w:r>
    </w:p>
  </w:endnote>
  <w:endnote w:type="continuationSeparator" w:id="0">
    <w:p w14:paraId="7730FB27" w14:textId="77777777" w:rsidR="001E33FC" w:rsidRDefault="001E33FC" w:rsidP="004B2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8DB30" w14:textId="77777777" w:rsidR="00B067D4" w:rsidRDefault="00B067D4" w:rsidP="00B067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4D8885" w14:textId="77777777" w:rsidR="00B90DD0" w:rsidRPr="00B067D4" w:rsidRDefault="00B067D4" w:rsidP="00B067D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21188" w14:textId="77777777" w:rsidR="00B067D4" w:rsidRDefault="00B067D4" w:rsidP="00B067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7EA8">
      <w:rPr>
        <w:rFonts w:ascii="FrankRuehl" w:hAnsi="FrankRuehl" w:cs="FrankRuehl"/>
        <w:noProof/>
        <w:rtl/>
      </w:rPr>
      <w:t>1</w:t>
    </w:r>
    <w:r>
      <w:rPr>
        <w:rFonts w:ascii="FrankRuehl" w:hAnsi="FrankRuehl" w:cs="FrankRuehl"/>
        <w:rtl/>
      </w:rPr>
      <w:fldChar w:fldCharType="end"/>
    </w:r>
  </w:p>
  <w:p w14:paraId="731776EE" w14:textId="77777777" w:rsidR="00B90DD0" w:rsidRPr="00B067D4" w:rsidRDefault="00B067D4" w:rsidP="00B067D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573A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067DA" w14:textId="77777777" w:rsidR="001E33FC" w:rsidRDefault="001E33FC" w:rsidP="004B24EF">
      <w:r>
        <w:separator/>
      </w:r>
    </w:p>
  </w:footnote>
  <w:footnote w:type="continuationSeparator" w:id="0">
    <w:p w14:paraId="10078CAA" w14:textId="77777777" w:rsidR="001E33FC" w:rsidRDefault="001E33FC" w:rsidP="004B2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F1AAE" w14:textId="77777777" w:rsidR="00B067D4" w:rsidRPr="00B067D4" w:rsidRDefault="00B067D4" w:rsidP="00B067D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8202-11-19</w:t>
    </w:r>
    <w:r>
      <w:rPr>
        <w:rFonts w:ascii="David" w:hAnsi="David"/>
        <w:color w:val="000000"/>
        <w:sz w:val="22"/>
        <w:szCs w:val="22"/>
        <w:rtl/>
      </w:rPr>
      <w:tab/>
      <w:t xml:space="preserve"> מדינת ישראל נ' בכור נתנילוב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773F0" w14:textId="77777777" w:rsidR="00B067D4" w:rsidRPr="00B067D4" w:rsidRDefault="00B067D4" w:rsidP="00B067D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8202-11-19</w:t>
    </w:r>
    <w:r>
      <w:rPr>
        <w:rFonts w:ascii="David" w:hAnsi="David"/>
        <w:color w:val="000000"/>
        <w:sz w:val="22"/>
        <w:szCs w:val="22"/>
        <w:rtl/>
      </w:rPr>
      <w:tab/>
      <w:t xml:space="preserve"> מדינת ישראל נ' בכור נתנילוב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644B"/>
    <w:multiLevelType w:val="hybridMultilevel"/>
    <w:tmpl w:val="5602097E"/>
    <w:lvl w:ilvl="0" w:tplc="53986A7A">
      <w:start w:val="1"/>
      <w:numFmt w:val="hebrew1"/>
      <w:lvlText w:val="%1)"/>
      <w:lvlJc w:val="left"/>
      <w:pPr>
        <w:ind w:left="1590" w:hanging="360"/>
      </w:pPr>
      <w:rPr>
        <w:rFonts w:eastAsia="Times New Roman"/>
      </w:rPr>
    </w:lvl>
    <w:lvl w:ilvl="1" w:tplc="523E6444">
      <w:start w:val="1"/>
      <w:numFmt w:val="lowerLetter"/>
      <w:lvlText w:val="%2."/>
      <w:lvlJc w:val="left"/>
      <w:pPr>
        <w:ind w:left="2310" w:hanging="360"/>
      </w:pPr>
    </w:lvl>
    <w:lvl w:ilvl="2" w:tplc="1F764544">
      <w:start w:val="1"/>
      <w:numFmt w:val="lowerRoman"/>
      <w:lvlText w:val="%3."/>
      <w:lvlJc w:val="right"/>
      <w:pPr>
        <w:ind w:left="3030" w:hanging="180"/>
      </w:pPr>
    </w:lvl>
    <w:lvl w:ilvl="3" w:tplc="A6386222">
      <w:start w:val="1"/>
      <w:numFmt w:val="decimal"/>
      <w:lvlText w:val="%4."/>
      <w:lvlJc w:val="left"/>
      <w:pPr>
        <w:ind w:left="3750" w:hanging="360"/>
      </w:pPr>
    </w:lvl>
    <w:lvl w:ilvl="4" w:tplc="2A9AA0E4">
      <w:start w:val="1"/>
      <w:numFmt w:val="lowerLetter"/>
      <w:lvlText w:val="%5."/>
      <w:lvlJc w:val="left"/>
      <w:pPr>
        <w:ind w:left="4470" w:hanging="360"/>
      </w:pPr>
    </w:lvl>
    <w:lvl w:ilvl="5" w:tplc="CEEA6262">
      <w:start w:val="1"/>
      <w:numFmt w:val="lowerRoman"/>
      <w:lvlText w:val="%6."/>
      <w:lvlJc w:val="right"/>
      <w:pPr>
        <w:ind w:left="5190" w:hanging="180"/>
      </w:pPr>
    </w:lvl>
    <w:lvl w:ilvl="6" w:tplc="BCA0F656">
      <w:start w:val="1"/>
      <w:numFmt w:val="decimal"/>
      <w:lvlText w:val="%7."/>
      <w:lvlJc w:val="left"/>
      <w:pPr>
        <w:ind w:left="5910" w:hanging="360"/>
      </w:pPr>
    </w:lvl>
    <w:lvl w:ilvl="7" w:tplc="0B5C2312">
      <w:start w:val="1"/>
      <w:numFmt w:val="lowerLetter"/>
      <w:lvlText w:val="%8."/>
      <w:lvlJc w:val="left"/>
      <w:pPr>
        <w:ind w:left="6630" w:hanging="360"/>
      </w:pPr>
    </w:lvl>
    <w:lvl w:ilvl="8" w:tplc="AFACDFD4">
      <w:start w:val="1"/>
      <w:numFmt w:val="lowerRoman"/>
      <w:lvlText w:val="%9."/>
      <w:lvlJc w:val="right"/>
      <w:pPr>
        <w:ind w:left="7350" w:hanging="180"/>
      </w:pPr>
    </w:lvl>
  </w:abstractNum>
  <w:abstractNum w:abstractNumId="1" w15:restartNumberingAfterBreak="0">
    <w:nsid w:val="0C1F21BF"/>
    <w:multiLevelType w:val="hybridMultilevel"/>
    <w:tmpl w:val="FCAAC240"/>
    <w:lvl w:ilvl="0" w:tplc="791CC2A6">
      <w:start w:val="1"/>
      <w:numFmt w:val="decimal"/>
      <w:lvlText w:val="%1)"/>
      <w:lvlJc w:val="left"/>
      <w:pPr>
        <w:ind w:left="720" w:hanging="360"/>
      </w:pPr>
      <w:rPr>
        <w:rFonts w:ascii="FrankRuehl" w:hAnsi="FrankRuehl" w:cs="FrankRuehl" w:hint="default"/>
        <w:sz w:val="28"/>
        <w:szCs w:val="28"/>
        <w:lang w:val="en-US"/>
      </w:rPr>
    </w:lvl>
    <w:lvl w:ilvl="1" w:tplc="D9CC0C30">
      <w:start w:val="1"/>
      <w:numFmt w:val="lowerLetter"/>
      <w:lvlText w:val="%2."/>
      <w:lvlJc w:val="left"/>
      <w:pPr>
        <w:ind w:left="1440" w:hanging="360"/>
      </w:pPr>
    </w:lvl>
    <w:lvl w:ilvl="2" w:tplc="FC68BD2C">
      <w:start w:val="1"/>
      <w:numFmt w:val="lowerRoman"/>
      <w:lvlText w:val="%3."/>
      <w:lvlJc w:val="right"/>
      <w:pPr>
        <w:ind w:left="2160" w:hanging="180"/>
      </w:pPr>
    </w:lvl>
    <w:lvl w:ilvl="3" w:tplc="C8BC6074">
      <w:start w:val="1"/>
      <w:numFmt w:val="decimal"/>
      <w:lvlText w:val="%4."/>
      <w:lvlJc w:val="left"/>
      <w:pPr>
        <w:ind w:left="2880" w:hanging="360"/>
      </w:pPr>
    </w:lvl>
    <w:lvl w:ilvl="4" w:tplc="DBF6FB28">
      <w:start w:val="1"/>
      <w:numFmt w:val="lowerLetter"/>
      <w:lvlText w:val="%5."/>
      <w:lvlJc w:val="left"/>
      <w:pPr>
        <w:ind w:left="3600" w:hanging="360"/>
      </w:pPr>
    </w:lvl>
    <w:lvl w:ilvl="5" w:tplc="EAEAB804">
      <w:start w:val="1"/>
      <w:numFmt w:val="lowerRoman"/>
      <w:lvlText w:val="%6."/>
      <w:lvlJc w:val="right"/>
      <w:pPr>
        <w:ind w:left="4320" w:hanging="180"/>
      </w:pPr>
    </w:lvl>
    <w:lvl w:ilvl="6" w:tplc="0A0231C8">
      <w:start w:val="1"/>
      <w:numFmt w:val="decimal"/>
      <w:lvlText w:val="%7."/>
      <w:lvlJc w:val="left"/>
      <w:pPr>
        <w:ind w:left="5040" w:hanging="360"/>
      </w:pPr>
    </w:lvl>
    <w:lvl w:ilvl="7" w:tplc="3B50D0CC">
      <w:start w:val="1"/>
      <w:numFmt w:val="lowerLetter"/>
      <w:lvlText w:val="%8."/>
      <w:lvlJc w:val="left"/>
      <w:pPr>
        <w:ind w:left="5760" w:hanging="360"/>
      </w:pPr>
    </w:lvl>
    <w:lvl w:ilvl="8" w:tplc="98CA2BDA">
      <w:start w:val="1"/>
      <w:numFmt w:val="lowerRoman"/>
      <w:lvlText w:val="%9."/>
      <w:lvlJc w:val="right"/>
      <w:pPr>
        <w:ind w:left="6480" w:hanging="180"/>
      </w:pPr>
    </w:lvl>
  </w:abstractNum>
  <w:num w:numId="1" w16cid:durableId="19407185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0622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91D75"/>
    <w:rsid w:val="000B074E"/>
    <w:rsid w:val="001B5A3B"/>
    <w:rsid w:val="001E33FC"/>
    <w:rsid w:val="00307EA8"/>
    <w:rsid w:val="003D6599"/>
    <w:rsid w:val="004B24EF"/>
    <w:rsid w:val="00876967"/>
    <w:rsid w:val="008A06E2"/>
    <w:rsid w:val="00911506"/>
    <w:rsid w:val="009C4002"/>
    <w:rsid w:val="00B067D4"/>
    <w:rsid w:val="00B90DD0"/>
    <w:rsid w:val="00C91D75"/>
    <w:rsid w:val="00E04F4E"/>
    <w:rsid w:val="00E54052"/>
    <w:rsid w:val="00E5799D"/>
    <w:rsid w:val="00EF6E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515523"/>
  <w15:chartTrackingRefBased/>
  <w15:docId w15:val="{196BF5D4-E8E7-4EC6-ABDC-54D0155D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1D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91D75"/>
    <w:pPr>
      <w:tabs>
        <w:tab w:val="center" w:pos="4153"/>
        <w:tab w:val="right" w:pos="8306"/>
      </w:tabs>
    </w:pPr>
  </w:style>
  <w:style w:type="character" w:customStyle="1" w:styleId="a4">
    <w:name w:val="כותרת עליונה תו"/>
    <w:link w:val="a3"/>
    <w:rsid w:val="00C91D75"/>
    <w:rPr>
      <w:rFonts w:ascii="Times New Roman" w:eastAsia="Times New Roman" w:hAnsi="Times New Roman" w:cs="David"/>
      <w:sz w:val="24"/>
      <w:szCs w:val="24"/>
    </w:rPr>
  </w:style>
  <w:style w:type="paragraph" w:styleId="a5">
    <w:name w:val="footer"/>
    <w:basedOn w:val="a"/>
    <w:link w:val="a6"/>
    <w:rsid w:val="00C91D75"/>
    <w:pPr>
      <w:tabs>
        <w:tab w:val="center" w:pos="4153"/>
        <w:tab w:val="right" w:pos="8306"/>
      </w:tabs>
    </w:pPr>
  </w:style>
  <w:style w:type="character" w:customStyle="1" w:styleId="a6">
    <w:name w:val="כותרת תחתונה תו"/>
    <w:link w:val="a5"/>
    <w:rsid w:val="00C91D75"/>
    <w:rPr>
      <w:rFonts w:ascii="Times New Roman" w:eastAsia="Times New Roman" w:hAnsi="Times New Roman" w:cs="David"/>
      <w:sz w:val="24"/>
      <w:szCs w:val="24"/>
    </w:rPr>
  </w:style>
  <w:style w:type="table" w:styleId="a7">
    <w:name w:val="Table Grid"/>
    <w:basedOn w:val="a1"/>
    <w:rsid w:val="00C91D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91D75"/>
  </w:style>
  <w:style w:type="paragraph" w:styleId="a9">
    <w:name w:val="List Paragraph"/>
    <w:basedOn w:val="a"/>
    <w:qFormat/>
    <w:rsid w:val="00C91D75"/>
    <w:pPr>
      <w:spacing w:after="160" w:line="252" w:lineRule="auto"/>
      <w:ind w:left="720"/>
      <w:contextualSpacing/>
    </w:pPr>
    <w:rPr>
      <w:rFonts w:ascii="Calibri" w:eastAsia="Calibri" w:hAnsi="Calibri" w:cs="Arial"/>
      <w:sz w:val="22"/>
      <w:szCs w:val="22"/>
    </w:rPr>
  </w:style>
  <w:style w:type="character" w:styleId="Hyperlink">
    <w:name w:val="Hyperlink"/>
    <w:rsid w:val="00B067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40c.a" TargetMode="External"/><Relationship Id="rId26" Type="http://schemas.openxmlformats.org/officeDocument/2006/relationships/hyperlink" Target="http://www.nevo.co.il/case/28689499" TargetMode="External"/><Relationship Id="rId21" Type="http://schemas.openxmlformats.org/officeDocument/2006/relationships/hyperlink" Target="http://www.nevo.co.il/case/6119015"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9396498"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40b" TargetMode="External"/><Relationship Id="rId20" Type="http://schemas.openxmlformats.org/officeDocument/2006/relationships/hyperlink" Target="http://www.nevo.co.il/case/5738608" TargetMode="External"/><Relationship Id="rId29" Type="http://schemas.openxmlformats.org/officeDocument/2006/relationships/hyperlink" Target="http://www.nevo.co.il/case/254835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case/26991436"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7592536" TargetMode="External"/><Relationship Id="rId28" Type="http://schemas.openxmlformats.org/officeDocument/2006/relationships/hyperlink" Target="http://www.nevo.co.il/case/28707498"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7229615"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7313460" TargetMode="External"/><Relationship Id="rId27" Type="http://schemas.openxmlformats.org/officeDocument/2006/relationships/hyperlink" Target="http://www.nevo.co.il/case/27312341" TargetMode="External"/><Relationship Id="rId30" Type="http://schemas.openxmlformats.org/officeDocument/2006/relationships/hyperlink" Target="http://www.nevo.co.il/case/25693249"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1966</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11778</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3342458</vt:i4>
      </vt:variant>
      <vt:variant>
        <vt:i4>69</vt:i4>
      </vt:variant>
      <vt:variant>
        <vt:i4>0</vt:i4>
      </vt:variant>
      <vt:variant>
        <vt:i4>5</vt:i4>
      </vt:variant>
      <vt:variant>
        <vt:lpwstr>http://www.nevo.co.il/case/25693249</vt:lpwstr>
      </vt:variant>
      <vt:variant>
        <vt:lpwstr/>
      </vt:variant>
      <vt:variant>
        <vt:i4>3407996</vt:i4>
      </vt:variant>
      <vt:variant>
        <vt:i4>66</vt:i4>
      </vt:variant>
      <vt:variant>
        <vt:i4>0</vt:i4>
      </vt:variant>
      <vt:variant>
        <vt:i4>5</vt:i4>
      </vt:variant>
      <vt:variant>
        <vt:lpwstr>http://www.nevo.co.il/case/25483510</vt:lpwstr>
      </vt:variant>
      <vt:variant>
        <vt:lpwstr/>
      </vt:variant>
      <vt:variant>
        <vt:i4>3866744</vt:i4>
      </vt:variant>
      <vt:variant>
        <vt:i4>63</vt:i4>
      </vt:variant>
      <vt:variant>
        <vt:i4>0</vt:i4>
      </vt:variant>
      <vt:variant>
        <vt:i4>5</vt:i4>
      </vt:variant>
      <vt:variant>
        <vt:lpwstr>http://www.nevo.co.il/case/28707498</vt:lpwstr>
      </vt:variant>
      <vt:variant>
        <vt:lpwstr/>
      </vt:variant>
      <vt:variant>
        <vt:i4>3604593</vt:i4>
      </vt:variant>
      <vt:variant>
        <vt:i4>60</vt:i4>
      </vt:variant>
      <vt:variant>
        <vt:i4>0</vt:i4>
      </vt:variant>
      <vt:variant>
        <vt:i4>5</vt:i4>
      </vt:variant>
      <vt:variant>
        <vt:lpwstr>http://www.nevo.co.il/case/27312341</vt:lpwstr>
      </vt:variant>
      <vt:variant>
        <vt:lpwstr/>
      </vt:variant>
      <vt:variant>
        <vt:i4>3407984</vt:i4>
      </vt:variant>
      <vt:variant>
        <vt:i4>57</vt:i4>
      </vt:variant>
      <vt:variant>
        <vt:i4>0</vt:i4>
      </vt:variant>
      <vt:variant>
        <vt:i4>5</vt:i4>
      </vt:variant>
      <vt:variant>
        <vt:lpwstr>http://www.nevo.co.il/case/28689499</vt:lpwstr>
      </vt:variant>
      <vt:variant>
        <vt:lpwstr/>
      </vt:variant>
      <vt:variant>
        <vt:i4>4063344</vt:i4>
      </vt:variant>
      <vt:variant>
        <vt:i4>54</vt:i4>
      </vt:variant>
      <vt:variant>
        <vt:i4>0</vt:i4>
      </vt:variant>
      <vt:variant>
        <vt:i4>5</vt:i4>
      </vt:variant>
      <vt:variant>
        <vt:lpwstr>http://www.nevo.co.il/case/29396498</vt:lpwstr>
      </vt:variant>
      <vt:variant>
        <vt:lpwstr/>
      </vt:variant>
      <vt:variant>
        <vt:i4>3735679</vt:i4>
      </vt:variant>
      <vt:variant>
        <vt:i4>51</vt:i4>
      </vt:variant>
      <vt:variant>
        <vt:i4>0</vt:i4>
      </vt:variant>
      <vt:variant>
        <vt:i4>5</vt:i4>
      </vt:variant>
      <vt:variant>
        <vt:lpwstr>http://www.nevo.co.il/case/26991436</vt:lpwstr>
      </vt:variant>
      <vt:variant>
        <vt:lpwstr/>
      </vt:variant>
      <vt:variant>
        <vt:i4>3539071</vt:i4>
      </vt:variant>
      <vt:variant>
        <vt:i4>48</vt:i4>
      </vt:variant>
      <vt:variant>
        <vt:i4>0</vt:i4>
      </vt:variant>
      <vt:variant>
        <vt:i4>5</vt:i4>
      </vt:variant>
      <vt:variant>
        <vt:lpwstr>http://www.nevo.co.il/case/27592536</vt:lpwstr>
      </vt:variant>
      <vt:variant>
        <vt:lpwstr/>
      </vt:variant>
      <vt:variant>
        <vt:i4>3407990</vt:i4>
      </vt:variant>
      <vt:variant>
        <vt:i4>45</vt:i4>
      </vt:variant>
      <vt:variant>
        <vt:i4>0</vt:i4>
      </vt:variant>
      <vt:variant>
        <vt:i4>5</vt:i4>
      </vt:variant>
      <vt:variant>
        <vt:lpwstr>http://www.nevo.co.il/case/27313460</vt:lpwstr>
      </vt:variant>
      <vt:variant>
        <vt:lpwstr/>
      </vt:variant>
      <vt:variant>
        <vt:i4>3276925</vt:i4>
      </vt:variant>
      <vt:variant>
        <vt:i4>42</vt:i4>
      </vt:variant>
      <vt:variant>
        <vt:i4>0</vt:i4>
      </vt:variant>
      <vt:variant>
        <vt:i4>5</vt:i4>
      </vt:variant>
      <vt:variant>
        <vt:lpwstr>http://www.nevo.co.il/case/6119015</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3670135</vt:i4>
      </vt:variant>
      <vt:variant>
        <vt:i4>36</vt:i4>
      </vt:variant>
      <vt:variant>
        <vt:i4>0</vt:i4>
      </vt:variant>
      <vt:variant>
        <vt:i4>5</vt:i4>
      </vt:variant>
      <vt:variant>
        <vt:lpwstr>http://www.nevo.co.il/case/27229615</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2025-04-23T00:23:00Z</dcterms:created>
  <dcterms:modified xsi:type="dcterms:W3CDTF">2025-04-23T00:23:00Z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8202</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בכור נתנילוב</vt:lpwstr>
  </property>
  <property fmtid="{D5CDD505-2E9C-101B-9397-08002B2CF9AE}" pid="10" name="LAWYER">
    <vt:lpwstr>נתי טרבלסי</vt:lpwstr>
  </property>
  <property fmtid="{D5CDD505-2E9C-101B-9397-08002B2CF9AE}" pid="11" name="JUDGE">
    <vt:lpwstr>מוחמד חאג' יחיא</vt:lpwstr>
  </property>
  <property fmtid="{D5CDD505-2E9C-101B-9397-08002B2CF9AE}" pid="12" name="CITY">
    <vt:lpwstr>י-ם</vt:lpwstr>
  </property>
  <property fmtid="{D5CDD505-2E9C-101B-9397-08002B2CF9AE}" pid="13" name="DATE">
    <vt:lpwstr>20240417</vt:lpwstr>
  </property>
  <property fmtid="{D5CDD505-2E9C-101B-9397-08002B2CF9AE}" pid="14" name="TYPE_N_DATE">
    <vt:lpwstr>38020240417</vt:lpwstr>
  </property>
  <property fmtid="{D5CDD505-2E9C-101B-9397-08002B2CF9AE}" pid="15" name="WORDNUMPAGES">
    <vt:lpwstr>7</vt:lpwstr>
  </property>
  <property fmtid="{D5CDD505-2E9C-101B-9397-08002B2CF9AE}" pid="16" name="TYPE_ABS_DATE">
    <vt:lpwstr>380020240417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27229615;5738608;6119015;27313460;27592536;26991436;29396498;28689499;27312341;28707498;25483510;25693249</vt:lpwstr>
  </property>
  <property fmtid="{D5CDD505-2E9C-101B-9397-08002B2CF9AE}" pid="36" name="LAWLISTTMP1">
    <vt:lpwstr>4216/007.a;007.c</vt:lpwstr>
  </property>
  <property fmtid="{D5CDD505-2E9C-101B-9397-08002B2CF9AE}" pid="37" name="LAWLISTTMP2">
    <vt:lpwstr>70301/040b;040c.a</vt:lpwstr>
  </property>
</Properties>
</file>