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E39F3" w:rsidRPr="007E68AE" w14:paraId="41183988" w14:textId="77777777" w:rsidTr="00391420">
        <w:trPr>
          <w:trHeight w:hRule="exact" w:val="418"/>
          <w:jc w:val="center"/>
        </w:trPr>
        <w:tc>
          <w:tcPr>
            <w:tcW w:w="8721" w:type="dxa"/>
            <w:gridSpan w:val="2"/>
          </w:tcPr>
          <w:p w14:paraId="78C88EB9" w14:textId="77777777" w:rsidR="00DE39F3" w:rsidRPr="007E68AE" w:rsidRDefault="00DE39F3" w:rsidP="00D7013B">
            <w:pPr>
              <w:pStyle w:val="a3"/>
              <w:jc w:val="center"/>
              <w:rPr>
                <w:rFonts w:ascii="Tahoma" w:hAnsi="Tahoma" w:cs="Tahoma"/>
                <w:color w:val="000080"/>
                <w:rtl/>
              </w:rPr>
            </w:pPr>
            <w:bookmarkStart w:id="0" w:name="LastJudge"/>
            <w:r w:rsidRPr="007E68AE">
              <w:rPr>
                <w:rFonts w:ascii="Tahoma" w:hAnsi="Tahoma" w:cs="Tahoma"/>
                <w:b/>
                <w:bCs/>
                <w:color w:val="000080"/>
                <w:rtl/>
              </w:rPr>
              <w:t>בית משפט השלום בתל אביב-יפו</w:t>
            </w:r>
          </w:p>
        </w:tc>
      </w:tr>
      <w:tr w:rsidR="00DE39F3" w:rsidRPr="007E68AE" w14:paraId="7A970AE0" w14:textId="77777777" w:rsidTr="00391420">
        <w:trPr>
          <w:trHeight w:val="337"/>
          <w:jc w:val="center"/>
        </w:trPr>
        <w:tc>
          <w:tcPr>
            <w:tcW w:w="5054" w:type="dxa"/>
          </w:tcPr>
          <w:p w14:paraId="5963E6A7" w14:textId="77777777" w:rsidR="00DE39F3" w:rsidRPr="007E68AE" w:rsidRDefault="00DE39F3" w:rsidP="00D7013B">
            <w:pPr>
              <w:rPr>
                <w:rFonts w:cs="FrankRuehl"/>
                <w:sz w:val="28"/>
                <w:szCs w:val="28"/>
                <w:rtl/>
              </w:rPr>
            </w:pPr>
            <w:r w:rsidRPr="007E68AE">
              <w:rPr>
                <w:rFonts w:cs="FrankRuehl"/>
                <w:sz w:val="28"/>
                <w:szCs w:val="28"/>
                <w:rtl/>
              </w:rPr>
              <w:t>ת"פ</w:t>
            </w:r>
            <w:r w:rsidRPr="007E68AE">
              <w:rPr>
                <w:rFonts w:cs="FrankRuehl" w:hint="cs"/>
                <w:sz w:val="28"/>
                <w:szCs w:val="28"/>
                <w:rtl/>
              </w:rPr>
              <w:t xml:space="preserve"> </w:t>
            </w:r>
            <w:r w:rsidRPr="007E68AE">
              <w:rPr>
                <w:rFonts w:cs="FrankRuehl"/>
                <w:sz w:val="28"/>
                <w:szCs w:val="28"/>
                <w:rtl/>
              </w:rPr>
              <w:t>18336-12-19</w:t>
            </w:r>
            <w:r w:rsidRPr="007E68AE">
              <w:rPr>
                <w:rFonts w:cs="FrankRuehl" w:hint="cs"/>
                <w:sz w:val="28"/>
                <w:szCs w:val="28"/>
                <w:rtl/>
              </w:rPr>
              <w:t xml:space="preserve"> </w:t>
            </w:r>
            <w:r w:rsidRPr="007E68AE">
              <w:rPr>
                <w:rFonts w:cs="FrankRuehl"/>
                <w:b/>
                <w:bCs/>
                <w:sz w:val="28"/>
                <w:szCs w:val="28"/>
                <w:rtl/>
              </w:rPr>
              <w:t>מדינת ישראל נ' כהן</w:t>
            </w:r>
          </w:p>
          <w:p w14:paraId="6894831C" w14:textId="77777777" w:rsidR="00DE39F3" w:rsidRPr="007E68AE" w:rsidRDefault="00DE39F3" w:rsidP="00D7013B">
            <w:pPr>
              <w:pStyle w:val="a3"/>
              <w:rPr>
                <w:rFonts w:cs="FrankRuehl"/>
                <w:sz w:val="28"/>
                <w:szCs w:val="28"/>
                <w:rtl/>
              </w:rPr>
            </w:pPr>
          </w:p>
        </w:tc>
        <w:tc>
          <w:tcPr>
            <w:tcW w:w="3667" w:type="dxa"/>
          </w:tcPr>
          <w:p w14:paraId="2476BF56" w14:textId="77777777" w:rsidR="00DE39F3" w:rsidRPr="007E68AE" w:rsidRDefault="00DE39F3" w:rsidP="00D7013B">
            <w:pPr>
              <w:pStyle w:val="a3"/>
              <w:jc w:val="right"/>
              <w:rPr>
                <w:rFonts w:cs="FrankRuehl"/>
                <w:sz w:val="28"/>
                <w:szCs w:val="28"/>
                <w:rtl/>
              </w:rPr>
            </w:pPr>
          </w:p>
        </w:tc>
      </w:tr>
    </w:tbl>
    <w:p w14:paraId="0F891BE7" w14:textId="77777777" w:rsidR="00DE39F3" w:rsidRPr="007E68AE" w:rsidRDefault="00DE39F3" w:rsidP="00DE39F3">
      <w:pPr>
        <w:pStyle w:val="a3"/>
        <w:rPr>
          <w:rtl/>
        </w:rPr>
      </w:pPr>
      <w:r w:rsidRPr="007E68AE">
        <w:rPr>
          <w:rFonts w:hint="cs"/>
          <w:rtl/>
        </w:rPr>
        <w:t xml:space="preserve"> </w:t>
      </w:r>
    </w:p>
    <w:p w14:paraId="1A002F62" w14:textId="77777777" w:rsidR="00DE39F3" w:rsidRPr="007E68AE" w:rsidRDefault="00DE39F3" w:rsidP="00DE39F3">
      <w:pPr>
        <w:spacing w:line="360" w:lineRule="auto"/>
        <w:rPr>
          <w:rtl/>
        </w:rPr>
      </w:pPr>
    </w:p>
    <w:p w14:paraId="14267A80" w14:textId="77777777" w:rsidR="00DE39F3" w:rsidRPr="007E68AE" w:rsidRDefault="00DE39F3" w:rsidP="00DE39F3">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E39F3" w:rsidRPr="007E68AE" w14:paraId="40CE63DF" w14:textId="77777777" w:rsidTr="00DE39F3">
        <w:trPr>
          <w:trHeight w:val="295"/>
          <w:jc w:val="center"/>
        </w:trPr>
        <w:tc>
          <w:tcPr>
            <w:tcW w:w="923" w:type="dxa"/>
            <w:tcBorders>
              <w:top w:val="nil"/>
              <w:left w:val="nil"/>
              <w:bottom w:val="nil"/>
              <w:right w:val="nil"/>
            </w:tcBorders>
            <w:shd w:val="clear" w:color="auto" w:fill="auto"/>
          </w:tcPr>
          <w:p w14:paraId="2336474F" w14:textId="77777777" w:rsidR="00DE39F3" w:rsidRPr="007E68AE" w:rsidRDefault="00DE39F3" w:rsidP="00DE39F3">
            <w:pPr>
              <w:spacing w:line="360" w:lineRule="auto"/>
              <w:jc w:val="both"/>
              <w:rPr>
                <w:rFonts w:ascii="David" w:hAnsi="David"/>
                <w:b/>
                <w:bCs/>
                <w:sz w:val="26"/>
                <w:szCs w:val="26"/>
              </w:rPr>
            </w:pPr>
            <w:r w:rsidRPr="007E68A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45A6E20" w14:textId="77777777" w:rsidR="00DE39F3" w:rsidRPr="007E68AE" w:rsidRDefault="00DE39F3" w:rsidP="00DE39F3">
            <w:pPr>
              <w:spacing w:line="360" w:lineRule="auto"/>
              <w:rPr>
                <w:rFonts w:ascii="David" w:hAnsi="David"/>
                <w:b/>
                <w:bCs/>
                <w:sz w:val="26"/>
                <w:szCs w:val="26"/>
                <w:rtl/>
              </w:rPr>
            </w:pPr>
            <w:r w:rsidRPr="007E68AE">
              <w:rPr>
                <w:rFonts w:ascii="David" w:hAnsi="David" w:hint="cs"/>
                <w:b/>
                <w:bCs/>
                <w:sz w:val="26"/>
                <w:szCs w:val="26"/>
                <w:rtl/>
              </w:rPr>
              <w:t>כבוד השופט הבכיר, שאול אבינור</w:t>
            </w:r>
          </w:p>
          <w:p w14:paraId="4C3FA5F4" w14:textId="77777777" w:rsidR="00DE39F3" w:rsidRPr="007E68AE" w:rsidRDefault="00DE39F3" w:rsidP="00DE39F3">
            <w:pPr>
              <w:spacing w:line="360" w:lineRule="auto"/>
              <w:rPr>
                <w:rFonts w:ascii="David" w:hAnsi="David"/>
                <w:sz w:val="26"/>
                <w:szCs w:val="26"/>
              </w:rPr>
            </w:pPr>
          </w:p>
        </w:tc>
      </w:tr>
      <w:tr w:rsidR="00DE39F3" w:rsidRPr="007E68AE" w14:paraId="0EBAB4ED" w14:textId="77777777" w:rsidTr="00DE39F3">
        <w:trPr>
          <w:trHeight w:val="355"/>
          <w:jc w:val="center"/>
        </w:trPr>
        <w:tc>
          <w:tcPr>
            <w:tcW w:w="923" w:type="dxa"/>
            <w:tcBorders>
              <w:top w:val="nil"/>
              <w:left w:val="nil"/>
              <w:bottom w:val="nil"/>
              <w:right w:val="nil"/>
            </w:tcBorders>
            <w:shd w:val="clear" w:color="auto" w:fill="auto"/>
          </w:tcPr>
          <w:p w14:paraId="48DA40DF" w14:textId="77777777" w:rsidR="00DE39F3" w:rsidRPr="007E68AE" w:rsidRDefault="00DE39F3" w:rsidP="00DE39F3">
            <w:pPr>
              <w:spacing w:line="360" w:lineRule="auto"/>
              <w:jc w:val="both"/>
              <w:rPr>
                <w:rFonts w:ascii="David" w:hAnsi="David"/>
                <w:sz w:val="26"/>
                <w:szCs w:val="26"/>
              </w:rPr>
            </w:pPr>
            <w:bookmarkStart w:id="1" w:name="FirstAppellant"/>
            <w:bookmarkStart w:id="2" w:name="FirstLawyer"/>
            <w:r w:rsidRPr="007E68AE">
              <w:rPr>
                <w:rFonts w:ascii="David" w:hAnsi="David"/>
                <w:sz w:val="26"/>
                <w:szCs w:val="26"/>
                <w:rtl/>
              </w:rPr>
              <w:t>בעניין:</w:t>
            </w:r>
          </w:p>
        </w:tc>
        <w:tc>
          <w:tcPr>
            <w:tcW w:w="3219" w:type="dxa"/>
            <w:tcBorders>
              <w:top w:val="nil"/>
              <w:left w:val="nil"/>
              <w:bottom w:val="nil"/>
              <w:right w:val="nil"/>
            </w:tcBorders>
            <w:shd w:val="clear" w:color="auto" w:fill="auto"/>
          </w:tcPr>
          <w:p w14:paraId="77F78333" w14:textId="77777777" w:rsidR="00DE39F3" w:rsidRPr="007E68AE" w:rsidRDefault="00DE39F3" w:rsidP="00DE39F3">
            <w:pPr>
              <w:suppressLineNumbers/>
              <w:spacing w:line="360" w:lineRule="auto"/>
            </w:pPr>
            <w:r w:rsidRPr="007E68AE">
              <w:rPr>
                <w:rFonts w:ascii="Arial" w:hAnsi="Arial" w:hint="cs"/>
                <w:b/>
                <w:bCs/>
                <w:sz w:val="26"/>
                <w:szCs w:val="26"/>
                <w:rtl/>
              </w:rPr>
              <w:t>המאשימה:</w:t>
            </w:r>
          </w:p>
          <w:p w14:paraId="6D7133B6" w14:textId="77777777" w:rsidR="00DE39F3" w:rsidRPr="007E68AE" w:rsidRDefault="00DE39F3" w:rsidP="00DE39F3">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2AD9B472" w14:textId="77777777" w:rsidR="00DE39F3" w:rsidRPr="007E68AE" w:rsidRDefault="00DE39F3" w:rsidP="00DE39F3">
            <w:pPr>
              <w:suppressLineNumbers/>
              <w:spacing w:line="360" w:lineRule="auto"/>
              <w:rPr>
                <w:rFonts w:ascii="Arial" w:hAnsi="Arial"/>
                <w:rtl/>
              </w:rPr>
            </w:pPr>
            <w:r w:rsidRPr="007E68AE">
              <w:rPr>
                <w:rFonts w:ascii="Arial" w:hAnsi="Arial"/>
                <w:b/>
                <w:bCs/>
                <w:sz w:val="26"/>
                <w:szCs w:val="26"/>
                <w:rtl/>
              </w:rPr>
              <w:t>מדינת ישראל</w:t>
            </w:r>
            <w:r w:rsidRPr="007E68AE">
              <w:rPr>
                <w:rFonts w:ascii="Arial" w:hAnsi="Arial" w:hint="cs"/>
                <w:b/>
                <w:bCs/>
                <w:sz w:val="26"/>
                <w:szCs w:val="26"/>
                <w:rtl/>
              </w:rPr>
              <w:t xml:space="preserve"> </w:t>
            </w:r>
          </w:p>
          <w:p w14:paraId="7CEC3F78" w14:textId="77777777" w:rsidR="00DE39F3" w:rsidRPr="007E68AE" w:rsidRDefault="00DE39F3" w:rsidP="00DE39F3">
            <w:pPr>
              <w:suppressLineNumbers/>
              <w:spacing w:line="360" w:lineRule="auto"/>
            </w:pPr>
            <w:r w:rsidRPr="007E68AE">
              <w:rPr>
                <w:rFonts w:ascii="Arial" w:hAnsi="Arial"/>
                <w:rtl/>
              </w:rPr>
              <w:t>ע"י</w:t>
            </w:r>
            <w:r w:rsidRPr="007E68AE">
              <w:rPr>
                <w:rFonts w:ascii="Arial" w:hAnsi="Arial"/>
                <w:b/>
                <w:bCs/>
                <w:sz w:val="26"/>
                <w:szCs w:val="26"/>
                <w:rtl/>
              </w:rPr>
              <w:t xml:space="preserve"> </w:t>
            </w:r>
            <w:r w:rsidRPr="007E68AE">
              <w:rPr>
                <w:rFonts w:ascii="Arial" w:hAnsi="Arial"/>
                <w:rtl/>
              </w:rPr>
              <w:t>ב"כ עו"ד</w:t>
            </w:r>
            <w:r w:rsidRPr="007E68AE">
              <w:rPr>
                <w:rFonts w:ascii="Arial" w:hAnsi="Arial" w:hint="cs"/>
                <w:rtl/>
              </w:rPr>
              <w:t xml:space="preserve"> אביב שיטרית</w:t>
            </w:r>
          </w:p>
          <w:p w14:paraId="0E4BD86E" w14:textId="77777777" w:rsidR="00DE39F3" w:rsidRPr="007E68AE" w:rsidRDefault="00DE39F3" w:rsidP="00DE39F3">
            <w:pPr>
              <w:spacing w:line="360" w:lineRule="auto"/>
              <w:rPr>
                <w:rFonts w:ascii="David" w:hAnsi="David"/>
                <w:sz w:val="26"/>
                <w:szCs w:val="26"/>
              </w:rPr>
            </w:pPr>
          </w:p>
        </w:tc>
      </w:tr>
      <w:bookmarkEnd w:id="1"/>
      <w:bookmarkEnd w:id="2"/>
      <w:tr w:rsidR="00DE39F3" w:rsidRPr="007E68AE" w14:paraId="0BDF7DFD" w14:textId="77777777" w:rsidTr="00DE39F3">
        <w:trPr>
          <w:trHeight w:val="355"/>
          <w:jc w:val="center"/>
        </w:trPr>
        <w:tc>
          <w:tcPr>
            <w:tcW w:w="923" w:type="dxa"/>
            <w:tcBorders>
              <w:top w:val="nil"/>
              <w:left w:val="nil"/>
              <w:bottom w:val="nil"/>
              <w:right w:val="nil"/>
            </w:tcBorders>
            <w:shd w:val="clear" w:color="auto" w:fill="auto"/>
          </w:tcPr>
          <w:p w14:paraId="2BBBAE15" w14:textId="77777777" w:rsidR="00DE39F3" w:rsidRPr="007E68AE" w:rsidRDefault="00DE39F3" w:rsidP="00DE39F3">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5A122821" w14:textId="77777777" w:rsidR="00DE39F3" w:rsidRPr="007E68AE" w:rsidRDefault="00DE39F3" w:rsidP="00DE39F3">
            <w:pPr>
              <w:spacing w:line="360" w:lineRule="auto"/>
              <w:jc w:val="center"/>
              <w:rPr>
                <w:rFonts w:ascii="David" w:hAnsi="David"/>
                <w:b/>
                <w:bCs/>
                <w:sz w:val="26"/>
                <w:szCs w:val="26"/>
                <w:rtl/>
              </w:rPr>
            </w:pPr>
          </w:p>
          <w:p w14:paraId="059A654A" w14:textId="77777777" w:rsidR="00DE39F3" w:rsidRPr="007E68AE" w:rsidRDefault="00DE39F3" w:rsidP="00DE39F3">
            <w:pPr>
              <w:spacing w:line="360" w:lineRule="auto"/>
              <w:jc w:val="center"/>
              <w:rPr>
                <w:rFonts w:ascii="David" w:hAnsi="David"/>
                <w:b/>
                <w:bCs/>
                <w:sz w:val="26"/>
                <w:szCs w:val="26"/>
                <w:rtl/>
              </w:rPr>
            </w:pPr>
            <w:r w:rsidRPr="007E68AE">
              <w:rPr>
                <w:rFonts w:ascii="David" w:hAnsi="David"/>
                <w:b/>
                <w:bCs/>
                <w:sz w:val="26"/>
                <w:szCs w:val="26"/>
                <w:rtl/>
              </w:rPr>
              <w:t>נגד</w:t>
            </w:r>
          </w:p>
          <w:p w14:paraId="0F2C7F8F" w14:textId="77777777" w:rsidR="00DE39F3" w:rsidRPr="007E68AE" w:rsidRDefault="00DE39F3" w:rsidP="00DE39F3">
            <w:pPr>
              <w:spacing w:line="360" w:lineRule="auto"/>
              <w:jc w:val="center"/>
              <w:rPr>
                <w:rFonts w:ascii="David" w:hAnsi="David"/>
                <w:b/>
                <w:bCs/>
                <w:sz w:val="26"/>
                <w:szCs w:val="26"/>
                <w:rtl/>
              </w:rPr>
            </w:pPr>
          </w:p>
          <w:p w14:paraId="392642DA" w14:textId="77777777" w:rsidR="00DE39F3" w:rsidRPr="007E68AE" w:rsidRDefault="00DE39F3" w:rsidP="00DE39F3">
            <w:pPr>
              <w:spacing w:line="360" w:lineRule="auto"/>
              <w:jc w:val="both"/>
              <w:rPr>
                <w:rFonts w:ascii="David" w:hAnsi="David"/>
                <w:sz w:val="26"/>
                <w:szCs w:val="26"/>
              </w:rPr>
            </w:pPr>
          </w:p>
        </w:tc>
      </w:tr>
      <w:tr w:rsidR="00DE39F3" w:rsidRPr="007E68AE" w14:paraId="5C683DF6" w14:textId="77777777" w:rsidTr="00DE39F3">
        <w:trPr>
          <w:trHeight w:val="355"/>
          <w:jc w:val="center"/>
        </w:trPr>
        <w:tc>
          <w:tcPr>
            <w:tcW w:w="923" w:type="dxa"/>
            <w:tcBorders>
              <w:top w:val="nil"/>
              <w:left w:val="nil"/>
              <w:bottom w:val="nil"/>
              <w:right w:val="nil"/>
            </w:tcBorders>
            <w:shd w:val="clear" w:color="auto" w:fill="auto"/>
          </w:tcPr>
          <w:p w14:paraId="17F10FC1" w14:textId="77777777" w:rsidR="00DE39F3" w:rsidRPr="007E68AE" w:rsidRDefault="00DE39F3" w:rsidP="00DE39F3">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15F62579" w14:textId="77777777" w:rsidR="00DE39F3" w:rsidRPr="007E68AE" w:rsidRDefault="00DE39F3" w:rsidP="00DE39F3">
            <w:pPr>
              <w:spacing w:line="360" w:lineRule="auto"/>
              <w:rPr>
                <w:rFonts w:ascii="Arial" w:hAnsi="Arial"/>
                <w:b/>
                <w:bCs/>
                <w:sz w:val="26"/>
                <w:szCs w:val="26"/>
                <w:rtl/>
              </w:rPr>
            </w:pPr>
            <w:r w:rsidRPr="007E68AE">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F085BF1" w14:textId="77777777" w:rsidR="00DE39F3" w:rsidRPr="007E68AE" w:rsidRDefault="00DE39F3" w:rsidP="00DE39F3">
            <w:pPr>
              <w:suppressLineNumbers/>
              <w:spacing w:line="360" w:lineRule="auto"/>
              <w:rPr>
                <w:rFonts w:ascii="Arial" w:hAnsi="Arial"/>
                <w:b/>
                <w:bCs/>
                <w:sz w:val="26"/>
                <w:szCs w:val="26"/>
                <w:rtl/>
              </w:rPr>
            </w:pPr>
            <w:r w:rsidRPr="007E68AE">
              <w:rPr>
                <w:rFonts w:ascii="Arial" w:hAnsi="Arial"/>
                <w:b/>
                <w:bCs/>
                <w:sz w:val="26"/>
                <w:szCs w:val="26"/>
                <w:rtl/>
              </w:rPr>
              <w:t>יצחק כהן</w:t>
            </w:r>
            <w:r w:rsidRPr="007E68AE">
              <w:rPr>
                <w:rFonts w:ascii="Arial" w:hAnsi="Arial" w:hint="cs"/>
                <w:b/>
                <w:bCs/>
                <w:sz w:val="26"/>
                <w:szCs w:val="26"/>
                <w:rtl/>
              </w:rPr>
              <w:t xml:space="preserve"> </w:t>
            </w:r>
          </w:p>
          <w:p w14:paraId="1EBBDCE2" w14:textId="77777777" w:rsidR="00DE39F3" w:rsidRPr="007E68AE" w:rsidRDefault="00DE39F3" w:rsidP="00DE39F3">
            <w:pPr>
              <w:suppressLineNumbers/>
              <w:spacing w:line="360" w:lineRule="auto"/>
            </w:pPr>
            <w:r w:rsidRPr="007E68AE">
              <w:rPr>
                <w:rFonts w:ascii="Arial" w:hAnsi="Arial"/>
                <w:rtl/>
              </w:rPr>
              <w:t>ע"י</w:t>
            </w:r>
            <w:r w:rsidRPr="007E68AE">
              <w:rPr>
                <w:rFonts w:ascii="Arial" w:hAnsi="Arial"/>
                <w:b/>
                <w:bCs/>
                <w:sz w:val="26"/>
                <w:szCs w:val="26"/>
                <w:rtl/>
              </w:rPr>
              <w:t xml:space="preserve"> </w:t>
            </w:r>
            <w:r w:rsidRPr="007E68AE">
              <w:rPr>
                <w:rFonts w:ascii="Arial" w:hAnsi="Arial"/>
                <w:rtl/>
              </w:rPr>
              <w:t>ב"כ עו"ד</w:t>
            </w:r>
            <w:r w:rsidRPr="007E68AE">
              <w:rPr>
                <w:rFonts w:ascii="Arial" w:hAnsi="Arial" w:hint="cs"/>
                <w:rtl/>
              </w:rPr>
              <w:t xml:space="preserve"> ג'קי סגרון</w:t>
            </w:r>
          </w:p>
          <w:p w14:paraId="281583A6" w14:textId="77777777" w:rsidR="00DE39F3" w:rsidRPr="007E68AE" w:rsidRDefault="00DE39F3" w:rsidP="00DE39F3">
            <w:pPr>
              <w:spacing w:line="360" w:lineRule="auto"/>
              <w:rPr>
                <w:rFonts w:ascii="David" w:hAnsi="David"/>
                <w:sz w:val="26"/>
                <w:szCs w:val="26"/>
              </w:rPr>
            </w:pPr>
          </w:p>
        </w:tc>
      </w:tr>
      <w:tr w:rsidR="00DE39F3" w:rsidRPr="007E68AE" w14:paraId="186D1272" w14:textId="77777777" w:rsidTr="00DE39F3">
        <w:trPr>
          <w:trHeight w:val="355"/>
          <w:jc w:val="center"/>
        </w:trPr>
        <w:tc>
          <w:tcPr>
            <w:tcW w:w="923" w:type="dxa"/>
            <w:tcBorders>
              <w:top w:val="nil"/>
              <w:left w:val="nil"/>
              <w:bottom w:val="nil"/>
              <w:right w:val="nil"/>
            </w:tcBorders>
            <w:shd w:val="clear" w:color="auto" w:fill="auto"/>
          </w:tcPr>
          <w:p w14:paraId="261DEB39" w14:textId="77777777" w:rsidR="00DE39F3" w:rsidRPr="007E68AE" w:rsidRDefault="00DE39F3" w:rsidP="00DE39F3">
            <w:pPr>
              <w:spacing w:line="360" w:lineRule="auto"/>
              <w:jc w:val="both"/>
              <w:rPr>
                <w:rFonts w:ascii="David" w:hAnsi="David"/>
                <w:sz w:val="26"/>
                <w:szCs w:val="26"/>
                <w:rtl/>
              </w:rPr>
            </w:pPr>
          </w:p>
        </w:tc>
        <w:tc>
          <w:tcPr>
            <w:tcW w:w="3219" w:type="dxa"/>
            <w:tcBorders>
              <w:top w:val="nil"/>
              <w:left w:val="nil"/>
              <w:bottom w:val="nil"/>
              <w:right w:val="nil"/>
            </w:tcBorders>
            <w:shd w:val="clear" w:color="auto" w:fill="auto"/>
          </w:tcPr>
          <w:p w14:paraId="64D5AFEA" w14:textId="77777777" w:rsidR="00DE39F3" w:rsidRPr="007E68AE" w:rsidRDefault="00DE39F3" w:rsidP="00DE39F3">
            <w:pPr>
              <w:spacing w:line="360" w:lineRule="auto"/>
              <w:jc w:val="both"/>
              <w:rPr>
                <w:rFonts w:ascii="David" w:hAnsi="David"/>
                <w:sz w:val="26"/>
                <w:szCs w:val="26"/>
                <w:rtl/>
              </w:rPr>
            </w:pPr>
          </w:p>
        </w:tc>
        <w:tc>
          <w:tcPr>
            <w:tcW w:w="4678" w:type="dxa"/>
            <w:tcBorders>
              <w:top w:val="nil"/>
              <w:left w:val="nil"/>
              <w:bottom w:val="nil"/>
              <w:right w:val="nil"/>
            </w:tcBorders>
            <w:shd w:val="clear" w:color="auto" w:fill="auto"/>
          </w:tcPr>
          <w:p w14:paraId="74CA8569" w14:textId="77777777" w:rsidR="00DE39F3" w:rsidRPr="007E68AE" w:rsidRDefault="00DE39F3" w:rsidP="00DE39F3">
            <w:pPr>
              <w:spacing w:line="360" w:lineRule="auto"/>
              <w:jc w:val="right"/>
              <w:rPr>
                <w:rFonts w:ascii="David" w:hAnsi="David"/>
                <w:sz w:val="26"/>
                <w:szCs w:val="26"/>
              </w:rPr>
            </w:pPr>
          </w:p>
        </w:tc>
      </w:tr>
    </w:tbl>
    <w:p w14:paraId="2B695849" w14:textId="77777777" w:rsidR="00391420" w:rsidRDefault="00391420" w:rsidP="00DE39F3">
      <w:pPr>
        <w:spacing w:line="360" w:lineRule="auto"/>
        <w:rPr>
          <w:sz w:val="26"/>
          <w:szCs w:val="26"/>
          <w:rtl/>
        </w:rPr>
      </w:pPr>
      <w:bookmarkStart w:id="3" w:name="LawTable"/>
      <w:bookmarkEnd w:id="3"/>
    </w:p>
    <w:p w14:paraId="036CBD31" w14:textId="77777777" w:rsidR="00391420" w:rsidRDefault="00391420" w:rsidP="00391420">
      <w:pPr>
        <w:spacing w:after="120" w:line="240" w:lineRule="exact"/>
        <w:ind w:left="283" w:hanging="283"/>
        <w:jc w:val="both"/>
        <w:rPr>
          <w:rFonts w:ascii="FrankRuehl" w:hAnsi="FrankRuehl" w:cs="FrankRuehl" w:hint="cs"/>
          <w:rtl/>
        </w:rPr>
      </w:pPr>
    </w:p>
    <w:p w14:paraId="7DA2BE04" w14:textId="77777777" w:rsidR="00391420" w:rsidRDefault="00391420" w:rsidP="00391420">
      <w:pPr>
        <w:spacing w:after="120" w:line="240" w:lineRule="exact"/>
        <w:ind w:left="283" w:hanging="283"/>
        <w:jc w:val="both"/>
        <w:rPr>
          <w:rFonts w:ascii="FrankRuehl" w:hAnsi="FrankRuehl" w:cs="FrankRuehl" w:hint="cs"/>
          <w:rtl/>
        </w:rPr>
      </w:pPr>
    </w:p>
    <w:p w14:paraId="676088A6" w14:textId="77777777" w:rsidR="00391420" w:rsidRPr="00391420" w:rsidRDefault="00391420" w:rsidP="00391420">
      <w:pPr>
        <w:spacing w:after="120" w:line="240" w:lineRule="exact"/>
        <w:ind w:left="283" w:hanging="283"/>
        <w:jc w:val="both"/>
        <w:rPr>
          <w:rFonts w:ascii="FrankRuehl" w:hAnsi="FrankRuehl" w:cs="FrankRuehl" w:hint="cs"/>
          <w:rtl/>
        </w:rPr>
      </w:pPr>
    </w:p>
    <w:p w14:paraId="7D674967" w14:textId="77777777" w:rsidR="00391420" w:rsidRPr="00391420" w:rsidRDefault="00391420" w:rsidP="00391420">
      <w:pPr>
        <w:spacing w:after="120" w:line="240" w:lineRule="exact"/>
        <w:ind w:left="283" w:hanging="283"/>
        <w:jc w:val="both"/>
        <w:rPr>
          <w:rFonts w:ascii="FrankRuehl" w:hAnsi="FrankRuehl" w:cs="FrankRuehl"/>
          <w:rtl/>
        </w:rPr>
      </w:pPr>
      <w:r w:rsidRPr="00391420">
        <w:rPr>
          <w:rFonts w:ascii="FrankRuehl" w:hAnsi="FrankRuehl" w:cs="FrankRuehl"/>
          <w:rtl/>
        </w:rPr>
        <w:t xml:space="preserve">חקיקה שאוזכרה: </w:t>
      </w:r>
    </w:p>
    <w:p w14:paraId="7E77F358" w14:textId="77777777" w:rsidR="00391420" w:rsidRPr="00391420" w:rsidRDefault="00391420" w:rsidP="00391420">
      <w:pPr>
        <w:spacing w:after="120" w:line="240" w:lineRule="exact"/>
        <w:ind w:left="283" w:hanging="283"/>
        <w:jc w:val="both"/>
        <w:rPr>
          <w:rFonts w:ascii="FrankRuehl" w:hAnsi="FrankRuehl" w:cs="FrankRuehl"/>
          <w:rtl/>
        </w:rPr>
      </w:pPr>
      <w:hyperlink r:id="rId7" w:history="1">
        <w:r w:rsidRPr="00391420">
          <w:rPr>
            <w:rFonts w:ascii="FrankRuehl" w:hAnsi="FrankRuehl" w:cs="FrankRuehl"/>
            <w:color w:val="0000FF"/>
            <w:u w:val="single"/>
            <w:rtl/>
          </w:rPr>
          <w:t>פקודת הסמים המסוכנים [נוסח חדש], תשל"ג-1973</w:t>
        </w:r>
      </w:hyperlink>
      <w:r w:rsidRPr="00391420">
        <w:rPr>
          <w:rFonts w:ascii="FrankRuehl" w:hAnsi="FrankRuehl" w:cs="FrankRuehl"/>
          <w:rtl/>
        </w:rPr>
        <w:t xml:space="preserve">: סע'  </w:t>
      </w:r>
      <w:hyperlink r:id="rId8" w:history="1">
        <w:r w:rsidRPr="00391420">
          <w:rPr>
            <w:rFonts w:ascii="FrankRuehl" w:hAnsi="FrankRuehl" w:cs="FrankRuehl"/>
            <w:color w:val="0000FF"/>
            <w:u w:val="single"/>
            <w:rtl/>
          </w:rPr>
          <w:t>7(א)</w:t>
        </w:r>
      </w:hyperlink>
      <w:r w:rsidRPr="00391420">
        <w:rPr>
          <w:rFonts w:ascii="FrankRuehl" w:hAnsi="FrankRuehl" w:cs="FrankRuehl"/>
          <w:rtl/>
        </w:rPr>
        <w:t xml:space="preserve">, </w:t>
      </w:r>
      <w:hyperlink r:id="rId9" w:history="1">
        <w:r w:rsidRPr="00391420">
          <w:rPr>
            <w:rFonts w:ascii="FrankRuehl" w:hAnsi="FrankRuehl" w:cs="FrankRuehl"/>
            <w:color w:val="0000FF"/>
            <w:u w:val="single"/>
            <w:rtl/>
          </w:rPr>
          <w:t>7(ג)</w:t>
        </w:r>
      </w:hyperlink>
    </w:p>
    <w:p w14:paraId="5ABF6BC8" w14:textId="77777777" w:rsidR="00391420" w:rsidRPr="00391420" w:rsidRDefault="00391420" w:rsidP="00391420">
      <w:pPr>
        <w:spacing w:after="120" w:line="240" w:lineRule="exact"/>
        <w:ind w:left="283" w:hanging="283"/>
        <w:jc w:val="both"/>
        <w:rPr>
          <w:rFonts w:ascii="FrankRuehl" w:hAnsi="FrankRuehl" w:cs="FrankRuehl"/>
          <w:rtl/>
        </w:rPr>
      </w:pPr>
      <w:hyperlink r:id="rId10" w:history="1">
        <w:r w:rsidRPr="00391420">
          <w:rPr>
            <w:rFonts w:ascii="FrankRuehl" w:hAnsi="FrankRuehl" w:cs="FrankRuehl"/>
            <w:color w:val="0000FF"/>
            <w:u w:val="single"/>
            <w:rtl/>
          </w:rPr>
          <w:t>חוק העונשין, תשל"ז-1977</w:t>
        </w:r>
      </w:hyperlink>
      <w:r w:rsidRPr="00391420">
        <w:rPr>
          <w:rFonts w:ascii="FrankRuehl" w:hAnsi="FrankRuehl" w:cs="FrankRuehl"/>
          <w:rtl/>
        </w:rPr>
        <w:t xml:space="preserve">: סע'  </w:t>
      </w:r>
      <w:hyperlink r:id="rId11" w:history="1">
        <w:r w:rsidRPr="00391420">
          <w:rPr>
            <w:rFonts w:ascii="FrankRuehl" w:hAnsi="FrankRuehl" w:cs="FrankRuehl"/>
            <w:color w:val="0000FF"/>
            <w:u w:val="single"/>
            <w:rtl/>
          </w:rPr>
          <w:t>40ד</w:t>
        </w:r>
      </w:hyperlink>
      <w:r w:rsidRPr="00391420">
        <w:rPr>
          <w:rFonts w:ascii="FrankRuehl" w:hAnsi="FrankRuehl" w:cs="FrankRuehl"/>
          <w:rtl/>
        </w:rPr>
        <w:t xml:space="preserve">, </w:t>
      </w:r>
      <w:hyperlink r:id="rId12" w:history="1">
        <w:r w:rsidRPr="00391420">
          <w:rPr>
            <w:rFonts w:ascii="FrankRuehl" w:hAnsi="FrankRuehl" w:cs="FrankRuehl"/>
            <w:color w:val="0000FF"/>
            <w:u w:val="single"/>
            <w:rtl/>
          </w:rPr>
          <w:t>40ט</w:t>
        </w:r>
      </w:hyperlink>
      <w:r w:rsidRPr="00391420">
        <w:rPr>
          <w:rFonts w:ascii="FrankRuehl" w:hAnsi="FrankRuehl" w:cs="FrankRuehl"/>
          <w:rtl/>
        </w:rPr>
        <w:t xml:space="preserve">, </w:t>
      </w:r>
      <w:hyperlink r:id="rId13" w:history="1">
        <w:r w:rsidRPr="00391420">
          <w:rPr>
            <w:rFonts w:ascii="FrankRuehl" w:hAnsi="FrankRuehl" w:cs="FrankRuehl"/>
            <w:color w:val="0000FF"/>
            <w:u w:val="single"/>
            <w:rtl/>
          </w:rPr>
          <w:t>192</w:t>
        </w:r>
      </w:hyperlink>
    </w:p>
    <w:p w14:paraId="7C96B863" w14:textId="77777777" w:rsidR="00391420" w:rsidRPr="00391420" w:rsidRDefault="00391420" w:rsidP="00391420">
      <w:pPr>
        <w:spacing w:after="120" w:line="240" w:lineRule="exact"/>
        <w:ind w:left="283" w:hanging="283"/>
        <w:jc w:val="both"/>
        <w:rPr>
          <w:rFonts w:ascii="FrankRuehl" w:hAnsi="FrankRuehl" w:cs="FrankRuehl"/>
          <w:rtl/>
        </w:rPr>
      </w:pPr>
    </w:p>
    <w:p w14:paraId="3D2C9AE9" w14:textId="77777777" w:rsidR="00391420" w:rsidRPr="00391420" w:rsidRDefault="00391420" w:rsidP="00DE39F3">
      <w:pPr>
        <w:spacing w:line="360" w:lineRule="auto"/>
        <w:rPr>
          <w:sz w:val="26"/>
          <w:szCs w:val="26"/>
          <w:rtl/>
        </w:rPr>
      </w:pPr>
      <w:bookmarkStart w:id="4" w:name="LawTable_End"/>
      <w:bookmarkEnd w:id="4"/>
    </w:p>
    <w:p w14:paraId="733FBAAD" w14:textId="77777777" w:rsidR="00DE39F3" w:rsidRPr="007E68AE" w:rsidRDefault="00DE39F3" w:rsidP="00DE39F3">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39F3" w14:paraId="0E7F8A43" w14:textId="77777777" w:rsidTr="00DE39F3">
        <w:trPr>
          <w:trHeight w:val="355"/>
          <w:jc w:val="center"/>
        </w:trPr>
        <w:tc>
          <w:tcPr>
            <w:tcW w:w="8820" w:type="dxa"/>
            <w:tcBorders>
              <w:top w:val="nil"/>
              <w:left w:val="nil"/>
              <w:bottom w:val="nil"/>
              <w:right w:val="nil"/>
            </w:tcBorders>
            <w:shd w:val="clear" w:color="auto" w:fill="auto"/>
          </w:tcPr>
          <w:p w14:paraId="6EE97D79" w14:textId="77777777" w:rsidR="00DE39F3" w:rsidRPr="007E68AE" w:rsidRDefault="007E68AE" w:rsidP="007E68AE">
            <w:pPr>
              <w:spacing w:after="120" w:line="360" w:lineRule="auto"/>
              <w:jc w:val="center"/>
              <w:rPr>
                <w:rFonts w:ascii="David" w:hAnsi="David"/>
                <w:bCs/>
                <w:sz w:val="36"/>
                <w:szCs w:val="36"/>
                <w:u w:val="single"/>
                <w:rtl/>
              </w:rPr>
            </w:pPr>
            <w:bookmarkStart w:id="5" w:name="PsakDin" w:colFirst="0" w:colLast="0"/>
            <w:bookmarkEnd w:id="0"/>
            <w:r w:rsidRPr="007E68AE">
              <w:rPr>
                <w:rFonts w:ascii="David" w:hAnsi="David"/>
                <w:b/>
                <w:bCs/>
                <w:sz w:val="36"/>
                <w:szCs w:val="36"/>
                <w:u w:val="single"/>
                <w:rtl/>
              </w:rPr>
              <w:t>גזר דין</w:t>
            </w:r>
          </w:p>
        </w:tc>
      </w:tr>
    </w:tbl>
    <w:bookmarkEnd w:id="5"/>
    <w:p w14:paraId="4DE7F731" w14:textId="77777777" w:rsidR="00DE39F3" w:rsidRDefault="00DE39F3" w:rsidP="00DE39F3">
      <w:pPr>
        <w:numPr>
          <w:ilvl w:val="0"/>
          <w:numId w:val="1"/>
        </w:numPr>
        <w:spacing w:after="120" w:line="360" w:lineRule="auto"/>
        <w:ind w:left="368"/>
        <w:jc w:val="both"/>
        <w:rPr>
          <w:rFonts w:ascii="Tahoma" w:hAnsi="Tahoma"/>
          <w:b/>
          <w:bCs/>
          <w:u w:val="single"/>
        </w:rPr>
      </w:pPr>
      <w:r>
        <w:rPr>
          <w:rFonts w:ascii="Tahoma" w:hAnsi="Tahoma"/>
          <w:b/>
          <w:bCs/>
          <w:u w:val="single"/>
          <w:rtl/>
        </w:rPr>
        <w:t>רקע כללי:</w:t>
      </w:r>
    </w:p>
    <w:p w14:paraId="5702FE3F" w14:textId="77777777" w:rsidR="00DE39F3" w:rsidRDefault="00DE39F3" w:rsidP="00DE39F3">
      <w:pPr>
        <w:numPr>
          <w:ilvl w:val="0"/>
          <w:numId w:val="2"/>
        </w:numPr>
        <w:spacing w:after="120" w:line="360" w:lineRule="auto"/>
        <w:ind w:left="360"/>
        <w:jc w:val="both"/>
        <w:rPr>
          <w:rFonts w:ascii="Tahoma" w:hAnsi="Tahoma"/>
        </w:rPr>
      </w:pPr>
      <w:bookmarkStart w:id="6" w:name="ABSTRACT_START"/>
      <w:bookmarkEnd w:id="6"/>
      <w:r>
        <w:rPr>
          <w:rFonts w:ascii="David" w:hAnsi="David"/>
          <w:rtl/>
        </w:rPr>
        <w:t>הנאשם הורשע – על יסוד הודאתו, שניתנה במסגרת הסדר טיעון דיוני בעיקרו – כלהלן:</w:t>
      </w:r>
    </w:p>
    <w:p w14:paraId="28E0A2DC" w14:textId="77777777" w:rsidR="00DE39F3" w:rsidRDefault="00DE39F3" w:rsidP="00DE39F3">
      <w:pPr>
        <w:pStyle w:val="a9"/>
        <w:numPr>
          <w:ilvl w:val="0"/>
          <w:numId w:val="3"/>
        </w:numPr>
        <w:spacing w:after="120" w:line="360" w:lineRule="auto"/>
        <w:ind w:left="720"/>
        <w:jc w:val="both"/>
        <w:rPr>
          <w:rFonts w:ascii="Tahoma" w:hAnsi="Tahoma"/>
        </w:rPr>
      </w:pPr>
      <w:r>
        <w:rPr>
          <w:b/>
          <w:bCs/>
          <w:rtl/>
        </w:rPr>
        <w:lastRenderedPageBreak/>
        <w:t>בתיק העיקרי</w:t>
      </w:r>
      <w:r>
        <w:rPr>
          <w:rtl/>
        </w:rPr>
        <w:t xml:space="preserve"> שבכותרת (כתב אישום כמות שהוא) – בביצוע</w:t>
      </w:r>
      <w:r>
        <w:rPr>
          <w:color w:val="000000"/>
          <w:shd w:val="clear" w:color="auto" w:fill="FFFFFF"/>
          <w:rtl/>
        </w:rPr>
        <w:t xml:space="preserve"> עבירה של </w:t>
      </w:r>
      <w:r>
        <w:rPr>
          <w:b/>
          <w:bCs/>
          <w:rtl/>
        </w:rPr>
        <w:t>החזקת סמים מסוכנים שלא לצריכה עצמית</w:t>
      </w:r>
      <w:r>
        <w:rPr>
          <w:rtl/>
        </w:rPr>
        <w:t xml:space="preserve">, לפי הוראות </w:t>
      </w:r>
      <w:hyperlink r:id="rId14" w:history="1">
        <w:r w:rsidR="00391420" w:rsidRPr="00391420">
          <w:rPr>
            <w:color w:val="0000FF"/>
            <w:u w:val="single"/>
            <w:rtl/>
          </w:rPr>
          <w:t>סעיף 7(א)</w:t>
        </w:r>
      </w:hyperlink>
      <w:r>
        <w:rPr>
          <w:rtl/>
        </w:rPr>
        <w:t xml:space="preserve"> יחד עם סעיף </w:t>
      </w:r>
      <w:hyperlink r:id="rId15" w:history="1">
        <w:r w:rsidR="00391420" w:rsidRPr="00391420">
          <w:rPr>
            <w:color w:val="0000FF"/>
            <w:u w:val="single"/>
            <w:rtl/>
          </w:rPr>
          <w:t>7(ג)</w:t>
        </w:r>
      </w:hyperlink>
      <w:r>
        <w:rPr>
          <w:rtl/>
        </w:rPr>
        <w:t xml:space="preserve"> רישא ל</w:t>
      </w:r>
      <w:hyperlink r:id="rId16" w:history="1">
        <w:r w:rsidR="007E68AE" w:rsidRPr="007E68AE">
          <w:rPr>
            <w:color w:val="0000FF"/>
            <w:u w:val="single"/>
            <w:rtl/>
          </w:rPr>
          <w:t>פקודת הסמים המסוכנים</w:t>
        </w:r>
      </w:hyperlink>
      <w:r>
        <w:rPr>
          <w:rtl/>
        </w:rPr>
        <w:t xml:space="preserve"> [נוסח חדש], תשל"ג-1973 (להלן – פקודת הסמים המסוכנים).</w:t>
      </w:r>
    </w:p>
    <w:p w14:paraId="4CD4A1F2" w14:textId="77777777" w:rsidR="00DE39F3" w:rsidRDefault="00DE39F3" w:rsidP="00DE39F3">
      <w:pPr>
        <w:pStyle w:val="a9"/>
        <w:numPr>
          <w:ilvl w:val="0"/>
          <w:numId w:val="3"/>
        </w:numPr>
        <w:spacing w:after="120" w:line="360" w:lineRule="auto"/>
        <w:ind w:left="720"/>
        <w:jc w:val="both"/>
        <w:rPr>
          <w:rFonts w:ascii="Tahoma" w:hAnsi="Tahoma"/>
        </w:rPr>
      </w:pPr>
      <w:r>
        <w:rPr>
          <w:b/>
          <w:bCs/>
          <w:rtl/>
        </w:rPr>
        <w:t>בתיק המצורף</w:t>
      </w:r>
      <w:r>
        <w:rPr>
          <w:rtl/>
        </w:rPr>
        <w:t xml:space="preserve"> (כתב אישום מתוקן) – בביצוע עבירה של </w:t>
      </w:r>
      <w:r>
        <w:rPr>
          <w:b/>
          <w:bCs/>
          <w:rtl/>
        </w:rPr>
        <w:t>איומים</w:t>
      </w:r>
      <w:r>
        <w:rPr>
          <w:rtl/>
        </w:rPr>
        <w:t xml:space="preserve">, לפי הוראות </w:t>
      </w:r>
      <w:hyperlink r:id="rId17" w:history="1">
        <w:r w:rsidR="00391420" w:rsidRPr="00391420">
          <w:rPr>
            <w:color w:val="0000FF"/>
            <w:u w:val="single"/>
            <w:rtl/>
          </w:rPr>
          <w:t>סעיף 192</w:t>
        </w:r>
      </w:hyperlink>
      <w:r>
        <w:rPr>
          <w:rtl/>
        </w:rPr>
        <w:t xml:space="preserve"> ל</w:t>
      </w:r>
      <w:hyperlink r:id="rId18" w:history="1">
        <w:r w:rsidR="007E68AE" w:rsidRPr="007E68AE">
          <w:rPr>
            <w:color w:val="0000FF"/>
            <w:u w:val="single"/>
            <w:rtl/>
          </w:rPr>
          <w:t>חוק העונשין</w:t>
        </w:r>
      </w:hyperlink>
      <w:r>
        <w:rPr>
          <w:rtl/>
        </w:rPr>
        <w:t xml:space="preserve"> תשל"ז-1977 (להלן – חוק העונשין).</w:t>
      </w:r>
    </w:p>
    <w:p w14:paraId="14559A75" w14:textId="77777777" w:rsidR="00DE39F3" w:rsidRDefault="00DE39F3" w:rsidP="00DE39F3">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כתבי האישום נטען, בעיקרי הדברים, כלהלן:</w:t>
      </w:r>
    </w:p>
    <w:p w14:paraId="3313304E" w14:textId="77777777" w:rsidR="00DE39F3" w:rsidRDefault="00DE39F3" w:rsidP="00DE39F3">
      <w:pPr>
        <w:spacing w:after="120" w:line="360" w:lineRule="auto"/>
        <w:ind w:left="360"/>
        <w:jc w:val="both"/>
        <w:rPr>
          <w:rFonts w:ascii="Tahoma" w:hAnsi="Tahoma"/>
          <w:b/>
          <w:bCs/>
        </w:rPr>
      </w:pPr>
      <w:r>
        <w:rPr>
          <w:rFonts w:ascii="Tahoma" w:hAnsi="Tahoma"/>
          <w:b/>
          <w:bCs/>
          <w:rtl/>
        </w:rPr>
        <w:t>בתיק העיקרי –</w:t>
      </w:r>
    </w:p>
    <w:p w14:paraId="0230E3DA" w14:textId="77777777" w:rsidR="00DE39F3" w:rsidRDefault="00DE39F3" w:rsidP="00DE39F3">
      <w:pPr>
        <w:pStyle w:val="a9"/>
        <w:numPr>
          <w:ilvl w:val="0"/>
          <w:numId w:val="4"/>
        </w:numPr>
        <w:spacing w:after="120" w:line="360" w:lineRule="auto"/>
        <w:ind w:left="720"/>
        <w:jc w:val="both"/>
        <w:rPr>
          <w:rFonts w:ascii="Tahoma" w:hAnsi="Tahoma"/>
        </w:rPr>
      </w:pPr>
      <w:r>
        <w:rPr>
          <w:rFonts w:ascii="Tahoma" w:hAnsi="Tahoma"/>
          <w:rtl/>
        </w:rPr>
        <w:t>ביום 19.05.2019 בשעה 18:45 או בסמוך לכך החזיק הנאשם, בביתו שברמת גן, בסמים מסוכ</w:t>
      </w:r>
      <w:r>
        <w:rPr>
          <w:rFonts w:ascii="Tahoma" w:hAnsi="Tahoma" w:hint="cs"/>
          <w:rtl/>
        </w:rPr>
        <w:t>נים</w:t>
      </w:r>
      <w:r>
        <w:rPr>
          <w:rFonts w:ascii="Tahoma" w:hAnsi="Tahoma"/>
          <w:rtl/>
        </w:rPr>
        <w:t xml:space="preserve"> מסוג קנבוס, במשקל של 860 גרם נטו, בתוך שקית בחדר הארונות</w:t>
      </w:r>
      <w:r>
        <w:rPr>
          <w:rFonts w:ascii="Tahoma" w:hAnsi="Tahoma" w:hint="cs"/>
          <w:rtl/>
        </w:rPr>
        <w:t xml:space="preserve"> שבבית</w:t>
      </w:r>
      <w:r>
        <w:rPr>
          <w:rFonts w:ascii="Tahoma" w:hAnsi="Tahoma"/>
          <w:rtl/>
        </w:rPr>
        <w:t>.</w:t>
      </w:r>
    </w:p>
    <w:p w14:paraId="28A1C88F" w14:textId="77777777" w:rsidR="00DE39F3" w:rsidRDefault="00DE39F3" w:rsidP="00DE39F3">
      <w:pPr>
        <w:spacing w:after="120" w:line="360" w:lineRule="auto"/>
        <w:ind w:firstLine="360"/>
        <w:jc w:val="both"/>
        <w:rPr>
          <w:rFonts w:ascii="Tahoma" w:hAnsi="Tahoma"/>
          <w:b/>
          <w:bCs/>
          <w:rtl/>
        </w:rPr>
      </w:pPr>
      <w:r>
        <w:rPr>
          <w:rFonts w:ascii="Tahoma" w:hAnsi="Tahoma"/>
          <w:b/>
          <w:bCs/>
          <w:rtl/>
        </w:rPr>
        <w:t>בתיק המצורף –</w:t>
      </w:r>
    </w:p>
    <w:p w14:paraId="6197EFCA" w14:textId="77777777" w:rsidR="00DE39F3" w:rsidRDefault="00DE39F3" w:rsidP="00DE39F3">
      <w:pPr>
        <w:pStyle w:val="a9"/>
        <w:numPr>
          <w:ilvl w:val="0"/>
          <w:numId w:val="4"/>
        </w:numPr>
        <w:spacing w:after="120" w:line="360" w:lineRule="auto"/>
        <w:ind w:left="720"/>
        <w:jc w:val="both"/>
        <w:rPr>
          <w:rFonts w:ascii="Tahoma" w:hAnsi="Tahoma"/>
          <w:rtl/>
        </w:rPr>
      </w:pPr>
      <w:r>
        <w:rPr>
          <w:rFonts w:ascii="Tahoma" w:hAnsi="Tahoma"/>
          <w:rtl/>
        </w:rPr>
        <w:t>ביום 13.06.2022 בשעה 10:00 או בסמוך לכך, התקשר הנאשם לסוכנות הנסיעות "סיקרט טורס" וביקש לבטל טיסה שהזמין דרכה (בשל עניין שקשור לבנו). משנמסר לנאשם כי אין אפשרות לבטל את הטיסה וכי הבעלים של הסוכנות נמצא בחו"ל, החל הנאשם לאיים באומרו, בין השאר, כי יגיע לסוכנות עם תעודת הנכה של בנו, יעשה טרור ואם צריך ישב בבית סוהר. עוד אמר הנאשם כי, אם צריך, הוא ייתן לבעלים של הסוכנות מכות ויכסח אותו.</w:t>
      </w:r>
    </w:p>
    <w:p w14:paraId="1CD7010F" w14:textId="77777777" w:rsidR="00DE39F3" w:rsidRDefault="00DE39F3" w:rsidP="00DE39F3">
      <w:pPr>
        <w:numPr>
          <w:ilvl w:val="0"/>
          <w:numId w:val="2"/>
        </w:numPr>
        <w:spacing w:after="120" w:line="360" w:lineRule="auto"/>
        <w:ind w:left="360"/>
        <w:jc w:val="both"/>
        <w:rPr>
          <w:rFonts w:ascii="Tahoma" w:hAnsi="Tahoma"/>
          <w:rtl/>
        </w:rPr>
      </w:pPr>
      <w:r>
        <w:rPr>
          <w:rFonts w:ascii="Tahoma" w:hAnsi="Tahoma"/>
          <w:rtl/>
        </w:rPr>
        <w:t xml:space="preserve">בתחילת הדיונים המקדמיים לפניי הגיעו הצדדים להסדר טיעון </w:t>
      </w:r>
      <w:r>
        <w:rPr>
          <w:rFonts w:ascii="Tahoma" w:hAnsi="Tahoma" w:hint="cs"/>
          <w:rtl/>
        </w:rPr>
        <w:t>חלקי</w:t>
      </w:r>
      <w:r>
        <w:rPr>
          <w:rFonts w:ascii="Tahoma" w:hAnsi="Tahoma"/>
          <w:rtl/>
        </w:rPr>
        <w:t xml:space="preserve"> לגבי התיק העיקרי, שבמסגרתו הודה הנאשם בעובדות כתב האישום. המאשימה הודיעה כי לעניין הטיעונים לעונש תגביל עצמה לטיעון שיכלול 9 חודשי מאסר בפועל, לנשיאה בדרך של עבודות שירות, מאסר מותנה ופסילת רישיון נהיגה מותנ</w:t>
      </w:r>
      <w:r>
        <w:rPr>
          <w:rFonts w:ascii="Tahoma" w:hAnsi="Tahoma" w:hint="cs"/>
          <w:rtl/>
        </w:rPr>
        <w:t>י</w:t>
      </w:r>
      <w:r>
        <w:rPr>
          <w:rFonts w:ascii="Tahoma" w:hAnsi="Tahoma"/>
          <w:rtl/>
        </w:rPr>
        <w:t>ת. לגבי הכספים שנתפסו מהנאשם הוסכם לעתור במשותף לחילוט סכום של 6,000 ₪, ללא בקשה להכרזה על הנאשם כסוחר סמים, וכן לקבלת תסקיר שירות המבחן וחוות דעת הממונה.</w:t>
      </w:r>
    </w:p>
    <w:p w14:paraId="7F506CC5" w14:textId="77777777" w:rsidR="00DE39F3" w:rsidRDefault="00DE39F3" w:rsidP="00DE39F3">
      <w:pPr>
        <w:numPr>
          <w:ilvl w:val="0"/>
          <w:numId w:val="2"/>
        </w:numPr>
        <w:spacing w:after="120" w:line="360" w:lineRule="auto"/>
        <w:ind w:left="360"/>
        <w:jc w:val="both"/>
        <w:rPr>
          <w:rFonts w:ascii="David" w:hAnsi="David"/>
        </w:rPr>
      </w:pPr>
      <w:r>
        <w:rPr>
          <w:rFonts w:ascii="Tahoma" w:hAnsi="Tahoma"/>
          <w:rtl/>
        </w:rPr>
        <w:t xml:space="preserve">הנאשם הודה אפוא בעובדות כתב האישום בתיק העיקרי והורשע בעבירה בה הואשם שם, כאמור בפסקה 1 דלעיל. בית המשפט נעתר לבקשות הצדדים והורה על עריכת תסקיר שירות המבחן וקבלת חוות דעת מהממונה על עבודות השירות. בהמשך הדרך, ולאחר שהנאשם שולב בהליכי טיפול במסגרת שירות המבחן, הגיעו הצדדים להסכמות נוספות אודות צירוף התיק המצורף, שלגביו הוסכם על </w:t>
      </w:r>
      <w:r>
        <w:rPr>
          <w:rFonts w:ascii="Tahoma" w:hAnsi="Tahoma" w:hint="cs"/>
          <w:rtl/>
        </w:rPr>
        <w:t>עתירה ל</w:t>
      </w:r>
      <w:r>
        <w:rPr>
          <w:rFonts w:ascii="Tahoma" w:hAnsi="Tahoma"/>
          <w:rtl/>
        </w:rPr>
        <w:t>ענישה מותנית. הנאשם הודה אפוא גם בעובדות כתב האישום המתוקן והורשע בעבירה בה הואשם</w:t>
      </w:r>
      <w:r>
        <w:rPr>
          <w:rFonts w:ascii="David" w:hAnsi="David"/>
          <w:rtl/>
        </w:rPr>
        <w:t xml:space="preserve"> שם (</w:t>
      </w:r>
      <w:r>
        <w:rPr>
          <w:rFonts w:ascii="David" w:hAnsi="David" w:hint="cs"/>
          <w:rtl/>
        </w:rPr>
        <w:t xml:space="preserve">ר' </w:t>
      </w:r>
      <w:r>
        <w:rPr>
          <w:rFonts w:ascii="David" w:hAnsi="David"/>
          <w:rtl/>
        </w:rPr>
        <w:t>בפרוטוקול, עמ' 7).</w:t>
      </w:r>
    </w:p>
    <w:p w14:paraId="4B69B6FB" w14:textId="77777777" w:rsidR="00DE39F3" w:rsidRPr="00A75882" w:rsidRDefault="00DE39F3" w:rsidP="00DE39F3">
      <w:pPr>
        <w:pStyle w:val="a9"/>
        <w:spacing w:before="120" w:after="120" w:line="360" w:lineRule="auto"/>
        <w:ind w:left="360"/>
        <w:jc w:val="both"/>
        <w:rPr>
          <w:rFonts w:ascii="Arial (W1)" w:hAnsi="Arial (W1)"/>
          <w:b/>
          <w:bCs/>
          <w:u w:val="single"/>
        </w:rPr>
      </w:pPr>
    </w:p>
    <w:p w14:paraId="319D86F0" w14:textId="77777777" w:rsidR="00DE39F3" w:rsidRDefault="00DE39F3" w:rsidP="00DE39F3">
      <w:pPr>
        <w:pStyle w:val="a9"/>
        <w:numPr>
          <w:ilvl w:val="0"/>
          <w:numId w:val="1"/>
        </w:numPr>
        <w:spacing w:before="120" w:after="120" w:line="360" w:lineRule="auto"/>
        <w:ind w:left="360"/>
        <w:jc w:val="both"/>
        <w:rPr>
          <w:b/>
          <w:bCs/>
          <w:u w:val="single"/>
        </w:rPr>
      </w:pPr>
      <w:r>
        <w:rPr>
          <w:b/>
          <w:bCs/>
          <w:u w:val="single"/>
          <w:rtl/>
        </w:rPr>
        <w:t>עיקר תסקירי שירות המבחן:</w:t>
      </w:r>
    </w:p>
    <w:p w14:paraId="034E712B" w14:textId="77777777" w:rsidR="00DE39F3" w:rsidRDefault="00DE39F3" w:rsidP="00DE39F3">
      <w:pPr>
        <w:numPr>
          <w:ilvl w:val="0"/>
          <w:numId w:val="2"/>
        </w:numPr>
        <w:spacing w:after="120" w:line="360" w:lineRule="auto"/>
        <w:ind w:left="360"/>
        <w:jc w:val="both"/>
        <w:rPr>
          <w:rFonts w:ascii="Tahoma" w:hAnsi="Tahoma"/>
        </w:rPr>
      </w:pPr>
      <w:r>
        <w:rPr>
          <w:rFonts w:ascii="David" w:hAnsi="David"/>
          <w:rtl/>
        </w:rPr>
        <w:lastRenderedPageBreak/>
        <w:t>בעניינו של הנאשם הוגשו</w:t>
      </w:r>
      <w:r>
        <w:rPr>
          <w:rFonts w:ascii="David" w:hAnsi="David" w:hint="cs"/>
          <w:rtl/>
        </w:rPr>
        <w:t>,</w:t>
      </w:r>
      <w:r>
        <w:rPr>
          <w:rFonts w:ascii="David" w:hAnsi="David"/>
          <w:rtl/>
        </w:rPr>
        <w:t xml:space="preserve"> בסופו של דבר</w:t>
      </w:r>
      <w:r>
        <w:rPr>
          <w:rFonts w:ascii="David" w:hAnsi="David" w:hint="cs"/>
          <w:rtl/>
        </w:rPr>
        <w:t>,</w:t>
      </w:r>
      <w:r>
        <w:rPr>
          <w:rFonts w:ascii="David" w:hAnsi="David"/>
          <w:rtl/>
        </w:rPr>
        <w:t xml:space="preserve"> חמישה תסקירי</w:t>
      </w:r>
      <w:r>
        <w:rPr>
          <w:rFonts w:ascii="David" w:hAnsi="David" w:hint="cs"/>
          <w:rtl/>
        </w:rPr>
        <w:t>ם של</w:t>
      </w:r>
      <w:r>
        <w:rPr>
          <w:rFonts w:ascii="David" w:hAnsi="David"/>
          <w:rtl/>
        </w:rPr>
        <w:t xml:space="preserve"> שירות המבחן. התסקיר הראשון (מיום 14.07.2022) מפרט את נסיבותיו האישיות של הנאשם, יליד שנת 1980 (בן 44 שנים כיום). הנאשם נשוי, אב לארבעה ועובד כעצמאי בתחום השליחויות.</w:t>
      </w:r>
      <w:r>
        <w:rPr>
          <w:rFonts w:ascii="Tahoma" w:hAnsi="Tahoma"/>
          <w:rtl/>
        </w:rPr>
        <w:t xml:space="preserve"> ילדיו של הנאשם צעירים מאוד, ושניים מהם סובלים מקשיים ממשיים</w:t>
      </w:r>
      <w:r>
        <w:rPr>
          <w:rFonts w:ascii="Tahoma" w:hAnsi="Tahoma" w:hint="cs"/>
          <w:rtl/>
        </w:rPr>
        <w:t xml:space="preserve"> (על הרצף האוטיסטי)</w:t>
      </w:r>
      <w:r>
        <w:rPr>
          <w:rFonts w:ascii="Tahoma" w:hAnsi="Tahoma"/>
          <w:rtl/>
        </w:rPr>
        <w:t>.</w:t>
      </w:r>
    </w:p>
    <w:p w14:paraId="73583923"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 xml:space="preserve">הנאשם תיאר לשירות המבחן נסיבות ילדות מורכבות, כאשר עקב קשיים התנהגותיים </w:t>
      </w:r>
      <w:r>
        <w:rPr>
          <w:rFonts w:ascii="Tahoma" w:hAnsi="Tahoma" w:hint="cs"/>
          <w:rtl/>
        </w:rPr>
        <w:t xml:space="preserve">הוא </w:t>
      </w:r>
      <w:r>
        <w:rPr>
          <w:rFonts w:ascii="Tahoma" w:hAnsi="Tahoma"/>
          <w:rtl/>
        </w:rPr>
        <w:t>עבר בין מסגרות ואף פוטר משירות צבאי. בהתייחסותו לעבירה מושא כתב האישום (בתיק העיקרי) סיפר הנאשם כי אמנם רכש כמות גדולה של סמים מסוג קנבוס, אך לטענתו לצריכתו העצמית בלבד ובכדי להוזיל את עלויות הסם. עם זאת ביטא הנאשם הבנה לחומרת מעשיו ו</w:t>
      </w:r>
      <w:r>
        <w:rPr>
          <w:rFonts w:ascii="Tahoma" w:hAnsi="Tahoma" w:hint="cs"/>
          <w:rtl/>
        </w:rPr>
        <w:t>טען</w:t>
      </w:r>
      <w:r>
        <w:rPr>
          <w:rFonts w:ascii="Tahoma" w:hAnsi="Tahoma"/>
          <w:rtl/>
        </w:rPr>
        <w:t xml:space="preserve"> כי הוא נמנע משימוש בסמים מזה כשנה וחצי. הנאשם תיאר כי בעבר התדרדר לשימוש אינטנסיבי ויומיומי בסמים מסוכנים, לרבות קשים, אך הוסיף כי בעקבות לחצים מבני משפחה פנה בסופו של דבר לטיפול פרטי ונגמל משימוש בסמים. תוצאות בדיקות שתן שמסר הנאשם נמצאו נקיות משרידי סמים, אך לא ניתן היה ליצור קשר עם המטפל הפרטי.  </w:t>
      </w:r>
    </w:p>
    <w:p w14:paraId="1A94EE9A" w14:textId="77777777" w:rsidR="00DE39F3" w:rsidRDefault="00DE39F3" w:rsidP="00DE39F3">
      <w:pPr>
        <w:numPr>
          <w:ilvl w:val="0"/>
          <w:numId w:val="2"/>
        </w:numPr>
        <w:spacing w:after="120" w:line="360" w:lineRule="auto"/>
        <w:ind w:left="360"/>
        <w:jc w:val="both"/>
        <w:rPr>
          <w:rFonts w:ascii="Tahoma" w:hAnsi="Tahoma"/>
        </w:rPr>
      </w:pPr>
      <w:r>
        <w:rPr>
          <w:rFonts w:ascii="David" w:hAnsi="David"/>
          <w:rtl/>
        </w:rPr>
        <w:t>שירות המבחן התרשם כי הנאשם גדל במערכת משפחתית מורכבת</w:t>
      </w:r>
      <w:r>
        <w:rPr>
          <w:rFonts w:ascii="Tahoma" w:hAnsi="Tahoma"/>
          <w:rtl/>
        </w:rPr>
        <w:t xml:space="preserve">, נחשף לשימוש של אביו בסמים מסוכנים מגיל צעיר, חווה קשיי הסתגלות במסגרות וחבר לחברה שולית </w:t>
      </w:r>
      <w:r>
        <w:rPr>
          <w:rFonts w:ascii="Tahoma" w:hAnsi="Tahoma" w:hint="cs"/>
          <w:rtl/>
        </w:rPr>
        <w:t xml:space="preserve">תוך </w:t>
      </w:r>
      <w:r>
        <w:rPr>
          <w:rFonts w:ascii="Tahoma" w:hAnsi="Tahoma"/>
          <w:rtl/>
        </w:rPr>
        <w:t>אימ</w:t>
      </w:r>
      <w:r>
        <w:rPr>
          <w:rFonts w:ascii="Tahoma" w:hAnsi="Tahoma" w:hint="cs"/>
          <w:rtl/>
        </w:rPr>
        <w:t>ו</w:t>
      </w:r>
      <w:r>
        <w:rPr>
          <w:rFonts w:ascii="Tahoma" w:hAnsi="Tahoma"/>
          <w:rtl/>
        </w:rPr>
        <w:t>ץ דפוסים שוליים והתמכרותיים. עם זאת נראה כי מאז נישואיו של הנאשם חלה התמתנות במעורבותו השולית. בנסיבות אלה ונוכח התרשמות שירות המבחן מנזקקות טיפולית של הנאשם, כמו גם ההבנה שגילה הנאשם באשר לדפוסיו ההתמכרותיים, המליץ השירות על דחיי</w:t>
      </w:r>
      <w:r>
        <w:rPr>
          <w:rFonts w:ascii="Tahoma" w:hAnsi="Tahoma" w:hint="cs"/>
          <w:rtl/>
        </w:rPr>
        <w:t xml:space="preserve">ת הדיון </w:t>
      </w:r>
      <w:r>
        <w:rPr>
          <w:rFonts w:ascii="Tahoma" w:hAnsi="Tahoma"/>
          <w:rtl/>
        </w:rPr>
        <w:t xml:space="preserve">לצורך </w:t>
      </w:r>
      <w:r>
        <w:rPr>
          <w:rFonts w:ascii="Tahoma" w:hAnsi="Tahoma" w:hint="cs"/>
          <w:rtl/>
        </w:rPr>
        <w:t xml:space="preserve">שילוב </w:t>
      </w:r>
      <w:r>
        <w:rPr>
          <w:rFonts w:ascii="Tahoma" w:hAnsi="Tahoma"/>
          <w:rtl/>
        </w:rPr>
        <w:t>הנאשם בטיפול ביחידה להתמכרויות בעיר מגוריו.</w:t>
      </w:r>
    </w:p>
    <w:p w14:paraId="5E92504D" w14:textId="77777777" w:rsidR="00DE39F3" w:rsidRDefault="00DE39F3" w:rsidP="00DE39F3">
      <w:pPr>
        <w:numPr>
          <w:ilvl w:val="0"/>
          <w:numId w:val="2"/>
        </w:numPr>
        <w:spacing w:after="120" w:line="360" w:lineRule="auto"/>
        <w:ind w:left="360"/>
        <w:jc w:val="both"/>
        <w:rPr>
          <w:rFonts w:ascii="Tahoma" w:hAnsi="Tahoma"/>
        </w:rPr>
      </w:pPr>
      <w:r>
        <w:rPr>
          <w:rFonts w:ascii="David" w:hAnsi="David"/>
          <w:rtl/>
        </w:rPr>
        <w:t>בתסקיר המשלים (מיום 28.09.2022) עדכן שירות המבחן כי הנאשם נוטל חלק פעיל בטיפול היחידה להתמכרות. לנאשם נערכו שלוש בדיקות שתן</w:t>
      </w:r>
      <w:r>
        <w:rPr>
          <w:rFonts w:ascii="David" w:hAnsi="David" w:hint="cs"/>
          <w:rtl/>
        </w:rPr>
        <w:t xml:space="preserve">, אך </w:t>
      </w:r>
      <w:r>
        <w:rPr>
          <w:rFonts w:ascii="David" w:hAnsi="David"/>
          <w:rtl/>
        </w:rPr>
        <w:t xml:space="preserve">באחת מהן נמצאו שרידי סם. עם זאת, שירות המבחן ציין כי הנאשם נכון להמשיך בטיפול ביחידה להתמכרויות. משכך, שירות המבחן ביקש לדחות את </w:t>
      </w:r>
      <w:r>
        <w:rPr>
          <w:rFonts w:ascii="David" w:hAnsi="David" w:hint="cs"/>
          <w:rtl/>
        </w:rPr>
        <w:t xml:space="preserve">ההכרעה בעניינו </w:t>
      </w:r>
      <w:r>
        <w:rPr>
          <w:rFonts w:ascii="David" w:hAnsi="David"/>
          <w:rtl/>
        </w:rPr>
        <w:t>של הנאשם ב</w:t>
      </w:r>
      <w:r>
        <w:rPr>
          <w:rFonts w:ascii="David" w:hAnsi="David" w:hint="cs"/>
          <w:rtl/>
        </w:rPr>
        <w:t>מספר</w:t>
      </w:r>
      <w:r>
        <w:rPr>
          <w:rFonts w:ascii="David" w:hAnsi="David"/>
          <w:rtl/>
        </w:rPr>
        <w:t xml:space="preserve"> חודשים נוספים</w:t>
      </w:r>
      <w:r>
        <w:rPr>
          <w:rFonts w:ascii="David" w:hAnsi="David" w:hint="cs"/>
          <w:rtl/>
        </w:rPr>
        <w:t>,</w:t>
      </w:r>
      <w:r>
        <w:rPr>
          <w:rFonts w:ascii="David" w:hAnsi="David"/>
          <w:rtl/>
        </w:rPr>
        <w:t xml:space="preserve"> לצורכי טיפול</w:t>
      </w:r>
      <w:r>
        <w:rPr>
          <w:rFonts w:ascii="David" w:hAnsi="David" w:hint="cs"/>
          <w:rtl/>
        </w:rPr>
        <w:t>,</w:t>
      </w:r>
      <w:r>
        <w:rPr>
          <w:rFonts w:ascii="David" w:hAnsi="David"/>
          <w:rtl/>
        </w:rPr>
        <w:t xml:space="preserve"> ובית המשפט נעתר לבקשה. </w:t>
      </w:r>
      <w:r>
        <w:rPr>
          <w:rFonts w:ascii="Tahoma" w:hAnsi="Tahoma"/>
          <w:rtl/>
        </w:rPr>
        <w:t>בתסקיר משלים הנוסף (מיום 13.12.2022)</w:t>
      </w:r>
      <w:r>
        <w:rPr>
          <w:rFonts w:ascii="David" w:hAnsi="David"/>
          <w:rtl/>
        </w:rPr>
        <w:t xml:space="preserve"> צוין </w:t>
      </w:r>
      <w:r>
        <w:rPr>
          <w:rFonts w:ascii="Tahoma" w:hAnsi="Tahoma"/>
          <w:rtl/>
        </w:rPr>
        <w:t>כי הנאשם מתמיד בהגעתו לשיחות הפרטניות ומשתף אודות התמודדויותיו בחיי היום יום, הגם שנתגלו קשיים ומעידות</w:t>
      </w:r>
      <w:r>
        <w:rPr>
          <w:rFonts w:ascii="Tahoma" w:hAnsi="Tahoma" w:hint="cs"/>
          <w:rtl/>
        </w:rPr>
        <w:t xml:space="preserve"> נוספות</w:t>
      </w:r>
      <w:r>
        <w:rPr>
          <w:rFonts w:ascii="Tahoma" w:hAnsi="Tahoma"/>
          <w:rtl/>
        </w:rPr>
        <w:t>. עם זאת, שירות המבחן המליץ על דחייה נוספת לצורך המשך מעקב, נוכח היות ההליך המשפטי גורם מדרבן לנאשם.</w:t>
      </w:r>
    </w:p>
    <w:p w14:paraId="2E1F8951"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בתסקיר המשלים הנוסף (הרביעי, מיום 24.04.2023) נכללו כבר המלצות סופיות. תסקיר זה מפרט את ממצאי ועדת האבחון</w:t>
      </w:r>
      <w:r>
        <w:rPr>
          <w:rFonts w:ascii="Tahoma" w:hAnsi="Tahoma" w:hint="cs"/>
          <w:rtl/>
        </w:rPr>
        <w:t>,</w:t>
      </w:r>
      <w:r>
        <w:rPr>
          <w:rFonts w:ascii="Tahoma" w:hAnsi="Tahoma"/>
          <w:rtl/>
        </w:rPr>
        <w:t xml:space="preserve"> שנערכה במסגרת ההליך הטיפולי ביחידה להתמכרויות</w:t>
      </w:r>
      <w:r>
        <w:rPr>
          <w:rFonts w:ascii="Tahoma" w:hAnsi="Tahoma" w:hint="cs"/>
          <w:rtl/>
        </w:rPr>
        <w:t xml:space="preserve"> ו</w:t>
      </w:r>
      <w:r>
        <w:rPr>
          <w:rFonts w:ascii="Tahoma" w:hAnsi="Tahoma"/>
          <w:rtl/>
        </w:rPr>
        <w:t>מטרתה היתה להעריך את מצבו הנוכחי של הנאשם ו</w:t>
      </w:r>
      <w:r>
        <w:rPr>
          <w:rFonts w:ascii="Tahoma" w:hAnsi="Tahoma" w:hint="cs"/>
          <w:rtl/>
        </w:rPr>
        <w:t xml:space="preserve">את </w:t>
      </w:r>
      <w:r>
        <w:rPr>
          <w:rFonts w:ascii="Tahoma" w:hAnsi="Tahoma"/>
          <w:rtl/>
        </w:rPr>
        <w:t xml:space="preserve">צרכיו הטיפוליים </w:t>
      </w:r>
      <w:r>
        <w:rPr>
          <w:rFonts w:ascii="Tahoma" w:hAnsi="Tahoma" w:hint="cs"/>
          <w:rtl/>
        </w:rPr>
        <w:t>ב</w:t>
      </w:r>
      <w:r>
        <w:rPr>
          <w:rFonts w:ascii="Tahoma" w:hAnsi="Tahoma"/>
          <w:rtl/>
        </w:rPr>
        <w:t xml:space="preserve">המשך. עוד צוין, כי על אף שבתחילת הדרך התקשה הנאשם לשתף פעולה ולהיעזר בטיפול, חלה התקדמות ביכולותיו </w:t>
      </w:r>
      <w:r>
        <w:rPr>
          <w:rFonts w:ascii="Tahoma" w:hAnsi="Tahoma" w:hint="cs"/>
          <w:rtl/>
        </w:rPr>
        <w:t xml:space="preserve">של </w:t>
      </w:r>
      <w:r>
        <w:rPr>
          <w:rFonts w:ascii="Tahoma" w:hAnsi="Tahoma"/>
          <w:rtl/>
        </w:rPr>
        <w:t xml:space="preserve">הנאשם </w:t>
      </w:r>
      <w:r>
        <w:rPr>
          <w:rFonts w:ascii="Tahoma" w:hAnsi="Tahoma" w:hint="cs"/>
          <w:rtl/>
        </w:rPr>
        <w:t xml:space="preserve">והוא </w:t>
      </w:r>
      <w:r>
        <w:rPr>
          <w:rFonts w:ascii="Tahoma" w:hAnsi="Tahoma"/>
          <w:rtl/>
        </w:rPr>
        <w:t xml:space="preserve">החל לגלות מוטיבציה לטיפול. הנאשם שב והביע חרטה </w:t>
      </w:r>
      <w:r>
        <w:rPr>
          <w:rFonts w:ascii="Tahoma" w:hAnsi="Tahoma" w:hint="cs"/>
          <w:rtl/>
        </w:rPr>
        <w:t xml:space="preserve">על מעשיו </w:t>
      </w:r>
      <w:r>
        <w:rPr>
          <w:rFonts w:ascii="Tahoma" w:hAnsi="Tahoma"/>
          <w:rtl/>
        </w:rPr>
        <w:t>ואף הביע נכונות לשאת בעונש.</w:t>
      </w:r>
    </w:p>
    <w:p w14:paraId="0AE3BF1F" w14:textId="77777777" w:rsidR="00DE39F3" w:rsidRDefault="00DE39F3" w:rsidP="00DE39F3">
      <w:pPr>
        <w:numPr>
          <w:ilvl w:val="0"/>
          <w:numId w:val="2"/>
        </w:numPr>
        <w:spacing w:after="120" w:line="360" w:lineRule="auto"/>
        <w:ind w:left="360"/>
        <w:jc w:val="both"/>
        <w:rPr>
          <w:rFonts w:ascii="Tahoma" w:hAnsi="Tahoma"/>
        </w:rPr>
      </w:pPr>
      <w:r>
        <w:rPr>
          <w:rFonts w:ascii="David" w:hAnsi="David"/>
          <w:rtl/>
        </w:rPr>
        <w:t>שירות המבחן בחן את גורמי הסיכון והסיכוי בעניינו של הנאשם. כגורמי סיכון צ</w:t>
      </w:r>
      <w:r>
        <w:rPr>
          <w:rFonts w:ascii="David" w:hAnsi="David" w:hint="cs"/>
          <w:rtl/>
        </w:rPr>
        <w:t>וינו</w:t>
      </w:r>
      <w:r>
        <w:rPr>
          <w:rFonts w:ascii="David" w:hAnsi="David"/>
          <w:rtl/>
        </w:rPr>
        <w:t xml:space="preserve">, בין השאר, קשייו </w:t>
      </w:r>
      <w:r>
        <w:rPr>
          <w:rFonts w:ascii="David" w:hAnsi="David" w:hint="cs"/>
          <w:rtl/>
        </w:rPr>
        <w:t xml:space="preserve">של הנאשם </w:t>
      </w:r>
      <w:r>
        <w:rPr>
          <w:rFonts w:ascii="David" w:hAnsi="David"/>
          <w:rtl/>
        </w:rPr>
        <w:t xml:space="preserve">בתחילת הליך הטיפול לשתף פעולה </w:t>
      </w:r>
      <w:r>
        <w:rPr>
          <w:rFonts w:ascii="David" w:hAnsi="David" w:hint="cs"/>
          <w:rtl/>
        </w:rPr>
        <w:t xml:space="preserve">עם השירות </w:t>
      </w:r>
      <w:r>
        <w:rPr>
          <w:rFonts w:ascii="David" w:hAnsi="David"/>
          <w:rtl/>
        </w:rPr>
        <w:t>ולהפסיק את ה</w:t>
      </w:r>
      <w:r>
        <w:rPr>
          <w:rFonts w:ascii="Tahoma" w:hAnsi="Tahoma"/>
          <w:rtl/>
        </w:rPr>
        <w:t xml:space="preserve">שימוש הממושך והאינטנסיבי בחומרים פסיכו-אקטיביים. </w:t>
      </w:r>
      <w:r>
        <w:rPr>
          <w:rFonts w:ascii="David" w:hAnsi="David"/>
          <w:rtl/>
        </w:rPr>
        <w:t xml:space="preserve">עם זאת, כגורמי סיכוי צוינו היעדר העבר הפלילי של הנאשם, נטילת </w:t>
      </w:r>
      <w:r>
        <w:rPr>
          <w:rFonts w:ascii="David" w:hAnsi="David" w:hint="cs"/>
          <w:rtl/>
        </w:rPr>
        <w:t>ה</w:t>
      </w:r>
      <w:r>
        <w:rPr>
          <w:rFonts w:ascii="David" w:hAnsi="David"/>
          <w:rtl/>
        </w:rPr>
        <w:t>אחריות מצידו והתגייסותו להליכי טיפול ושיקום, כאשר בדיקות שתן שמסר לאחרונה נמצאו נקיות משרידי סמים. שירות המבחן המליץ אפוא על ענישה שיקומית-טיפולית, שתכלול צו מבחן למשך שנה וצו של"צ בהיקף של 200 שעות.</w:t>
      </w:r>
    </w:p>
    <w:p w14:paraId="5E27C1CE"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 xml:space="preserve">לאחר קבלת התסקיר הנ"ל צירף הנאשם את התיק המצורף, ובתסקיר המשלים האחרון, שהתקבל לאחר מכן </w:t>
      </w:r>
      <w:r>
        <w:rPr>
          <w:rFonts w:ascii="David" w:hAnsi="David"/>
          <w:rtl/>
        </w:rPr>
        <w:t xml:space="preserve">(תסקיר </w:t>
      </w:r>
      <w:r>
        <w:rPr>
          <w:rFonts w:ascii="David" w:hAnsi="David" w:hint="cs"/>
          <w:rtl/>
        </w:rPr>
        <w:t xml:space="preserve">משלים </w:t>
      </w:r>
      <w:r>
        <w:rPr>
          <w:rFonts w:ascii="David" w:hAnsi="David"/>
          <w:rtl/>
        </w:rPr>
        <w:t>מיום 20.11.2024) חזר שירות המבחן על המלצותיו. שירות המבחן דיווח על המשך הליך טיפולי מוצלח, שבמסגרתו הנאשם אף מדווח על שיפור בתחומים רבים בחייו.</w:t>
      </w:r>
      <w:r>
        <w:rPr>
          <w:rFonts w:ascii="Tahoma" w:hAnsi="Tahoma"/>
          <w:rtl/>
        </w:rPr>
        <w:t xml:space="preserve"> שירות המבחן הוסיף והטעים כי להערכתו בטיפול המוצע יש כדי להפחית את הסיכוי להישנות עבירות בעתיד, והדגיש כי הנאשם מצליח לשמור על ניקיון משימוש בסמים ולהיעזר בגורמי הטיפול. בנסיבות אלה חזר שירות המבחן, כאמור, על המלצותיו</w:t>
      </w:r>
      <w:r>
        <w:rPr>
          <w:rFonts w:ascii="Tahoma" w:hAnsi="Tahoma" w:hint="cs"/>
          <w:rtl/>
        </w:rPr>
        <w:t xml:space="preserve"> לענישה שיקומית-טיפולית.</w:t>
      </w:r>
    </w:p>
    <w:p w14:paraId="3642E8DC" w14:textId="77777777" w:rsidR="00DE39F3" w:rsidRDefault="00DE39F3" w:rsidP="00DE39F3">
      <w:pPr>
        <w:spacing w:after="120" w:line="360" w:lineRule="auto"/>
        <w:jc w:val="both"/>
        <w:rPr>
          <w:rFonts w:ascii="Tahoma" w:hAnsi="Tahoma"/>
        </w:rPr>
      </w:pPr>
    </w:p>
    <w:p w14:paraId="3FEBFE6A" w14:textId="77777777" w:rsidR="00DE39F3" w:rsidRDefault="00DE39F3" w:rsidP="00DE39F3">
      <w:pPr>
        <w:pStyle w:val="a9"/>
        <w:numPr>
          <w:ilvl w:val="0"/>
          <w:numId w:val="1"/>
        </w:numPr>
        <w:spacing w:before="120" w:after="120" w:line="360" w:lineRule="auto"/>
        <w:ind w:left="360"/>
        <w:jc w:val="both"/>
        <w:rPr>
          <w:rFonts w:ascii="Arial (W1)" w:hAnsi="Arial (W1)"/>
          <w:b/>
          <w:bCs/>
          <w:u w:val="single"/>
        </w:rPr>
      </w:pPr>
      <w:r>
        <w:rPr>
          <w:b/>
          <w:bCs/>
          <w:u w:val="single"/>
          <w:rtl/>
        </w:rPr>
        <w:t>עיקר הראיות והטיעונים לקביעת העונש:</w:t>
      </w:r>
    </w:p>
    <w:p w14:paraId="5B8BEEB7" w14:textId="77777777" w:rsidR="00DE39F3" w:rsidRDefault="00DE39F3" w:rsidP="00DE39F3">
      <w:pPr>
        <w:numPr>
          <w:ilvl w:val="0"/>
          <w:numId w:val="2"/>
        </w:numPr>
        <w:spacing w:after="120" w:line="360" w:lineRule="auto"/>
        <w:ind w:left="360"/>
        <w:jc w:val="both"/>
        <w:rPr>
          <w:rFonts w:ascii="David" w:hAnsi="David"/>
        </w:rPr>
      </w:pPr>
      <w:r>
        <w:rPr>
          <w:rtl/>
        </w:rPr>
        <w:t>ב"כ המאשימה לא הגישה ראיות לקביעת העונש, תוך שציינה כי לנאשם אין הרשעות קודמות.</w:t>
      </w:r>
      <w:r>
        <w:rPr>
          <w:rFonts w:ascii="David" w:hAnsi="David"/>
          <w:rtl/>
        </w:rPr>
        <w:t xml:space="preserve"> </w:t>
      </w:r>
      <w:r>
        <w:rPr>
          <w:rFonts w:ascii="Tahoma" w:hAnsi="Tahoma"/>
          <w:rtl/>
        </w:rPr>
        <w:t xml:space="preserve">בטיעוניה לעונש עמדה ב"כ המאשימה על עובדות כתבי האישום בתיק העיקרי ובתיק המצורף, בהן הודה הנאשם, והדגישה את היבטי החומרה שבהן. </w:t>
      </w:r>
      <w:r>
        <w:rPr>
          <w:rFonts w:ascii="David" w:hAnsi="David"/>
          <w:rtl/>
        </w:rPr>
        <w:t xml:space="preserve">בהקשר לתיק העיקרי הדגישה </w:t>
      </w:r>
      <w:r>
        <w:rPr>
          <w:rFonts w:ascii="Tahoma" w:hAnsi="Tahoma"/>
          <w:rtl/>
        </w:rPr>
        <w:t xml:space="preserve">ב"כ המאשימה, במיוחד, את כמות הסמים המשמעותית – כאמור, </w:t>
      </w:r>
      <w:r>
        <w:rPr>
          <w:rFonts w:ascii="Tahoma" w:hAnsi="Tahoma" w:hint="cs"/>
          <w:rtl/>
        </w:rPr>
        <w:t xml:space="preserve">סמים מסוכנים מסוג </w:t>
      </w:r>
      <w:r>
        <w:rPr>
          <w:rFonts w:ascii="Tahoma" w:hAnsi="Tahoma"/>
          <w:rtl/>
        </w:rPr>
        <w:t>קנבוס</w:t>
      </w:r>
      <w:r>
        <w:rPr>
          <w:rFonts w:ascii="Tahoma" w:hAnsi="Tahoma" w:hint="cs"/>
          <w:rtl/>
        </w:rPr>
        <w:t>,</w:t>
      </w:r>
      <w:r>
        <w:rPr>
          <w:rFonts w:ascii="Tahoma" w:hAnsi="Tahoma"/>
          <w:rtl/>
        </w:rPr>
        <w:t xml:space="preserve"> במשקל של 860 גרם</w:t>
      </w:r>
      <w:r>
        <w:rPr>
          <w:rFonts w:ascii="David" w:hAnsi="David"/>
          <w:rtl/>
        </w:rPr>
        <w:t xml:space="preserve"> נטו – ואת העובדה שהסמים הוסלקו בארון בגדים.</w:t>
      </w:r>
    </w:p>
    <w:p w14:paraId="2251C3E4" w14:textId="77777777" w:rsidR="00DE39F3" w:rsidRDefault="00DE39F3" w:rsidP="00DE39F3">
      <w:pPr>
        <w:numPr>
          <w:ilvl w:val="0"/>
          <w:numId w:val="2"/>
        </w:numPr>
        <w:spacing w:after="120" w:line="360" w:lineRule="auto"/>
        <w:ind w:left="360"/>
        <w:jc w:val="both"/>
        <w:rPr>
          <w:rFonts w:ascii="David" w:hAnsi="David"/>
        </w:rPr>
      </w:pPr>
      <w:r>
        <w:rPr>
          <w:rFonts w:ascii="David" w:hAnsi="David"/>
          <w:rtl/>
        </w:rPr>
        <w:t xml:space="preserve">אשר לערכים החברתיים, שנפגעו כתולדה מביצוע העבירות, ציינה ב"כ המאשימה לגבי התיק העיקרי את הפגיעה בהגנה על שלום הציבור מפני הנזקים הישירים והעקיפים הנגרמים משימוש בסמים מסוכנים. לגבי תיק הצירוף ציינה ב"כ המאשימה את הפגיעה בהגנה על שלום הציבור, </w:t>
      </w:r>
      <w:r>
        <w:rPr>
          <w:rFonts w:ascii="David" w:hAnsi="David" w:hint="cs"/>
          <w:rtl/>
        </w:rPr>
        <w:t xml:space="preserve">בהגנה </w:t>
      </w:r>
      <w:r>
        <w:rPr>
          <w:rFonts w:ascii="David" w:hAnsi="David"/>
          <w:rtl/>
        </w:rPr>
        <w:t>על ביטחונו ו</w:t>
      </w:r>
      <w:r>
        <w:rPr>
          <w:rFonts w:ascii="David" w:hAnsi="David" w:hint="cs"/>
          <w:rtl/>
        </w:rPr>
        <w:t>ב</w:t>
      </w:r>
      <w:r>
        <w:rPr>
          <w:rFonts w:ascii="David" w:hAnsi="David"/>
          <w:rtl/>
        </w:rPr>
        <w:t>הגנה מפני הפחדה.</w:t>
      </w:r>
    </w:p>
    <w:p w14:paraId="35D4BA66" w14:textId="77777777" w:rsidR="00DE39F3" w:rsidRPr="006E01A0" w:rsidRDefault="00DE39F3" w:rsidP="00DE39F3">
      <w:pPr>
        <w:numPr>
          <w:ilvl w:val="0"/>
          <w:numId w:val="2"/>
        </w:numPr>
        <w:spacing w:after="120" w:line="360" w:lineRule="auto"/>
        <w:ind w:left="360"/>
        <w:jc w:val="both"/>
        <w:rPr>
          <w:rFonts w:ascii="Tahoma" w:hAnsi="Tahoma"/>
        </w:rPr>
      </w:pPr>
      <w:r>
        <w:rPr>
          <w:rFonts w:ascii="David" w:hAnsi="David"/>
          <w:rtl/>
        </w:rPr>
        <w:t xml:space="preserve">לעניין מדיניות הענישה הנהוגה הפנתה התובעת לפסיקה, אך </w:t>
      </w:r>
      <w:r>
        <w:rPr>
          <w:rFonts w:ascii="David" w:hAnsi="David" w:hint="cs"/>
          <w:rtl/>
        </w:rPr>
        <w:t xml:space="preserve">בעיקר </w:t>
      </w:r>
      <w:r>
        <w:rPr>
          <w:rFonts w:ascii="David" w:hAnsi="David"/>
          <w:rtl/>
        </w:rPr>
        <w:t xml:space="preserve">במקרים חמורים מענייננו. כך הפנתה </w:t>
      </w:r>
      <w:r>
        <w:rPr>
          <w:rFonts w:ascii="David" w:hAnsi="David" w:hint="cs"/>
          <w:rtl/>
        </w:rPr>
        <w:t xml:space="preserve">התובעת </w:t>
      </w:r>
      <w:r>
        <w:rPr>
          <w:rFonts w:ascii="David" w:hAnsi="David"/>
          <w:rtl/>
        </w:rPr>
        <w:t>ל</w:t>
      </w:r>
      <w:hyperlink r:id="rId19" w:history="1">
        <w:r w:rsidR="007E68AE" w:rsidRPr="007E68AE">
          <w:rPr>
            <w:rFonts w:ascii="Tahoma" w:hAnsi="Tahoma"/>
            <w:color w:val="0000FF"/>
            <w:u w:val="single"/>
            <w:rtl/>
          </w:rPr>
          <w:t>עפ"ג (מחוזי ב"ש) 24043-04-17</w:t>
        </w:r>
      </w:hyperlink>
      <w:r>
        <w:rPr>
          <w:rFonts w:ascii="Tahoma" w:hAnsi="Tahoma"/>
          <w:b/>
          <w:bCs/>
          <w:rtl/>
        </w:rPr>
        <w:t xml:space="preserve"> אל קשכר נ' מדינת ישראל </w:t>
      </w:r>
      <w:r>
        <w:rPr>
          <w:rFonts w:ascii="Tahoma" w:hAnsi="Tahoma"/>
          <w:rtl/>
        </w:rPr>
        <w:t xml:space="preserve">(14.06.2017), שם נקבע מתחם עונש הולם שבין 6 חודשי מאסר בפועל לבין 12 חודשי מאסר בפועל – אך במקרה בו דובר בהחזקת כמות גדולה יותר של סמים וברכב (ולא בבית מגורים), כאשר הסמים חולקו לאריזות והנאשם דשם ניסה לזרקם מהרכב בעת ששוטרים ניסו לעצרו. </w:t>
      </w:r>
      <w:r>
        <w:rPr>
          <w:rFonts w:ascii="David" w:hAnsi="David"/>
          <w:rtl/>
        </w:rPr>
        <w:t xml:space="preserve">עוד הפנתה </w:t>
      </w:r>
      <w:r>
        <w:rPr>
          <w:rFonts w:ascii="David" w:hAnsi="David" w:hint="cs"/>
          <w:rtl/>
        </w:rPr>
        <w:t xml:space="preserve">התובעת </w:t>
      </w:r>
      <w:r>
        <w:rPr>
          <w:rFonts w:ascii="David" w:hAnsi="David"/>
          <w:rtl/>
        </w:rPr>
        <w:t>ל</w:t>
      </w:r>
      <w:hyperlink r:id="rId20" w:history="1">
        <w:r w:rsidR="007E68AE" w:rsidRPr="007E68AE">
          <w:rPr>
            <w:rFonts w:ascii="David" w:hAnsi="David"/>
            <w:color w:val="0000FF"/>
            <w:u w:val="single"/>
            <w:rtl/>
          </w:rPr>
          <w:t>ת"פ (שלום ב"ש) 14656-12-20</w:t>
        </w:r>
      </w:hyperlink>
      <w:r>
        <w:rPr>
          <w:rFonts w:ascii="Tahoma" w:hAnsi="Tahoma"/>
          <w:rtl/>
        </w:rPr>
        <w:t xml:space="preserve"> </w:t>
      </w:r>
      <w:r>
        <w:rPr>
          <w:rFonts w:ascii="Tahoma" w:hAnsi="Tahoma"/>
          <w:b/>
          <w:bCs/>
          <w:rtl/>
        </w:rPr>
        <w:t xml:space="preserve">מדינת ישראל נ' אלעלאוין </w:t>
      </w:r>
      <w:r>
        <w:rPr>
          <w:rFonts w:ascii="Tahoma" w:hAnsi="Tahoma"/>
          <w:rtl/>
        </w:rPr>
        <w:t xml:space="preserve">(10.03.2021), שם נקבע מתחם עונש הולם </w:t>
      </w:r>
      <w:r>
        <w:rPr>
          <w:rFonts w:ascii="David" w:hAnsi="David"/>
          <w:rtl/>
        </w:rPr>
        <w:t>שבין מספר חודשי מאסר בפועל</w:t>
      </w:r>
      <w:r>
        <w:rPr>
          <w:rFonts w:ascii="David" w:hAnsi="David" w:hint="cs"/>
          <w:rtl/>
        </w:rPr>
        <w:t>,</w:t>
      </w:r>
      <w:r>
        <w:rPr>
          <w:rFonts w:ascii="David" w:hAnsi="David"/>
          <w:rtl/>
        </w:rPr>
        <w:t xml:space="preserve"> שיכול וירוצו בעבודות שירות</w:t>
      </w:r>
      <w:r>
        <w:rPr>
          <w:rFonts w:ascii="David" w:hAnsi="David" w:hint="cs"/>
          <w:rtl/>
        </w:rPr>
        <w:t>,</w:t>
      </w:r>
      <w:r>
        <w:rPr>
          <w:rFonts w:ascii="David" w:hAnsi="David"/>
          <w:rtl/>
        </w:rPr>
        <w:t xml:space="preserve"> לבין 18 חודשי מאסר בפועל</w:t>
      </w:r>
      <w:r>
        <w:rPr>
          <w:rFonts w:ascii="David" w:hAnsi="David" w:hint="cs"/>
          <w:rtl/>
        </w:rPr>
        <w:t>,</w:t>
      </w:r>
      <w:r>
        <w:rPr>
          <w:rFonts w:ascii="David" w:hAnsi="David"/>
          <w:rtl/>
        </w:rPr>
        <w:t xml:space="preserve"> להחזקת 457 גרם קנביס.</w:t>
      </w:r>
    </w:p>
    <w:p w14:paraId="3CFFBA37"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 xml:space="preserve">בסיכומו של דבר עתרה ב"כ המאשימה לקביעת מתחם עונש הולם </w:t>
      </w:r>
      <w:r>
        <w:rPr>
          <w:rFonts w:ascii="David" w:hAnsi="David"/>
          <w:rtl/>
        </w:rPr>
        <w:t>שבין 8 חודשי מאסר בפועל, לנשיאה בדרך של עבודות שירות, לבין 18 חודשי מאסר בפועל</w:t>
      </w:r>
      <w:r>
        <w:rPr>
          <w:rFonts w:ascii="Tahoma" w:hAnsi="Tahoma"/>
          <w:rtl/>
        </w:rPr>
        <w:t xml:space="preserve">, בתיק העיקרי; ולקביעת מתחם עונש הולם שבין מאסר מותנה ועד 6 חודשי מאסר בפועל, בתיק המצורף. </w:t>
      </w:r>
    </w:p>
    <w:p w14:paraId="39979DAF"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מתחמי העונש ההולמים ציינה ב"כ המאשימה גם את נסיבות הקולה – </w:t>
      </w:r>
      <w:r>
        <w:rPr>
          <w:rFonts w:ascii="Tahoma" w:hAnsi="Tahoma" w:hint="cs"/>
          <w:rtl/>
        </w:rPr>
        <w:t xml:space="preserve">דהיינו: </w:t>
      </w:r>
      <w:r>
        <w:rPr>
          <w:rFonts w:ascii="Tahoma" w:hAnsi="Tahoma"/>
          <w:rtl/>
        </w:rPr>
        <w:t>ההודאה ונטילת האחריות, כמו גם ההיבטים החיוביים העולים מתסקירי שירות המבחן לגבי הטיפול שעבר הנאשם, הגם שהוסיפה וטענה כי אין בהם כדי להצדיק חריגה לכף קולה ממתחמי העונש ההולמים</w:t>
      </w:r>
      <w:r>
        <w:rPr>
          <w:rFonts w:ascii="Tahoma" w:hAnsi="Tahoma" w:hint="cs"/>
          <w:rtl/>
        </w:rPr>
        <w:t xml:space="preserve"> משיקולי שיקום</w:t>
      </w:r>
      <w:r>
        <w:rPr>
          <w:rFonts w:ascii="Tahoma" w:hAnsi="Tahoma"/>
          <w:rtl/>
        </w:rPr>
        <w:t xml:space="preserve">. עוד הדגישה התובעת את חומרת התיק העיקרי ואת העובדה שהנאשם </w:t>
      </w:r>
      <w:r>
        <w:rPr>
          <w:rFonts w:ascii="Tahoma" w:hAnsi="Tahoma" w:hint="cs"/>
          <w:rtl/>
        </w:rPr>
        <w:t xml:space="preserve">גם </w:t>
      </w:r>
      <w:r>
        <w:rPr>
          <w:rFonts w:ascii="Tahoma" w:hAnsi="Tahoma"/>
          <w:rtl/>
        </w:rPr>
        <w:t>עבר עבירה נוספת</w:t>
      </w:r>
      <w:r>
        <w:rPr>
          <w:rFonts w:ascii="Tahoma" w:hAnsi="Tahoma" w:hint="cs"/>
          <w:rtl/>
        </w:rPr>
        <w:t>,</w:t>
      </w:r>
      <w:r>
        <w:rPr>
          <w:rFonts w:ascii="Tahoma" w:hAnsi="Tahoma"/>
          <w:rtl/>
        </w:rPr>
        <w:t xml:space="preserve"> של איומים</w:t>
      </w:r>
      <w:r>
        <w:rPr>
          <w:rFonts w:ascii="Tahoma" w:hAnsi="Tahoma" w:hint="cs"/>
          <w:rtl/>
        </w:rPr>
        <w:t>,</w:t>
      </w:r>
      <w:r>
        <w:rPr>
          <w:rFonts w:ascii="Tahoma" w:hAnsi="Tahoma"/>
          <w:rtl/>
        </w:rPr>
        <w:t xml:space="preserve"> במסגרת התיק המצורף. בשורה התחתונה עתרה אפוא התובעת להשתת ענישה כעמדת המאשימה </w:t>
      </w:r>
      <w:r>
        <w:rPr>
          <w:rFonts w:ascii="Tahoma" w:hAnsi="Tahoma" w:hint="cs"/>
          <w:rtl/>
        </w:rPr>
        <w:t xml:space="preserve">כפי </w:t>
      </w:r>
      <w:r>
        <w:rPr>
          <w:rFonts w:ascii="Tahoma" w:hAnsi="Tahoma"/>
          <w:rtl/>
        </w:rPr>
        <w:t>שהוצגה בהסדר הטיעון (כאמור בפסקה 3 דלעיל).</w:t>
      </w:r>
    </w:p>
    <w:p w14:paraId="088903EA"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ב"כ הנאשם, מצידו, פירט בטיעוניו בהרחבה את נסיבות ההליך הטיפולי הממושך שהנאשם עבר וממשיך לעבור, כהשתקפותו בתסקירי שירות המבחן. הנאשם, שהיה בזמנו נרקומן ממש, משתתף מזה שנים בהליך טיפולי מוצלח, ובמקביל עובד לפרנסת משפחתו. בהקשר זה הטעים הסניגור כי הנאשם הוא אב לארבעה ילדים קטנים, ששניים מתוכם על הרצף האוטיסטי, והוא המפרנס העיקרי במשפחה וגם מטפל בילדים – כך שהטלת עונש של מאסר בפועל עליו, ולו לנשיאה בדרך של עבודות שירות, תגרום לנזק עצום למשפחה. בנסיבות אלה – כאשר לנאשם אין הרשעות קודמות, הוא משולב כאמור בהליך טיפולי-שיקומי מוצלח, וחלפו שנים מאז ביצוע העבירות, מדובר לשיטת הסניגור במקרה מובהק המצדיק חריגה לכף קולה ממתחמי העונש ההולמים</w:t>
      </w:r>
      <w:r>
        <w:rPr>
          <w:rFonts w:ascii="Tahoma" w:hAnsi="Tahoma" w:hint="cs"/>
          <w:rtl/>
        </w:rPr>
        <w:t>,</w:t>
      </w:r>
      <w:r>
        <w:rPr>
          <w:rFonts w:ascii="Tahoma" w:hAnsi="Tahoma"/>
          <w:rtl/>
        </w:rPr>
        <w:t xml:space="preserve"> משיקולי שיקום.</w:t>
      </w:r>
    </w:p>
    <w:p w14:paraId="0B67EA79" w14:textId="77777777" w:rsidR="00DE39F3" w:rsidRPr="00D5126C" w:rsidRDefault="00DE39F3" w:rsidP="00DE39F3">
      <w:pPr>
        <w:numPr>
          <w:ilvl w:val="0"/>
          <w:numId w:val="2"/>
        </w:numPr>
        <w:spacing w:after="120" w:line="360" w:lineRule="auto"/>
        <w:ind w:left="360"/>
        <w:jc w:val="both"/>
        <w:rPr>
          <w:rFonts w:ascii="Tahoma" w:hAnsi="Tahoma"/>
        </w:rPr>
      </w:pPr>
      <w:r w:rsidRPr="00D5126C">
        <w:rPr>
          <w:rFonts w:ascii="Tahoma" w:hAnsi="Tahoma"/>
          <w:rtl/>
        </w:rPr>
        <w:t>בד בבד מתח ב"כ הנאשם ביקורת על מתחם העונש ההולם לו עתרה התביעה כמחמיר מדי, תוך שהפנה בין השאר לגזר הדין שניתן על ידי ב</w:t>
      </w:r>
      <w:hyperlink r:id="rId21" w:history="1">
        <w:r w:rsidR="007E68AE" w:rsidRPr="007E68AE">
          <w:rPr>
            <w:rFonts w:ascii="Tahoma" w:hAnsi="Tahoma"/>
            <w:color w:val="0000FF"/>
            <w:u w:val="single"/>
            <w:rtl/>
          </w:rPr>
          <w:t>ת"פ (שלום ת"א) 21678-03-18</w:t>
        </w:r>
      </w:hyperlink>
      <w:r w:rsidRPr="00D5126C">
        <w:rPr>
          <w:rFonts w:ascii="Tahoma" w:hAnsi="Tahoma"/>
          <w:rtl/>
        </w:rPr>
        <w:t xml:space="preserve"> </w:t>
      </w:r>
      <w:r w:rsidRPr="00D5126C">
        <w:rPr>
          <w:rFonts w:ascii="Tahoma" w:hAnsi="Tahoma"/>
          <w:b/>
          <w:bCs/>
          <w:rtl/>
        </w:rPr>
        <w:t>מדינת ישראל נ' גוסיינוב</w:t>
      </w:r>
      <w:r w:rsidRPr="00D5126C">
        <w:rPr>
          <w:rFonts w:ascii="Tahoma" w:hAnsi="Tahoma"/>
          <w:rtl/>
        </w:rPr>
        <w:t xml:space="preserve"> (24.06.2020). דא עקא, שבאותו עניין אמנם צוין כי</w:t>
      </w:r>
      <w:r w:rsidRPr="00D5126C">
        <w:rPr>
          <w:rFonts w:ascii="Tahoma" w:hAnsi="Tahoma" w:hint="cs"/>
          <w:rtl/>
        </w:rPr>
        <w:t>,</w:t>
      </w:r>
      <w:r w:rsidRPr="00D5126C">
        <w:rPr>
          <w:rFonts w:ascii="Tahoma" w:hAnsi="Tahoma"/>
          <w:rtl/>
        </w:rPr>
        <w:t xml:space="preserve"> לפי מדיניות הענישה הנהוגה, הרף התחתון של מתחם העונש ההולם להחזקת סמים מסוכנים מסוג קנבוס עומד ככלל על ענישה צופה פני עתיד</w:t>
      </w:r>
      <w:r w:rsidRPr="00D5126C">
        <w:rPr>
          <w:rFonts w:ascii="Tahoma" w:hAnsi="Tahoma" w:hint="cs"/>
          <w:rtl/>
        </w:rPr>
        <w:t xml:space="preserve"> </w:t>
      </w:r>
      <w:r w:rsidRPr="00D5126C">
        <w:rPr>
          <w:rFonts w:ascii="Tahoma" w:hAnsi="Tahoma"/>
          <w:rtl/>
        </w:rPr>
        <w:t>–</w:t>
      </w:r>
      <w:r w:rsidRPr="00D5126C">
        <w:rPr>
          <w:rFonts w:ascii="Tahoma" w:hAnsi="Tahoma" w:hint="cs"/>
          <w:rtl/>
        </w:rPr>
        <w:t xml:space="preserve"> </w:t>
      </w:r>
      <w:r w:rsidRPr="00D5126C">
        <w:rPr>
          <w:rFonts w:ascii="Tahoma" w:hAnsi="Tahoma"/>
          <w:rtl/>
        </w:rPr>
        <w:t>אך זאת בכמויות של עד כחצי ק"ג; כאשר בענייננו מדובר בכמות גדולה במידה ניכרת (ר' גם באסמכתאות שם). מכל מקום, בשורה התחתונה וגם נוכח רכיב הענישה הפיסקלי המשמעותי שהוסכם בין הצדדים – חילוט סך של 6,000 ₪ – שב הסניגור</w:t>
      </w:r>
      <w:r>
        <w:rPr>
          <w:rFonts w:ascii="Tahoma" w:hAnsi="Tahoma"/>
          <w:rtl/>
        </w:rPr>
        <w:t xml:space="preserve"> ועתר לאימוץ המלצות שירות המבחן</w:t>
      </w:r>
      <w:r>
        <w:rPr>
          <w:rFonts w:ascii="Tahoma" w:hAnsi="Tahoma" w:hint="cs"/>
          <w:rtl/>
        </w:rPr>
        <w:t xml:space="preserve"> ולהשתת ענישה שיקומית.</w:t>
      </w:r>
    </w:p>
    <w:p w14:paraId="2C9ADBDB" w14:textId="77777777" w:rsidR="00DE39F3" w:rsidRDefault="00DE39F3" w:rsidP="00DE39F3">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היום אני ממשיך בדרך, אני 3 שנים בדרך של הטיפול, יש לי 2 ילדים על הרצף ואני המפרנס היחידי כמעט בבית. אני ממשיך עם העו"ס, אני בקשר איתו כל הזמן, אני הולך פעמיים בשבוע לקבוצה והולך לעו"ס בימי שני ורביעי</w:t>
      </w:r>
      <w:r>
        <w:rPr>
          <w:rFonts w:ascii="Tahoma" w:hAnsi="Tahoma"/>
          <w:rtl/>
        </w:rPr>
        <w:t>" (בפרוטוקול, עמ' 16 שורה 6 ואילך).</w:t>
      </w:r>
    </w:p>
    <w:p w14:paraId="4BF1275E" w14:textId="77777777" w:rsidR="00DE39F3" w:rsidRDefault="00DE39F3" w:rsidP="00DE39F3">
      <w:pPr>
        <w:spacing w:after="120" w:line="360" w:lineRule="auto"/>
        <w:jc w:val="both"/>
        <w:rPr>
          <w:rFonts w:ascii="Tahoma" w:hAnsi="Tahoma"/>
        </w:rPr>
      </w:pPr>
    </w:p>
    <w:p w14:paraId="7D800D92" w14:textId="77777777" w:rsidR="00DE39F3" w:rsidRDefault="00DE39F3" w:rsidP="00DE39F3">
      <w:pPr>
        <w:pStyle w:val="a9"/>
        <w:numPr>
          <w:ilvl w:val="0"/>
          <w:numId w:val="1"/>
        </w:numPr>
        <w:spacing w:before="120" w:after="120" w:line="360" w:lineRule="auto"/>
        <w:ind w:left="360"/>
        <w:jc w:val="both"/>
        <w:rPr>
          <w:rFonts w:ascii="Arial (W1)" w:hAnsi="Arial (W1)"/>
          <w:b/>
          <w:bCs/>
          <w:u w:val="single"/>
        </w:rPr>
      </w:pPr>
      <w:r>
        <w:rPr>
          <w:b/>
          <w:bCs/>
          <w:u w:val="single"/>
          <w:rtl/>
        </w:rPr>
        <w:t>קביעת מתחמי העונש ההולמים:</w:t>
      </w:r>
    </w:p>
    <w:p w14:paraId="3495A4BB" w14:textId="77777777" w:rsidR="00DE39F3" w:rsidRDefault="00DE39F3" w:rsidP="00DE39F3">
      <w:pPr>
        <w:numPr>
          <w:ilvl w:val="0"/>
          <w:numId w:val="2"/>
        </w:numPr>
        <w:spacing w:after="120" w:line="360" w:lineRule="auto"/>
        <w:ind w:left="360"/>
        <w:jc w:val="both"/>
        <w:rPr>
          <w:rFonts w:ascii="David" w:hAnsi="David"/>
        </w:rPr>
      </w:pPr>
      <w:r>
        <w:rPr>
          <w:rFonts w:ascii="Tahoma" w:hAnsi="Tahoma"/>
          <w:rtl/>
        </w:rPr>
        <w:t xml:space="preserve">בעת גזירת עונשו של נאשם על בית המשפט לקבוע, תחילה, את מתחם העונש ההולם לכל "אירוע עברייני" שבגינו הורשע הנאשם, וזאת בהתאם לעיקרון ההלימה. בהקשר זה יתחשב בית המשפט, בין השאר, בערכים החברתיים שנפגעו מביצוע העבירות ובמידת הפגיעה בהם, במדיניות הענישה הנהוגה ובנסיבות הקשורות בביצוע העבירות; לרבות אלה המנויות </w:t>
      </w:r>
      <w:r>
        <w:rPr>
          <w:rFonts w:ascii="David" w:hAnsi="David"/>
          <w:rtl/>
        </w:rPr>
        <w:t xml:space="preserve">בהוראות </w:t>
      </w:r>
      <w:hyperlink r:id="rId22" w:history="1">
        <w:r w:rsidR="00391420" w:rsidRPr="00391420">
          <w:rPr>
            <w:rFonts w:ascii="David" w:hAnsi="David"/>
            <w:color w:val="0000FF"/>
            <w:u w:val="single"/>
            <w:rtl/>
          </w:rPr>
          <w:t>סעיף 40ט</w:t>
        </w:r>
      </w:hyperlink>
      <w:r>
        <w:rPr>
          <w:rFonts w:ascii="David" w:hAnsi="David"/>
          <w:rtl/>
        </w:rPr>
        <w:t xml:space="preserve"> ל</w:t>
      </w:r>
      <w:hyperlink r:id="rId23" w:history="1">
        <w:r w:rsidR="007E68AE" w:rsidRPr="007E68AE">
          <w:rPr>
            <w:rFonts w:ascii="David" w:hAnsi="David"/>
            <w:color w:val="0000FF"/>
            <w:u w:val="single"/>
            <w:rtl/>
          </w:rPr>
          <w:t>חוק העונשין</w:t>
        </w:r>
      </w:hyperlink>
      <w:r>
        <w:rPr>
          <w:rFonts w:ascii="David" w:hAnsi="David"/>
          <w:rtl/>
        </w:rPr>
        <w:t>.</w:t>
      </w:r>
    </w:p>
    <w:p w14:paraId="6BDD7C2A" w14:textId="77777777" w:rsidR="00DE39F3" w:rsidRDefault="00DE39F3" w:rsidP="00DE39F3">
      <w:pPr>
        <w:numPr>
          <w:ilvl w:val="0"/>
          <w:numId w:val="2"/>
        </w:numPr>
        <w:spacing w:after="120" w:line="360" w:lineRule="auto"/>
        <w:ind w:left="360"/>
        <w:jc w:val="both"/>
        <w:rPr>
          <w:rFonts w:ascii="David" w:hAnsi="David"/>
          <w:rtl/>
        </w:rPr>
      </w:pPr>
      <w:r>
        <w:rPr>
          <w:rFonts w:ascii="Tahoma" w:hAnsi="Tahoma"/>
          <w:rtl/>
        </w:rPr>
        <w:t xml:space="preserve">לעניין הערכים </w:t>
      </w:r>
      <w:r>
        <w:rPr>
          <w:rFonts w:ascii="David" w:hAnsi="David"/>
          <w:rtl/>
        </w:rPr>
        <w:t>החברתיים שנפגעו כתולדה מביצוע העבירות מקובל עליי טיעון ב"כ המאשימה. בהקשר לעבירת הסמים מושא התיק העיקרי אוסיף ואדגיש את החומרה הנובעת מהיות עבירות הסמים גורם מחולל פשיעה, דהיינו: גורם העומד ברקע ביצוען של עבירות רבות אחרות.</w:t>
      </w:r>
    </w:p>
    <w:p w14:paraId="2AF1361E" w14:textId="77777777" w:rsidR="00DE39F3" w:rsidRDefault="00DE39F3" w:rsidP="00DE39F3">
      <w:pPr>
        <w:numPr>
          <w:ilvl w:val="0"/>
          <w:numId w:val="2"/>
        </w:numPr>
        <w:spacing w:after="120" w:line="360" w:lineRule="auto"/>
        <w:ind w:left="360"/>
        <w:jc w:val="both"/>
        <w:rPr>
          <w:rFonts w:ascii="David" w:hAnsi="David"/>
        </w:rPr>
      </w:pPr>
      <w:r>
        <w:rPr>
          <w:rFonts w:ascii="David" w:hAnsi="David"/>
          <w:rtl/>
        </w:rPr>
        <w:t xml:space="preserve">אשר לתיק המצורף לא היתה מחלוקת בין ב"כ הצדדים לעניין מתחם העונש ההולם, ואכן טיעון ב"כ המאשימה – למתחם עונש הולם שבין ענישה מותנית לבין 6 חודשי מאסר בפועל – משקף בנסיבות העניין את מדיניות הענישה הנהוגה ואני מחליט לאמצו. להבדיל, לעניין התיק העיקרי עתירת המאשימה היא מחמירה, אך עתירת הסניגור היא מקלה מדי. בהתחשב בסוג הסמים, בכמותם ובנסיבות החזקתם (והשוו לעניין </w:t>
      </w:r>
      <w:r w:rsidRPr="00D5126C">
        <w:rPr>
          <w:rFonts w:ascii="David" w:hAnsi="David"/>
          <w:b/>
          <w:bCs/>
          <w:rtl/>
        </w:rPr>
        <w:t>גוסיינוב</w:t>
      </w:r>
      <w:r>
        <w:rPr>
          <w:rFonts w:ascii="David" w:hAnsi="David"/>
          <w:rtl/>
        </w:rPr>
        <w:t xml:space="preserve"> הנ"ל והאסמכתאות שם) אני קובע אפוא את מתחם העונש ההולם </w:t>
      </w:r>
      <w:r>
        <w:rPr>
          <w:rFonts w:ascii="David" w:hAnsi="David" w:hint="cs"/>
          <w:rtl/>
        </w:rPr>
        <w:t xml:space="preserve">בתיק העיקרי </w:t>
      </w:r>
      <w:r>
        <w:rPr>
          <w:rFonts w:ascii="David" w:hAnsi="David"/>
          <w:rtl/>
        </w:rPr>
        <w:t>בין חודשיים מאסר בפועל, לנשיאה בדרך של עבודות שירות, לבין 12 חודשי מאסר בפועל.</w:t>
      </w:r>
    </w:p>
    <w:p w14:paraId="02B5F53E" w14:textId="77777777" w:rsidR="00DE39F3" w:rsidRDefault="00DE39F3" w:rsidP="00DE39F3">
      <w:pPr>
        <w:spacing w:after="120" w:line="360" w:lineRule="auto"/>
        <w:jc w:val="both"/>
        <w:rPr>
          <w:rFonts w:ascii="David" w:hAnsi="David"/>
        </w:rPr>
      </w:pPr>
    </w:p>
    <w:p w14:paraId="198E04EC" w14:textId="77777777" w:rsidR="00DE39F3" w:rsidRDefault="00DE39F3" w:rsidP="00DE39F3">
      <w:pPr>
        <w:pStyle w:val="a9"/>
        <w:numPr>
          <w:ilvl w:val="0"/>
          <w:numId w:val="1"/>
        </w:numPr>
        <w:ind w:left="360"/>
        <w:rPr>
          <w:rFonts w:ascii="Arial (W1)" w:hAnsi="Arial (W1)"/>
          <w:b/>
          <w:bCs/>
          <w:u w:val="single"/>
        </w:rPr>
      </w:pPr>
      <w:r>
        <w:rPr>
          <w:b/>
          <w:bCs/>
          <w:u w:val="single"/>
          <w:rtl/>
        </w:rPr>
        <w:t>גזירת  עונשו של הנאשם בתוך מתחמי העונש ההולמים והאפשרות לחריגה מהם:</w:t>
      </w:r>
    </w:p>
    <w:p w14:paraId="785F8A74" w14:textId="77777777" w:rsidR="00DE39F3" w:rsidRDefault="00DE39F3" w:rsidP="00DE39F3">
      <w:pPr>
        <w:pStyle w:val="a9"/>
        <w:ind w:left="360"/>
        <w:rPr>
          <w:b/>
          <w:bCs/>
          <w:u w:val="single"/>
        </w:rPr>
      </w:pPr>
    </w:p>
    <w:p w14:paraId="044F883E" w14:textId="77777777" w:rsidR="00DE39F3" w:rsidRDefault="00DE39F3" w:rsidP="00DE39F3">
      <w:pPr>
        <w:numPr>
          <w:ilvl w:val="0"/>
          <w:numId w:val="2"/>
        </w:numPr>
        <w:spacing w:after="120" w:line="360" w:lineRule="auto"/>
        <w:ind w:left="360"/>
        <w:jc w:val="both"/>
        <w:rPr>
          <w:rtl/>
        </w:rPr>
      </w:pPr>
      <w:r>
        <w:rPr>
          <w:rtl/>
        </w:rPr>
        <w:t>לאחר קביעת מתחמי העונש ההולמים על בית המשפט לגזור את עונשו של הנאשם בתוך מתחמים</w:t>
      </w:r>
      <w:r>
        <w:rPr>
          <w:rFonts w:hint="cs"/>
          <w:rtl/>
        </w:rPr>
        <w:t xml:space="preserve"> אלה</w:t>
      </w:r>
      <w:r>
        <w:rPr>
          <w:rtl/>
        </w:rPr>
        <w:t xml:space="preserve"> תוך התחשבות בנסיבות שאינן קשורות בביצוע העבירות. עם זאת, לבית המשפט סמכות לחרוג לכף קולה ממתחמי העונש ההולמים, משיקולי שיקום, בהתאם להוראות </w:t>
      </w:r>
      <w:hyperlink r:id="rId24" w:history="1">
        <w:r w:rsidR="00391420" w:rsidRPr="00391420">
          <w:rPr>
            <w:rStyle w:val="Hyperlink"/>
            <w:color w:val="0000FF"/>
            <w:rtl/>
          </w:rPr>
          <w:t>סעיף 40ד</w:t>
        </w:r>
      </w:hyperlink>
      <w:r>
        <w:rPr>
          <w:rtl/>
        </w:rPr>
        <w:t xml:space="preserve"> ל</w:t>
      </w:r>
      <w:hyperlink r:id="rId25" w:history="1">
        <w:r w:rsidR="007E68AE" w:rsidRPr="007E68AE">
          <w:rPr>
            <w:color w:val="0000FF"/>
            <w:u w:val="single"/>
            <w:rtl/>
          </w:rPr>
          <w:t>חוק העונשין</w:t>
        </w:r>
      </w:hyperlink>
      <w:r>
        <w:rPr>
          <w:rtl/>
        </w:rPr>
        <w:t>. לפי הוראות סעיף זה, אם מצא בית המשפט כי הנאשם השתקם או כי יש סיכוי של ממש שישתקם, רשאי הוא לחרוג לכף קולה ממתחמי העונש ההולמים ולקבוע את עונשו של הנאשם לפי שיקולי שיקומו.</w:t>
      </w:r>
    </w:p>
    <w:p w14:paraId="7A2A6EFD" w14:textId="77777777" w:rsidR="00DE39F3" w:rsidRDefault="00DE39F3" w:rsidP="00DE39F3">
      <w:pPr>
        <w:numPr>
          <w:ilvl w:val="0"/>
          <w:numId w:val="2"/>
        </w:numPr>
        <w:spacing w:after="120" w:line="360" w:lineRule="auto"/>
        <w:ind w:left="360"/>
        <w:jc w:val="both"/>
        <w:rPr>
          <w:rtl/>
        </w:rPr>
      </w:pPr>
      <w:r>
        <w:rPr>
          <w:rtl/>
        </w:rPr>
        <w:t>הנאשם שלפניי הוא כאמור בן 44 שנים, אב לארבעה ילדים וללא הרשעות קודמות. כאמור בתסקירי שירות המבחן, הנאשם גדל בנסיבות מורכבות, חבר לחברה שולית</w:t>
      </w:r>
      <w:r>
        <w:rPr>
          <w:rFonts w:hint="cs"/>
          <w:rtl/>
        </w:rPr>
        <w:t xml:space="preserve">, </w:t>
      </w:r>
      <w:r>
        <w:rPr>
          <w:rtl/>
        </w:rPr>
        <w:t xml:space="preserve">אימץ דפוסים התמכרותיים והתדרדר לשימוש אינטנסיבי </w:t>
      </w:r>
      <w:r>
        <w:rPr>
          <w:rFonts w:hint="cs"/>
          <w:rtl/>
        </w:rPr>
        <w:t xml:space="preserve">ומזיק </w:t>
      </w:r>
      <w:r>
        <w:rPr>
          <w:rtl/>
        </w:rPr>
        <w:t xml:space="preserve">בסמים מסוכנים. עם זאת, לפני כשלוש שנים השתלב הנאשם בהליך טיפולי במסגרת שירות המבחן. תחילתו של ההליך </w:t>
      </w:r>
      <w:r>
        <w:rPr>
          <w:rFonts w:hint="cs"/>
          <w:rtl/>
        </w:rPr>
        <w:t xml:space="preserve">הטיפולי </w:t>
      </w:r>
      <w:r>
        <w:rPr>
          <w:rtl/>
        </w:rPr>
        <w:t>היתה קשה: הנאשם התקשה לשתף פעולה עם גורמי הטיפול</w:t>
      </w:r>
      <w:r>
        <w:rPr>
          <w:rFonts w:hint="cs"/>
          <w:rtl/>
        </w:rPr>
        <w:t xml:space="preserve"> ואף מעד מספר פעמים</w:t>
      </w:r>
      <w:r>
        <w:rPr>
          <w:rtl/>
        </w:rPr>
        <w:t>. ואולם, בהמשך הדרך ובמיוחד בתקופה האחרונה הביא הנאשם את עצמו לידי שינוי מהותי</w:t>
      </w:r>
      <w:r>
        <w:rPr>
          <w:rFonts w:hint="cs"/>
          <w:rtl/>
        </w:rPr>
        <w:t>; והכל כמפורט בתסקירים האחרונים</w:t>
      </w:r>
      <w:r>
        <w:rPr>
          <w:rtl/>
        </w:rPr>
        <w:t>.</w:t>
      </w:r>
    </w:p>
    <w:p w14:paraId="48F0D027" w14:textId="77777777" w:rsidR="00DE39F3" w:rsidRDefault="00DE39F3" w:rsidP="00DE39F3">
      <w:pPr>
        <w:numPr>
          <w:ilvl w:val="0"/>
          <w:numId w:val="2"/>
        </w:numPr>
        <w:spacing w:after="120" w:line="360" w:lineRule="auto"/>
        <w:ind w:left="360"/>
        <w:jc w:val="both"/>
      </w:pPr>
      <w:r>
        <w:rPr>
          <w:rtl/>
        </w:rPr>
        <w:t xml:space="preserve">היבט שיקומי משמעותי, העולה מתסקירי שירות המבחן, הוא המוטיבציה הגבוהה של הנאשם להמשיך בהליך </w:t>
      </w:r>
      <w:r>
        <w:rPr>
          <w:rFonts w:hint="cs"/>
          <w:rtl/>
        </w:rPr>
        <w:t xml:space="preserve">הטיפולי </w:t>
      </w:r>
      <w:r>
        <w:rPr>
          <w:rtl/>
        </w:rPr>
        <w:t>ולשנות את אורחות חייו</w:t>
      </w:r>
      <w:r>
        <w:rPr>
          <w:rFonts w:hint="cs"/>
          <w:rtl/>
        </w:rPr>
        <w:t xml:space="preserve"> לחלוטין</w:t>
      </w:r>
      <w:r>
        <w:rPr>
          <w:rtl/>
        </w:rPr>
        <w:t>, ובהקשר זה לא למותר לציין שמאז ביצוע העבירה בתיק המצורף לא נפתחו ל</w:t>
      </w:r>
      <w:r>
        <w:rPr>
          <w:rFonts w:hint="cs"/>
          <w:rtl/>
        </w:rPr>
        <w:t>נאשם</w:t>
      </w:r>
      <w:r>
        <w:rPr>
          <w:rtl/>
        </w:rPr>
        <w:t xml:space="preserve"> תיקים חדשים. בנסיבות אלה התרשמות שירות המבחן היא </w:t>
      </w:r>
      <w:r>
        <w:rPr>
          <w:rFonts w:hint="cs"/>
          <w:rtl/>
        </w:rPr>
        <w:t xml:space="preserve">אמנם </w:t>
      </w:r>
      <w:r>
        <w:rPr>
          <w:rtl/>
        </w:rPr>
        <w:t xml:space="preserve">משכנעת ועל כן ראוי לאמץ את המלצותיו – גם נוכח השינויים שהנאשם כבר ערך בחייו וגם כמסר של חיזוק ודרבון להתמדה בדרך בה פוסע הנאשם כיום – ולגזור את עונשו של הנאשם לפי שיקולי שיקומו. אכן, מדובר בהקלה משמעותית בענישה, אך בנסיבות העניין ניתן לאזנה באמצעות קביעת מסגרת שעות </w:t>
      </w:r>
      <w:r>
        <w:rPr>
          <w:rFonts w:hint="cs"/>
          <w:rtl/>
        </w:rPr>
        <w:t xml:space="preserve">של"צ </w:t>
      </w:r>
      <w:r>
        <w:rPr>
          <w:rtl/>
        </w:rPr>
        <w:t>נרחבת מזו שהומלצה על ידי שירות המבחן.</w:t>
      </w:r>
    </w:p>
    <w:p w14:paraId="596E45E7" w14:textId="77777777" w:rsidR="00DE39F3" w:rsidRPr="00D93802" w:rsidRDefault="00DE39F3" w:rsidP="00DE39F3">
      <w:pPr>
        <w:spacing w:after="120" w:line="360" w:lineRule="auto"/>
        <w:jc w:val="both"/>
        <w:rPr>
          <w:rFonts w:ascii="Tahoma" w:hAnsi="Tahoma"/>
          <w:rtl/>
        </w:rPr>
      </w:pPr>
    </w:p>
    <w:p w14:paraId="767C91AC" w14:textId="77777777" w:rsidR="00DE39F3" w:rsidRDefault="00DE39F3" w:rsidP="00DE39F3">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23ED5CC3" w14:textId="77777777" w:rsidR="00DE39F3" w:rsidRPr="002059D0" w:rsidRDefault="00DE39F3" w:rsidP="00DE39F3">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640C6042" w14:textId="77777777" w:rsidR="00DE39F3" w:rsidRDefault="00DE39F3" w:rsidP="00DE39F3">
      <w:pPr>
        <w:spacing w:after="120" w:line="360" w:lineRule="auto"/>
        <w:ind w:left="1080" w:hanging="720"/>
        <w:jc w:val="both"/>
        <w:rPr>
          <w:rtl/>
        </w:rPr>
      </w:pPr>
      <w:r>
        <w:rPr>
          <w:rFonts w:hint="cs"/>
          <w:rtl/>
        </w:rPr>
        <w:t>(א)</w:t>
      </w:r>
      <w:r>
        <w:rPr>
          <w:rtl/>
        </w:rPr>
        <w:tab/>
      </w:r>
      <w:r>
        <w:rPr>
          <w:rFonts w:hint="cs"/>
          <w:rtl/>
        </w:rPr>
        <w:t xml:space="preserve">מאסר על תנאי למשך 4 חודשים, אותו לא יישא הנאשם אלא אם כן יעבור, תוך שלוש שנים מהיום, עבירה לפי הוראות </w:t>
      </w:r>
      <w:hyperlink r:id="rId26" w:history="1">
        <w:r w:rsidR="007E68AE" w:rsidRPr="007E68AE">
          <w:rPr>
            <w:color w:val="0000FF"/>
            <w:u w:val="single"/>
            <w:rtl/>
          </w:rPr>
          <w:t>פקודת הסמים המסוכנים</w:t>
        </w:r>
      </w:hyperlink>
      <w:r>
        <w:rPr>
          <w:rFonts w:hint="cs"/>
          <w:rtl/>
        </w:rPr>
        <w:t xml:space="preserve"> מסוג פשע, או עבירה של איומים.</w:t>
      </w:r>
    </w:p>
    <w:p w14:paraId="49D59F64" w14:textId="77777777" w:rsidR="00DE39F3" w:rsidRDefault="00DE39F3" w:rsidP="00DE39F3">
      <w:pPr>
        <w:spacing w:after="120" w:line="360" w:lineRule="auto"/>
        <w:ind w:left="1080" w:hanging="720"/>
        <w:jc w:val="both"/>
        <w:rPr>
          <w:rFonts w:ascii="Tahoma" w:hAnsi="Tahoma"/>
        </w:rPr>
      </w:pPr>
      <w:r>
        <w:rPr>
          <w:rFonts w:hint="cs"/>
          <w:rtl/>
        </w:rPr>
        <w:t>(ב)</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7" w:history="1">
        <w:r w:rsidR="007E68AE" w:rsidRPr="007E68AE">
          <w:rPr>
            <w:color w:val="0000FF"/>
            <w:u w:val="single"/>
            <w:rtl/>
          </w:rPr>
          <w:t>פקודת הסמים המסוכנים</w:t>
        </w:r>
      </w:hyperlink>
      <w:r>
        <w:rPr>
          <w:rFonts w:hint="cs"/>
          <w:rtl/>
        </w:rPr>
        <w:t>.</w:t>
      </w:r>
    </w:p>
    <w:p w14:paraId="235089E2" w14:textId="77777777" w:rsidR="00DE39F3" w:rsidRPr="009E2A50" w:rsidRDefault="00DE39F3" w:rsidP="00DE39F3">
      <w:pPr>
        <w:spacing w:after="120" w:line="360" w:lineRule="auto"/>
        <w:ind w:left="1080" w:hanging="720"/>
        <w:jc w:val="both"/>
        <w:rPr>
          <w:rFonts w:ascii="Tahoma" w:hAnsi="Tahoma"/>
          <w:rtl/>
        </w:rPr>
      </w:pPr>
      <w:r w:rsidRPr="00DE39F3">
        <w:rPr>
          <w:rFonts w:ascii="Calibri" w:hAnsi="Calibri" w:hint="cs"/>
          <w:rtl/>
        </w:rPr>
        <w:t>(ג)</w:t>
      </w:r>
      <w:r w:rsidRPr="00DE39F3">
        <w:rPr>
          <w:rFonts w:ascii="Calibri" w:hAnsi="Calibri"/>
          <w:rtl/>
        </w:rPr>
        <w:tab/>
        <w:t xml:space="preserve">שירות לתועלת הציבור בהיקף של </w:t>
      </w:r>
      <w:r w:rsidRPr="00DE39F3">
        <w:rPr>
          <w:rFonts w:ascii="Calibri" w:hAnsi="Calibri" w:hint="cs"/>
          <w:rtl/>
        </w:rPr>
        <w:t>300</w:t>
      </w:r>
      <w:r w:rsidRPr="00DE39F3">
        <w:rPr>
          <w:rFonts w:ascii="Calibri" w:hAnsi="Calibri"/>
          <w:rtl/>
        </w:rPr>
        <w:t xml:space="preserve"> שעות. השירות יבוצע, בהתאם</w:t>
      </w:r>
      <w:r w:rsidRPr="00DE39F3">
        <w:rPr>
          <w:rFonts w:ascii="Calibri" w:hAnsi="Calibri" w:hint="cs"/>
          <w:rtl/>
        </w:rPr>
        <w:t xml:space="preserve"> </w:t>
      </w:r>
      <w:r w:rsidRPr="00DE39F3">
        <w:rPr>
          <w:rFonts w:ascii="Calibri" w:hAnsi="Calibri"/>
          <w:rtl/>
        </w:rPr>
        <w:t>לתכנית שג</w:t>
      </w:r>
      <w:r w:rsidRPr="00DE39F3">
        <w:rPr>
          <w:rFonts w:ascii="Calibri" w:hAnsi="Calibri" w:hint="cs"/>
          <w:rtl/>
        </w:rPr>
        <w:t>י</w:t>
      </w:r>
      <w:r w:rsidRPr="00DE39F3">
        <w:rPr>
          <w:rFonts w:ascii="Calibri" w:hAnsi="Calibri"/>
          <w:rtl/>
        </w:rPr>
        <w:t>בש שירות המבחן, ב</w:t>
      </w:r>
      <w:r w:rsidRPr="00DE39F3">
        <w:rPr>
          <w:rFonts w:ascii="Calibri" w:hAnsi="Calibri" w:hint="cs"/>
          <w:rtl/>
        </w:rPr>
        <w:t>הקדם האפשרי, החל במועד שייקבע שירות המבחן.</w:t>
      </w:r>
    </w:p>
    <w:p w14:paraId="63C672AC" w14:textId="77777777" w:rsidR="00DE39F3" w:rsidRPr="00DE39F3" w:rsidRDefault="00DE39F3" w:rsidP="00DE39F3">
      <w:pPr>
        <w:spacing w:after="120" w:line="360" w:lineRule="auto"/>
        <w:ind w:left="1080"/>
        <w:jc w:val="both"/>
        <w:rPr>
          <w:rFonts w:ascii="Calibri" w:hAnsi="Calibri"/>
          <w:rtl/>
        </w:rPr>
      </w:pPr>
      <w:r w:rsidRPr="00DE39F3">
        <w:rPr>
          <w:rFonts w:ascii="Calibri" w:hAnsi="Calibri"/>
          <w:rtl/>
        </w:rPr>
        <w:t xml:space="preserve">מובהר בזה לנאשם כי אם הוא לא ימלא אחר </w:t>
      </w:r>
      <w:r w:rsidRPr="00DE39F3">
        <w:rPr>
          <w:rFonts w:ascii="Calibri" w:hAnsi="Calibri" w:hint="cs"/>
          <w:rtl/>
        </w:rPr>
        <w:t xml:space="preserve">הוראות </w:t>
      </w:r>
      <w:r w:rsidRPr="00DE39F3">
        <w:rPr>
          <w:rFonts w:ascii="Calibri" w:hAnsi="Calibri"/>
          <w:rtl/>
        </w:rPr>
        <w:t>צו השירות יהא בית המשפט רשאי</w:t>
      </w:r>
      <w:r w:rsidRPr="00DE39F3">
        <w:rPr>
          <w:rFonts w:ascii="Calibri" w:hAnsi="Calibri" w:hint="cs"/>
          <w:rtl/>
        </w:rPr>
        <w:t xml:space="preserve"> </w:t>
      </w:r>
      <w:r w:rsidRPr="00DE39F3">
        <w:rPr>
          <w:rFonts w:ascii="Calibri" w:hAnsi="Calibri"/>
          <w:rtl/>
        </w:rPr>
        <w:t>לבטל את צו השירות ולהטיל עליו, במקו</w:t>
      </w:r>
      <w:r w:rsidRPr="00DE39F3">
        <w:rPr>
          <w:rFonts w:ascii="Calibri" w:hAnsi="Calibri" w:hint="cs"/>
          <w:rtl/>
        </w:rPr>
        <w:t>ם צו השירות</w:t>
      </w:r>
      <w:r w:rsidRPr="00DE39F3">
        <w:rPr>
          <w:rFonts w:ascii="Calibri" w:hAnsi="Calibri"/>
          <w:rtl/>
        </w:rPr>
        <w:t>, עונש נוסף.</w:t>
      </w:r>
    </w:p>
    <w:p w14:paraId="4F2A2CF1" w14:textId="77777777" w:rsidR="00DE39F3" w:rsidRPr="00DE39F3" w:rsidRDefault="00DE39F3" w:rsidP="00DE39F3">
      <w:pPr>
        <w:spacing w:after="120" w:line="360" w:lineRule="auto"/>
        <w:ind w:left="1080" w:hanging="720"/>
        <w:jc w:val="both"/>
        <w:rPr>
          <w:rFonts w:ascii="Calibri" w:hAnsi="Calibri"/>
          <w:rtl/>
        </w:rPr>
      </w:pPr>
      <w:r w:rsidRPr="00DE39F3">
        <w:rPr>
          <w:rFonts w:ascii="Calibri" w:hAnsi="Calibri" w:hint="cs"/>
          <w:rtl/>
        </w:rPr>
        <w:t>(ד)</w:t>
      </w:r>
      <w:r w:rsidRPr="00DE39F3">
        <w:rPr>
          <w:rFonts w:ascii="Calibri" w:hAnsi="Calibri"/>
          <w:rtl/>
        </w:rPr>
        <w:tab/>
      </w:r>
      <w:r w:rsidRPr="00DE39F3">
        <w:rPr>
          <w:rFonts w:ascii="Calibri" w:hAnsi="Calibri" w:hint="cs"/>
          <w:rtl/>
        </w:rPr>
        <w:t>צו מבחן, לתקופה של 12 חודשים מהיום.</w:t>
      </w:r>
    </w:p>
    <w:p w14:paraId="200AE814" w14:textId="77777777" w:rsidR="00DE39F3" w:rsidRPr="00DE39F3" w:rsidRDefault="00DE39F3" w:rsidP="00DE39F3">
      <w:pPr>
        <w:spacing w:after="120" w:line="360" w:lineRule="auto"/>
        <w:ind w:left="1080"/>
        <w:jc w:val="both"/>
        <w:rPr>
          <w:rFonts w:ascii="Calibri" w:hAnsi="Calibri"/>
          <w:rtl/>
        </w:rPr>
      </w:pPr>
      <w:r w:rsidRPr="00DE39F3">
        <w:rPr>
          <w:rFonts w:ascii="Calibri" w:hAnsi="Calibri"/>
          <w:rtl/>
        </w:rPr>
        <w:t xml:space="preserve">מובהר בזה לנאשם כי אם הוא לא ימלא אחר </w:t>
      </w:r>
      <w:r w:rsidRPr="00DE39F3">
        <w:rPr>
          <w:rFonts w:ascii="Calibri" w:hAnsi="Calibri" w:hint="cs"/>
          <w:rtl/>
        </w:rPr>
        <w:t xml:space="preserve">הוראות </w:t>
      </w:r>
      <w:r w:rsidRPr="00DE39F3">
        <w:rPr>
          <w:rFonts w:ascii="Calibri" w:hAnsi="Calibri"/>
          <w:rtl/>
        </w:rPr>
        <w:t>צו ה</w:t>
      </w:r>
      <w:r w:rsidRPr="00DE39F3">
        <w:rPr>
          <w:rFonts w:ascii="Calibri" w:hAnsi="Calibri" w:hint="cs"/>
          <w:rtl/>
        </w:rPr>
        <w:t xml:space="preserve">מבחן ולא ישתף פעולה עם קצין המבחן, </w:t>
      </w:r>
      <w:r w:rsidRPr="00DE39F3">
        <w:rPr>
          <w:rFonts w:ascii="Calibri" w:hAnsi="Calibri"/>
          <w:rtl/>
        </w:rPr>
        <w:t>יהא בית המשפט רשאי</w:t>
      </w:r>
      <w:r w:rsidRPr="00DE39F3">
        <w:rPr>
          <w:rFonts w:ascii="Calibri" w:hAnsi="Calibri" w:hint="cs"/>
          <w:rtl/>
        </w:rPr>
        <w:t xml:space="preserve"> </w:t>
      </w:r>
      <w:r w:rsidRPr="00DE39F3">
        <w:rPr>
          <w:rFonts w:ascii="Calibri" w:hAnsi="Calibri"/>
          <w:rtl/>
        </w:rPr>
        <w:t>לבטל את צו ה</w:t>
      </w:r>
      <w:r w:rsidRPr="00DE39F3">
        <w:rPr>
          <w:rFonts w:ascii="Calibri" w:hAnsi="Calibri" w:hint="cs"/>
          <w:rtl/>
        </w:rPr>
        <w:t>מבחן ולגזור עליו, במקום צו המבחן, עונש נוסף.</w:t>
      </w:r>
    </w:p>
    <w:p w14:paraId="5D760887" w14:textId="77777777" w:rsidR="00DE39F3" w:rsidRPr="00DE39F3" w:rsidRDefault="00DE39F3" w:rsidP="00DE39F3">
      <w:pPr>
        <w:spacing w:after="120" w:line="360" w:lineRule="auto"/>
        <w:ind w:left="1080" w:hanging="720"/>
        <w:jc w:val="both"/>
        <w:rPr>
          <w:rFonts w:ascii="Calibri" w:hAnsi="Calibri"/>
          <w:rtl/>
        </w:rPr>
      </w:pPr>
      <w:r w:rsidRPr="00DE39F3">
        <w:rPr>
          <w:rFonts w:ascii="Calibri" w:hAnsi="Calibri" w:hint="cs"/>
          <w:rtl/>
        </w:rPr>
        <w:t>(ה)</w:t>
      </w:r>
      <w:r w:rsidRPr="00DE39F3">
        <w:rPr>
          <w:rFonts w:ascii="Calibri" w:hAnsi="Calibri"/>
          <w:rtl/>
        </w:rPr>
        <w:tab/>
      </w:r>
      <w:r w:rsidRPr="00DE39F3">
        <w:rPr>
          <w:rFonts w:ascii="Calibri" w:hAnsi="Calibri" w:hint="cs"/>
          <w:rtl/>
        </w:rPr>
        <w:t>חילוט סך של 6,000 ₪ מתוך הכספים שנתפסו ברשות הנאשם, כאמור בהודעה שבסיפא לכתב האישום בתיק העיקרי. יתרת הכספים שנתפסו יושבו לנאשם.</w:t>
      </w:r>
    </w:p>
    <w:p w14:paraId="143204E7" w14:textId="77777777" w:rsidR="00DE39F3" w:rsidRDefault="007E68AE" w:rsidP="00DE39F3">
      <w:pPr>
        <w:spacing w:after="120" w:line="360" w:lineRule="auto"/>
        <w:jc w:val="both"/>
        <w:rPr>
          <w:rtl/>
        </w:rPr>
      </w:pPr>
      <w:r w:rsidRPr="007E68AE">
        <w:rPr>
          <w:color w:val="FFFFFF"/>
          <w:sz w:val="2"/>
          <w:szCs w:val="2"/>
          <w:rtl/>
        </w:rPr>
        <w:t>5129371</w:t>
      </w:r>
      <w:r w:rsidR="00DE39F3">
        <w:rPr>
          <w:rFonts w:hint="cs"/>
          <w:rtl/>
        </w:rPr>
        <w:t xml:space="preserve">ניתן בזה צו כללי, לעניין מוצגים, לשיקול דעתו של קצין משטרה. </w:t>
      </w:r>
    </w:p>
    <w:p w14:paraId="5DF2CDEF" w14:textId="77777777" w:rsidR="00DE39F3" w:rsidRDefault="007E68AE" w:rsidP="00DE39F3">
      <w:pPr>
        <w:snapToGrid w:val="0"/>
        <w:spacing w:after="120" w:line="360" w:lineRule="auto"/>
        <w:jc w:val="both"/>
        <w:rPr>
          <w:rtl/>
        </w:rPr>
      </w:pPr>
      <w:r w:rsidRPr="007E68AE">
        <w:rPr>
          <w:color w:val="FFFFFF"/>
          <w:sz w:val="2"/>
          <w:szCs w:val="2"/>
          <w:rtl/>
        </w:rPr>
        <w:t>54678313</w:t>
      </w:r>
      <w:r w:rsidR="00DE39F3">
        <w:rPr>
          <w:rFonts w:hint="cs"/>
          <w:rtl/>
        </w:rPr>
        <w:t>זכות ערעור בתוך 45 יום מהיום.</w:t>
      </w:r>
    </w:p>
    <w:p w14:paraId="46D3369F" w14:textId="77777777" w:rsidR="00DE39F3" w:rsidRPr="00761D70" w:rsidRDefault="00DE39F3" w:rsidP="00DE39F3">
      <w:pPr>
        <w:spacing w:after="120" w:line="360" w:lineRule="auto"/>
        <w:jc w:val="both"/>
        <w:rPr>
          <w:rFonts w:ascii="Tahoma" w:hAnsi="Tahoma"/>
          <w:rtl/>
        </w:rPr>
      </w:pPr>
      <w:r>
        <w:rPr>
          <w:rFonts w:hint="cs"/>
          <w:rtl/>
        </w:rPr>
        <w:t>המזכירות תמציא גזר דין זה לשירות המבחן.</w:t>
      </w:r>
    </w:p>
    <w:p w14:paraId="2FE341B6" w14:textId="77777777" w:rsidR="00DE39F3" w:rsidRPr="000F2247" w:rsidRDefault="007E68AE" w:rsidP="00DE39F3">
      <w:pPr>
        <w:spacing w:line="360" w:lineRule="auto"/>
        <w:jc w:val="both"/>
        <w:rPr>
          <w:rFonts w:ascii="Arial" w:hAnsi="Arial"/>
          <w:b/>
          <w:bCs/>
          <w:sz w:val="26"/>
          <w:szCs w:val="26"/>
          <w:rtl/>
        </w:rPr>
      </w:pPr>
      <w:bookmarkStart w:id="8" w:name="Nitan"/>
      <w:r>
        <w:rPr>
          <w:rFonts w:ascii="Arial" w:hAnsi="Arial"/>
          <w:rtl/>
        </w:rPr>
        <w:t xml:space="preserve">ניתן היום, י"ח כסלו תשפ"ה, 19 דצמבר 2024, במעמד הצדדים. </w:t>
      </w:r>
      <w:bookmarkEnd w:id="8"/>
      <w:r w:rsidR="00DE39F3">
        <w:rPr>
          <w:rFonts w:ascii="Arial" w:hAnsi="Arial"/>
          <w:b/>
          <w:bCs/>
          <w:sz w:val="26"/>
          <w:szCs w:val="26"/>
          <w:rtl/>
        </w:rPr>
        <w:tab/>
      </w:r>
      <w:r w:rsidR="00DE39F3">
        <w:rPr>
          <w:rFonts w:ascii="Arial" w:hAnsi="Arial"/>
          <w:b/>
          <w:bCs/>
          <w:sz w:val="26"/>
          <w:szCs w:val="26"/>
          <w:rtl/>
        </w:rPr>
        <w:tab/>
      </w:r>
      <w:r w:rsidR="00DE39F3">
        <w:rPr>
          <w:rFonts w:ascii="Arial" w:hAnsi="Arial"/>
          <w:b/>
          <w:bCs/>
          <w:sz w:val="26"/>
          <w:szCs w:val="26"/>
          <w:rtl/>
        </w:rPr>
        <w:tab/>
      </w:r>
      <w:r w:rsidR="00DE39F3">
        <w:rPr>
          <w:rFonts w:ascii="Arial" w:hAnsi="Arial"/>
          <w:b/>
          <w:bCs/>
          <w:sz w:val="26"/>
          <w:szCs w:val="26"/>
          <w:rtl/>
        </w:rPr>
        <w:tab/>
      </w:r>
      <w:r w:rsidR="00DE39F3">
        <w:rPr>
          <w:rFonts w:ascii="Arial" w:hAnsi="Arial"/>
          <w:b/>
          <w:bCs/>
          <w:sz w:val="26"/>
          <w:szCs w:val="26"/>
          <w:rtl/>
        </w:rPr>
        <w:tab/>
      </w:r>
      <w:r w:rsidR="00DE39F3">
        <w:rPr>
          <w:rFonts w:ascii="Arial" w:hAnsi="Arial"/>
          <w:b/>
          <w:bCs/>
          <w:sz w:val="26"/>
          <w:szCs w:val="26"/>
          <w:rtl/>
        </w:rPr>
        <w:tab/>
      </w:r>
      <w:r w:rsidR="00DE39F3">
        <w:rPr>
          <w:rFonts w:ascii="Arial" w:hAnsi="Arial"/>
          <w:b/>
          <w:bCs/>
          <w:sz w:val="26"/>
          <w:szCs w:val="26"/>
          <w:rtl/>
        </w:rPr>
        <w:tab/>
      </w:r>
      <w:r w:rsidR="00DE39F3">
        <w:rPr>
          <w:rFonts w:ascii="Arial" w:hAnsi="Arial" w:hint="cs"/>
          <w:b/>
          <w:bCs/>
          <w:sz w:val="26"/>
          <w:szCs w:val="26"/>
          <w:rtl/>
        </w:rPr>
        <w:t xml:space="preserve">         </w:t>
      </w:r>
    </w:p>
    <w:p w14:paraId="3C5CB5B0" w14:textId="77777777" w:rsidR="00DE39F3" w:rsidRPr="000F2247" w:rsidRDefault="00DE39F3" w:rsidP="007E68A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B30138" w14:textId="77777777" w:rsidR="00DE39F3" w:rsidRPr="00391420" w:rsidRDefault="00391420" w:rsidP="00DE39F3">
      <w:pPr>
        <w:jc w:val="center"/>
        <w:rPr>
          <w:rFonts w:ascii="Arial" w:hAnsi="Arial"/>
          <w:b/>
          <w:bCs/>
          <w:color w:val="FFFFFF"/>
          <w:sz w:val="2"/>
          <w:szCs w:val="2"/>
          <w:rtl/>
        </w:rPr>
      </w:pPr>
      <w:r w:rsidRPr="00391420">
        <w:rPr>
          <w:rFonts w:ascii="Arial" w:hAnsi="Arial"/>
          <w:b/>
          <w:bCs/>
          <w:color w:val="FFFFFF"/>
          <w:sz w:val="2"/>
          <w:szCs w:val="2"/>
          <w:rtl/>
        </w:rPr>
        <w:t>5129371</w:t>
      </w:r>
    </w:p>
    <w:p w14:paraId="2D42AAD8" w14:textId="77777777" w:rsidR="004F7FE6" w:rsidRPr="00391420" w:rsidRDefault="00391420" w:rsidP="007E68AE">
      <w:pPr>
        <w:keepNext/>
        <w:rPr>
          <w:rFonts w:ascii="David" w:hAnsi="David"/>
          <w:color w:val="FFFFFF"/>
          <w:sz w:val="2"/>
          <w:szCs w:val="2"/>
          <w:rtl/>
        </w:rPr>
      </w:pPr>
      <w:r w:rsidRPr="00391420">
        <w:rPr>
          <w:rFonts w:ascii="David" w:hAnsi="David"/>
          <w:color w:val="FFFFFF"/>
          <w:sz w:val="2"/>
          <w:szCs w:val="2"/>
          <w:rtl/>
        </w:rPr>
        <w:t>54678313</w:t>
      </w:r>
    </w:p>
    <w:p w14:paraId="71A0F0B7" w14:textId="77777777" w:rsidR="007E68AE" w:rsidRDefault="007E68AE" w:rsidP="007E68AE">
      <w:pPr>
        <w:rPr>
          <w:rtl/>
        </w:rPr>
      </w:pPr>
    </w:p>
    <w:p w14:paraId="463F8AED" w14:textId="77777777" w:rsidR="007E68AE" w:rsidRDefault="007E68AE" w:rsidP="007E68AE">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EC1760D" w14:textId="77777777" w:rsidR="00391420" w:rsidRPr="00391420" w:rsidRDefault="00391420" w:rsidP="00391420">
      <w:pPr>
        <w:keepNext/>
        <w:rPr>
          <w:rFonts w:ascii="David" w:hAnsi="David"/>
          <w:color w:val="000000"/>
          <w:sz w:val="22"/>
          <w:szCs w:val="22"/>
          <w:rtl/>
        </w:rPr>
      </w:pPr>
    </w:p>
    <w:p w14:paraId="2EDA7CEF" w14:textId="77777777" w:rsidR="00391420" w:rsidRPr="00391420" w:rsidRDefault="00391420" w:rsidP="00391420">
      <w:pPr>
        <w:keepNext/>
        <w:rPr>
          <w:rFonts w:ascii="David" w:hAnsi="David"/>
          <w:color w:val="000000"/>
          <w:sz w:val="22"/>
          <w:szCs w:val="22"/>
          <w:rtl/>
        </w:rPr>
      </w:pPr>
      <w:r w:rsidRPr="00391420">
        <w:rPr>
          <w:rFonts w:ascii="David" w:hAnsi="David"/>
          <w:color w:val="000000"/>
          <w:sz w:val="22"/>
          <w:szCs w:val="22"/>
          <w:rtl/>
        </w:rPr>
        <w:t>שאול אבינור 54678313-/</w:t>
      </w:r>
    </w:p>
    <w:p w14:paraId="0EF796BF" w14:textId="77777777" w:rsidR="007E68AE" w:rsidRPr="007E68AE" w:rsidRDefault="00391420" w:rsidP="00391420">
      <w:pPr>
        <w:rPr>
          <w:color w:val="0000FF"/>
          <w:u w:val="single"/>
        </w:rPr>
      </w:pPr>
      <w:r w:rsidRPr="00391420">
        <w:rPr>
          <w:color w:val="000000"/>
          <w:u w:val="single"/>
          <w:rtl/>
        </w:rPr>
        <w:t>נוסח מסמך זה כפוף לשינויי ניסוח ועריכה</w:t>
      </w:r>
    </w:p>
    <w:sectPr w:rsidR="007E68AE" w:rsidRPr="007E68AE" w:rsidSect="0039142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83D0C" w14:textId="77777777" w:rsidR="00357FB6" w:rsidRDefault="00357FB6" w:rsidP="00511290">
      <w:r>
        <w:separator/>
      </w:r>
    </w:p>
  </w:endnote>
  <w:endnote w:type="continuationSeparator" w:id="0">
    <w:p w14:paraId="667A8F68" w14:textId="77777777" w:rsidR="00357FB6" w:rsidRDefault="00357FB6" w:rsidP="0051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7C25D" w14:textId="77777777" w:rsidR="00391420" w:rsidRDefault="00391420" w:rsidP="00391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884FFD" w14:textId="77777777" w:rsidR="00D7013B" w:rsidRPr="00391420" w:rsidRDefault="00391420" w:rsidP="00391420">
    <w:pPr>
      <w:pStyle w:val="a5"/>
      <w:pBdr>
        <w:top w:val="single" w:sz="4" w:space="1" w:color="auto"/>
        <w:between w:val="single" w:sz="4" w:space="0" w:color="auto"/>
      </w:pBdr>
      <w:spacing w:after="60"/>
      <w:jc w:val="center"/>
      <w:rPr>
        <w:rFonts w:ascii="FrankRuehl" w:hAnsi="FrankRuehl" w:cs="FrankRuehl"/>
        <w:color w:val="000000"/>
      </w:rPr>
    </w:pPr>
    <w:r w:rsidRPr="003914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0576" w14:textId="77777777" w:rsidR="00391420" w:rsidRDefault="00391420" w:rsidP="00391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0D9F">
      <w:rPr>
        <w:rFonts w:ascii="FrankRuehl" w:hAnsi="FrankRuehl" w:cs="FrankRuehl"/>
        <w:noProof/>
        <w:rtl/>
      </w:rPr>
      <w:t>1</w:t>
    </w:r>
    <w:r>
      <w:rPr>
        <w:rFonts w:ascii="FrankRuehl" w:hAnsi="FrankRuehl" w:cs="FrankRuehl"/>
        <w:rtl/>
      </w:rPr>
      <w:fldChar w:fldCharType="end"/>
    </w:r>
  </w:p>
  <w:p w14:paraId="27BB3F2F" w14:textId="77777777" w:rsidR="00D7013B" w:rsidRPr="00391420" w:rsidRDefault="00391420" w:rsidP="00391420">
    <w:pPr>
      <w:pStyle w:val="a5"/>
      <w:pBdr>
        <w:top w:val="single" w:sz="4" w:space="1" w:color="auto"/>
        <w:between w:val="single" w:sz="4" w:space="0" w:color="auto"/>
      </w:pBdr>
      <w:spacing w:after="60"/>
      <w:jc w:val="center"/>
      <w:rPr>
        <w:rFonts w:ascii="FrankRuehl" w:hAnsi="FrankRuehl" w:cs="FrankRuehl"/>
        <w:color w:val="000000"/>
      </w:rPr>
    </w:pPr>
    <w:r w:rsidRPr="00391420">
      <w:rPr>
        <w:rFonts w:ascii="FrankRuehl" w:hAnsi="FrankRuehl" w:cs="FrankRuehl"/>
        <w:color w:val="000000"/>
      </w:rPr>
      <w:pict w14:anchorId="57937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844EE" w14:textId="77777777" w:rsidR="00357FB6" w:rsidRDefault="00357FB6" w:rsidP="00511290">
      <w:r>
        <w:separator/>
      </w:r>
    </w:p>
  </w:footnote>
  <w:footnote w:type="continuationSeparator" w:id="0">
    <w:p w14:paraId="15A8724C" w14:textId="77777777" w:rsidR="00357FB6" w:rsidRDefault="00357FB6" w:rsidP="0051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320A" w14:textId="77777777" w:rsidR="007E68AE" w:rsidRPr="00391420" w:rsidRDefault="00391420" w:rsidP="003914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18336-12-19</w:t>
    </w:r>
    <w:r>
      <w:rPr>
        <w:rFonts w:ascii="David" w:hAnsi="David"/>
        <w:color w:val="000000"/>
        <w:sz w:val="22"/>
        <w:szCs w:val="22"/>
        <w:rtl/>
      </w:rPr>
      <w:tab/>
      <w:t xml:space="preserve"> מדינת ישראל נ' יצחק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657E0" w14:textId="77777777" w:rsidR="007E68AE" w:rsidRPr="00391420" w:rsidRDefault="00391420" w:rsidP="003914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18336-12-19</w:t>
    </w:r>
    <w:r>
      <w:rPr>
        <w:rFonts w:ascii="David" w:hAnsi="David"/>
        <w:color w:val="000000"/>
        <w:sz w:val="22"/>
        <w:szCs w:val="22"/>
        <w:rtl/>
      </w:rPr>
      <w:tab/>
      <w:t xml:space="preserve"> מדינת ישראל נ' יצחק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4D740FF6"/>
    <w:multiLevelType w:val="hybridMultilevel"/>
    <w:tmpl w:val="07EE74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8666306"/>
    <w:multiLevelType w:val="hybridMultilevel"/>
    <w:tmpl w:val="5A420C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77149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8310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4411548">
    <w:abstractNumId w:val="2"/>
  </w:num>
  <w:num w:numId="4" w16cid:durableId="1463497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39F3"/>
    <w:rsid w:val="00322869"/>
    <w:rsid w:val="00347D4C"/>
    <w:rsid w:val="00357FB6"/>
    <w:rsid w:val="00391420"/>
    <w:rsid w:val="004F7FE6"/>
    <w:rsid w:val="00511290"/>
    <w:rsid w:val="00615F1F"/>
    <w:rsid w:val="00730D9F"/>
    <w:rsid w:val="007E68AE"/>
    <w:rsid w:val="00894237"/>
    <w:rsid w:val="00D7013B"/>
    <w:rsid w:val="00DE39F3"/>
    <w:rsid w:val="00FA4A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4C68B2"/>
  <w15:chartTrackingRefBased/>
  <w15:docId w15:val="{D49AD0CB-0B46-4B51-87C2-E4D64309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39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9F3"/>
    <w:pPr>
      <w:tabs>
        <w:tab w:val="center" w:pos="4153"/>
        <w:tab w:val="right" w:pos="8306"/>
      </w:tabs>
    </w:pPr>
  </w:style>
  <w:style w:type="character" w:customStyle="1" w:styleId="a4">
    <w:name w:val="כותרת עליונה תו"/>
    <w:link w:val="a3"/>
    <w:rsid w:val="00DE39F3"/>
    <w:rPr>
      <w:rFonts w:ascii="Times New Roman" w:eastAsia="Times New Roman" w:hAnsi="Times New Roman" w:cs="David"/>
      <w:sz w:val="24"/>
      <w:szCs w:val="24"/>
    </w:rPr>
  </w:style>
  <w:style w:type="paragraph" w:styleId="a5">
    <w:name w:val="footer"/>
    <w:basedOn w:val="a"/>
    <w:link w:val="a6"/>
    <w:rsid w:val="00DE39F3"/>
    <w:pPr>
      <w:tabs>
        <w:tab w:val="center" w:pos="4153"/>
        <w:tab w:val="right" w:pos="8306"/>
      </w:tabs>
    </w:pPr>
  </w:style>
  <w:style w:type="character" w:customStyle="1" w:styleId="a6">
    <w:name w:val="כותרת תחתונה תו"/>
    <w:link w:val="a5"/>
    <w:rsid w:val="00DE39F3"/>
    <w:rPr>
      <w:rFonts w:ascii="Times New Roman" w:eastAsia="Times New Roman" w:hAnsi="Times New Roman" w:cs="David"/>
      <w:sz w:val="24"/>
      <w:szCs w:val="24"/>
    </w:rPr>
  </w:style>
  <w:style w:type="table" w:styleId="a7">
    <w:name w:val="Table Grid"/>
    <w:basedOn w:val="a1"/>
    <w:rsid w:val="00DE39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39F3"/>
  </w:style>
  <w:style w:type="paragraph" w:styleId="a9">
    <w:name w:val="List Paragraph"/>
    <w:basedOn w:val="a"/>
    <w:qFormat/>
    <w:rsid w:val="00DE39F3"/>
    <w:pPr>
      <w:ind w:left="720"/>
      <w:contextualSpacing/>
    </w:pPr>
    <w:rPr>
      <w:rFonts w:ascii="David" w:eastAsia="David" w:hAnsi="David"/>
    </w:rPr>
  </w:style>
  <w:style w:type="character" w:styleId="Hyperlink">
    <w:name w:val="Hyperlink"/>
    <w:rsid w:val="007E68A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3777143"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721720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40d"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253515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2388</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14305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3539057</vt:i4>
      </vt:variant>
      <vt:variant>
        <vt:i4>42</vt:i4>
      </vt:variant>
      <vt:variant>
        <vt:i4>0</vt:i4>
      </vt:variant>
      <vt:variant>
        <vt:i4>5</vt:i4>
      </vt:variant>
      <vt:variant>
        <vt:lpwstr>http://www.nevo.co.il/case/23777143</vt:lpwstr>
      </vt:variant>
      <vt:variant>
        <vt:lpwstr/>
      </vt:variant>
      <vt:variant>
        <vt:i4>3604592</vt:i4>
      </vt:variant>
      <vt:variant>
        <vt:i4>39</vt:i4>
      </vt:variant>
      <vt:variant>
        <vt:i4>0</vt:i4>
      </vt:variant>
      <vt:variant>
        <vt:i4>5</vt:i4>
      </vt:variant>
      <vt:variant>
        <vt:lpwstr>http://www.nevo.co.il/case/27217205</vt:lpwstr>
      </vt:variant>
      <vt:variant>
        <vt:lpwstr/>
      </vt:variant>
      <vt:variant>
        <vt:i4>3604596</vt:i4>
      </vt:variant>
      <vt:variant>
        <vt:i4>36</vt:i4>
      </vt:variant>
      <vt:variant>
        <vt:i4>0</vt:i4>
      </vt:variant>
      <vt:variant>
        <vt:i4>5</vt:i4>
      </vt:variant>
      <vt:variant>
        <vt:lpwstr>http://www.nevo.co.il/case/22535152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2025-04-23T00:23:00Z</dcterms:created>
  <dcterms:modified xsi:type="dcterms:W3CDTF">2025-04-23T00:23:00Z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18336</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יצחק כהן</vt:lpwstr>
  </property>
  <property fmtid="{D5CDD505-2E9C-101B-9397-08002B2CF9AE}" pid="10" name="LAWYER">
    <vt:lpwstr>אביב שיטרית;ג'קי סגרון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20241219</vt:lpwstr>
  </property>
  <property fmtid="{D5CDD505-2E9C-101B-9397-08002B2CF9AE}" pid="14" name="TYPE_N_DATE">
    <vt:lpwstr>38020241219</vt:lpwstr>
  </property>
  <property fmtid="{D5CDD505-2E9C-101B-9397-08002B2CF9AE}" pid="15" name="CASESLISTTMP1">
    <vt:lpwstr>22535152;27217205;23777143</vt:lpwstr>
  </property>
  <property fmtid="{D5CDD505-2E9C-101B-9397-08002B2CF9AE}" pid="16" name="WORDNUMPAGES">
    <vt:lpwstr>8</vt:lpwstr>
  </property>
  <property fmtid="{D5CDD505-2E9C-101B-9397-08002B2CF9AE}" pid="17" name="TYPE_ABS_DATE">
    <vt:lpwstr>380020241219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70301/192;040i;040d</vt:lpwstr>
  </property>
</Properties>
</file>