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7"/>
        <w:gridCol w:w="3576"/>
      </w:tblGrid>
      <w:tr w:rsidR="00DD154A" w:rsidRPr="00C94607" w14:paraId="634BD2AE" w14:textId="77777777" w:rsidTr="00136EAC">
        <w:trPr>
          <w:trHeight w:hRule="exact" w:val="418"/>
          <w:jc w:val="center"/>
        </w:trPr>
        <w:tc>
          <w:tcPr>
            <w:tcW w:w="8523" w:type="dxa"/>
            <w:gridSpan w:val="2"/>
          </w:tcPr>
          <w:p w14:paraId="48B1AD22" w14:textId="77777777" w:rsidR="00DD154A" w:rsidRPr="00C94607" w:rsidRDefault="00DD154A" w:rsidP="00BE3405">
            <w:pPr>
              <w:pStyle w:val="a3"/>
              <w:jc w:val="center"/>
              <w:rPr>
                <w:rFonts w:ascii="Tahoma" w:hAnsi="Tahoma"/>
                <w:color w:val="000080"/>
                <w:sz w:val="32"/>
                <w:szCs w:val="32"/>
                <w:rtl/>
              </w:rPr>
            </w:pPr>
            <w:bookmarkStart w:id="0" w:name="LastJudge"/>
            <w:r w:rsidRPr="00C94607">
              <w:rPr>
                <w:rFonts w:ascii="Tahoma" w:hAnsi="Tahoma"/>
                <w:b/>
                <w:bCs/>
                <w:color w:val="000080"/>
                <w:sz w:val="32"/>
                <w:szCs w:val="32"/>
                <w:rtl/>
              </w:rPr>
              <w:t>בית משפט השלום בתל אביב -יפו</w:t>
            </w:r>
          </w:p>
        </w:tc>
      </w:tr>
      <w:tr w:rsidR="00DD154A" w:rsidRPr="00C94607" w14:paraId="0C98CFEA" w14:textId="77777777" w:rsidTr="00136EAC">
        <w:trPr>
          <w:trHeight w:val="337"/>
          <w:jc w:val="center"/>
        </w:trPr>
        <w:tc>
          <w:tcPr>
            <w:tcW w:w="4947" w:type="dxa"/>
          </w:tcPr>
          <w:p w14:paraId="6EDE5B8A" w14:textId="77777777" w:rsidR="00DD154A" w:rsidRPr="00C94607" w:rsidRDefault="00DD154A" w:rsidP="00BE3405">
            <w:pPr>
              <w:rPr>
                <w:sz w:val="26"/>
                <w:szCs w:val="26"/>
                <w:rtl/>
              </w:rPr>
            </w:pPr>
            <w:r w:rsidRPr="00C94607">
              <w:rPr>
                <w:sz w:val="26"/>
                <w:szCs w:val="26"/>
                <w:rtl/>
              </w:rPr>
              <w:t>ת"פ</w:t>
            </w:r>
            <w:r w:rsidRPr="00C94607">
              <w:rPr>
                <w:rFonts w:hint="cs"/>
                <w:sz w:val="26"/>
                <w:szCs w:val="26"/>
                <w:rtl/>
              </w:rPr>
              <w:t xml:space="preserve"> </w:t>
            </w:r>
            <w:r w:rsidRPr="00C94607">
              <w:rPr>
                <w:sz w:val="26"/>
                <w:szCs w:val="26"/>
                <w:rtl/>
              </w:rPr>
              <w:t>18353-12-19</w:t>
            </w:r>
            <w:r w:rsidRPr="00C94607">
              <w:rPr>
                <w:rFonts w:hint="cs"/>
                <w:sz w:val="26"/>
                <w:szCs w:val="26"/>
                <w:rtl/>
              </w:rPr>
              <w:t xml:space="preserve"> </w:t>
            </w:r>
            <w:r w:rsidRPr="00C94607">
              <w:rPr>
                <w:b/>
                <w:bCs/>
                <w:sz w:val="26"/>
                <w:szCs w:val="26"/>
                <w:rtl/>
              </w:rPr>
              <w:t>מדינת ישראל נ' שבתייב</w:t>
            </w:r>
          </w:p>
        </w:tc>
        <w:tc>
          <w:tcPr>
            <w:tcW w:w="3576" w:type="dxa"/>
          </w:tcPr>
          <w:p w14:paraId="636AA069" w14:textId="77777777" w:rsidR="00DD154A" w:rsidRPr="00C94607" w:rsidRDefault="00DD154A" w:rsidP="00BE3405">
            <w:pPr>
              <w:pStyle w:val="a3"/>
              <w:jc w:val="right"/>
              <w:rPr>
                <w:rFonts w:cs="FrankRuehl"/>
                <w:sz w:val="28"/>
                <w:szCs w:val="28"/>
                <w:rtl/>
              </w:rPr>
            </w:pPr>
          </w:p>
        </w:tc>
      </w:tr>
    </w:tbl>
    <w:p w14:paraId="5D6CE978" w14:textId="77777777" w:rsidR="00DD154A" w:rsidRPr="00C94607" w:rsidRDefault="00DD154A" w:rsidP="00DD154A">
      <w:pPr>
        <w:pStyle w:val="a3"/>
        <w:rPr>
          <w:rtl/>
        </w:rPr>
      </w:pPr>
      <w:r w:rsidRPr="00C94607">
        <w:rPr>
          <w:rFonts w:hint="cs"/>
          <w:rtl/>
        </w:rPr>
        <w:t xml:space="preserve"> </w:t>
      </w:r>
    </w:p>
    <w:p w14:paraId="364599E7" w14:textId="77777777" w:rsidR="00DD154A" w:rsidRPr="00C94607" w:rsidRDefault="00DD154A" w:rsidP="00DD154A">
      <w:pPr>
        <w:spacing w:line="360" w:lineRule="auto"/>
        <w:rPr>
          <w:b/>
          <w:bCs/>
          <w:rtl/>
        </w:rPr>
      </w:pPr>
    </w:p>
    <w:p w14:paraId="272E0FAE" w14:textId="77777777" w:rsidR="00DD154A" w:rsidRPr="00C94607" w:rsidRDefault="00DD154A" w:rsidP="00DD154A">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58"/>
        <w:gridCol w:w="3330"/>
      </w:tblGrid>
      <w:tr w:rsidR="00DD154A" w:rsidRPr="00C94607" w14:paraId="3091434C" w14:textId="77777777" w:rsidTr="00DD154A">
        <w:trPr>
          <w:trHeight w:val="295"/>
          <w:jc w:val="center"/>
        </w:trPr>
        <w:tc>
          <w:tcPr>
            <w:tcW w:w="8820" w:type="dxa"/>
            <w:gridSpan w:val="3"/>
            <w:tcBorders>
              <w:top w:val="nil"/>
              <w:left w:val="nil"/>
              <w:bottom w:val="nil"/>
              <w:right w:val="nil"/>
            </w:tcBorders>
            <w:shd w:val="clear" w:color="auto" w:fill="auto"/>
          </w:tcPr>
          <w:p w14:paraId="2D1C5B1B" w14:textId="77777777" w:rsidR="00DD154A" w:rsidRPr="00C94607" w:rsidRDefault="00DD154A" w:rsidP="00DD154A">
            <w:pPr>
              <w:spacing w:line="360" w:lineRule="auto"/>
              <w:jc w:val="both"/>
              <w:rPr>
                <w:b/>
                <w:bCs/>
                <w:sz w:val="26"/>
                <w:szCs w:val="26"/>
                <w:rtl/>
              </w:rPr>
            </w:pPr>
            <w:r w:rsidRPr="00C94607">
              <w:rPr>
                <w:rFonts w:ascii="Arial" w:hAnsi="Arial" w:hint="cs"/>
                <w:b/>
                <w:bCs/>
                <w:sz w:val="26"/>
                <w:szCs w:val="26"/>
                <w:rtl/>
              </w:rPr>
              <w:t>ל</w:t>
            </w:r>
            <w:r w:rsidRPr="00C94607">
              <w:rPr>
                <w:rFonts w:ascii="Arial" w:hAnsi="Arial"/>
                <w:b/>
                <w:bCs/>
                <w:sz w:val="26"/>
                <w:szCs w:val="26"/>
                <w:rtl/>
              </w:rPr>
              <w:t xml:space="preserve">פני </w:t>
            </w:r>
            <w:r w:rsidRPr="00C94607">
              <w:rPr>
                <w:rFonts w:ascii="Arial" w:hAnsi="Arial" w:hint="cs"/>
                <w:b/>
                <w:bCs/>
                <w:sz w:val="26"/>
                <w:szCs w:val="26"/>
                <w:rtl/>
              </w:rPr>
              <w:t>כבוד ה</w:t>
            </w:r>
            <w:r w:rsidRPr="00C94607">
              <w:rPr>
                <w:rFonts w:ascii="Arial" w:hAnsi="Arial"/>
                <w:b/>
                <w:bCs/>
                <w:sz w:val="26"/>
                <w:szCs w:val="26"/>
                <w:rtl/>
              </w:rPr>
              <w:t xml:space="preserve">שופט </w:t>
            </w:r>
            <w:r w:rsidRPr="00C94607">
              <w:rPr>
                <w:rFonts w:ascii="Arial" w:hAnsi="Arial" w:hint="cs"/>
                <w:b/>
                <w:bCs/>
                <w:sz w:val="26"/>
                <w:szCs w:val="26"/>
                <w:rtl/>
              </w:rPr>
              <w:t>ה</w:t>
            </w:r>
            <w:r w:rsidRPr="00C94607">
              <w:rPr>
                <w:rFonts w:ascii="Arial" w:hAnsi="Arial"/>
                <w:b/>
                <w:bCs/>
                <w:sz w:val="26"/>
                <w:szCs w:val="26"/>
                <w:rtl/>
              </w:rPr>
              <w:t>בכיר</w:t>
            </w:r>
            <w:r w:rsidRPr="00C94607">
              <w:rPr>
                <w:rFonts w:ascii="Arial" w:hAnsi="Arial" w:hint="cs"/>
                <w:b/>
                <w:bCs/>
                <w:sz w:val="26"/>
                <w:szCs w:val="26"/>
                <w:rtl/>
              </w:rPr>
              <w:t xml:space="preserve"> </w:t>
            </w:r>
            <w:r w:rsidRPr="00C94607">
              <w:rPr>
                <w:rFonts w:ascii="Arial" w:hAnsi="Arial"/>
                <w:b/>
                <w:bCs/>
                <w:sz w:val="26"/>
                <w:szCs w:val="26"/>
                <w:rtl/>
              </w:rPr>
              <w:t>שאול אבינור</w:t>
            </w:r>
          </w:p>
          <w:p w14:paraId="33DFECEE" w14:textId="77777777" w:rsidR="00DD154A" w:rsidRPr="00C94607" w:rsidRDefault="00DD154A" w:rsidP="00DD154A">
            <w:pPr>
              <w:spacing w:line="360" w:lineRule="auto"/>
              <w:jc w:val="both"/>
              <w:rPr>
                <w:rFonts w:ascii="Arial" w:hAnsi="Arial"/>
                <w:b/>
                <w:bCs/>
                <w:sz w:val="26"/>
                <w:szCs w:val="26"/>
              </w:rPr>
            </w:pPr>
          </w:p>
        </w:tc>
      </w:tr>
      <w:tr w:rsidR="00DD154A" w:rsidRPr="00C94607" w14:paraId="105D7C8D" w14:textId="77777777" w:rsidTr="00DD154A">
        <w:trPr>
          <w:trHeight w:val="355"/>
          <w:jc w:val="center"/>
        </w:trPr>
        <w:tc>
          <w:tcPr>
            <w:tcW w:w="885" w:type="dxa"/>
            <w:tcBorders>
              <w:top w:val="nil"/>
              <w:left w:val="nil"/>
              <w:bottom w:val="nil"/>
              <w:right w:val="nil"/>
            </w:tcBorders>
            <w:shd w:val="clear" w:color="auto" w:fill="auto"/>
          </w:tcPr>
          <w:p w14:paraId="4FCF9679" w14:textId="77777777" w:rsidR="00DD154A" w:rsidRPr="00C94607" w:rsidRDefault="00DD154A" w:rsidP="00DD154A">
            <w:pPr>
              <w:spacing w:line="360" w:lineRule="auto"/>
              <w:jc w:val="both"/>
              <w:rPr>
                <w:rFonts w:ascii="Arial" w:hAnsi="Arial"/>
                <w:b/>
                <w:bCs/>
                <w:sz w:val="26"/>
                <w:szCs w:val="26"/>
              </w:rPr>
            </w:pPr>
            <w:bookmarkStart w:id="1" w:name="FirstAppellant"/>
            <w:bookmarkStart w:id="2" w:name="FirstLawyer"/>
            <w:r w:rsidRPr="00C94607">
              <w:rPr>
                <w:rFonts w:ascii="Arial" w:hAnsi="Arial" w:hint="cs"/>
                <w:b/>
                <w:bCs/>
                <w:sz w:val="26"/>
                <w:szCs w:val="26"/>
                <w:rtl/>
              </w:rPr>
              <w:t>ה</w:t>
            </w:r>
            <w:r w:rsidRPr="00C94607">
              <w:rPr>
                <w:rFonts w:ascii="Arial" w:hAnsi="Arial"/>
                <w:b/>
                <w:bCs/>
                <w:sz w:val="26"/>
                <w:szCs w:val="26"/>
                <w:rtl/>
              </w:rPr>
              <w:t>מאשימה</w:t>
            </w:r>
            <w:r w:rsidRPr="00C94607">
              <w:rPr>
                <w:rFonts w:ascii="Arial" w:hAnsi="Arial" w:hint="cs"/>
                <w:b/>
                <w:bCs/>
                <w:sz w:val="26"/>
                <w:szCs w:val="26"/>
                <w:rtl/>
              </w:rPr>
              <w:t>:</w:t>
            </w:r>
          </w:p>
        </w:tc>
        <w:tc>
          <w:tcPr>
            <w:tcW w:w="4384" w:type="dxa"/>
            <w:tcBorders>
              <w:top w:val="nil"/>
              <w:left w:val="nil"/>
              <w:bottom w:val="nil"/>
              <w:right w:val="nil"/>
            </w:tcBorders>
            <w:shd w:val="clear" w:color="auto" w:fill="auto"/>
          </w:tcPr>
          <w:p w14:paraId="69CC6DF5" w14:textId="77777777" w:rsidR="00DD154A" w:rsidRPr="00C94607" w:rsidRDefault="00DD154A" w:rsidP="00DD154A">
            <w:pPr>
              <w:spacing w:line="360" w:lineRule="auto"/>
              <w:rPr>
                <w:b/>
                <w:bCs/>
                <w:sz w:val="26"/>
                <w:szCs w:val="26"/>
                <w:rtl/>
              </w:rPr>
            </w:pPr>
            <w:r w:rsidRPr="00C94607">
              <w:rPr>
                <w:rFonts w:ascii="Arial" w:hAnsi="Arial"/>
                <w:b/>
                <w:bCs/>
                <w:sz w:val="26"/>
                <w:szCs w:val="26"/>
                <w:rtl/>
              </w:rPr>
              <w:t>מדינת ישראל</w:t>
            </w:r>
          </w:p>
          <w:p w14:paraId="62A32D37" w14:textId="77777777" w:rsidR="00DD154A" w:rsidRPr="00C94607" w:rsidRDefault="00DD154A" w:rsidP="00DD154A">
            <w:pPr>
              <w:spacing w:line="360" w:lineRule="auto"/>
              <w:rPr>
                <w:sz w:val="26"/>
                <w:szCs w:val="26"/>
              </w:rPr>
            </w:pPr>
            <w:r w:rsidRPr="00C94607">
              <w:rPr>
                <w:rFonts w:hint="cs"/>
                <w:rtl/>
              </w:rPr>
              <w:t>ע"י ב"כ עו"ד ספיר יגר-שחף</w:t>
            </w:r>
          </w:p>
        </w:tc>
        <w:tc>
          <w:tcPr>
            <w:tcW w:w="3551" w:type="dxa"/>
            <w:tcBorders>
              <w:top w:val="nil"/>
              <w:left w:val="nil"/>
              <w:bottom w:val="nil"/>
              <w:right w:val="nil"/>
            </w:tcBorders>
            <w:shd w:val="clear" w:color="auto" w:fill="auto"/>
          </w:tcPr>
          <w:p w14:paraId="290A6F53" w14:textId="77777777" w:rsidR="00DD154A" w:rsidRPr="00C94607" w:rsidRDefault="00DD154A" w:rsidP="00DD154A">
            <w:pPr>
              <w:spacing w:line="360" w:lineRule="auto"/>
              <w:jc w:val="both"/>
              <w:rPr>
                <w:rFonts w:ascii="Arial" w:hAnsi="Arial"/>
                <w:b/>
                <w:bCs/>
                <w:sz w:val="26"/>
                <w:szCs w:val="26"/>
              </w:rPr>
            </w:pPr>
          </w:p>
        </w:tc>
      </w:tr>
      <w:bookmarkEnd w:id="1"/>
      <w:bookmarkEnd w:id="2"/>
      <w:tr w:rsidR="00DD154A" w:rsidRPr="00C94607" w14:paraId="00FDA9AB" w14:textId="77777777" w:rsidTr="00DD154A">
        <w:trPr>
          <w:trHeight w:val="373"/>
          <w:jc w:val="center"/>
        </w:trPr>
        <w:tc>
          <w:tcPr>
            <w:tcW w:w="885" w:type="dxa"/>
            <w:tcBorders>
              <w:top w:val="nil"/>
              <w:left w:val="nil"/>
              <w:bottom w:val="nil"/>
              <w:right w:val="nil"/>
            </w:tcBorders>
            <w:shd w:val="clear" w:color="auto" w:fill="auto"/>
          </w:tcPr>
          <w:p w14:paraId="6D7FE5F1" w14:textId="77777777" w:rsidR="00DD154A" w:rsidRPr="00C94607" w:rsidRDefault="00DD154A" w:rsidP="00DD154A">
            <w:pPr>
              <w:spacing w:line="360" w:lineRule="auto"/>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5EA53BA5" w14:textId="77777777" w:rsidR="00DD154A" w:rsidRPr="00C94607" w:rsidRDefault="00DD154A" w:rsidP="00DD154A">
            <w:pPr>
              <w:spacing w:line="360" w:lineRule="auto"/>
              <w:jc w:val="center"/>
              <w:rPr>
                <w:rFonts w:ascii="Arial" w:hAnsi="Arial"/>
                <w:b/>
                <w:bCs/>
                <w:sz w:val="26"/>
                <w:szCs w:val="26"/>
                <w:rtl/>
              </w:rPr>
            </w:pPr>
          </w:p>
          <w:p w14:paraId="03EE14C4" w14:textId="77777777" w:rsidR="00DD154A" w:rsidRPr="00C94607" w:rsidRDefault="00DD154A" w:rsidP="00DD154A">
            <w:pPr>
              <w:spacing w:line="360" w:lineRule="auto"/>
              <w:jc w:val="center"/>
              <w:rPr>
                <w:rFonts w:ascii="Arial" w:hAnsi="Arial"/>
                <w:b/>
                <w:bCs/>
                <w:sz w:val="26"/>
                <w:szCs w:val="26"/>
                <w:rtl/>
              </w:rPr>
            </w:pPr>
            <w:r w:rsidRPr="00C94607">
              <w:rPr>
                <w:rFonts w:ascii="Arial" w:hAnsi="Arial"/>
                <w:b/>
                <w:bCs/>
                <w:sz w:val="26"/>
                <w:szCs w:val="26"/>
                <w:rtl/>
              </w:rPr>
              <w:t>נגד</w:t>
            </w:r>
          </w:p>
          <w:p w14:paraId="5F9F654A" w14:textId="77777777" w:rsidR="00DD154A" w:rsidRPr="00C94607" w:rsidRDefault="00DD154A" w:rsidP="00DD154A">
            <w:pPr>
              <w:spacing w:line="360" w:lineRule="auto"/>
              <w:jc w:val="both"/>
              <w:rPr>
                <w:rFonts w:ascii="Arial" w:hAnsi="Arial"/>
                <w:b/>
                <w:bCs/>
                <w:sz w:val="26"/>
                <w:szCs w:val="26"/>
              </w:rPr>
            </w:pPr>
          </w:p>
        </w:tc>
      </w:tr>
      <w:tr w:rsidR="00DD154A" w:rsidRPr="00C94607" w14:paraId="093B4BA4" w14:textId="77777777" w:rsidTr="00DD154A">
        <w:trPr>
          <w:trHeight w:val="355"/>
          <w:jc w:val="center"/>
        </w:trPr>
        <w:tc>
          <w:tcPr>
            <w:tcW w:w="885" w:type="dxa"/>
            <w:tcBorders>
              <w:top w:val="nil"/>
              <w:left w:val="nil"/>
              <w:bottom w:val="nil"/>
              <w:right w:val="nil"/>
            </w:tcBorders>
            <w:shd w:val="clear" w:color="auto" w:fill="auto"/>
          </w:tcPr>
          <w:p w14:paraId="1E62BA2C" w14:textId="77777777" w:rsidR="00DD154A" w:rsidRPr="00C94607" w:rsidRDefault="00DD154A" w:rsidP="00DD154A">
            <w:pPr>
              <w:spacing w:line="360" w:lineRule="auto"/>
              <w:rPr>
                <w:rFonts w:ascii="Arial" w:hAnsi="Arial"/>
                <w:b/>
                <w:bCs/>
                <w:sz w:val="26"/>
                <w:szCs w:val="26"/>
                <w:rtl/>
              </w:rPr>
            </w:pPr>
            <w:r w:rsidRPr="00C94607">
              <w:rPr>
                <w:rFonts w:ascii="Arial" w:hAnsi="Arial" w:hint="cs"/>
                <w:b/>
                <w:bCs/>
                <w:sz w:val="26"/>
                <w:szCs w:val="26"/>
                <w:rtl/>
              </w:rPr>
              <w:t>ה</w:t>
            </w:r>
            <w:r w:rsidRPr="00C94607">
              <w:rPr>
                <w:rFonts w:ascii="Arial" w:hAnsi="Arial"/>
                <w:b/>
                <w:bCs/>
                <w:sz w:val="26"/>
                <w:szCs w:val="26"/>
                <w:rtl/>
              </w:rPr>
              <w:t>נאשם</w:t>
            </w:r>
            <w:r w:rsidRPr="00C94607">
              <w:rPr>
                <w:rFonts w:ascii="Arial" w:hAnsi="Arial" w:hint="cs"/>
                <w:b/>
                <w:bCs/>
                <w:sz w:val="26"/>
                <w:szCs w:val="26"/>
                <w:rtl/>
              </w:rPr>
              <w:t>:</w:t>
            </w:r>
          </w:p>
        </w:tc>
        <w:tc>
          <w:tcPr>
            <w:tcW w:w="4384" w:type="dxa"/>
            <w:tcBorders>
              <w:top w:val="nil"/>
              <w:left w:val="nil"/>
              <w:bottom w:val="nil"/>
              <w:right w:val="nil"/>
            </w:tcBorders>
            <w:shd w:val="clear" w:color="auto" w:fill="auto"/>
          </w:tcPr>
          <w:p w14:paraId="4C8CF48A" w14:textId="77777777" w:rsidR="00DD154A" w:rsidRPr="00C94607" w:rsidRDefault="00DD154A" w:rsidP="00DD154A">
            <w:pPr>
              <w:spacing w:line="360" w:lineRule="auto"/>
              <w:rPr>
                <w:b/>
                <w:bCs/>
                <w:sz w:val="26"/>
                <w:szCs w:val="26"/>
                <w:rtl/>
              </w:rPr>
            </w:pPr>
            <w:r w:rsidRPr="00C94607">
              <w:rPr>
                <w:rFonts w:ascii="Arial" w:hAnsi="Arial"/>
                <w:b/>
                <w:bCs/>
                <w:sz w:val="26"/>
                <w:szCs w:val="26"/>
                <w:rtl/>
              </w:rPr>
              <w:t>אריאל שבתייב</w:t>
            </w:r>
          </w:p>
          <w:p w14:paraId="568E2D35" w14:textId="77777777" w:rsidR="00DD154A" w:rsidRPr="00C94607" w:rsidRDefault="00DD154A" w:rsidP="00DD154A">
            <w:pPr>
              <w:spacing w:line="360" w:lineRule="auto"/>
              <w:rPr>
                <w:sz w:val="26"/>
                <w:szCs w:val="26"/>
                <w:rtl/>
              </w:rPr>
            </w:pPr>
            <w:r w:rsidRPr="00C94607">
              <w:rPr>
                <w:rFonts w:hint="cs"/>
                <w:rtl/>
              </w:rPr>
              <w:t>ע"י ב"כ עו"ד עומרי שטרן</w:t>
            </w:r>
          </w:p>
        </w:tc>
        <w:tc>
          <w:tcPr>
            <w:tcW w:w="3551" w:type="dxa"/>
            <w:tcBorders>
              <w:top w:val="nil"/>
              <w:left w:val="nil"/>
              <w:bottom w:val="nil"/>
              <w:right w:val="nil"/>
            </w:tcBorders>
            <w:shd w:val="clear" w:color="auto" w:fill="auto"/>
          </w:tcPr>
          <w:p w14:paraId="27692EF6" w14:textId="77777777" w:rsidR="00DD154A" w:rsidRPr="00C94607" w:rsidRDefault="00DD154A" w:rsidP="00DD154A">
            <w:pPr>
              <w:spacing w:line="360" w:lineRule="auto"/>
              <w:jc w:val="right"/>
              <w:rPr>
                <w:rFonts w:ascii="Arial" w:hAnsi="Arial"/>
                <w:b/>
                <w:bCs/>
                <w:sz w:val="26"/>
                <w:szCs w:val="26"/>
              </w:rPr>
            </w:pPr>
          </w:p>
        </w:tc>
      </w:tr>
    </w:tbl>
    <w:p w14:paraId="42D195DD" w14:textId="77777777" w:rsidR="008643CC" w:rsidRPr="008643CC" w:rsidRDefault="008643CC" w:rsidP="008643CC">
      <w:pPr>
        <w:spacing w:before="120" w:after="120" w:line="240" w:lineRule="exact"/>
        <w:ind w:left="283" w:hanging="283"/>
        <w:jc w:val="both"/>
        <w:rPr>
          <w:rFonts w:ascii="FrankRuehl" w:hAnsi="FrankRuehl" w:cs="FrankRuehl"/>
          <w:rtl/>
        </w:rPr>
      </w:pPr>
    </w:p>
    <w:p w14:paraId="7D6F1D77" w14:textId="77777777" w:rsidR="008643CC" w:rsidRPr="008643CC" w:rsidRDefault="008643CC" w:rsidP="008643CC">
      <w:pPr>
        <w:spacing w:before="120" w:after="120" w:line="240" w:lineRule="exact"/>
        <w:ind w:left="283" w:hanging="283"/>
        <w:jc w:val="both"/>
        <w:rPr>
          <w:rFonts w:ascii="FrankRuehl" w:hAnsi="FrankRuehl" w:cs="FrankRuehl"/>
          <w:rtl/>
        </w:rPr>
      </w:pPr>
    </w:p>
    <w:p w14:paraId="2ACA6ACC" w14:textId="77777777" w:rsidR="00D63808" w:rsidRDefault="00D63808" w:rsidP="00D63808">
      <w:pPr>
        <w:spacing w:line="360" w:lineRule="auto"/>
        <w:rPr>
          <w:rtl/>
        </w:rPr>
      </w:pPr>
      <w:bookmarkStart w:id="3" w:name="LawTable"/>
      <w:bookmarkEnd w:id="3"/>
    </w:p>
    <w:p w14:paraId="326FE4A9" w14:textId="77777777" w:rsidR="00D63808" w:rsidRPr="00D63808" w:rsidRDefault="00D63808" w:rsidP="00D63808">
      <w:pPr>
        <w:spacing w:before="120" w:after="120" w:line="240" w:lineRule="exact"/>
        <w:ind w:left="283" w:hanging="283"/>
        <w:jc w:val="both"/>
        <w:rPr>
          <w:rFonts w:ascii="FrankRuehl" w:hAnsi="FrankRuehl" w:cs="FrankRuehl"/>
          <w:rtl/>
        </w:rPr>
      </w:pPr>
    </w:p>
    <w:p w14:paraId="09A3E4FD" w14:textId="77777777" w:rsidR="00D63808" w:rsidRPr="00D63808" w:rsidRDefault="00D63808" w:rsidP="00D63808">
      <w:pPr>
        <w:spacing w:before="120" w:after="120" w:line="240" w:lineRule="exact"/>
        <w:ind w:left="283" w:hanging="283"/>
        <w:jc w:val="both"/>
        <w:rPr>
          <w:rFonts w:ascii="FrankRuehl" w:hAnsi="FrankRuehl" w:cs="FrankRuehl"/>
          <w:rtl/>
        </w:rPr>
      </w:pPr>
    </w:p>
    <w:p w14:paraId="6F947D39" w14:textId="77777777" w:rsidR="00D63808" w:rsidRPr="00D63808" w:rsidRDefault="00D63808" w:rsidP="00D63808">
      <w:pPr>
        <w:spacing w:before="120" w:after="120" w:line="240" w:lineRule="exact"/>
        <w:ind w:left="283" w:hanging="283"/>
        <w:jc w:val="both"/>
        <w:rPr>
          <w:rFonts w:ascii="FrankRuehl" w:hAnsi="FrankRuehl" w:cs="FrankRuehl"/>
          <w:rtl/>
        </w:rPr>
      </w:pPr>
      <w:r w:rsidRPr="00D63808">
        <w:rPr>
          <w:rFonts w:ascii="FrankRuehl" w:hAnsi="FrankRuehl" w:cs="FrankRuehl"/>
          <w:rtl/>
        </w:rPr>
        <w:t xml:space="preserve">חקיקה שאוזכרה: </w:t>
      </w:r>
    </w:p>
    <w:p w14:paraId="2E94E034" w14:textId="77777777" w:rsidR="00D63808" w:rsidRPr="00D63808" w:rsidRDefault="00D63808" w:rsidP="00D63808">
      <w:pPr>
        <w:spacing w:before="120" w:after="120" w:line="240" w:lineRule="exact"/>
        <w:ind w:left="283" w:hanging="283"/>
        <w:jc w:val="both"/>
        <w:rPr>
          <w:rFonts w:ascii="FrankRuehl" w:hAnsi="FrankRuehl" w:cs="FrankRuehl"/>
          <w:rtl/>
        </w:rPr>
      </w:pPr>
      <w:hyperlink r:id="rId7" w:history="1">
        <w:r w:rsidRPr="00D63808">
          <w:rPr>
            <w:rFonts w:ascii="FrankRuehl" w:hAnsi="FrankRuehl" w:cs="FrankRuehl"/>
            <w:color w:val="0000FF"/>
            <w:rtl/>
          </w:rPr>
          <w:t>פקודת הסמים המסוכנים [נוסח חדש], תשל"ג-1973</w:t>
        </w:r>
      </w:hyperlink>
      <w:r w:rsidRPr="00D63808">
        <w:rPr>
          <w:rFonts w:ascii="FrankRuehl" w:hAnsi="FrankRuehl" w:cs="FrankRuehl"/>
          <w:rtl/>
        </w:rPr>
        <w:t xml:space="preserve">: סע'  </w:t>
      </w:r>
      <w:hyperlink r:id="rId8" w:history="1">
        <w:r w:rsidRPr="00D63808">
          <w:rPr>
            <w:rFonts w:ascii="FrankRuehl" w:hAnsi="FrankRuehl" w:cs="FrankRuehl"/>
            <w:color w:val="0000FF"/>
            <w:rtl/>
          </w:rPr>
          <w:t>1</w:t>
        </w:r>
      </w:hyperlink>
      <w:r w:rsidRPr="00D63808">
        <w:rPr>
          <w:rFonts w:ascii="FrankRuehl" w:hAnsi="FrankRuehl" w:cs="FrankRuehl"/>
          <w:rtl/>
        </w:rPr>
        <w:t xml:space="preserve">, </w:t>
      </w:r>
      <w:hyperlink r:id="rId9" w:history="1">
        <w:r w:rsidRPr="00D63808">
          <w:rPr>
            <w:rFonts w:ascii="FrankRuehl" w:hAnsi="FrankRuehl" w:cs="FrankRuehl"/>
            <w:color w:val="0000FF"/>
            <w:rtl/>
          </w:rPr>
          <w:t>7(א)</w:t>
        </w:r>
      </w:hyperlink>
      <w:r w:rsidRPr="00D63808">
        <w:rPr>
          <w:rFonts w:ascii="FrankRuehl" w:hAnsi="FrankRuehl" w:cs="FrankRuehl"/>
          <w:rtl/>
        </w:rPr>
        <w:t xml:space="preserve">, </w:t>
      </w:r>
      <w:hyperlink r:id="rId10" w:history="1">
        <w:r w:rsidRPr="00D63808">
          <w:rPr>
            <w:rFonts w:ascii="FrankRuehl" w:hAnsi="FrankRuehl" w:cs="FrankRuehl"/>
            <w:color w:val="0000FF"/>
            <w:rtl/>
          </w:rPr>
          <w:t>7(ג)</w:t>
        </w:r>
      </w:hyperlink>
      <w:r w:rsidRPr="00D63808">
        <w:rPr>
          <w:rFonts w:ascii="FrankRuehl" w:hAnsi="FrankRuehl" w:cs="FrankRuehl"/>
          <w:rtl/>
        </w:rPr>
        <w:t xml:space="preserve">, </w:t>
      </w:r>
      <w:hyperlink r:id="rId11" w:history="1">
        <w:r w:rsidRPr="00D63808">
          <w:rPr>
            <w:rFonts w:ascii="FrankRuehl" w:hAnsi="FrankRuehl" w:cs="FrankRuehl"/>
            <w:color w:val="0000FF"/>
            <w:rtl/>
          </w:rPr>
          <w:t>31(6)</w:t>
        </w:r>
      </w:hyperlink>
      <w:r w:rsidRPr="00D63808">
        <w:rPr>
          <w:rFonts w:ascii="FrankRuehl" w:hAnsi="FrankRuehl" w:cs="FrankRuehl"/>
          <w:rtl/>
        </w:rPr>
        <w:t xml:space="preserve">, </w:t>
      </w:r>
      <w:hyperlink r:id="rId12" w:history="1">
        <w:r w:rsidRPr="00D63808">
          <w:rPr>
            <w:rFonts w:ascii="FrankRuehl" w:hAnsi="FrankRuehl" w:cs="FrankRuehl"/>
            <w:color w:val="0000FF"/>
            <w:rtl/>
          </w:rPr>
          <w:t>36א(א)</w:t>
        </w:r>
      </w:hyperlink>
      <w:r w:rsidRPr="00D63808">
        <w:rPr>
          <w:rFonts w:ascii="FrankRuehl" w:hAnsi="FrankRuehl" w:cs="FrankRuehl"/>
          <w:rtl/>
        </w:rPr>
        <w:t xml:space="preserve">, </w:t>
      </w:r>
      <w:hyperlink r:id="rId13" w:history="1">
        <w:r w:rsidRPr="00D63808">
          <w:rPr>
            <w:rFonts w:ascii="FrankRuehl" w:hAnsi="FrankRuehl" w:cs="FrankRuehl"/>
            <w:color w:val="0000FF"/>
            <w:rtl/>
          </w:rPr>
          <w:t>36א(ב)</w:t>
        </w:r>
      </w:hyperlink>
    </w:p>
    <w:p w14:paraId="206A0555" w14:textId="77777777" w:rsidR="00D63808" w:rsidRPr="00D63808" w:rsidRDefault="00D63808" w:rsidP="00D63808">
      <w:pPr>
        <w:spacing w:before="120" w:after="120" w:line="240" w:lineRule="exact"/>
        <w:ind w:left="283" w:hanging="283"/>
        <w:jc w:val="both"/>
        <w:rPr>
          <w:rFonts w:ascii="FrankRuehl" w:hAnsi="FrankRuehl" w:cs="FrankRuehl"/>
          <w:rtl/>
        </w:rPr>
      </w:pPr>
      <w:hyperlink r:id="rId14" w:history="1">
        <w:r w:rsidRPr="00D63808">
          <w:rPr>
            <w:rFonts w:ascii="FrankRuehl" w:hAnsi="FrankRuehl" w:cs="FrankRuehl"/>
            <w:color w:val="0000FF"/>
            <w:rtl/>
          </w:rPr>
          <w:t>תקנות התעבורה, תשכ"א-1961 - לא מרובדות</w:t>
        </w:r>
      </w:hyperlink>
      <w:r w:rsidRPr="00D63808">
        <w:rPr>
          <w:rFonts w:ascii="FrankRuehl" w:hAnsi="FrankRuehl" w:cs="FrankRuehl"/>
          <w:rtl/>
        </w:rPr>
        <w:t xml:space="preserve">: סע'  </w:t>
      </w:r>
      <w:hyperlink r:id="rId15" w:history="1">
        <w:r w:rsidRPr="00D63808">
          <w:rPr>
            <w:rFonts w:ascii="FrankRuehl" w:hAnsi="FrankRuehl" w:cs="FrankRuehl"/>
            <w:color w:val="0000FF"/>
            <w:rtl/>
          </w:rPr>
          <w:t>26(2)</w:t>
        </w:r>
      </w:hyperlink>
    </w:p>
    <w:p w14:paraId="1E5B4A93" w14:textId="77777777" w:rsidR="00D63808" w:rsidRPr="00D63808" w:rsidRDefault="00D63808" w:rsidP="00D63808">
      <w:pPr>
        <w:spacing w:before="120" w:after="120" w:line="240" w:lineRule="exact"/>
        <w:ind w:left="283" w:hanging="283"/>
        <w:jc w:val="both"/>
        <w:rPr>
          <w:rFonts w:ascii="FrankRuehl" w:hAnsi="FrankRuehl" w:cs="FrankRuehl"/>
          <w:rtl/>
        </w:rPr>
      </w:pPr>
      <w:hyperlink r:id="rId16" w:history="1">
        <w:r w:rsidRPr="00D63808">
          <w:rPr>
            <w:rFonts w:ascii="FrankRuehl" w:hAnsi="FrankRuehl" w:cs="FrankRuehl"/>
            <w:color w:val="0000FF"/>
            <w:rtl/>
          </w:rPr>
          <w:t>פקודת התעבורה [נוסח חדש]</w:t>
        </w:r>
      </w:hyperlink>
      <w:r w:rsidRPr="00D63808">
        <w:rPr>
          <w:rFonts w:ascii="FrankRuehl" w:hAnsi="FrankRuehl" w:cs="FrankRuehl"/>
          <w:rtl/>
        </w:rPr>
        <w:t xml:space="preserve">: סע'  </w:t>
      </w:r>
      <w:hyperlink r:id="rId17" w:history="1">
        <w:r w:rsidRPr="00D63808">
          <w:rPr>
            <w:rFonts w:ascii="FrankRuehl" w:hAnsi="FrankRuehl" w:cs="FrankRuehl"/>
            <w:color w:val="0000FF"/>
            <w:rtl/>
          </w:rPr>
          <w:t>38(1)</w:t>
        </w:r>
      </w:hyperlink>
    </w:p>
    <w:p w14:paraId="2F48A1D3" w14:textId="77777777" w:rsidR="00D63808" w:rsidRPr="00D63808" w:rsidRDefault="00D63808" w:rsidP="00D63808">
      <w:pPr>
        <w:spacing w:before="120" w:after="120" w:line="240" w:lineRule="exact"/>
        <w:ind w:left="283" w:hanging="283"/>
        <w:jc w:val="both"/>
        <w:rPr>
          <w:rFonts w:ascii="FrankRuehl" w:hAnsi="FrankRuehl" w:cs="FrankRuehl"/>
          <w:rtl/>
        </w:rPr>
      </w:pPr>
      <w:hyperlink r:id="rId18" w:history="1">
        <w:r w:rsidRPr="00D63808">
          <w:rPr>
            <w:rFonts w:ascii="FrankRuehl" w:hAnsi="FrankRuehl" w:cs="FrankRuehl"/>
            <w:color w:val="0000FF"/>
            <w:rtl/>
          </w:rPr>
          <w:t>חוק העונשין, תשל"ז-1977</w:t>
        </w:r>
      </w:hyperlink>
      <w:r w:rsidRPr="00D63808">
        <w:rPr>
          <w:rFonts w:ascii="FrankRuehl" w:hAnsi="FrankRuehl" w:cs="FrankRuehl"/>
          <w:rtl/>
        </w:rPr>
        <w:t xml:space="preserve">: סע'  </w:t>
      </w:r>
      <w:hyperlink r:id="rId19" w:history="1">
        <w:r w:rsidRPr="00D63808">
          <w:rPr>
            <w:rFonts w:ascii="FrankRuehl" w:hAnsi="FrankRuehl" w:cs="FrankRuehl"/>
            <w:color w:val="0000FF"/>
            <w:rtl/>
          </w:rPr>
          <w:t>40ג</w:t>
        </w:r>
      </w:hyperlink>
      <w:r w:rsidRPr="00D63808">
        <w:rPr>
          <w:rFonts w:ascii="FrankRuehl" w:hAnsi="FrankRuehl" w:cs="FrankRuehl"/>
          <w:rtl/>
        </w:rPr>
        <w:t xml:space="preserve">, </w:t>
      </w:r>
      <w:hyperlink r:id="rId20" w:history="1">
        <w:r w:rsidRPr="00D63808">
          <w:rPr>
            <w:rFonts w:ascii="FrankRuehl" w:hAnsi="FrankRuehl" w:cs="FrankRuehl"/>
            <w:color w:val="0000FF"/>
            <w:rtl/>
          </w:rPr>
          <w:t>40ט</w:t>
        </w:r>
      </w:hyperlink>
      <w:r w:rsidRPr="00D63808">
        <w:rPr>
          <w:rFonts w:ascii="FrankRuehl" w:hAnsi="FrankRuehl" w:cs="FrankRuehl"/>
          <w:rtl/>
        </w:rPr>
        <w:t xml:space="preserve">, </w:t>
      </w:r>
      <w:hyperlink r:id="rId21" w:history="1">
        <w:r w:rsidRPr="00D63808">
          <w:rPr>
            <w:rFonts w:ascii="FrankRuehl" w:hAnsi="FrankRuehl" w:cs="FrankRuehl"/>
            <w:color w:val="0000FF"/>
            <w:rtl/>
          </w:rPr>
          <w:t>40יג</w:t>
        </w:r>
      </w:hyperlink>
    </w:p>
    <w:p w14:paraId="1074ECE1" w14:textId="77777777" w:rsidR="00D63808" w:rsidRPr="00D63808" w:rsidRDefault="00D63808" w:rsidP="00D63808">
      <w:pPr>
        <w:spacing w:line="360" w:lineRule="auto"/>
        <w:rPr>
          <w:rtl/>
        </w:rPr>
      </w:pPr>
      <w:bookmarkStart w:id="4" w:name="LawTable_End"/>
      <w:bookmarkEnd w:id="4"/>
    </w:p>
    <w:p w14:paraId="70B02351" w14:textId="77777777" w:rsidR="00DD154A" w:rsidRPr="008643CC" w:rsidRDefault="00DD154A" w:rsidP="008643CC">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154A" w:rsidRPr="00B8404E" w14:paraId="4BD26FE4" w14:textId="77777777" w:rsidTr="00DD154A">
        <w:trPr>
          <w:trHeight w:val="355"/>
          <w:jc w:val="center"/>
        </w:trPr>
        <w:tc>
          <w:tcPr>
            <w:tcW w:w="8820" w:type="dxa"/>
            <w:tcBorders>
              <w:top w:val="nil"/>
              <w:left w:val="nil"/>
              <w:bottom w:val="nil"/>
              <w:right w:val="nil"/>
            </w:tcBorders>
            <w:shd w:val="clear" w:color="auto" w:fill="auto"/>
          </w:tcPr>
          <w:p w14:paraId="3047C161" w14:textId="77777777" w:rsidR="00DD154A" w:rsidRPr="00C94607" w:rsidRDefault="00C94607" w:rsidP="00C94607">
            <w:pPr>
              <w:spacing w:after="120" w:line="360" w:lineRule="auto"/>
              <w:jc w:val="center"/>
              <w:rPr>
                <w:rFonts w:ascii="Arial" w:hAnsi="Arial"/>
                <w:b/>
                <w:bCs/>
                <w:sz w:val="36"/>
                <w:szCs w:val="36"/>
                <w:u w:val="single"/>
                <w:rtl/>
              </w:rPr>
            </w:pPr>
            <w:bookmarkStart w:id="5" w:name="PsakDin" w:colFirst="0" w:colLast="0"/>
            <w:bookmarkEnd w:id="0"/>
            <w:r w:rsidRPr="00C94607">
              <w:rPr>
                <w:rFonts w:ascii="Arial" w:hAnsi="Arial"/>
                <w:b/>
                <w:bCs/>
                <w:sz w:val="36"/>
                <w:szCs w:val="36"/>
                <w:u w:val="single"/>
                <w:rtl/>
              </w:rPr>
              <w:t>גזר דין</w:t>
            </w:r>
          </w:p>
        </w:tc>
      </w:tr>
    </w:tbl>
    <w:bookmarkEnd w:id="5"/>
    <w:p w14:paraId="631B6CDF" w14:textId="77777777" w:rsidR="00DD154A" w:rsidRDefault="00DD154A" w:rsidP="00DD154A">
      <w:pPr>
        <w:numPr>
          <w:ilvl w:val="0"/>
          <w:numId w:val="1"/>
        </w:numPr>
        <w:spacing w:after="120" w:line="360" w:lineRule="auto"/>
        <w:ind w:left="368"/>
        <w:jc w:val="both"/>
        <w:rPr>
          <w:rFonts w:ascii="Tahoma" w:hAnsi="Tahoma"/>
          <w:b/>
          <w:bCs/>
          <w:u w:val="single"/>
        </w:rPr>
      </w:pPr>
      <w:r>
        <w:rPr>
          <w:rFonts w:ascii="Tahoma" w:hAnsi="Tahoma"/>
          <w:b/>
          <w:bCs/>
          <w:u w:val="single"/>
          <w:rtl/>
        </w:rPr>
        <w:t>רקע כללי:</w:t>
      </w:r>
    </w:p>
    <w:p w14:paraId="2E2C8832" w14:textId="77777777" w:rsidR="00DD154A" w:rsidRDefault="00DD154A" w:rsidP="00DD154A">
      <w:pPr>
        <w:numPr>
          <w:ilvl w:val="0"/>
          <w:numId w:val="2"/>
        </w:numPr>
        <w:spacing w:after="120" w:line="360" w:lineRule="auto"/>
        <w:ind w:left="360"/>
        <w:jc w:val="both"/>
        <w:rPr>
          <w:rFonts w:ascii="Tahoma" w:hAnsi="Tahoma"/>
        </w:rPr>
      </w:pPr>
      <w:bookmarkStart w:id="6" w:name="ABSTRACT_START"/>
      <w:bookmarkEnd w:id="6"/>
      <w:r>
        <w:rPr>
          <w:rFonts w:ascii="Tahoma" w:hAnsi="Tahoma"/>
          <w:rtl/>
        </w:rPr>
        <w:t>הנאשם הורשע – במסגרת הסדר טיעון דיוני ועל יסוד הודאתו בעובדות כתב</w:t>
      </w:r>
      <w:r>
        <w:rPr>
          <w:rFonts w:ascii="Tahoma" w:hAnsi="Tahoma" w:hint="cs"/>
          <w:rtl/>
        </w:rPr>
        <w:t>י</w:t>
      </w:r>
      <w:r>
        <w:rPr>
          <w:rFonts w:ascii="Tahoma" w:hAnsi="Tahoma"/>
          <w:rtl/>
        </w:rPr>
        <w:t xml:space="preserve"> האישום המתוק</w:t>
      </w:r>
      <w:r>
        <w:rPr>
          <w:rFonts w:ascii="Tahoma" w:hAnsi="Tahoma" w:hint="cs"/>
          <w:rtl/>
        </w:rPr>
        <w:t>נים ב</w:t>
      </w:r>
      <w:r>
        <w:rPr>
          <w:rFonts w:ascii="Tahoma" w:hAnsi="Tahoma"/>
          <w:rtl/>
        </w:rPr>
        <w:t xml:space="preserve">תיק שבכותרת (להלן – התיק העיקרי) </w:t>
      </w:r>
      <w:r>
        <w:rPr>
          <w:rFonts w:ascii="Tahoma" w:hAnsi="Tahoma" w:hint="cs"/>
          <w:rtl/>
        </w:rPr>
        <w:t>ו</w:t>
      </w:r>
      <w:r>
        <w:rPr>
          <w:rFonts w:ascii="Tahoma" w:hAnsi="Tahoma"/>
          <w:rtl/>
        </w:rPr>
        <w:t>ב</w:t>
      </w:r>
      <w:hyperlink r:id="rId22" w:history="1">
        <w:r w:rsidR="00C94607" w:rsidRPr="00C94607">
          <w:rPr>
            <w:rFonts w:ascii="Tahoma" w:hAnsi="Tahoma"/>
            <w:color w:val="0000FF"/>
            <w:u w:val="single"/>
            <w:rtl/>
          </w:rPr>
          <w:t>ת"פ 11753-03-21</w:t>
        </w:r>
      </w:hyperlink>
      <w:r>
        <w:rPr>
          <w:rFonts w:ascii="Tahoma" w:hAnsi="Tahoma"/>
          <w:rtl/>
        </w:rPr>
        <w:t xml:space="preserve"> מבית משפט השלום בנתניה (להלן – התיק המצורף) – בביצוע שתי עבירות של </w:t>
      </w:r>
      <w:r>
        <w:rPr>
          <w:rFonts w:ascii="Tahoma" w:hAnsi="Tahoma"/>
          <w:b/>
          <w:bCs/>
          <w:rtl/>
        </w:rPr>
        <w:t>החזקת סמים מסוכנים שלא לצריכה עצמית</w:t>
      </w:r>
      <w:r>
        <w:rPr>
          <w:rFonts w:ascii="Tahoma" w:hAnsi="Tahoma"/>
          <w:rtl/>
        </w:rPr>
        <w:t xml:space="preserve">, לפי הוראות </w:t>
      </w:r>
      <w:hyperlink r:id="rId23" w:history="1">
        <w:r w:rsidR="00136EAC" w:rsidRPr="00136EAC">
          <w:rPr>
            <w:rStyle w:val="Hyperlink"/>
            <w:rFonts w:ascii="Tahoma" w:hAnsi="Tahoma"/>
            <w:rtl/>
          </w:rPr>
          <w:t>סעיף 7(א)</w:t>
        </w:r>
      </w:hyperlink>
      <w:r>
        <w:rPr>
          <w:rFonts w:ascii="Tahoma" w:hAnsi="Tahoma"/>
          <w:rtl/>
        </w:rPr>
        <w:t xml:space="preserve"> </w:t>
      </w:r>
      <w:hyperlink r:id="rId24" w:history="1">
        <w:r w:rsidR="00136EAC" w:rsidRPr="00136EAC">
          <w:rPr>
            <w:rStyle w:val="Hyperlink"/>
            <w:rFonts w:ascii="Tahoma" w:hAnsi="Tahoma"/>
            <w:rtl/>
          </w:rPr>
          <w:t>וסעיף 7(ג)</w:t>
        </w:r>
      </w:hyperlink>
      <w:r>
        <w:rPr>
          <w:rFonts w:ascii="Tahoma" w:hAnsi="Tahoma"/>
          <w:rtl/>
        </w:rPr>
        <w:t xml:space="preserve"> רישא ל</w:t>
      </w:r>
      <w:hyperlink r:id="rId25" w:history="1">
        <w:r w:rsidR="00C94607" w:rsidRPr="00C94607">
          <w:rPr>
            <w:rFonts w:ascii="Tahoma" w:hAnsi="Tahoma"/>
            <w:color w:val="0000FF"/>
            <w:u w:val="single"/>
            <w:rtl/>
          </w:rPr>
          <w:t>פקודת הסמים המסוכנים</w:t>
        </w:r>
      </w:hyperlink>
      <w:r>
        <w:rPr>
          <w:rFonts w:ascii="Tahoma" w:hAnsi="Tahoma"/>
          <w:rtl/>
        </w:rPr>
        <w:t xml:space="preserve"> [נוסח חדש], תשל"ג-1973 (להלן – פקודת הסמים המסוכנים), ובעבירה של </w:t>
      </w:r>
      <w:r>
        <w:rPr>
          <w:rFonts w:ascii="Tahoma" w:hAnsi="Tahoma"/>
          <w:b/>
          <w:bCs/>
          <w:rtl/>
        </w:rPr>
        <w:t>נהיגה תחת השפעת סמים</w:t>
      </w:r>
      <w:r>
        <w:rPr>
          <w:rFonts w:ascii="Tahoma" w:hAnsi="Tahoma"/>
          <w:rtl/>
        </w:rPr>
        <w:t xml:space="preserve">, לפי הוראות </w:t>
      </w:r>
      <w:hyperlink r:id="rId26" w:history="1">
        <w:r w:rsidR="00136EAC" w:rsidRPr="00136EAC">
          <w:rPr>
            <w:rStyle w:val="Hyperlink"/>
            <w:rFonts w:ascii="Tahoma" w:hAnsi="Tahoma"/>
            <w:rtl/>
          </w:rPr>
          <w:t>תקנה 26(2)</w:t>
        </w:r>
      </w:hyperlink>
      <w:r>
        <w:rPr>
          <w:rFonts w:ascii="Tahoma" w:hAnsi="Tahoma"/>
          <w:rtl/>
        </w:rPr>
        <w:t xml:space="preserve"> ל</w:t>
      </w:r>
      <w:hyperlink r:id="rId27" w:history="1">
        <w:r w:rsidR="00C94607" w:rsidRPr="00C94607">
          <w:rPr>
            <w:rFonts w:ascii="Tahoma" w:hAnsi="Tahoma"/>
            <w:color w:val="0000FF"/>
            <w:u w:val="single"/>
            <w:rtl/>
          </w:rPr>
          <w:t>תקנות התעבורה</w:t>
        </w:r>
      </w:hyperlink>
      <w:r>
        <w:rPr>
          <w:rFonts w:ascii="Tahoma" w:hAnsi="Tahoma"/>
          <w:rtl/>
        </w:rPr>
        <w:t xml:space="preserve">, תשכ"א-1961, יחד עם </w:t>
      </w:r>
      <w:hyperlink r:id="rId28" w:history="1">
        <w:r w:rsidR="00721623" w:rsidRPr="00721623">
          <w:rPr>
            <w:rStyle w:val="Hyperlink"/>
            <w:rFonts w:ascii="Tahoma" w:hAnsi="Tahoma"/>
            <w:rtl/>
          </w:rPr>
          <w:t>סעיף 38(1)</w:t>
        </w:r>
      </w:hyperlink>
      <w:r>
        <w:rPr>
          <w:rFonts w:ascii="Tahoma" w:hAnsi="Tahoma"/>
          <w:rtl/>
        </w:rPr>
        <w:t xml:space="preserve"> ל</w:t>
      </w:r>
      <w:hyperlink r:id="rId29" w:history="1">
        <w:r w:rsidR="00C94607" w:rsidRPr="00C94607">
          <w:rPr>
            <w:rFonts w:ascii="Tahoma" w:hAnsi="Tahoma"/>
            <w:color w:val="0000FF"/>
            <w:u w:val="single"/>
            <w:rtl/>
          </w:rPr>
          <w:t>פקודת התעבורה</w:t>
        </w:r>
      </w:hyperlink>
      <w:r>
        <w:rPr>
          <w:rFonts w:ascii="Tahoma" w:hAnsi="Tahoma"/>
          <w:rtl/>
        </w:rPr>
        <w:t xml:space="preserve"> [נוסח חדש]</w:t>
      </w:r>
      <w:r>
        <w:rPr>
          <w:rFonts w:ascii="Tahoma" w:hAnsi="Tahoma" w:hint="cs"/>
          <w:rtl/>
        </w:rPr>
        <w:t>.</w:t>
      </w:r>
    </w:p>
    <w:p w14:paraId="7D71B031" w14:textId="77777777" w:rsidR="00DD154A" w:rsidRDefault="00DD154A" w:rsidP="00DD154A">
      <w:pPr>
        <w:numPr>
          <w:ilvl w:val="0"/>
          <w:numId w:val="2"/>
        </w:numPr>
        <w:spacing w:after="120" w:line="360" w:lineRule="auto"/>
        <w:ind w:left="360"/>
        <w:jc w:val="both"/>
        <w:rPr>
          <w:rFonts w:ascii="Tahoma" w:hAnsi="Tahoma"/>
        </w:rPr>
      </w:pPr>
      <w:bookmarkStart w:id="7" w:name="ABSTRACT_END"/>
      <w:bookmarkEnd w:id="7"/>
      <w:r>
        <w:rPr>
          <w:rFonts w:ascii="Tahoma" w:hAnsi="Tahoma"/>
          <w:rtl/>
        </w:rPr>
        <w:lastRenderedPageBreak/>
        <w:t>בכתבי האישום המתוקנים נטען, בתמצית, כלהלן:</w:t>
      </w:r>
    </w:p>
    <w:p w14:paraId="0D813354" w14:textId="77777777" w:rsidR="00DD154A" w:rsidRDefault="00DD154A" w:rsidP="00DD154A">
      <w:pPr>
        <w:pStyle w:val="a9"/>
        <w:numPr>
          <w:ilvl w:val="0"/>
          <w:numId w:val="3"/>
        </w:numPr>
        <w:spacing w:after="120" w:line="360" w:lineRule="auto"/>
        <w:jc w:val="both"/>
        <w:rPr>
          <w:rFonts w:ascii="Tahoma" w:hAnsi="Tahoma"/>
        </w:rPr>
      </w:pPr>
      <w:r>
        <w:rPr>
          <w:rFonts w:ascii="Tahoma" w:hAnsi="Tahoma"/>
          <w:b/>
          <w:bCs/>
          <w:u w:val="single"/>
          <w:rtl/>
        </w:rPr>
        <w:t>בתיק העיקרי</w:t>
      </w:r>
      <w:r>
        <w:rPr>
          <w:rFonts w:ascii="Tahoma" w:hAnsi="Tahoma"/>
          <w:b/>
          <w:bCs/>
          <w:rtl/>
        </w:rPr>
        <w:t xml:space="preserve"> – </w:t>
      </w:r>
      <w:r>
        <w:rPr>
          <w:rFonts w:ascii="Tahoma" w:hAnsi="Tahoma"/>
          <w:rtl/>
        </w:rPr>
        <w:t xml:space="preserve">ביום 12.09.2019 בשעה 21:30 או בסמוך לכך, בדרך ז'בוטינסקי ברמת גן, החזיק הנאשם ברכב בסמים מסוכנים מסוגים שונים, כלהלן: (א) בתא סגור מתחת להגה הרכב, </w:t>
      </w:r>
      <w:r>
        <w:rPr>
          <w:rFonts w:ascii="Tahoma" w:hAnsi="Tahoma"/>
          <w:b/>
          <w:bCs/>
          <w:rtl/>
        </w:rPr>
        <w:t>6 שקיות</w:t>
      </w:r>
      <w:r>
        <w:rPr>
          <w:rFonts w:ascii="Tahoma" w:hAnsi="Tahoma"/>
          <w:rtl/>
        </w:rPr>
        <w:t xml:space="preserve"> ובהן סמים מסוכנים מסוג </w:t>
      </w:r>
      <w:r>
        <w:rPr>
          <w:rFonts w:ascii="Tahoma" w:hAnsi="Tahoma"/>
          <w:b/>
          <w:bCs/>
          <w:rtl/>
        </w:rPr>
        <w:t>קנבוס</w:t>
      </w:r>
      <w:r>
        <w:rPr>
          <w:rFonts w:ascii="Tahoma" w:hAnsi="Tahoma"/>
          <w:rtl/>
        </w:rPr>
        <w:t xml:space="preserve"> במשקל של </w:t>
      </w:r>
      <w:r>
        <w:rPr>
          <w:rFonts w:ascii="Tahoma" w:hAnsi="Tahoma"/>
          <w:b/>
          <w:bCs/>
          <w:rtl/>
        </w:rPr>
        <w:t>40</w:t>
      </w:r>
      <w:r>
        <w:rPr>
          <w:rFonts w:ascii="Tahoma" w:hAnsi="Tahoma"/>
          <w:rtl/>
        </w:rPr>
        <w:t xml:space="preserve"> גרם נטו. (ב) על גופו באזור גומי מכנסיו, </w:t>
      </w:r>
      <w:r>
        <w:rPr>
          <w:rFonts w:ascii="Tahoma" w:hAnsi="Tahoma"/>
          <w:b/>
          <w:bCs/>
          <w:rtl/>
        </w:rPr>
        <w:t>3 שקיות</w:t>
      </w:r>
      <w:r>
        <w:rPr>
          <w:rFonts w:ascii="Tahoma" w:hAnsi="Tahoma"/>
          <w:rtl/>
        </w:rPr>
        <w:t xml:space="preserve"> ובהן סמים מסוכנים מסוג </w:t>
      </w:r>
      <w:r>
        <w:rPr>
          <w:rFonts w:ascii="Tahoma" w:hAnsi="Tahoma"/>
          <w:b/>
          <w:bCs/>
          <w:rtl/>
        </w:rPr>
        <w:t>קוקאין</w:t>
      </w:r>
      <w:r>
        <w:rPr>
          <w:rFonts w:ascii="Tahoma" w:hAnsi="Tahoma"/>
          <w:rtl/>
        </w:rPr>
        <w:t xml:space="preserve"> במשקל של </w:t>
      </w:r>
      <w:r>
        <w:rPr>
          <w:rFonts w:ascii="Tahoma" w:hAnsi="Tahoma"/>
          <w:b/>
          <w:bCs/>
          <w:rtl/>
        </w:rPr>
        <w:t>1.1418</w:t>
      </w:r>
      <w:r>
        <w:rPr>
          <w:rFonts w:ascii="Tahoma" w:hAnsi="Tahoma"/>
          <w:rtl/>
        </w:rPr>
        <w:t xml:space="preserve"> גרם נטו.</w:t>
      </w:r>
    </w:p>
    <w:p w14:paraId="309AC3CE" w14:textId="77777777" w:rsidR="00DD154A" w:rsidRDefault="00DD154A" w:rsidP="00DD154A">
      <w:pPr>
        <w:pStyle w:val="a9"/>
        <w:spacing w:after="120" w:line="360" w:lineRule="auto"/>
        <w:jc w:val="both"/>
        <w:rPr>
          <w:rFonts w:ascii="Tahoma" w:hAnsi="Tahoma"/>
          <w:rtl/>
        </w:rPr>
      </w:pPr>
      <w:r>
        <w:rPr>
          <w:rFonts w:ascii="Tahoma" w:hAnsi="Tahoma"/>
          <w:rtl/>
        </w:rPr>
        <w:t>באותן הנסיבות גם נהג הנאשם ברכב כשהוא בהשפעת סמים; כאשר בבדיקת שתן שנערכה לו נמצאו תוצרי חילוף חומרים של קוקאין. הנאשם הואשם אפוא, בתיק זה, בעבירות של החזקת סמים מסוכנים שלא לצריכה עצמית ונהיגה תחת השפעת סמים.</w:t>
      </w:r>
    </w:p>
    <w:p w14:paraId="3C5688B5" w14:textId="77777777" w:rsidR="00DD154A" w:rsidRDefault="00DD154A" w:rsidP="00DD154A">
      <w:pPr>
        <w:pStyle w:val="a9"/>
        <w:numPr>
          <w:ilvl w:val="0"/>
          <w:numId w:val="3"/>
        </w:numPr>
        <w:spacing w:after="120" w:line="360" w:lineRule="auto"/>
        <w:jc w:val="both"/>
        <w:rPr>
          <w:rFonts w:ascii="Tahoma" w:hAnsi="Tahoma"/>
          <w:rtl/>
        </w:rPr>
      </w:pPr>
      <w:r>
        <w:rPr>
          <w:rFonts w:ascii="Tahoma" w:hAnsi="Tahoma"/>
          <w:b/>
          <w:bCs/>
          <w:u w:val="single"/>
          <w:rtl/>
        </w:rPr>
        <w:t>בתיק המצורף</w:t>
      </w:r>
      <w:r>
        <w:rPr>
          <w:rFonts w:ascii="Tahoma" w:hAnsi="Tahoma"/>
          <w:b/>
          <w:bCs/>
          <w:rtl/>
        </w:rPr>
        <w:t xml:space="preserve"> – </w:t>
      </w:r>
      <w:r>
        <w:rPr>
          <w:rFonts w:ascii="Tahoma" w:hAnsi="Tahoma"/>
          <w:rtl/>
        </w:rPr>
        <w:t xml:space="preserve">ביום 10.03.2019 בשעה 10:00 או בסמוך לך, החזיק הנאשם בביתו בנתניה </w:t>
      </w:r>
      <w:r>
        <w:rPr>
          <w:rFonts w:ascii="Tahoma" w:hAnsi="Tahoma" w:hint="cs"/>
          <w:rtl/>
        </w:rPr>
        <w:t>ב</w:t>
      </w:r>
      <w:r>
        <w:rPr>
          <w:rFonts w:ascii="Tahoma" w:hAnsi="Tahoma"/>
          <w:rtl/>
        </w:rPr>
        <w:t xml:space="preserve">סמים מסוכנים מסוגים שונים, כלהלן: (א) בארון בגדים בחדרו </w:t>
      </w:r>
      <w:r>
        <w:rPr>
          <w:rFonts w:ascii="Tahoma" w:hAnsi="Tahoma"/>
          <w:b/>
          <w:bCs/>
          <w:rtl/>
        </w:rPr>
        <w:t>35 שקיות</w:t>
      </w:r>
      <w:r>
        <w:rPr>
          <w:rFonts w:ascii="Tahoma" w:hAnsi="Tahoma"/>
          <w:rtl/>
        </w:rPr>
        <w:t xml:space="preserve"> ובתוכן סמים מסוכנים מסוג </w:t>
      </w:r>
      <w:r>
        <w:rPr>
          <w:rFonts w:ascii="Tahoma" w:hAnsi="Tahoma"/>
          <w:b/>
          <w:bCs/>
          <w:rtl/>
        </w:rPr>
        <w:t>קנבוס</w:t>
      </w:r>
      <w:r>
        <w:rPr>
          <w:rFonts w:ascii="Tahoma" w:hAnsi="Tahoma"/>
          <w:rtl/>
        </w:rPr>
        <w:t xml:space="preserve"> במשקל של </w:t>
      </w:r>
      <w:r>
        <w:rPr>
          <w:rFonts w:ascii="Tahoma" w:hAnsi="Tahoma"/>
          <w:b/>
          <w:bCs/>
          <w:rtl/>
        </w:rPr>
        <w:t>20</w:t>
      </w:r>
      <w:r>
        <w:rPr>
          <w:rFonts w:ascii="Tahoma" w:hAnsi="Tahoma"/>
          <w:rtl/>
        </w:rPr>
        <w:t xml:space="preserve"> גרם נטו, וכן בשקית נוספת ובתוכה סמים מסוכנים מסוג </w:t>
      </w:r>
      <w:r>
        <w:rPr>
          <w:rFonts w:ascii="Tahoma" w:hAnsi="Tahoma"/>
          <w:b/>
          <w:bCs/>
          <w:rtl/>
        </w:rPr>
        <w:t>קנבוס</w:t>
      </w:r>
      <w:r>
        <w:rPr>
          <w:rFonts w:ascii="Tahoma" w:hAnsi="Tahoma"/>
          <w:rtl/>
        </w:rPr>
        <w:t xml:space="preserve"> במשקל של </w:t>
      </w:r>
      <w:r>
        <w:rPr>
          <w:rFonts w:ascii="Tahoma" w:hAnsi="Tahoma"/>
          <w:b/>
          <w:bCs/>
          <w:rtl/>
        </w:rPr>
        <w:t>3.64</w:t>
      </w:r>
      <w:r>
        <w:rPr>
          <w:rFonts w:ascii="Tahoma" w:hAnsi="Tahoma"/>
          <w:rtl/>
        </w:rPr>
        <w:t xml:space="preserve"> גרם נטו. (ב) בכיס פנימי של מעיל שהיה תלוי בתוך ארון בגדים בחדרו, </w:t>
      </w:r>
      <w:r>
        <w:rPr>
          <w:rFonts w:ascii="Tahoma" w:hAnsi="Tahoma"/>
          <w:b/>
          <w:bCs/>
          <w:rtl/>
        </w:rPr>
        <w:t>5 מנות</w:t>
      </w:r>
      <w:r>
        <w:rPr>
          <w:rFonts w:ascii="Tahoma" w:hAnsi="Tahoma"/>
          <w:rtl/>
        </w:rPr>
        <w:t xml:space="preserve"> עטופות בניילון שחור של סמים מסוכנים מסוג </w:t>
      </w:r>
      <w:r>
        <w:rPr>
          <w:rFonts w:ascii="Tahoma" w:hAnsi="Tahoma"/>
          <w:b/>
          <w:bCs/>
          <w:rtl/>
        </w:rPr>
        <w:t>קוקאין</w:t>
      </w:r>
      <w:r>
        <w:rPr>
          <w:rFonts w:ascii="Tahoma" w:hAnsi="Tahoma"/>
          <w:rtl/>
        </w:rPr>
        <w:t xml:space="preserve">, במשקל של </w:t>
      </w:r>
      <w:r>
        <w:rPr>
          <w:rFonts w:ascii="Tahoma" w:hAnsi="Tahoma"/>
          <w:b/>
          <w:bCs/>
          <w:rtl/>
        </w:rPr>
        <w:t xml:space="preserve">5 </w:t>
      </w:r>
      <w:r>
        <w:rPr>
          <w:rFonts w:ascii="Tahoma" w:hAnsi="Tahoma"/>
          <w:rtl/>
        </w:rPr>
        <w:t xml:space="preserve">גרם נטו. (ג) בחלקו העליון של ארון הבגדים, בקערת פלסטיק, בסמים מסוכנים מסוג </w:t>
      </w:r>
      <w:r>
        <w:rPr>
          <w:rFonts w:ascii="Tahoma" w:hAnsi="Tahoma"/>
          <w:b/>
          <w:bCs/>
          <w:rtl/>
        </w:rPr>
        <w:t>קנבוס</w:t>
      </w:r>
      <w:r>
        <w:rPr>
          <w:rFonts w:ascii="Tahoma" w:hAnsi="Tahoma"/>
          <w:rtl/>
        </w:rPr>
        <w:t xml:space="preserve">, במשקל של </w:t>
      </w:r>
      <w:r>
        <w:rPr>
          <w:rFonts w:ascii="Tahoma" w:hAnsi="Tahoma"/>
          <w:b/>
          <w:bCs/>
          <w:rtl/>
        </w:rPr>
        <w:t>20</w:t>
      </w:r>
      <w:r>
        <w:rPr>
          <w:rFonts w:ascii="Tahoma" w:hAnsi="Tahoma"/>
          <w:rtl/>
        </w:rPr>
        <w:t xml:space="preserve"> גרם נטו. (ד) במגירה בארון הבגדים, בשקית ניילון שחורה</w:t>
      </w:r>
      <w:r>
        <w:rPr>
          <w:rFonts w:ascii="Tahoma" w:hAnsi="Tahoma" w:hint="cs"/>
          <w:rtl/>
        </w:rPr>
        <w:t>,</w:t>
      </w:r>
      <w:r>
        <w:rPr>
          <w:rFonts w:ascii="Tahoma" w:hAnsi="Tahoma"/>
          <w:rtl/>
        </w:rPr>
        <w:t xml:space="preserve"> סמים מסוכנים מסוג </w:t>
      </w:r>
      <w:r>
        <w:rPr>
          <w:rFonts w:ascii="Tahoma" w:hAnsi="Tahoma"/>
          <w:b/>
          <w:bCs/>
          <w:rtl/>
        </w:rPr>
        <w:t>קוקאין</w:t>
      </w:r>
      <w:r>
        <w:rPr>
          <w:rFonts w:ascii="Tahoma" w:hAnsi="Tahoma"/>
          <w:rtl/>
        </w:rPr>
        <w:t xml:space="preserve"> במשקל של </w:t>
      </w:r>
      <w:r>
        <w:rPr>
          <w:rFonts w:ascii="Tahoma" w:hAnsi="Tahoma"/>
          <w:b/>
          <w:bCs/>
          <w:rtl/>
        </w:rPr>
        <w:t>0.0325</w:t>
      </w:r>
      <w:r>
        <w:rPr>
          <w:rFonts w:ascii="Tahoma" w:hAnsi="Tahoma"/>
          <w:rtl/>
        </w:rPr>
        <w:t xml:space="preserve"> גרם נטו. באותן נסיבות, החזיק הנאשם גם במארזי שקיות ניילון קטנות, עם סוגר מובנה למעלה, ובמשקל אלקטרוני. הנאשם הואשם, בתיק זה, בעבירה של החזקת סמים מסוכנים שלא לצריכה עצמית.</w:t>
      </w:r>
    </w:p>
    <w:p w14:paraId="5EC75D8C" w14:textId="77777777" w:rsidR="00DD154A" w:rsidRDefault="00DD154A" w:rsidP="00DD154A">
      <w:pPr>
        <w:pStyle w:val="a9"/>
        <w:spacing w:after="120" w:line="360" w:lineRule="auto"/>
        <w:jc w:val="both"/>
        <w:rPr>
          <w:rFonts w:ascii="Tahoma" w:hAnsi="Tahoma"/>
        </w:rPr>
      </w:pPr>
      <w:r>
        <w:rPr>
          <w:rFonts w:ascii="Tahoma" w:hAnsi="Tahoma"/>
          <w:rtl/>
        </w:rPr>
        <w:t xml:space="preserve">יוער, כי בעובדות כתב האישום המתוקן צוין כי במועד הנ"ל </w:t>
      </w:r>
      <w:r>
        <w:rPr>
          <w:rFonts w:ascii="Tahoma" w:hAnsi="Tahoma" w:hint="cs"/>
          <w:rtl/>
        </w:rPr>
        <w:t>(</w:t>
      </w:r>
      <w:r>
        <w:rPr>
          <w:rFonts w:ascii="Tahoma" w:hAnsi="Tahoma"/>
          <w:rtl/>
        </w:rPr>
        <w:t>הנקוב בו</w:t>
      </w:r>
      <w:r>
        <w:rPr>
          <w:rFonts w:ascii="Tahoma" w:hAnsi="Tahoma" w:hint="cs"/>
          <w:rtl/>
        </w:rPr>
        <w:t xml:space="preserve"> כאמור)</w:t>
      </w:r>
      <w:r>
        <w:rPr>
          <w:rFonts w:ascii="Tahoma" w:hAnsi="Tahoma"/>
          <w:rtl/>
        </w:rPr>
        <w:t xml:space="preserve"> נערך חיפוש בבית</w:t>
      </w:r>
      <w:r>
        <w:rPr>
          <w:rFonts w:ascii="Tahoma" w:hAnsi="Tahoma" w:hint="cs"/>
          <w:rtl/>
        </w:rPr>
        <w:t>ו</w:t>
      </w:r>
      <w:r>
        <w:rPr>
          <w:rFonts w:ascii="Tahoma" w:hAnsi="Tahoma"/>
          <w:rtl/>
        </w:rPr>
        <w:t xml:space="preserve"> של הנאשם; אך זאת על פי צו חיפוש שהוצא על שם </w:t>
      </w:r>
      <w:r>
        <w:rPr>
          <w:rFonts w:ascii="Tahoma" w:hAnsi="Tahoma" w:hint="cs"/>
          <w:rtl/>
        </w:rPr>
        <w:t xml:space="preserve">של </w:t>
      </w:r>
      <w:r>
        <w:rPr>
          <w:rFonts w:ascii="Tahoma" w:hAnsi="Tahoma"/>
          <w:rtl/>
        </w:rPr>
        <w:t>אדם אחר, הגם ש</w:t>
      </w:r>
      <w:r>
        <w:rPr>
          <w:rFonts w:ascii="Tahoma" w:hAnsi="Tahoma" w:hint="cs"/>
          <w:rtl/>
        </w:rPr>
        <w:t>ל</w:t>
      </w:r>
      <w:r>
        <w:rPr>
          <w:rFonts w:ascii="Tahoma" w:hAnsi="Tahoma"/>
          <w:rtl/>
        </w:rPr>
        <w:t>אותה כתובת.</w:t>
      </w:r>
    </w:p>
    <w:p w14:paraId="215C9CE0" w14:textId="77777777" w:rsidR="00DD154A" w:rsidRDefault="00DD154A" w:rsidP="00DD154A">
      <w:pPr>
        <w:numPr>
          <w:ilvl w:val="0"/>
          <w:numId w:val="2"/>
        </w:numPr>
        <w:spacing w:after="120" w:line="360" w:lineRule="auto"/>
        <w:ind w:left="360"/>
        <w:jc w:val="both"/>
        <w:rPr>
          <w:rFonts w:ascii="Tahoma" w:hAnsi="Tahoma"/>
        </w:rPr>
      </w:pPr>
      <w:r>
        <w:rPr>
          <w:rFonts w:ascii="Tahoma" w:hAnsi="Tahoma"/>
          <w:rtl/>
        </w:rPr>
        <w:t xml:space="preserve">הדיונים המקדמיים החלו לפני מותב קודם והועברו לפניי בשל שינוי סדרי העבודה בבית המשפט. הצדדים הגיעו </w:t>
      </w:r>
      <w:r>
        <w:rPr>
          <w:rFonts w:ascii="Tahoma" w:hAnsi="Tahoma" w:hint="cs"/>
          <w:rtl/>
        </w:rPr>
        <w:t xml:space="preserve">לפניי </w:t>
      </w:r>
      <w:r>
        <w:rPr>
          <w:rFonts w:ascii="Tahoma" w:hAnsi="Tahoma"/>
          <w:rtl/>
        </w:rPr>
        <w:t>להסדר טיעון</w:t>
      </w:r>
      <w:r>
        <w:rPr>
          <w:rFonts w:ascii="Tahoma" w:hAnsi="Tahoma" w:hint="cs"/>
          <w:rtl/>
        </w:rPr>
        <w:t>,</w:t>
      </w:r>
      <w:r>
        <w:rPr>
          <w:rFonts w:ascii="Tahoma" w:hAnsi="Tahoma"/>
          <w:rtl/>
        </w:rPr>
        <w:t xml:space="preserve"> שבמסגרתו תוקן כתב האישום המתוקן והנאשם ביקש לצרף את כתב האישום המתוקן בתיק המצורף. בשני כתבי האישום נערכו תיקונים הן ב</w:t>
      </w:r>
      <w:r>
        <w:rPr>
          <w:rFonts w:ascii="Tahoma" w:hAnsi="Tahoma" w:hint="cs"/>
          <w:rtl/>
        </w:rPr>
        <w:t>פרק ה</w:t>
      </w:r>
      <w:r>
        <w:rPr>
          <w:rFonts w:ascii="Tahoma" w:hAnsi="Tahoma"/>
          <w:rtl/>
        </w:rPr>
        <w:t>עובדות והן ב</w:t>
      </w:r>
      <w:r>
        <w:rPr>
          <w:rFonts w:ascii="Tahoma" w:hAnsi="Tahoma" w:hint="cs"/>
          <w:rtl/>
        </w:rPr>
        <w:t xml:space="preserve">פרק </w:t>
      </w:r>
      <w:r>
        <w:rPr>
          <w:rFonts w:ascii="Tahoma" w:hAnsi="Tahoma"/>
          <w:rtl/>
        </w:rPr>
        <w:t>הוראות החיקוק, ונוסחם כיום הוא כמפורט לעיל.</w:t>
      </w:r>
    </w:p>
    <w:p w14:paraId="78FB0F1E" w14:textId="77777777" w:rsidR="00DD154A" w:rsidRDefault="00DD154A" w:rsidP="00DD154A">
      <w:pPr>
        <w:numPr>
          <w:ilvl w:val="0"/>
          <w:numId w:val="2"/>
        </w:numPr>
        <w:spacing w:after="120" w:line="360" w:lineRule="auto"/>
        <w:ind w:left="360"/>
        <w:jc w:val="both"/>
        <w:rPr>
          <w:rFonts w:ascii="Tahoma" w:hAnsi="Tahoma"/>
        </w:rPr>
      </w:pPr>
      <w:r>
        <w:rPr>
          <w:rFonts w:ascii="Tahoma" w:hAnsi="Tahoma"/>
          <w:rtl/>
        </w:rPr>
        <w:t xml:space="preserve">הנאשם הודה בעובדות כתבי האישום המתוקנים והורשע, על יסוד הודאתו, בעבירות </w:t>
      </w:r>
      <w:r>
        <w:rPr>
          <w:rFonts w:ascii="Tahoma" w:hAnsi="Tahoma" w:hint="cs"/>
          <w:rtl/>
        </w:rPr>
        <w:t>ש</w:t>
      </w:r>
      <w:r>
        <w:rPr>
          <w:rFonts w:ascii="Tahoma" w:hAnsi="Tahoma"/>
          <w:rtl/>
        </w:rPr>
        <w:t>בהן הואשם כאמור בפסקה 1 דלעיל. הצדדים עתרו במשותף לקבלת תסקיר שירות המבחן והודיעו כי ישובו לשוחח לאחר קבלת התסקיר</w:t>
      </w:r>
      <w:r>
        <w:rPr>
          <w:rFonts w:ascii="Tahoma" w:hAnsi="Tahoma" w:hint="cs"/>
          <w:rtl/>
        </w:rPr>
        <w:t xml:space="preserve">. עם זאת, </w:t>
      </w:r>
      <w:r>
        <w:rPr>
          <w:rFonts w:ascii="Tahoma" w:hAnsi="Tahoma"/>
          <w:rtl/>
        </w:rPr>
        <w:t xml:space="preserve">המאשימה הבהירה כי עמדתה היא לענישה שתכלול מאסר </w:t>
      </w:r>
      <w:r>
        <w:rPr>
          <w:rFonts w:ascii="Tahoma" w:hAnsi="Tahoma" w:hint="cs"/>
          <w:rtl/>
        </w:rPr>
        <w:t xml:space="preserve">בפועל </w:t>
      </w:r>
      <w:r>
        <w:rPr>
          <w:rFonts w:ascii="Tahoma" w:hAnsi="Tahoma"/>
          <w:rtl/>
        </w:rPr>
        <w:t>מאחורי סורג ובריח (בפרוטוקול, עמ' 4).</w:t>
      </w:r>
    </w:p>
    <w:p w14:paraId="527FF89E" w14:textId="77777777" w:rsidR="00DD154A" w:rsidRDefault="00DD154A" w:rsidP="00DD154A">
      <w:pPr>
        <w:numPr>
          <w:ilvl w:val="0"/>
          <w:numId w:val="2"/>
        </w:numPr>
        <w:spacing w:after="120" w:line="360" w:lineRule="auto"/>
        <w:ind w:left="360"/>
        <w:jc w:val="both"/>
        <w:rPr>
          <w:rFonts w:ascii="Tahoma" w:hAnsi="Tahoma"/>
        </w:rPr>
      </w:pPr>
      <w:r>
        <w:rPr>
          <w:rFonts w:ascii="Tahoma" w:hAnsi="Tahoma"/>
          <w:rtl/>
        </w:rPr>
        <w:t xml:space="preserve">בית המשפט נעתר לבקשת הצדדים והורה על קבלת תסקיר שירות המבחן, אך הנאשם לא התייצב בשירות המבחן לשתי פגישות שנקבעו עמו (ר' בתסקיר מיום 25.10.2022). בדיון שנערך לאחר מכן טען הנאשם כי לא יכול היה להגיע לפגישות </w:t>
      </w:r>
      <w:r>
        <w:rPr>
          <w:rFonts w:ascii="Tahoma" w:hAnsi="Tahoma" w:hint="cs"/>
          <w:rtl/>
        </w:rPr>
        <w:t xml:space="preserve">שנקבעו </w:t>
      </w:r>
      <w:r>
        <w:rPr>
          <w:rFonts w:ascii="Tahoma" w:hAnsi="Tahoma"/>
          <w:rtl/>
        </w:rPr>
        <w:t xml:space="preserve">בשל נסיבות אישיות, והתחייב להתייצב </w:t>
      </w:r>
      <w:r>
        <w:rPr>
          <w:rFonts w:ascii="Tahoma" w:hAnsi="Tahoma" w:hint="cs"/>
          <w:rtl/>
        </w:rPr>
        <w:t>בשירות המבחן</w:t>
      </w:r>
      <w:r>
        <w:rPr>
          <w:rFonts w:ascii="Tahoma" w:hAnsi="Tahoma"/>
          <w:rtl/>
        </w:rPr>
        <w:t xml:space="preserve">, וניתנה לו הזדמנות נוספת </w:t>
      </w:r>
      <w:r>
        <w:rPr>
          <w:rFonts w:ascii="Tahoma" w:hAnsi="Tahoma" w:hint="cs"/>
          <w:rtl/>
        </w:rPr>
        <w:t xml:space="preserve">לעשות כן </w:t>
      </w:r>
      <w:r>
        <w:rPr>
          <w:rFonts w:ascii="Tahoma" w:hAnsi="Tahoma"/>
          <w:rtl/>
        </w:rPr>
        <w:t>(בפרוטוקול, עמ' 7).</w:t>
      </w:r>
    </w:p>
    <w:p w14:paraId="1271B605" w14:textId="77777777" w:rsidR="00DD154A" w:rsidRPr="00974875" w:rsidRDefault="00DD154A" w:rsidP="00DD154A">
      <w:pPr>
        <w:spacing w:after="120" w:line="360" w:lineRule="auto"/>
        <w:jc w:val="both"/>
      </w:pPr>
    </w:p>
    <w:p w14:paraId="2F609185" w14:textId="77777777" w:rsidR="00DD154A" w:rsidRDefault="00DD154A" w:rsidP="00DD154A">
      <w:pPr>
        <w:pStyle w:val="a9"/>
        <w:numPr>
          <w:ilvl w:val="0"/>
          <w:numId w:val="1"/>
        </w:numPr>
        <w:spacing w:after="120" w:line="360" w:lineRule="auto"/>
        <w:ind w:left="360"/>
        <w:jc w:val="both"/>
        <w:rPr>
          <w:rFonts w:ascii="Tahoma" w:hAnsi="Tahoma"/>
          <w:b/>
          <w:bCs/>
          <w:u w:val="single"/>
        </w:rPr>
      </w:pPr>
      <w:r>
        <w:rPr>
          <w:rFonts w:ascii="Tahoma" w:hAnsi="Tahoma"/>
          <w:b/>
          <w:bCs/>
          <w:u w:val="single"/>
          <w:rtl/>
        </w:rPr>
        <w:lastRenderedPageBreak/>
        <w:t>עיקר תסקירי שירות המבחן:</w:t>
      </w:r>
    </w:p>
    <w:p w14:paraId="26BB5B88" w14:textId="77777777" w:rsidR="00DD154A" w:rsidRDefault="00DD154A" w:rsidP="00DD154A">
      <w:pPr>
        <w:numPr>
          <w:ilvl w:val="0"/>
          <w:numId w:val="2"/>
        </w:numPr>
        <w:spacing w:after="120" w:line="360" w:lineRule="auto"/>
        <w:ind w:left="360"/>
        <w:jc w:val="both"/>
        <w:rPr>
          <w:rFonts w:ascii="Tahoma" w:hAnsi="Tahoma"/>
          <w:rtl/>
        </w:rPr>
      </w:pPr>
      <w:r>
        <w:rPr>
          <w:rFonts w:ascii="Tahoma" w:hAnsi="Tahoma"/>
          <w:rtl/>
        </w:rPr>
        <w:t xml:space="preserve">תסקיר שירות המבחן (מיום 18.02.2023) מפרט את נסיבותיו האישיות של הנאשם, יליד שנת 1996 (בן 27 שנים כיום), רווק המתגורר עם הוריו בנתניה ועובד כמוכר מזון מהיר בעסק שבבעלותו. הנאשם </w:t>
      </w:r>
      <w:r>
        <w:rPr>
          <w:rFonts w:ascii="Tahoma" w:hAnsi="Tahoma" w:hint="cs"/>
          <w:rtl/>
        </w:rPr>
        <w:t>תיא</w:t>
      </w:r>
      <w:r>
        <w:rPr>
          <w:rFonts w:ascii="Tahoma" w:hAnsi="Tahoma"/>
          <w:rtl/>
        </w:rPr>
        <w:t xml:space="preserve">ר כי סיים 11 שנות לימוד </w:t>
      </w:r>
      <w:r>
        <w:rPr>
          <w:rFonts w:ascii="Tahoma" w:hAnsi="Tahoma" w:hint="cs"/>
          <w:rtl/>
        </w:rPr>
        <w:t>ש</w:t>
      </w:r>
      <w:r>
        <w:rPr>
          <w:rFonts w:ascii="Tahoma" w:hAnsi="Tahoma"/>
          <w:rtl/>
        </w:rPr>
        <w:t>במסגרת</w:t>
      </w:r>
      <w:r>
        <w:rPr>
          <w:rFonts w:ascii="Tahoma" w:hAnsi="Tahoma" w:hint="cs"/>
          <w:rtl/>
        </w:rPr>
        <w:t>ן</w:t>
      </w:r>
      <w:r>
        <w:rPr>
          <w:rFonts w:ascii="Tahoma" w:hAnsi="Tahoma"/>
          <w:rtl/>
        </w:rPr>
        <w:t xml:space="preserve"> השלים הכשרה ב</w:t>
      </w:r>
      <w:r>
        <w:rPr>
          <w:rFonts w:ascii="Tahoma" w:hAnsi="Tahoma" w:hint="cs"/>
          <w:rtl/>
        </w:rPr>
        <w:t>מקצוע ה</w:t>
      </w:r>
      <w:r>
        <w:rPr>
          <w:rFonts w:ascii="Tahoma" w:hAnsi="Tahoma"/>
          <w:rtl/>
        </w:rPr>
        <w:t xml:space="preserve">קונדיטוריה.  ואולם, </w:t>
      </w:r>
      <w:r>
        <w:rPr>
          <w:rFonts w:ascii="Tahoma" w:hAnsi="Tahoma" w:hint="cs"/>
          <w:rtl/>
        </w:rPr>
        <w:t xml:space="preserve">כך </w:t>
      </w:r>
      <w:r>
        <w:rPr>
          <w:rFonts w:ascii="Tahoma" w:hAnsi="Tahoma"/>
          <w:rtl/>
        </w:rPr>
        <w:t xml:space="preserve">לדבריו, לאחר שהפסיק את לימודיו </w:t>
      </w:r>
      <w:r>
        <w:rPr>
          <w:rFonts w:ascii="Tahoma" w:hAnsi="Tahoma" w:hint="cs"/>
          <w:rtl/>
        </w:rPr>
        <w:t xml:space="preserve">הוא </w:t>
      </w:r>
      <w:r>
        <w:rPr>
          <w:rFonts w:ascii="Tahoma" w:hAnsi="Tahoma"/>
          <w:rtl/>
        </w:rPr>
        <w:t xml:space="preserve">החל להתרועע עם חברה שולית, </w:t>
      </w:r>
      <w:r>
        <w:rPr>
          <w:rFonts w:ascii="Tahoma" w:hAnsi="Tahoma" w:hint="cs"/>
          <w:rtl/>
        </w:rPr>
        <w:t xml:space="preserve">וכן </w:t>
      </w:r>
      <w:r>
        <w:rPr>
          <w:rFonts w:ascii="Tahoma" w:hAnsi="Tahoma"/>
          <w:rtl/>
        </w:rPr>
        <w:t>להשתמש בסמים ולבצע עבירות</w:t>
      </w:r>
      <w:r>
        <w:rPr>
          <w:rFonts w:ascii="Tahoma" w:hAnsi="Tahoma" w:hint="cs"/>
          <w:rtl/>
        </w:rPr>
        <w:t>, ובשל כך גם לא גויס</w:t>
      </w:r>
      <w:r>
        <w:rPr>
          <w:rFonts w:ascii="Tahoma" w:hAnsi="Tahoma"/>
          <w:rtl/>
        </w:rPr>
        <w:t xml:space="preserve"> לצבא. </w:t>
      </w:r>
      <w:r>
        <w:rPr>
          <w:rFonts w:ascii="Tahoma" w:hAnsi="Tahoma" w:hint="cs"/>
          <w:rtl/>
        </w:rPr>
        <w:t xml:space="preserve">עוד צוין כי </w:t>
      </w:r>
      <w:r>
        <w:rPr>
          <w:rFonts w:ascii="Tahoma" w:hAnsi="Tahoma"/>
          <w:rtl/>
        </w:rPr>
        <w:t>אביו של הנאשם מתמודד עם מצב רפואי מורכב ומתקיים מקצבת נכות</w:t>
      </w:r>
      <w:r>
        <w:rPr>
          <w:rFonts w:ascii="Tahoma" w:hAnsi="Tahoma" w:hint="cs"/>
          <w:rtl/>
        </w:rPr>
        <w:t>;</w:t>
      </w:r>
      <w:r>
        <w:rPr>
          <w:rFonts w:ascii="Tahoma" w:hAnsi="Tahoma"/>
          <w:rtl/>
        </w:rPr>
        <w:t xml:space="preserve"> והנאשם מסייע להוריו בהיבט הכלכלי.</w:t>
      </w:r>
    </w:p>
    <w:p w14:paraId="7CB33D6E" w14:textId="77777777" w:rsidR="00DD154A" w:rsidRDefault="00DD154A" w:rsidP="00DD154A">
      <w:pPr>
        <w:numPr>
          <w:ilvl w:val="0"/>
          <w:numId w:val="2"/>
        </w:numPr>
        <w:spacing w:after="120" w:line="360" w:lineRule="auto"/>
        <w:ind w:left="360"/>
        <w:jc w:val="both"/>
        <w:rPr>
          <w:rFonts w:ascii="Tahoma" w:hAnsi="Tahoma"/>
        </w:rPr>
      </w:pPr>
      <w:r>
        <w:rPr>
          <w:rFonts w:ascii="Tahoma" w:hAnsi="Tahoma"/>
          <w:rtl/>
        </w:rPr>
        <w:t xml:space="preserve">בהתייחסותו לעבירות דנא נטל הנאשם אחריות על ביצוען, הגם שטען כי מדובר בסמים שיועדו לשימושו העצמי בלבד. הנאשם סיפר כי באותה העת התרועע </w:t>
      </w:r>
      <w:r>
        <w:rPr>
          <w:rFonts w:ascii="Tahoma" w:hAnsi="Tahoma" w:hint="cs"/>
          <w:rtl/>
        </w:rPr>
        <w:t>ב</w:t>
      </w:r>
      <w:r>
        <w:rPr>
          <w:rFonts w:ascii="Tahoma" w:hAnsi="Tahoma"/>
          <w:rtl/>
        </w:rPr>
        <w:t>חברה שולית וצרך סמים באופן אינטנסיבי, שעל כן החזיק ברשותו כמות נכבדה של סמים. בשיחה עם שירות המבחן ביטא הנאשם הבנה לחומרת מצבו באותה העת ולמשמעות הנהיגה תחת השפעת סמים</w:t>
      </w:r>
      <w:r>
        <w:rPr>
          <w:rFonts w:ascii="Tahoma" w:hAnsi="Tahoma" w:hint="cs"/>
          <w:rtl/>
        </w:rPr>
        <w:t xml:space="preserve">. ואולם, הנאשם הוסיף וסיפר </w:t>
      </w:r>
      <w:r>
        <w:rPr>
          <w:rFonts w:ascii="Tahoma" w:hAnsi="Tahoma"/>
          <w:rtl/>
        </w:rPr>
        <w:t xml:space="preserve">כי מזה כשנתיים הפסיק את השימוש בסמים מסוכנים, בשל ההשלכות על מצבו הרפואי והתפקודי, </w:t>
      </w:r>
      <w:r>
        <w:rPr>
          <w:rFonts w:ascii="Tahoma" w:hAnsi="Tahoma" w:hint="cs"/>
          <w:rtl/>
        </w:rPr>
        <w:t xml:space="preserve">ואף </w:t>
      </w:r>
      <w:r>
        <w:rPr>
          <w:rFonts w:ascii="Tahoma" w:hAnsi="Tahoma"/>
          <w:rtl/>
        </w:rPr>
        <w:t>ניתק את קשריו השוליים ו</w:t>
      </w:r>
      <w:r>
        <w:rPr>
          <w:rFonts w:ascii="Tahoma" w:hAnsi="Tahoma" w:hint="cs"/>
          <w:rtl/>
        </w:rPr>
        <w:t>ה</w:t>
      </w:r>
      <w:r>
        <w:rPr>
          <w:rFonts w:ascii="Tahoma" w:hAnsi="Tahoma"/>
          <w:rtl/>
        </w:rPr>
        <w:t>שקיע מאמצים בניהול אורח חיים נורמטיבי. הנאשם זומן לשבע בדיקות שתן, לאיתור שרידי סמים, והתייצב לחמש מהן אשר אכן נמצאו ללא שרידי סמים.</w:t>
      </w:r>
    </w:p>
    <w:p w14:paraId="03489AAD" w14:textId="77777777" w:rsidR="00DD154A" w:rsidRDefault="00DD154A" w:rsidP="00DD154A">
      <w:pPr>
        <w:numPr>
          <w:ilvl w:val="0"/>
          <w:numId w:val="2"/>
        </w:numPr>
        <w:spacing w:after="120" w:line="360" w:lineRule="auto"/>
        <w:ind w:left="360"/>
        <w:jc w:val="both"/>
        <w:rPr>
          <w:rFonts w:ascii="Tahoma" w:hAnsi="Tahoma"/>
        </w:rPr>
      </w:pPr>
      <w:r>
        <w:rPr>
          <w:rFonts w:ascii="Tahoma" w:hAnsi="Tahoma"/>
          <w:rtl/>
        </w:rPr>
        <w:t xml:space="preserve">שירות המבחן התרשם כי הנאשם </w:t>
      </w:r>
      <w:r>
        <w:rPr>
          <w:rFonts w:ascii="Tahoma" w:hAnsi="Tahoma" w:hint="cs"/>
          <w:rtl/>
        </w:rPr>
        <w:t xml:space="preserve">אמנם </w:t>
      </w:r>
      <w:r>
        <w:rPr>
          <w:rFonts w:ascii="Tahoma" w:hAnsi="Tahoma"/>
          <w:rtl/>
        </w:rPr>
        <w:t>משקיע מאמצים בשמירה על תפקוד משפחתי ותעסוקתי תקין, אם כי נדרש ל</w:t>
      </w:r>
      <w:r>
        <w:rPr>
          <w:rFonts w:ascii="Tahoma" w:hAnsi="Tahoma" w:hint="cs"/>
          <w:rtl/>
        </w:rPr>
        <w:t xml:space="preserve">ו </w:t>
      </w:r>
      <w:r>
        <w:rPr>
          <w:rFonts w:ascii="Tahoma" w:hAnsi="Tahoma"/>
          <w:rtl/>
        </w:rPr>
        <w:t xml:space="preserve">טיפול בתחום ההתמכרויות נוכח השימוש הממושך שעשה </w:t>
      </w:r>
      <w:r>
        <w:rPr>
          <w:rFonts w:ascii="Tahoma" w:hAnsi="Tahoma" w:hint="cs"/>
          <w:rtl/>
        </w:rPr>
        <w:t xml:space="preserve">בעברו </w:t>
      </w:r>
      <w:r>
        <w:rPr>
          <w:rFonts w:ascii="Tahoma" w:hAnsi="Tahoma"/>
          <w:rtl/>
        </w:rPr>
        <w:t>בסמים</w:t>
      </w:r>
      <w:r>
        <w:rPr>
          <w:rFonts w:ascii="Tahoma" w:hAnsi="Tahoma" w:hint="cs"/>
          <w:rtl/>
        </w:rPr>
        <w:t xml:space="preserve"> מסוכנים</w:t>
      </w:r>
      <w:r>
        <w:rPr>
          <w:rFonts w:ascii="Tahoma" w:hAnsi="Tahoma"/>
          <w:rtl/>
        </w:rPr>
        <w:t>. תחילה שלל הנאשם את הצורך בטיפול כאמור אך בהמשך הופנה</w:t>
      </w:r>
      <w:r>
        <w:rPr>
          <w:rFonts w:ascii="Tahoma" w:hAnsi="Tahoma" w:hint="cs"/>
          <w:rtl/>
        </w:rPr>
        <w:t>,</w:t>
      </w:r>
      <w:r>
        <w:rPr>
          <w:rFonts w:ascii="Tahoma" w:hAnsi="Tahoma"/>
          <w:rtl/>
        </w:rPr>
        <w:t xml:space="preserve"> בהסכמתו</w:t>
      </w:r>
      <w:r>
        <w:rPr>
          <w:rFonts w:ascii="Tahoma" w:hAnsi="Tahoma" w:hint="cs"/>
          <w:rtl/>
        </w:rPr>
        <w:t>,</w:t>
      </w:r>
      <w:r>
        <w:rPr>
          <w:rFonts w:ascii="Tahoma" w:hAnsi="Tahoma"/>
          <w:rtl/>
        </w:rPr>
        <w:t xml:space="preserve"> ל"בית חוסן" בעיר מגוריו לריאיון התאמה. בנסיבות אלה – ועל רקע התרשמות שירות המבחן מנזקקות טיפולית של הנאשם – המליץ שירות המבחן לדחות את הדיון על מנת לאפשר את שילוב הנאשם בהליכים הטיפוליים הנדרשים</w:t>
      </w:r>
      <w:r>
        <w:rPr>
          <w:rFonts w:ascii="Tahoma" w:hAnsi="Tahoma" w:hint="cs"/>
          <w:rtl/>
        </w:rPr>
        <w:t xml:space="preserve"> לו</w:t>
      </w:r>
      <w:r>
        <w:rPr>
          <w:rFonts w:ascii="Tahoma" w:hAnsi="Tahoma"/>
          <w:rtl/>
        </w:rPr>
        <w:t>.</w:t>
      </w:r>
    </w:p>
    <w:p w14:paraId="1362A01D" w14:textId="77777777" w:rsidR="00DD154A" w:rsidRDefault="00DD154A" w:rsidP="00DD154A">
      <w:pPr>
        <w:numPr>
          <w:ilvl w:val="0"/>
          <w:numId w:val="2"/>
        </w:numPr>
        <w:spacing w:after="120" w:line="360" w:lineRule="auto"/>
        <w:ind w:left="360"/>
        <w:jc w:val="both"/>
        <w:rPr>
          <w:rFonts w:ascii="Tahoma" w:hAnsi="Tahoma"/>
        </w:rPr>
      </w:pPr>
      <w:r>
        <w:rPr>
          <w:rFonts w:ascii="Tahoma" w:hAnsi="Tahoma"/>
          <w:rtl/>
        </w:rPr>
        <w:t>בדיון שנערך לאחר קבלת התסקיר הנ"ל נעתר בית המשפט להמלצה והורה על עריכת תסקיר משלים (בפרוטוקול, עמ' 8). יוער, כי משלב זה התעוררו קשיים ביחסים שבין הנאשם לבין בא-כוחו</w:t>
      </w:r>
      <w:r>
        <w:rPr>
          <w:rFonts w:ascii="Tahoma" w:hAnsi="Tahoma" w:hint="cs"/>
          <w:rtl/>
        </w:rPr>
        <w:t xml:space="preserve">. </w:t>
      </w:r>
      <w:r>
        <w:rPr>
          <w:rFonts w:ascii="Tahoma" w:hAnsi="Tahoma"/>
          <w:rtl/>
        </w:rPr>
        <w:t>הסניגור אף ביקש להתפטר מן הייצוג (ר' בבקשה מס' 13)</w:t>
      </w:r>
      <w:r>
        <w:rPr>
          <w:rFonts w:ascii="Tahoma" w:hAnsi="Tahoma" w:hint="cs"/>
          <w:rtl/>
        </w:rPr>
        <w:t>,</w:t>
      </w:r>
      <w:r>
        <w:rPr>
          <w:rFonts w:ascii="Tahoma" w:hAnsi="Tahoma"/>
          <w:rtl/>
        </w:rPr>
        <w:t xml:space="preserve"> הגם שבסופו של יום ולאחר החלטות שניתנו המשיך הסניגור בייצוג, גם ב</w:t>
      </w:r>
      <w:r>
        <w:rPr>
          <w:rFonts w:ascii="Tahoma" w:hAnsi="Tahoma" w:hint="cs"/>
          <w:rtl/>
        </w:rPr>
        <w:t>מסגרת ה</w:t>
      </w:r>
      <w:r>
        <w:rPr>
          <w:rFonts w:ascii="Tahoma" w:hAnsi="Tahoma"/>
          <w:rtl/>
        </w:rPr>
        <w:t>טיעונים לעונש (ר' דברי הסניגור בפרוטוקול, עמ' 10).</w:t>
      </w:r>
    </w:p>
    <w:p w14:paraId="49A53408" w14:textId="77777777" w:rsidR="00DD154A" w:rsidRPr="009F231E" w:rsidRDefault="00DD154A" w:rsidP="00DD154A">
      <w:pPr>
        <w:numPr>
          <w:ilvl w:val="0"/>
          <w:numId w:val="2"/>
        </w:numPr>
        <w:spacing w:after="120" w:line="360" w:lineRule="auto"/>
        <w:ind w:left="360"/>
        <w:jc w:val="both"/>
        <w:rPr>
          <w:rFonts w:ascii="Tahoma" w:hAnsi="Tahoma"/>
        </w:rPr>
      </w:pPr>
      <w:r w:rsidRPr="009F231E">
        <w:rPr>
          <w:rFonts w:ascii="Tahoma" w:hAnsi="Tahoma"/>
          <w:rtl/>
        </w:rPr>
        <w:t>מכל מקום, מהתסקיר המשלים (מיום 23.05.2023) עלה כי הנאשם ניתק קשר עם שירות המבחן –</w:t>
      </w:r>
      <w:r w:rsidRPr="009F231E">
        <w:rPr>
          <w:rFonts w:ascii="Tahoma" w:hAnsi="Tahoma" w:hint="cs"/>
          <w:rtl/>
        </w:rPr>
        <w:t xml:space="preserve"> </w:t>
      </w:r>
      <w:r w:rsidRPr="009F231E">
        <w:rPr>
          <w:rFonts w:ascii="Tahoma" w:hAnsi="Tahoma"/>
          <w:rtl/>
        </w:rPr>
        <w:t>שכן בין לבין הוגש נגדו כתב אישום בבית משפט השלום בנתניה</w:t>
      </w:r>
      <w:r>
        <w:rPr>
          <w:rFonts w:ascii="Tahoma" w:hAnsi="Tahoma" w:hint="cs"/>
          <w:rtl/>
        </w:rPr>
        <w:t xml:space="preserve"> במסגרת תיק אלימות והוא נעצר</w:t>
      </w:r>
      <w:r w:rsidRPr="009F231E">
        <w:rPr>
          <w:rFonts w:ascii="Tahoma" w:hAnsi="Tahoma"/>
          <w:rtl/>
        </w:rPr>
        <w:t>. בתסקיר צוין כי הנאש</w:t>
      </w:r>
      <w:r>
        <w:rPr>
          <w:rFonts w:ascii="Tahoma" w:hAnsi="Tahoma"/>
          <w:rtl/>
        </w:rPr>
        <w:t>ם הופנה לשירות המבחן במסגרת הלי</w:t>
      </w:r>
      <w:r>
        <w:rPr>
          <w:rFonts w:ascii="Tahoma" w:hAnsi="Tahoma" w:hint="cs"/>
          <w:rtl/>
        </w:rPr>
        <w:t>כי</w:t>
      </w:r>
      <w:r w:rsidRPr="009F231E">
        <w:rPr>
          <w:rFonts w:ascii="Tahoma" w:hAnsi="Tahoma"/>
          <w:rtl/>
        </w:rPr>
        <w:t xml:space="preserve"> המעצר, אך בשל התרשמות אודות הסלמה בהתנהגותו העבריינית לא המליץ השירות על </w:t>
      </w:r>
      <w:r>
        <w:rPr>
          <w:rFonts w:ascii="Tahoma" w:hAnsi="Tahoma" w:hint="cs"/>
          <w:rtl/>
        </w:rPr>
        <w:t>שחרור ל</w:t>
      </w:r>
      <w:r w:rsidRPr="009F231E">
        <w:rPr>
          <w:rFonts w:ascii="Tahoma" w:hAnsi="Tahoma"/>
          <w:rtl/>
        </w:rPr>
        <w:t>חלופת מעצר</w:t>
      </w:r>
      <w:r>
        <w:rPr>
          <w:rFonts w:ascii="Tahoma" w:hAnsi="Tahoma" w:hint="cs"/>
          <w:rtl/>
        </w:rPr>
        <w:t xml:space="preserve">; </w:t>
      </w:r>
      <w:r w:rsidRPr="009F231E">
        <w:rPr>
          <w:rFonts w:ascii="Tahoma" w:hAnsi="Tahoma"/>
          <w:rtl/>
        </w:rPr>
        <w:t xml:space="preserve">והנאשם </w:t>
      </w:r>
      <w:r>
        <w:rPr>
          <w:rFonts w:ascii="Tahoma" w:hAnsi="Tahoma" w:hint="cs"/>
          <w:rtl/>
        </w:rPr>
        <w:t xml:space="preserve">אף </w:t>
      </w:r>
      <w:r w:rsidRPr="009F231E">
        <w:rPr>
          <w:rFonts w:ascii="Tahoma" w:hAnsi="Tahoma"/>
          <w:rtl/>
        </w:rPr>
        <w:t>נעצר עד לתום ההליכים המשפטיים נגדו.</w:t>
      </w:r>
    </w:p>
    <w:p w14:paraId="61C9E9ED" w14:textId="77777777" w:rsidR="00DD154A" w:rsidRDefault="00DD154A" w:rsidP="00DD154A">
      <w:pPr>
        <w:numPr>
          <w:ilvl w:val="0"/>
          <w:numId w:val="2"/>
        </w:numPr>
        <w:spacing w:after="120" w:line="360" w:lineRule="auto"/>
        <w:ind w:left="360"/>
        <w:jc w:val="both"/>
        <w:rPr>
          <w:rFonts w:ascii="Tahoma" w:hAnsi="Tahoma"/>
        </w:rPr>
      </w:pPr>
      <w:r>
        <w:rPr>
          <w:rFonts w:ascii="Tahoma" w:hAnsi="Tahoma"/>
          <w:rtl/>
        </w:rPr>
        <w:t xml:space="preserve">שירות המבחן בחן אפוא שוב את גורמי הסיכוי והסיכון בעניינו של הנאשם. בין גורמי הסיכוי צוינו התרשמות השירות מיכולת ראשונית של הנאשם להתייחס לדפוסיו האלימים ומקיומה של מערכת משפחתית אשר מתנגדת להתנהגות עוברת חוק. מנגד, בין גורמי הסיכון צוינו הקושי של הנאשם לשתף פעולה עם גורמי השירות וכן העובדה כי סנקציות עונשיות שהושתו </w:t>
      </w:r>
      <w:r>
        <w:rPr>
          <w:rFonts w:ascii="Tahoma" w:hAnsi="Tahoma" w:hint="cs"/>
          <w:rtl/>
        </w:rPr>
        <w:t xml:space="preserve">על הנאשם בעבר </w:t>
      </w:r>
      <w:r>
        <w:rPr>
          <w:rFonts w:ascii="Tahoma" w:hAnsi="Tahoma"/>
          <w:rtl/>
        </w:rPr>
        <w:t xml:space="preserve">לא היוו גורם הרתעה או אמצעי ממתן, כאשר קיימת דווקא הסלמה משמעותית בהתנהגותו העבריינית. בנסיבות אלה לא היה </w:t>
      </w:r>
      <w:r>
        <w:rPr>
          <w:rFonts w:ascii="Tahoma" w:hAnsi="Tahoma" w:hint="cs"/>
          <w:rtl/>
        </w:rPr>
        <w:t xml:space="preserve">אפוא </w:t>
      </w:r>
      <w:r>
        <w:rPr>
          <w:rFonts w:ascii="Tahoma" w:hAnsi="Tahoma"/>
          <w:rtl/>
        </w:rPr>
        <w:t>בידי שירות המבחן לבוא בהמלצה שיקומית-טיפולית בעניינו של הנאשם.</w:t>
      </w:r>
    </w:p>
    <w:p w14:paraId="1A200CD4" w14:textId="77777777" w:rsidR="00DD154A" w:rsidRDefault="00DD154A" w:rsidP="00DD154A">
      <w:pPr>
        <w:spacing w:after="120" w:line="360" w:lineRule="auto"/>
        <w:jc w:val="both"/>
        <w:rPr>
          <w:rFonts w:ascii="Tahoma" w:hAnsi="Tahoma"/>
        </w:rPr>
      </w:pPr>
    </w:p>
    <w:p w14:paraId="5A98F1C9" w14:textId="77777777" w:rsidR="00DD154A" w:rsidRDefault="00DD154A" w:rsidP="00DD154A">
      <w:pPr>
        <w:pStyle w:val="a9"/>
        <w:numPr>
          <w:ilvl w:val="0"/>
          <w:numId w:val="1"/>
        </w:numPr>
        <w:spacing w:after="120" w:line="360" w:lineRule="auto"/>
        <w:ind w:left="360"/>
        <w:jc w:val="both"/>
        <w:rPr>
          <w:rFonts w:ascii="Tahoma" w:hAnsi="Tahoma"/>
          <w:b/>
          <w:bCs/>
          <w:u w:val="single"/>
        </w:rPr>
      </w:pPr>
      <w:r>
        <w:rPr>
          <w:rFonts w:ascii="Tahoma" w:hAnsi="Tahoma"/>
          <w:b/>
          <w:bCs/>
          <w:u w:val="single"/>
          <w:rtl/>
        </w:rPr>
        <w:t>עיקר הראיות והטיעונים לקביעת העונש:</w:t>
      </w:r>
    </w:p>
    <w:p w14:paraId="3880A4E1" w14:textId="77777777" w:rsidR="00DD154A" w:rsidRDefault="00DD154A" w:rsidP="00DD154A">
      <w:pPr>
        <w:numPr>
          <w:ilvl w:val="0"/>
          <w:numId w:val="2"/>
        </w:numPr>
        <w:spacing w:after="120" w:line="360" w:lineRule="auto"/>
        <w:ind w:left="360"/>
        <w:jc w:val="both"/>
        <w:rPr>
          <w:rFonts w:ascii="Tahoma" w:hAnsi="Tahoma"/>
        </w:rPr>
      </w:pPr>
      <w:r>
        <w:rPr>
          <w:rFonts w:ascii="Tahoma" w:hAnsi="Tahoma"/>
          <w:rtl/>
        </w:rPr>
        <w:t>ב"כ המאשימה הגישה, כראי</w:t>
      </w:r>
      <w:r>
        <w:rPr>
          <w:rFonts w:ascii="Tahoma" w:hAnsi="Tahoma" w:hint="cs"/>
          <w:rtl/>
        </w:rPr>
        <w:t>ות</w:t>
      </w:r>
      <w:r>
        <w:rPr>
          <w:rFonts w:ascii="Tahoma" w:hAnsi="Tahoma"/>
          <w:rtl/>
        </w:rPr>
        <w:t xml:space="preserve"> לקביעת העונש, את תדפיסי המידע הפלילי והתעבורתי של הנאשם (סומנו ע/1 וע/2, בהתאמה). כעולה מתדפיס המידע הפלילי, לנאשם – כאמור יליד שנת 1996, בן 27 שנים כיום – שתי הרשעות קודמות: האחת, בגין עבירות אלימות, משנת 2014 (מבית המשפט לנוער), והשנייה משנת 2020, בגין החזקת סכין שלא כדין. כעולה מתדפיס המידע ה</w:t>
      </w:r>
      <w:r>
        <w:rPr>
          <w:rFonts w:ascii="Tahoma" w:hAnsi="Tahoma" w:hint="cs"/>
          <w:rtl/>
        </w:rPr>
        <w:t>פלילי-</w:t>
      </w:r>
      <w:r>
        <w:rPr>
          <w:rFonts w:ascii="Tahoma" w:hAnsi="Tahoma"/>
          <w:rtl/>
        </w:rPr>
        <w:t>תעבורתי, לנאשם – שהוציא רישיון נהיגה בשנת 2014 – ארבעה רישומים קודמים</w:t>
      </w:r>
      <w:r>
        <w:rPr>
          <w:rFonts w:ascii="Tahoma" w:hAnsi="Tahoma" w:hint="cs"/>
          <w:rtl/>
        </w:rPr>
        <w:t>,</w:t>
      </w:r>
      <w:r>
        <w:rPr>
          <w:rFonts w:ascii="Tahoma" w:hAnsi="Tahoma"/>
          <w:rtl/>
        </w:rPr>
        <w:t xml:space="preserve"> שלושה מהם בגין פקיעת רישיון רכב.</w:t>
      </w:r>
    </w:p>
    <w:p w14:paraId="3A42250E" w14:textId="77777777" w:rsidR="00DD154A" w:rsidRPr="009F231E" w:rsidRDefault="00DD154A" w:rsidP="00DD154A">
      <w:pPr>
        <w:numPr>
          <w:ilvl w:val="0"/>
          <w:numId w:val="2"/>
        </w:numPr>
        <w:spacing w:after="120" w:line="360" w:lineRule="auto"/>
        <w:ind w:left="360"/>
        <w:jc w:val="both"/>
        <w:rPr>
          <w:rFonts w:ascii="Tahoma" w:hAnsi="Tahoma"/>
        </w:rPr>
      </w:pPr>
      <w:r w:rsidRPr="009F231E">
        <w:rPr>
          <w:rFonts w:ascii="Tahoma" w:hAnsi="Tahoma"/>
          <w:rtl/>
        </w:rPr>
        <w:t xml:space="preserve">בטיעוניה </w:t>
      </w:r>
      <w:r w:rsidRPr="009F231E">
        <w:rPr>
          <w:rFonts w:ascii="Tahoma" w:hAnsi="Tahoma" w:hint="cs"/>
          <w:rtl/>
        </w:rPr>
        <w:t xml:space="preserve">לעונש </w:t>
      </w:r>
      <w:r w:rsidRPr="009F231E">
        <w:rPr>
          <w:rFonts w:ascii="Tahoma" w:hAnsi="Tahoma"/>
          <w:rtl/>
        </w:rPr>
        <w:t xml:space="preserve">עמדה ב"כ המאשימה על עובדות שני כתבי האישום המתוקנים (בתיק העיקרי ובתיק המצורף), שבהן הודה הנאשם. בתיק העיקרי דובר </w:t>
      </w:r>
      <w:r w:rsidRPr="009F231E">
        <w:rPr>
          <w:rFonts w:ascii="Tahoma" w:hAnsi="Tahoma" w:hint="cs"/>
          <w:rtl/>
        </w:rPr>
        <w:t xml:space="preserve">כאמור </w:t>
      </w:r>
      <w:r w:rsidRPr="009F231E">
        <w:rPr>
          <w:rFonts w:ascii="Tahoma" w:hAnsi="Tahoma"/>
          <w:rtl/>
        </w:rPr>
        <w:t>בהחזקת</w:t>
      </w:r>
      <w:r>
        <w:rPr>
          <w:rFonts w:ascii="Tahoma" w:hAnsi="Tahoma"/>
          <w:rtl/>
        </w:rPr>
        <w:t xml:space="preserve"> </w:t>
      </w:r>
      <w:r w:rsidRPr="009F231E">
        <w:rPr>
          <w:rFonts w:ascii="Tahoma" w:hAnsi="Tahoma"/>
          <w:rtl/>
        </w:rPr>
        <w:t xml:space="preserve">סמים ברכב, כשהם מחולקים, </w:t>
      </w:r>
      <w:r w:rsidRPr="009F231E">
        <w:rPr>
          <w:rFonts w:ascii="Tahoma" w:hAnsi="Tahoma" w:hint="cs"/>
          <w:rtl/>
        </w:rPr>
        <w:t xml:space="preserve">כאשר </w:t>
      </w:r>
      <w:r w:rsidRPr="009F231E">
        <w:rPr>
          <w:rFonts w:ascii="Tahoma" w:hAnsi="Tahoma"/>
          <w:rtl/>
        </w:rPr>
        <w:t xml:space="preserve">בנוסף להחזקת </w:t>
      </w:r>
      <w:r w:rsidRPr="009F231E">
        <w:rPr>
          <w:rFonts w:ascii="Tahoma" w:hAnsi="Tahoma" w:hint="cs"/>
          <w:rtl/>
        </w:rPr>
        <w:t>ה</w:t>
      </w:r>
      <w:r w:rsidRPr="009F231E">
        <w:rPr>
          <w:rFonts w:ascii="Tahoma" w:hAnsi="Tahoma"/>
          <w:rtl/>
        </w:rPr>
        <w:t>סמים מסוג קנבוס החזיק הנאשם גם בסמים מסוכנים מסוג קוקאין. ואם לא די בכך, בדמו של הנאשם –</w:t>
      </w:r>
      <w:r w:rsidRPr="009F231E">
        <w:rPr>
          <w:rFonts w:ascii="Tahoma" w:hAnsi="Tahoma" w:hint="cs"/>
          <w:rtl/>
        </w:rPr>
        <w:t xml:space="preserve"> שנהג ברכב </w:t>
      </w:r>
      <w:r w:rsidRPr="009F231E">
        <w:rPr>
          <w:rFonts w:ascii="Tahoma" w:hAnsi="Tahoma"/>
          <w:rtl/>
        </w:rPr>
        <w:t>–</w:t>
      </w:r>
      <w:r w:rsidRPr="009F231E">
        <w:rPr>
          <w:rFonts w:ascii="Tahoma" w:hAnsi="Tahoma" w:hint="cs"/>
          <w:rtl/>
        </w:rPr>
        <w:t xml:space="preserve"> </w:t>
      </w:r>
      <w:r w:rsidRPr="009F231E">
        <w:rPr>
          <w:rFonts w:ascii="Tahoma" w:hAnsi="Tahoma"/>
          <w:rtl/>
        </w:rPr>
        <w:t>נמצאו שרידי תוצרי חילוף של קוקאין</w:t>
      </w:r>
      <w:r w:rsidRPr="009F231E">
        <w:rPr>
          <w:rFonts w:ascii="Tahoma" w:hAnsi="Tahoma" w:hint="cs"/>
          <w:rtl/>
        </w:rPr>
        <w:t xml:space="preserve">, </w:t>
      </w:r>
      <w:r>
        <w:rPr>
          <w:rFonts w:ascii="Tahoma" w:hAnsi="Tahoma" w:hint="cs"/>
          <w:rtl/>
        </w:rPr>
        <w:t>על כל המשתמע מכך</w:t>
      </w:r>
      <w:r>
        <w:rPr>
          <w:rFonts w:ascii="Tahoma" w:hAnsi="Tahoma"/>
          <w:rtl/>
        </w:rPr>
        <w:t xml:space="preserve">. בתיק המצורף שוב </w:t>
      </w:r>
      <w:r w:rsidRPr="009F231E">
        <w:rPr>
          <w:rFonts w:ascii="Tahoma" w:hAnsi="Tahoma"/>
          <w:rtl/>
        </w:rPr>
        <w:t>דובר בהחזקת סמים מסוכנים מסוג קנבוס ומסוג קוקאין, כשהם מחולקים</w:t>
      </w:r>
      <w:r>
        <w:rPr>
          <w:rFonts w:ascii="Tahoma" w:hAnsi="Tahoma" w:hint="cs"/>
          <w:rtl/>
        </w:rPr>
        <w:t>; כאשר כמות הקוקאין גדולה מבתיק העיקרי.</w:t>
      </w:r>
    </w:p>
    <w:p w14:paraId="16945158" w14:textId="77777777" w:rsidR="00DD154A" w:rsidRDefault="00DD154A" w:rsidP="00DD154A">
      <w:pPr>
        <w:numPr>
          <w:ilvl w:val="0"/>
          <w:numId w:val="2"/>
        </w:numPr>
        <w:spacing w:after="120" w:line="360" w:lineRule="auto"/>
        <w:ind w:left="360"/>
        <w:jc w:val="both"/>
        <w:rPr>
          <w:rFonts w:ascii="Tahoma" w:hAnsi="Tahoma"/>
        </w:rPr>
      </w:pPr>
      <w:r>
        <w:rPr>
          <w:rFonts w:ascii="Tahoma" w:hAnsi="Tahoma"/>
          <w:rtl/>
        </w:rPr>
        <w:t xml:space="preserve">על רקע </w:t>
      </w:r>
      <w:r>
        <w:rPr>
          <w:rFonts w:ascii="Tahoma" w:hAnsi="Tahoma" w:hint="cs"/>
          <w:rtl/>
        </w:rPr>
        <w:t xml:space="preserve">כל אלה </w:t>
      </w:r>
      <w:r>
        <w:rPr>
          <w:rFonts w:ascii="Tahoma" w:hAnsi="Tahoma"/>
          <w:rtl/>
        </w:rPr>
        <w:t>טענה ב"כ המאשימה כי מדובר בתיקי החזק</w:t>
      </w:r>
      <w:r>
        <w:rPr>
          <w:rFonts w:ascii="Tahoma" w:hAnsi="Tahoma" w:hint="cs"/>
          <w:rtl/>
        </w:rPr>
        <w:t xml:space="preserve">ת סמים </w:t>
      </w:r>
      <w:r>
        <w:rPr>
          <w:rFonts w:ascii="Tahoma" w:hAnsi="Tahoma"/>
          <w:rtl/>
        </w:rPr>
        <w:t xml:space="preserve">חמורים, שכן נסיבותיהם מלמדות על כוונת-סחר של נאשם </w:t>
      </w:r>
      <w:r>
        <w:rPr>
          <w:rFonts w:ascii="Tahoma" w:hAnsi="Tahoma" w:hint="cs"/>
          <w:rtl/>
        </w:rPr>
        <w:t xml:space="preserve">אשר </w:t>
      </w:r>
      <w:r>
        <w:rPr>
          <w:rFonts w:ascii="Tahoma" w:hAnsi="Tahoma"/>
          <w:rtl/>
        </w:rPr>
        <w:t xml:space="preserve">מצוי עמוק בעולם הסמים. הנאשם החזיק בסמים </w:t>
      </w:r>
      <w:r>
        <w:rPr>
          <w:rFonts w:ascii="Tahoma" w:hAnsi="Tahoma" w:hint="cs"/>
          <w:rtl/>
        </w:rPr>
        <w:t>ה</w:t>
      </w:r>
      <w:r>
        <w:rPr>
          <w:rFonts w:ascii="Tahoma" w:hAnsi="Tahoma"/>
          <w:rtl/>
        </w:rPr>
        <w:t xml:space="preserve">מסוכנים במקומות שונים ואף נהג ברכב תחת השפעת סמים. בנסיבות אלה, מעבר לפגיעה בערכים החברתיים הנגרמת כתולדה מביצוע עבירות סמים – כמו גם הצורך במיגור נגע הסמים – מדובר גם בפגיעה בערך החברתי של </w:t>
      </w:r>
      <w:r>
        <w:rPr>
          <w:rFonts w:ascii="Tahoma" w:hAnsi="Tahoma" w:hint="cs"/>
          <w:rtl/>
        </w:rPr>
        <w:t>ה</w:t>
      </w:r>
      <w:r>
        <w:rPr>
          <w:rFonts w:ascii="Tahoma" w:hAnsi="Tahoma"/>
          <w:rtl/>
        </w:rPr>
        <w:t xml:space="preserve">הגנה על שלומם ועל ביטחונם של </w:t>
      </w:r>
      <w:r>
        <w:rPr>
          <w:rFonts w:ascii="Tahoma" w:hAnsi="Tahoma" w:hint="cs"/>
          <w:rtl/>
        </w:rPr>
        <w:t>ה</w:t>
      </w:r>
      <w:r>
        <w:rPr>
          <w:rFonts w:ascii="Tahoma" w:hAnsi="Tahoma"/>
          <w:rtl/>
        </w:rPr>
        <w:t>משתמשי</w:t>
      </w:r>
      <w:r>
        <w:rPr>
          <w:rFonts w:ascii="Tahoma" w:hAnsi="Tahoma" w:hint="cs"/>
          <w:rtl/>
        </w:rPr>
        <w:t>ם ב</w:t>
      </w:r>
      <w:r>
        <w:rPr>
          <w:rFonts w:ascii="Tahoma" w:hAnsi="Tahoma"/>
          <w:rtl/>
        </w:rPr>
        <w:t>דרך.</w:t>
      </w:r>
    </w:p>
    <w:p w14:paraId="53016CD7" w14:textId="77777777" w:rsidR="00DD154A" w:rsidRDefault="00DD154A" w:rsidP="00DD154A">
      <w:pPr>
        <w:numPr>
          <w:ilvl w:val="0"/>
          <w:numId w:val="2"/>
        </w:numPr>
        <w:spacing w:after="120" w:line="360" w:lineRule="auto"/>
        <w:ind w:left="360"/>
        <w:jc w:val="both"/>
        <w:rPr>
          <w:rFonts w:ascii="Tahoma" w:hAnsi="Tahoma"/>
        </w:rPr>
      </w:pPr>
      <w:r>
        <w:rPr>
          <w:rFonts w:ascii="Tahoma" w:hAnsi="Tahoma"/>
          <w:rtl/>
        </w:rPr>
        <w:t>אשר למדיניות הענישה הנהוגה הפנתה ב"כ המאשימה לפסיקה</w:t>
      </w:r>
      <w:r>
        <w:rPr>
          <w:rFonts w:ascii="Tahoma" w:hAnsi="Tahoma" w:hint="cs"/>
          <w:rtl/>
        </w:rPr>
        <w:t xml:space="preserve">. </w:t>
      </w:r>
      <w:r>
        <w:rPr>
          <w:rFonts w:ascii="Tahoma" w:hAnsi="Tahoma"/>
          <w:rtl/>
        </w:rPr>
        <w:t xml:space="preserve">בין השאר </w:t>
      </w:r>
      <w:r>
        <w:rPr>
          <w:rFonts w:ascii="Tahoma" w:hAnsi="Tahoma" w:hint="cs"/>
          <w:rtl/>
        </w:rPr>
        <w:t xml:space="preserve">הפנתה התובעת </w:t>
      </w:r>
      <w:r>
        <w:rPr>
          <w:rFonts w:ascii="Tahoma" w:hAnsi="Tahoma"/>
          <w:rtl/>
        </w:rPr>
        <w:t>ל</w:t>
      </w:r>
      <w:hyperlink r:id="rId30" w:history="1">
        <w:r w:rsidR="00C94607" w:rsidRPr="00C94607">
          <w:rPr>
            <w:rFonts w:ascii="Tahoma" w:hAnsi="Tahoma"/>
            <w:color w:val="0000FF"/>
            <w:u w:val="single"/>
            <w:rtl/>
          </w:rPr>
          <w:t>רע"פ 126/15</w:t>
        </w:r>
      </w:hyperlink>
      <w:r>
        <w:rPr>
          <w:rFonts w:ascii="Tahoma" w:hAnsi="Tahoma"/>
          <w:rtl/>
        </w:rPr>
        <w:t xml:space="preserve"> </w:t>
      </w:r>
      <w:r>
        <w:rPr>
          <w:rFonts w:ascii="Tahoma" w:hAnsi="Tahoma"/>
          <w:b/>
          <w:bCs/>
          <w:rtl/>
        </w:rPr>
        <w:t>חביף נ' מדינת ישראל</w:t>
      </w:r>
      <w:r>
        <w:rPr>
          <w:rFonts w:ascii="Tahoma" w:hAnsi="Tahoma"/>
          <w:rtl/>
        </w:rPr>
        <w:t xml:space="preserve"> (13.01.2015), שם נקבע מתחם עונש הולם שבין 6 חודשי מאסר בפועל לבין 12 חודשי מאסר בפועל לעבירה של החזקת סמים מסוג קוקאין, שלא לצריכה עצמית, בכמויות קטנות יחסית; הגם שיש להעיר כי שם דובר גם בעבירות של סחר. עוד הפנתה ב"כ </w:t>
      </w:r>
      <w:r>
        <w:rPr>
          <w:rFonts w:ascii="Tahoma" w:hAnsi="Tahoma" w:hint="cs"/>
          <w:rtl/>
        </w:rPr>
        <w:t xml:space="preserve">המאשימה </w:t>
      </w:r>
      <w:r>
        <w:rPr>
          <w:rFonts w:ascii="Tahoma" w:hAnsi="Tahoma"/>
          <w:rtl/>
        </w:rPr>
        <w:t>ל</w:t>
      </w:r>
      <w:hyperlink r:id="rId31" w:history="1">
        <w:r w:rsidR="00C94607" w:rsidRPr="00C94607">
          <w:rPr>
            <w:rFonts w:ascii="Tahoma" w:hAnsi="Tahoma"/>
            <w:color w:val="0000FF"/>
            <w:u w:val="single"/>
            <w:rtl/>
          </w:rPr>
          <w:t>רע"פ 1473/18</w:t>
        </w:r>
      </w:hyperlink>
      <w:r>
        <w:rPr>
          <w:rFonts w:ascii="Tahoma" w:hAnsi="Tahoma"/>
          <w:rtl/>
        </w:rPr>
        <w:t xml:space="preserve"> </w:t>
      </w:r>
      <w:r>
        <w:rPr>
          <w:rFonts w:ascii="Tahoma" w:hAnsi="Tahoma"/>
          <w:b/>
          <w:bCs/>
          <w:rtl/>
        </w:rPr>
        <w:t>אוחיון נ' מדינת ישראל</w:t>
      </w:r>
      <w:r>
        <w:rPr>
          <w:rFonts w:ascii="Tahoma" w:hAnsi="Tahoma"/>
          <w:rtl/>
        </w:rPr>
        <w:t xml:space="preserve"> (22.04.2018), שם נקבע (בערעור שנדון בבית המשפט המחוזי) מתחם דומה, ו</w:t>
      </w:r>
      <w:r>
        <w:rPr>
          <w:rFonts w:ascii="Tahoma" w:hAnsi="Tahoma" w:hint="cs"/>
          <w:rtl/>
        </w:rPr>
        <w:t xml:space="preserve">כן </w:t>
      </w:r>
      <w:r>
        <w:rPr>
          <w:rFonts w:ascii="Tahoma" w:hAnsi="Tahoma"/>
          <w:rtl/>
        </w:rPr>
        <w:t>ל</w:t>
      </w:r>
      <w:hyperlink r:id="rId32" w:history="1">
        <w:r w:rsidR="00C94607" w:rsidRPr="00C94607">
          <w:rPr>
            <w:rFonts w:ascii="Tahoma" w:hAnsi="Tahoma"/>
            <w:color w:val="0000FF"/>
            <w:u w:val="single"/>
            <w:rtl/>
          </w:rPr>
          <w:t>רע"פ 8510/22</w:t>
        </w:r>
      </w:hyperlink>
      <w:r w:rsidR="00C94607">
        <w:rPr>
          <w:rFonts w:ascii="Tahoma" w:hAnsi="Tahoma"/>
          <w:rtl/>
        </w:rPr>
        <w:t xml:space="preserve"> </w:t>
      </w:r>
      <w:r>
        <w:rPr>
          <w:rFonts w:ascii="Tahoma" w:hAnsi="Tahoma"/>
          <w:b/>
          <w:bCs/>
          <w:rtl/>
        </w:rPr>
        <w:t>דיאב נ' מדינת ישראל</w:t>
      </w:r>
      <w:r w:rsidR="00C94607">
        <w:rPr>
          <w:rFonts w:ascii="Tahoma" w:hAnsi="Tahoma"/>
          <w:rtl/>
        </w:rPr>
        <w:t xml:space="preserve"> </w:t>
      </w:r>
      <w:r>
        <w:rPr>
          <w:rFonts w:ascii="Tahoma" w:hAnsi="Tahoma"/>
          <w:rtl/>
        </w:rPr>
        <w:t>(26.12.2022). במקרה אחרון זה דובר בהחזקת סמים מסוכנים מסוג קוקאין</w:t>
      </w:r>
      <w:r>
        <w:rPr>
          <w:rFonts w:ascii="Tahoma" w:hAnsi="Tahoma" w:hint="cs"/>
          <w:rtl/>
        </w:rPr>
        <w:t>,</w:t>
      </w:r>
      <w:r>
        <w:rPr>
          <w:rFonts w:ascii="Tahoma" w:hAnsi="Tahoma"/>
          <w:rtl/>
        </w:rPr>
        <w:t xml:space="preserve"> ברכב, במשקל של כחמישה גרם</w:t>
      </w:r>
      <w:r>
        <w:rPr>
          <w:rFonts w:ascii="Tahoma" w:hAnsi="Tahoma" w:hint="cs"/>
          <w:rtl/>
        </w:rPr>
        <w:t xml:space="preserve">, </w:t>
      </w:r>
      <w:r>
        <w:rPr>
          <w:rFonts w:ascii="Tahoma" w:hAnsi="Tahoma"/>
          <w:rtl/>
        </w:rPr>
        <w:t xml:space="preserve">כשהם מחולקים. בית משפט השלום קבע מתחם עונש הולם </w:t>
      </w:r>
      <w:r>
        <w:rPr>
          <w:rFonts w:ascii="Tahoma" w:hAnsi="Tahoma" w:hint="cs"/>
          <w:rtl/>
        </w:rPr>
        <w:t>ש</w:t>
      </w:r>
      <w:r>
        <w:rPr>
          <w:rFonts w:ascii="Tahoma" w:hAnsi="Tahoma"/>
          <w:rtl/>
        </w:rPr>
        <w:t xml:space="preserve">בין מספר חודשי מאסר בפועל, לנשיאה בדרך של עבודות שירות, לבין 18 חודשי מאסר בפועל. השגות המבקש </w:t>
      </w:r>
      <w:r>
        <w:rPr>
          <w:rFonts w:ascii="Tahoma" w:hAnsi="Tahoma" w:hint="cs"/>
          <w:rtl/>
        </w:rPr>
        <w:t xml:space="preserve">על גזר הדין </w:t>
      </w:r>
      <w:r>
        <w:rPr>
          <w:rFonts w:ascii="Tahoma" w:hAnsi="Tahoma"/>
          <w:rtl/>
        </w:rPr>
        <w:t>נדחו הן בבית המשפט המחוזי והן בבית המשפט העליון.</w:t>
      </w:r>
    </w:p>
    <w:p w14:paraId="78B96611" w14:textId="77777777" w:rsidR="00DD154A" w:rsidRDefault="00DD154A" w:rsidP="00DD154A">
      <w:pPr>
        <w:numPr>
          <w:ilvl w:val="0"/>
          <w:numId w:val="2"/>
        </w:numPr>
        <w:spacing w:after="120" w:line="360" w:lineRule="auto"/>
        <w:ind w:left="360"/>
        <w:jc w:val="both"/>
        <w:rPr>
          <w:rFonts w:ascii="Tahoma" w:hAnsi="Tahoma"/>
        </w:rPr>
      </w:pPr>
      <w:r>
        <w:rPr>
          <w:rFonts w:ascii="Tahoma" w:hAnsi="Tahoma"/>
          <w:rtl/>
        </w:rPr>
        <w:t>על רקע כל אלה עתרה ב"כ המאשימה לקביעת מתחמי עונש הולמים כלהלן: בתיק העיקרי – בין שישה חודשי מאסר בפועל, לנשיאה בדרך של עבודות שירות, לבין 12 חודשי מאסר בפועל; בתיק המצורף – בין 8 חודשי מאסר</w:t>
      </w:r>
      <w:r>
        <w:rPr>
          <w:rFonts w:ascii="Tahoma" w:hAnsi="Tahoma" w:hint="cs"/>
          <w:rtl/>
        </w:rPr>
        <w:t xml:space="preserve">, לנשיאה </w:t>
      </w:r>
      <w:r>
        <w:rPr>
          <w:rFonts w:ascii="Tahoma" w:hAnsi="Tahoma"/>
          <w:rtl/>
        </w:rPr>
        <w:t>בדרך של עבודות שירות</w:t>
      </w:r>
      <w:r>
        <w:rPr>
          <w:rFonts w:ascii="Tahoma" w:hAnsi="Tahoma" w:hint="cs"/>
          <w:rtl/>
        </w:rPr>
        <w:t>,</w:t>
      </w:r>
      <w:r>
        <w:rPr>
          <w:rFonts w:ascii="Tahoma" w:hAnsi="Tahoma"/>
          <w:rtl/>
        </w:rPr>
        <w:t xml:space="preserve"> לבין 18 חודשי מאסר בפועל.</w:t>
      </w:r>
    </w:p>
    <w:p w14:paraId="7B8DA4F1" w14:textId="77777777" w:rsidR="00DD154A" w:rsidRDefault="00DD154A" w:rsidP="00DD154A">
      <w:pPr>
        <w:numPr>
          <w:ilvl w:val="0"/>
          <w:numId w:val="2"/>
        </w:numPr>
        <w:spacing w:after="120" w:line="360" w:lineRule="auto"/>
        <w:ind w:left="360"/>
        <w:jc w:val="both"/>
        <w:rPr>
          <w:rFonts w:ascii="Tahoma" w:hAnsi="Tahoma"/>
        </w:rPr>
      </w:pPr>
      <w:r>
        <w:rPr>
          <w:rFonts w:ascii="Tahoma" w:hAnsi="Tahoma"/>
          <w:rtl/>
        </w:rPr>
        <w:t>אשר לגזירת עונשו של הנאשם בתוך מתחמי העונש ההולמים עמדה ב"כ המאשימה על ההיבטים השליליים העולים מתסקירי שירות המבחן, ו</w:t>
      </w:r>
      <w:r>
        <w:rPr>
          <w:rFonts w:ascii="Tahoma" w:hAnsi="Tahoma" w:hint="cs"/>
          <w:rtl/>
        </w:rPr>
        <w:t xml:space="preserve">הדגישה </w:t>
      </w:r>
      <w:r>
        <w:rPr>
          <w:rFonts w:ascii="Tahoma" w:hAnsi="Tahoma"/>
          <w:rtl/>
        </w:rPr>
        <w:t xml:space="preserve">במיוחד </w:t>
      </w:r>
      <w:r>
        <w:rPr>
          <w:rFonts w:ascii="Tahoma" w:hAnsi="Tahoma" w:hint="cs"/>
          <w:rtl/>
        </w:rPr>
        <w:t>את ה</w:t>
      </w:r>
      <w:r>
        <w:rPr>
          <w:rFonts w:ascii="Tahoma" w:hAnsi="Tahoma"/>
          <w:rtl/>
        </w:rPr>
        <w:t xml:space="preserve">הסלמה בהתנהגותו העבריינית של הנאשם, שכאמור אגב ניהול התיקים שלפניי נעצר עד תום ההליכים בתיק </w:t>
      </w:r>
      <w:r>
        <w:rPr>
          <w:rFonts w:ascii="Tahoma" w:hAnsi="Tahoma" w:hint="cs"/>
          <w:rtl/>
        </w:rPr>
        <w:t xml:space="preserve">חמור </w:t>
      </w:r>
      <w:r>
        <w:rPr>
          <w:rFonts w:ascii="Tahoma" w:hAnsi="Tahoma"/>
          <w:rtl/>
        </w:rPr>
        <w:t>אחר. עוד עמדה ב"כ המאשימה על הרשעותיו הקודמות של הנאשם, גם בתחום התעבורתי, וטענה כי הגם שמדובר בנאשם ללא ותק נהיגה משמעותי, הוא צבר לחובתו ארבע הרשעות תעבורה קודמות.</w:t>
      </w:r>
    </w:p>
    <w:p w14:paraId="03FD9AAE" w14:textId="77777777" w:rsidR="00DD154A" w:rsidRDefault="00DD154A" w:rsidP="00DD154A">
      <w:pPr>
        <w:numPr>
          <w:ilvl w:val="0"/>
          <w:numId w:val="2"/>
        </w:numPr>
        <w:spacing w:after="120" w:line="360" w:lineRule="auto"/>
        <w:ind w:left="360"/>
        <w:jc w:val="both"/>
        <w:rPr>
          <w:rFonts w:ascii="Tahoma" w:hAnsi="Tahoma"/>
        </w:rPr>
      </w:pPr>
      <w:r>
        <w:rPr>
          <w:rFonts w:ascii="Tahoma" w:hAnsi="Tahoma"/>
          <w:rtl/>
        </w:rPr>
        <w:t>במכלול נסיבות אלה עתרה ב"כ המאשימה לגזירת עונשו של הנאשם באמצעם של המתחמים להם טענ</w:t>
      </w:r>
      <w:r>
        <w:rPr>
          <w:rFonts w:ascii="Tahoma" w:hAnsi="Tahoma" w:hint="cs"/>
          <w:rtl/>
        </w:rPr>
        <w:t>ה,</w:t>
      </w:r>
      <w:r>
        <w:rPr>
          <w:rFonts w:ascii="Tahoma" w:hAnsi="Tahoma"/>
          <w:rtl/>
        </w:rPr>
        <w:t xml:space="preserve"> וכן </w:t>
      </w:r>
      <w:r>
        <w:rPr>
          <w:rFonts w:ascii="Tahoma" w:hAnsi="Tahoma" w:hint="cs"/>
          <w:rtl/>
        </w:rPr>
        <w:t xml:space="preserve">להשתת </w:t>
      </w:r>
      <w:r>
        <w:rPr>
          <w:rFonts w:ascii="Tahoma" w:hAnsi="Tahoma"/>
          <w:rtl/>
        </w:rPr>
        <w:t xml:space="preserve">ענישה נוספת שתכלול מאסר מותנה, פסילה בפועל שלא תפחת מ-18 חודשים, פסילה מותנית, קנס כספי וחילוט הכסף המזומן בסך של 2,850 ₪, </w:t>
      </w:r>
      <w:r>
        <w:rPr>
          <w:rFonts w:ascii="Tahoma" w:hAnsi="Tahoma" w:hint="cs"/>
          <w:rtl/>
        </w:rPr>
        <w:t>בהתאם ל</w:t>
      </w:r>
      <w:r>
        <w:rPr>
          <w:rFonts w:ascii="Tahoma" w:hAnsi="Tahoma"/>
          <w:rtl/>
        </w:rPr>
        <w:t xml:space="preserve">הודעה שבסיפא לכתב האישום המתוקן, תוך הכרזה על הנאשם כ"סוחר סמים". ב"כ המאשימה הוסיפה וטענה כי החילוט </w:t>
      </w:r>
      <w:r>
        <w:rPr>
          <w:rFonts w:ascii="Tahoma" w:hAnsi="Tahoma" w:hint="cs"/>
          <w:rtl/>
        </w:rPr>
        <w:t xml:space="preserve">המבוקש הנ"ל </w:t>
      </w:r>
      <w:r>
        <w:rPr>
          <w:rFonts w:ascii="Tahoma" w:hAnsi="Tahoma"/>
          <w:rtl/>
        </w:rPr>
        <w:t xml:space="preserve">הוא </w:t>
      </w:r>
      <w:r>
        <w:rPr>
          <w:rFonts w:ascii="Tahoma" w:hAnsi="Tahoma" w:hint="cs"/>
          <w:rtl/>
        </w:rPr>
        <w:t xml:space="preserve">חילוט </w:t>
      </w:r>
      <w:r>
        <w:rPr>
          <w:rFonts w:ascii="Tahoma" w:hAnsi="Tahoma"/>
          <w:rtl/>
        </w:rPr>
        <w:t xml:space="preserve">מוסכם, במסגרת הסכמות הצדדים </w:t>
      </w:r>
      <w:r>
        <w:rPr>
          <w:rFonts w:ascii="Tahoma" w:hAnsi="Tahoma" w:hint="cs"/>
          <w:rtl/>
        </w:rPr>
        <w:t>ש</w:t>
      </w:r>
      <w:r>
        <w:rPr>
          <w:rFonts w:ascii="Tahoma" w:hAnsi="Tahoma"/>
          <w:rtl/>
        </w:rPr>
        <w:t>בהסדר הטיעון (בפרוטוקול, עמ' 12 שורה 23 ואילך).</w:t>
      </w:r>
    </w:p>
    <w:p w14:paraId="3323B2B2" w14:textId="77777777" w:rsidR="00DD154A" w:rsidRPr="00B94DAF" w:rsidRDefault="00DD154A" w:rsidP="00DD154A">
      <w:pPr>
        <w:numPr>
          <w:ilvl w:val="0"/>
          <w:numId w:val="2"/>
        </w:numPr>
        <w:spacing w:after="120" w:line="360" w:lineRule="auto"/>
        <w:ind w:left="360"/>
        <w:jc w:val="both"/>
        <w:rPr>
          <w:rFonts w:ascii="Tahoma" w:hAnsi="Tahoma"/>
        </w:rPr>
      </w:pPr>
      <w:r w:rsidRPr="00B94DAF">
        <w:rPr>
          <w:rFonts w:ascii="Tahoma" w:hAnsi="Tahoma"/>
          <w:rtl/>
        </w:rPr>
        <w:t xml:space="preserve">ב"כ הנאשם, מצידו, מתח ביקורת על העתירה לחילוט והדגיש כי הסכמות לעניין חילוט לא </w:t>
      </w:r>
      <w:r w:rsidRPr="00B94DAF">
        <w:rPr>
          <w:rFonts w:ascii="Tahoma" w:hAnsi="Tahoma" w:hint="cs"/>
          <w:rtl/>
        </w:rPr>
        <w:t xml:space="preserve">צוינו ולא </w:t>
      </w:r>
      <w:r w:rsidRPr="00B94DAF">
        <w:rPr>
          <w:rFonts w:ascii="Tahoma" w:hAnsi="Tahoma"/>
          <w:rtl/>
        </w:rPr>
        <w:t xml:space="preserve">הוצגו במסגרת </w:t>
      </w:r>
      <w:r w:rsidRPr="00B94DAF">
        <w:rPr>
          <w:rFonts w:ascii="Tahoma" w:hAnsi="Tahoma" w:hint="cs"/>
          <w:rtl/>
        </w:rPr>
        <w:t xml:space="preserve">פרוטוקול </w:t>
      </w:r>
      <w:r w:rsidRPr="00B94DAF">
        <w:rPr>
          <w:rFonts w:ascii="Tahoma" w:hAnsi="Tahoma"/>
          <w:rtl/>
        </w:rPr>
        <w:t>הסדר הטיעון</w:t>
      </w:r>
      <w:r w:rsidRPr="00B94DAF">
        <w:rPr>
          <w:rFonts w:ascii="Tahoma" w:hAnsi="Tahoma" w:hint="cs"/>
          <w:rtl/>
        </w:rPr>
        <w:t>;</w:t>
      </w:r>
      <w:r w:rsidRPr="00B94DAF">
        <w:rPr>
          <w:rFonts w:ascii="Tahoma" w:hAnsi="Tahoma"/>
          <w:rtl/>
        </w:rPr>
        <w:t xml:space="preserve"> כאשר מכל מקום המאשימה לא הוכיחה את התנאים שנדרשים לצורך מתן הוראה על חילוט או הכרזה על הנאשם כעל סוחר סמים. עוד הדגיש הסניגור כי התובעת הפנתה לפסיקה שחלקה ישנה –</w:t>
      </w:r>
      <w:r w:rsidRPr="00B94DAF">
        <w:rPr>
          <w:rFonts w:ascii="Tahoma" w:hAnsi="Tahoma" w:hint="cs"/>
          <w:rtl/>
        </w:rPr>
        <w:t xml:space="preserve"> </w:t>
      </w:r>
      <w:r w:rsidRPr="00B94DAF">
        <w:rPr>
          <w:rFonts w:ascii="Tahoma" w:hAnsi="Tahoma"/>
          <w:rtl/>
        </w:rPr>
        <w:t>מלפני התיקונים החקיקתיים בכל הנוגע להחזקת סמים מסוג קנבוס</w:t>
      </w:r>
      <w:r w:rsidRPr="00B94DAF">
        <w:rPr>
          <w:rFonts w:ascii="Tahoma" w:hAnsi="Tahoma" w:hint="cs"/>
          <w:rtl/>
        </w:rPr>
        <w:t xml:space="preserve"> </w:t>
      </w:r>
      <w:r w:rsidRPr="00B94DAF">
        <w:rPr>
          <w:rFonts w:ascii="Tahoma" w:hAnsi="Tahoma"/>
          <w:rtl/>
        </w:rPr>
        <w:t>–</w:t>
      </w:r>
      <w:r w:rsidRPr="00B94DAF">
        <w:rPr>
          <w:rFonts w:ascii="Tahoma" w:hAnsi="Tahoma" w:hint="cs"/>
          <w:rtl/>
        </w:rPr>
        <w:t xml:space="preserve"> </w:t>
      </w:r>
      <w:r w:rsidRPr="00B94DAF">
        <w:rPr>
          <w:rFonts w:ascii="Tahoma" w:hAnsi="Tahoma"/>
          <w:rtl/>
        </w:rPr>
        <w:t>ו</w:t>
      </w:r>
      <w:r w:rsidRPr="00B94DAF">
        <w:rPr>
          <w:rFonts w:ascii="Tahoma" w:hAnsi="Tahoma" w:hint="cs"/>
          <w:rtl/>
        </w:rPr>
        <w:t xml:space="preserve">ביקש </w:t>
      </w:r>
      <w:r w:rsidRPr="00B94DAF">
        <w:rPr>
          <w:rFonts w:ascii="Tahoma" w:hAnsi="Tahoma"/>
          <w:rtl/>
        </w:rPr>
        <w:t>ליתן לכך משקל.</w:t>
      </w:r>
    </w:p>
    <w:p w14:paraId="7B8B13F4" w14:textId="77777777" w:rsidR="00DD154A" w:rsidRDefault="00DD154A" w:rsidP="00DD154A">
      <w:pPr>
        <w:numPr>
          <w:ilvl w:val="0"/>
          <w:numId w:val="2"/>
        </w:numPr>
        <w:spacing w:after="120" w:line="360" w:lineRule="auto"/>
        <w:ind w:left="360"/>
        <w:jc w:val="both"/>
        <w:rPr>
          <w:rFonts w:ascii="Tahoma" w:hAnsi="Tahoma"/>
        </w:rPr>
      </w:pPr>
      <w:r>
        <w:rPr>
          <w:rFonts w:ascii="Tahoma" w:hAnsi="Tahoma"/>
          <w:rtl/>
        </w:rPr>
        <w:t>לגופו של עניין הדגיש ב"כ הנאשם את התיקונים המהותיים שנערכו בכתבי האישום</w:t>
      </w:r>
      <w:r>
        <w:rPr>
          <w:rFonts w:ascii="Tahoma" w:hAnsi="Tahoma" w:hint="cs"/>
          <w:rtl/>
        </w:rPr>
        <w:t xml:space="preserve"> בשני התיקים</w:t>
      </w:r>
      <w:r>
        <w:rPr>
          <w:rFonts w:ascii="Tahoma" w:hAnsi="Tahoma"/>
          <w:rtl/>
        </w:rPr>
        <w:t xml:space="preserve">, על רקע קשיים ראייתיים. ב"כ הנאשם הוסיף </w:t>
      </w:r>
      <w:r>
        <w:rPr>
          <w:rFonts w:ascii="Tahoma" w:hAnsi="Tahoma" w:hint="cs"/>
          <w:rtl/>
        </w:rPr>
        <w:t>וטען,</w:t>
      </w:r>
      <w:r>
        <w:rPr>
          <w:rFonts w:ascii="Tahoma" w:hAnsi="Tahoma"/>
          <w:rtl/>
        </w:rPr>
        <w:t xml:space="preserve"> מבלי להקל ראש, </w:t>
      </w:r>
      <w:r>
        <w:rPr>
          <w:rFonts w:ascii="Tahoma" w:hAnsi="Tahoma" w:hint="cs"/>
          <w:rtl/>
        </w:rPr>
        <w:t xml:space="preserve">כי </w:t>
      </w:r>
      <w:r>
        <w:rPr>
          <w:rFonts w:ascii="Tahoma" w:hAnsi="Tahoma"/>
          <w:rtl/>
        </w:rPr>
        <w:t xml:space="preserve">מדובר בכמויות סמים מדודות. בתיק העיקרי נערך גם תיקון משמעותי לעניין הנהיגה, כאשר העבירה המקורית – שלצידה עונש פסילה לתקופה מינימלית של שנתיים ימים – הומרה בעבירה </w:t>
      </w:r>
      <w:r>
        <w:rPr>
          <w:rFonts w:ascii="Tahoma" w:hAnsi="Tahoma" w:hint="cs"/>
          <w:rtl/>
        </w:rPr>
        <w:t xml:space="preserve">שענישתה </w:t>
      </w:r>
      <w:r>
        <w:rPr>
          <w:rFonts w:ascii="Tahoma" w:hAnsi="Tahoma"/>
          <w:rtl/>
        </w:rPr>
        <w:t xml:space="preserve">קלה </w:t>
      </w:r>
      <w:r>
        <w:rPr>
          <w:rFonts w:ascii="Tahoma" w:hAnsi="Tahoma" w:hint="cs"/>
          <w:rtl/>
        </w:rPr>
        <w:t>בהרבה</w:t>
      </w:r>
      <w:r>
        <w:rPr>
          <w:rFonts w:ascii="Tahoma" w:hAnsi="Tahoma"/>
          <w:rtl/>
        </w:rPr>
        <w:t>. בתיק המ</w:t>
      </w:r>
      <w:r>
        <w:rPr>
          <w:rFonts w:ascii="Tahoma" w:hAnsi="Tahoma" w:hint="cs"/>
          <w:rtl/>
        </w:rPr>
        <w:t xml:space="preserve">צורף </w:t>
      </w:r>
      <w:r>
        <w:rPr>
          <w:rFonts w:ascii="Tahoma" w:hAnsi="Tahoma"/>
          <w:rtl/>
        </w:rPr>
        <w:t xml:space="preserve">נערך גם תיקון לעניין נסיבות החיפוש, </w:t>
      </w:r>
      <w:r>
        <w:rPr>
          <w:rFonts w:ascii="Tahoma" w:hAnsi="Tahoma" w:hint="cs"/>
          <w:rtl/>
        </w:rPr>
        <w:t xml:space="preserve">שכן </w:t>
      </w:r>
      <w:r>
        <w:rPr>
          <w:rFonts w:ascii="Tahoma" w:hAnsi="Tahoma"/>
          <w:rtl/>
        </w:rPr>
        <w:t xml:space="preserve">המשטרה כלל לא היתה מודעת לכך שהנאשם מתגורר במקום, עובדה שנחשפה </w:t>
      </w:r>
      <w:r>
        <w:rPr>
          <w:rFonts w:ascii="Tahoma" w:hAnsi="Tahoma" w:hint="cs"/>
          <w:rtl/>
        </w:rPr>
        <w:t xml:space="preserve">רק </w:t>
      </w:r>
      <w:r>
        <w:rPr>
          <w:rFonts w:ascii="Tahoma" w:hAnsi="Tahoma"/>
          <w:rtl/>
        </w:rPr>
        <w:t>לאחר שהנאשם התייצב ונטל אחריות.</w:t>
      </w:r>
    </w:p>
    <w:p w14:paraId="218967CF" w14:textId="77777777" w:rsidR="00DD154A" w:rsidRDefault="00DD154A" w:rsidP="00DD154A">
      <w:pPr>
        <w:numPr>
          <w:ilvl w:val="0"/>
          <w:numId w:val="2"/>
        </w:numPr>
        <w:spacing w:after="120" w:line="360" w:lineRule="auto"/>
        <w:ind w:left="360"/>
        <w:jc w:val="both"/>
        <w:rPr>
          <w:rFonts w:ascii="Tahoma" w:hAnsi="Tahoma"/>
        </w:rPr>
      </w:pPr>
      <w:r>
        <w:rPr>
          <w:rFonts w:ascii="Tahoma" w:hAnsi="Tahoma"/>
          <w:rtl/>
        </w:rPr>
        <w:t>בנסיבות אלה ביקש הסניגור לקבוע מתמחי עונש מתונים בהרבה</w:t>
      </w:r>
      <w:r>
        <w:rPr>
          <w:rFonts w:ascii="Tahoma" w:hAnsi="Tahoma" w:hint="cs"/>
          <w:rtl/>
        </w:rPr>
        <w:t xml:space="preserve"> מאלה להם טענה ב"כ המאשימה, כלהלן</w:t>
      </w:r>
      <w:r>
        <w:rPr>
          <w:rFonts w:ascii="Tahoma" w:hAnsi="Tahoma"/>
          <w:rtl/>
        </w:rPr>
        <w:t>: בתיק העיקרי – בין מאסר מותנה לבין מספר חודשי מאסר בפועל, לנשיאה בדרך של עבודות שירות; בתיק המצורף – בין מספר חודשי מאסר בפועל, לנשיאה בדרך של עבודות שירות, לבין 12 חודשי מאסר בפועל.</w:t>
      </w:r>
    </w:p>
    <w:p w14:paraId="2F6046E5" w14:textId="77777777" w:rsidR="00DD154A" w:rsidRPr="00B80BCB" w:rsidRDefault="00DD154A" w:rsidP="00DD154A">
      <w:pPr>
        <w:numPr>
          <w:ilvl w:val="0"/>
          <w:numId w:val="2"/>
        </w:numPr>
        <w:spacing w:after="120" w:line="360" w:lineRule="auto"/>
        <w:ind w:left="360"/>
        <w:jc w:val="both"/>
        <w:rPr>
          <w:rFonts w:ascii="Tahoma" w:hAnsi="Tahoma"/>
        </w:rPr>
      </w:pPr>
      <w:r w:rsidRPr="00B80BCB">
        <w:rPr>
          <w:rFonts w:ascii="Tahoma" w:hAnsi="Tahoma"/>
          <w:rtl/>
        </w:rPr>
        <w:t xml:space="preserve">אשר לגזירת עונשו של הנאשם בתוך מתחמי העונש ההולמים הדגיש הסניגור את ההיבטים החיוביים העולים מתסקירי שירות המבחן, כמו גם </w:t>
      </w:r>
      <w:r w:rsidRPr="00B80BCB">
        <w:rPr>
          <w:rFonts w:ascii="Tahoma" w:hAnsi="Tahoma" w:hint="cs"/>
          <w:rtl/>
        </w:rPr>
        <w:t xml:space="preserve">את </w:t>
      </w:r>
      <w:r w:rsidRPr="00B80BCB">
        <w:rPr>
          <w:rFonts w:ascii="Tahoma" w:hAnsi="Tahoma"/>
          <w:rtl/>
        </w:rPr>
        <w:t>נטילת האחריות ו</w:t>
      </w:r>
      <w:r w:rsidRPr="00B80BCB">
        <w:rPr>
          <w:rFonts w:ascii="Tahoma" w:hAnsi="Tahoma" w:hint="cs"/>
          <w:rtl/>
        </w:rPr>
        <w:t xml:space="preserve">את </w:t>
      </w:r>
      <w:r w:rsidRPr="00B80BCB">
        <w:rPr>
          <w:rFonts w:ascii="Tahoma" w:hAnsi="Tahoma"/>
          <w:rtl/>
        </w:rPr>
        <w:t xml:space="preserve">החיסכון בזמן </w:t>
      </w:r>
      <w:r w:rsidRPr="00B80BCB">
        <w:rPr>
          <w:rFonts w:ascii="Tahoma" w:hAnsi="Tahoma" w:hint="cs"/>
          <w:rtl/>
        </w:rPr>
        <w:t>ה</w:t>
      </w:r>
      <w:r w:rsidRPr="00B80BCB">
        <w:rPr>
          <w:rFonts w:ascii="Tahoma" w:hAnsi="Tahoma"/>
          <w:rtl/>
        </w:rPr>
        <w:t xml:space="preserve">שיפוטי. </w:t>
      </w:r>
      <w:r w:rsidRPr="00B80BCB">
        <w:rPr>
          <w:rFonts w:ascii="Tahoma" w:hAnsi="Tahoma" w:hint="cs"/>
          <w:rtl/>
        </w:rPr>
        <w:t xml:space="preserve">עוד הדגיש הסניגור, כי </w:t>
      </w:r>
      <w:r w:rsidRPr="00B80BCB">
        <w:rPr>
          <w:rFonts w:ascii="Tahoma" w:hAnsi="Tahoma"/>
          <w:rtl/>
        </w:rPr>
        <w:t>על אף נסיבות חיים קשות</w:t>
      </w:r>
      <w:r w:rsidRPr="00B80BCB">
        <w:rPr>
          <w:rFonts w:ascii="Tahoma" w:hAnsi="Tahoma" w:hint="cs"/>
          <w:rtl/>
        </w:rPr>
        <w:t xml:space="preserve"> </w:t>
      </w:r>
      <w:r w:rsidRPr="00B80BCB">
        <w:rPr>
          <w:rFonts w:ascii="Tahoma" w:hAnsi="Tahoma"/>
          <w:rtl/>
        </w:rPr>
        <w:t>–</w:t>
      </w:r>
      <w:r w:rsidRPr="00B80BCB">
        <w:rPr>
          <w:rFonts w:ascii="Tahoma" w:hAnsi="Tahoma" w:hint="cs"/>
          <w:rtl/>
        </w:rPr>
        <w:t xml:space="preserve"> </w:t>
      </w:r>
      <w:r w:rsidRPr="00B80BCB">
        <w:rPr>
          <w:rFonts w:ascii="Tahoma" w:hAnsi="Tahoma"/>
          <w:rtl/>
        </w:rPr>
        <w:t>שבגינן נחשף הנאשם עוד בנערותו לחברה שולית והתדרדר לשימוש בס</w:t>
      </w:r>
      <w:r w:rsidRPr="00B80BCB">
        <w:rPr>
          <w:rFonts w:ascii="Tahoma" w:hAnsi="Tahoma" w:hint="cs"/>
          <w:rtl/>
        </w:rPr>
        <w:t>מי</w:t>
      </w:r>
      <w:r>
        <w:rPr>
          <w:rFonts w:ascii="Tahoma" w:hAnsi="Tahoma"/>
          <w:rtl/>
        </w:rPr>
        <w:t>ם מסוכנים ולפשע</w:t>
      </w:r>
      <w:r>
        <w:rPr>
          <w:rFonts w:ascii="Tahoma" w:hAnsi="Tahoma" w:hint="cs"/>
          <w:rtl/>
        </w:rPr>
        <w:t xml:space="preserve"> </w:t>
      </w:r>
      <w:r>
        <w:rPr>
          <w:rFonts w:ascii="Tahoma" w:hAnsi="Tahoma"/>
          <w:rtl/>
        </w:rPr>
        <w:t>–</w:t>
      </w:r>
      <w:r>
        <w:rPr>
          <w:rFonts w:ascii="Tahoma" w:hAnsi="Tahoma" w:hint="cs"/>
          <w:rtl/>
        </w:rPr>
        <w:t xml:space="preserve"> הצליח </w:t>
      </w:r>
      <w:r w:rsidRPr="00B80BCB">
        <w:rPr>
          <w:rFonts w:ascii="Tahoma" w:hAnsi="Tahoma"/>
          <w:rtl/>
        </w:rPr>
        <w:t>הנאשם</w:t>
      </w:r>
      <w:r w:rsidRPr="00B80BCB">
        <w:rPr>
          <w:rFonts w:ascii="Tahoma" w:hAnsi="Tahoma" w:hint="cs"/>
          <w:rtl/>
        </w:rPr>
        <w:t xml:space="preserve"> לפתח </w:t>
      </w:r>
      <w:r w:rsidRPr="00B80BCB">
        <w:rPr>
          <w:rFonts w:ascii="Tahoma" w:hAnsi="Tahoma"/>
          <w:rtl/>
        </w:rPr>
        <w:t>עסק עצמאי (ר' גם ס/1), ניסה ל</w:t>
      </w:r>
      <w:r w:rsidRPr="00B80BCB">
        <w:rPr>
          <w:rFonts w:ascii="Tahoma" w:hAnsi="Tahoma" w:hint="cs"/>
          <w:rtl/>
        </w:rPr>
        <w:t xml:space="preserve">בנות </w:t>
      </w:r>
      <w:r w:rsidRPr="00B80BCB">
        <w:rPr>
          <w:rFonts w:ascii="Tahoma" w:hAnsi="Tahoma"/>
          <w:rtl/>
        </w:rPr>
        <w:t>אורח חיים יציב ויצרני ואף נרתם להליך טיפולי, תוך מסירת בדיקות שתן נקיות. אף עברו הפלילי של הנאשם אינו מכביד, ועברו ה</w:t>
      </w:r>
      <w:r w:rsidRPr="00B80BCB">
        <w:rPr>
          <w:rFonts w:ascii="Tahoma" w:hAnsi="Tahoma" w:hint="cs"/>
          <w:rtl/>
        </w:rPr>
        <w:t>פלילי-</w:t>
      </w:r>
      <w:r w:rsidRPr="00B80BCB">
        <w:rPr>
          <w:rFonts w:ascii="Tahoma" w:hAnsi="Tahoma"/>
          <w:rtl/>
        </w:rPr>
        <w:t>תעבורתי עניינו בעבירות קלות יחסית, של ברירת משפט</w:t>
      </w:r>
      <w:r w:rsidRPr="00B80BCB">
        <w:rPr>
          <w:rFonts w:ascii="Tahoma" w:hAnsi="Tahoma" w:hint="cs"/>
          <w:rtl/>
        </w:rPr>
        <w:t>;</w:t>
      </w:r>
      <w:r w:rsidRPr="00B80BCB">
        <w:rPr>
          <w:rFonts w:ascii="Tahoma" w:hAnsi="Tahoma"/>
          <w:rtl/>
        </w:rPr>
        <w:t xml:space="preserve"> והכל כאשר הנאשם מחזיק ברישיון נהיגה מאז שנת 2014 ואף היה פסול מנהלית במשך חודש</w:t>
      </w:r>
      <w:r w:rsidRPr="00B80BCB">
        <w:rPr>
          <w:rFonts w:ascii="Tahoma" w:hAnsi="Tahoma" w:hint="cs"/>
          <w:rtl/>
        </w:rPr>
        <w:t xml:space="preserve"> בגין תיק זה</w:t>
      </w:r>
      <w:r w:rsidRPr="00B80BCB">
        <w:rPr>
          <w:rFonts w:ascii="Tahoma" w:hAnsi="Tahoma"/>
          <w:rtl/>
        </w:rPr>
        <w:t>.</w:t>
      </w:r>
      <w:r w:rsidRPr="00B80BCB">
        <w:rPr>
          <w:rFonts w:ascii="Tahoma" w:hAnsi="Tahoma" w:hint="cs"/>
          <w:rtl/>
        </w:rPr>
        <w:t xml:space="preserve"> עוד </w:t>
      </w:r>
      <w:r>
        <w:rPr>
          <w:rFonts w:ascii="Tahoma" w:hAnsi="Tahoma" w:hint="cs"/>
          <w:rtl/>
        </w:rPr>
        <w:t>ביקש</w:t>
      </w:r>
      <w:r w:rsidRPr="00B80BCB">
        <w:rPr>
          <w:rFonts w:ascii="Tahoma" w:hAnsi="Tahoma" w:hint="cs"/>
          <w:rtl/>
        </w:rPr>
        <w:t xml:space="preserve"> הסניגור </w:t>
      </w:r>
      <w:r>
        <w:rPr>
          <w:rFonts w:ascii="Tahoma" w:hAnsi="Tahoma" w:hint="cs"/>
          <w:rtl/>
        </w:rPr>
        <w:t xml:space="preserve">להדגיש </w:t>
      </w:r>
      <w:r w:rsidRPr="00B80BCB">
        <w:rPr>
          <w:rFonts w:ascii="Tahoma" w:hAnsi="Tahoma" w:hint="cs"/>
          <w:rtl/>
        </w:rPr>
        <w:t>כי אין מקום להתחשב בתיק שבגינו עצור הנאשם כיום</w:t>
      </w:r>
      <w:r>
        <w:rPr>
          <w:rFonts w:ascii="Tahoma" w:hAnsi="Tahoma" w:hint="cs"/>
          <w:rtl/>
        </w:rPr>
        <w:t>,</w:t>
      </w:r>
      <w:r w:rsidRPr="00B80BCB">
        <w:rPr>
          <w:rFonts w:ascii="Tahoma" w:hAnsi="Tahoma" w:hint="cs"/>
          <w:rtl/>
        </w:rPr>
        <w:t xml:space="preserve"> כנסיבה לחומרת העונש, שכן מדובר בהליך מתנהל ולנאשם עדיין עומדת חזקת החפות.</w:t>
      </w:r>
    </w:p>
    <w:p w14:paraId="1B8C78BD" w14:textId="77777777" w:rsidR="00DD154A" w:rsidRPr="003F7759" w:rsidRDefault="00DD154A" w:rsidP="00DD154A">
      <w:pPr>
        <w:numPr>
          <w:ilvl w:val="0"/>
          <w:numId w:val="2"/>
        </w:numPr>
        <w:spacing w:after="120" w:line="360" w:lineRule="auto"/>
        <w:ind w:left="360"/>
        <w:jc w:val="both"/>
        <w:rPr>
          <w:rFonts w:ascii="Tahoma" w:hAnsi="Tahoma"/>
        </w:rPr>
      </w:pPr>
      <w:r w:rsidRPr="003F7759">
        <w:rPr>
          <w:rFonts w:ascii="Tahoma" w:hAnsi="Tahoma"/>
          <w:rtl/>
        </w:rPr>
        <w:t xml:space="preserve">הסניגור </w:t>
      </w:r>
      <w:r>
        <w:rPr>
          <w:rFonts w:ascii="Tahoma" w:hAnsi="Tahoma" w:hint="cs"/>
          <w:rtl/>
        </w:rPr>
        <w:t xml:space="preserve">הוסיף וטען </w:t>
      </w:r>
      <w:r w:rsidRPr="003F7759">
        <w:rPr>
          <w:rFonts w:ascii="Tahoma" w:hAnsi="Tahoma"/>
          <w:rtl/>
        </w:rPr>
        <w:t xml:space="preserve">כי אביו של הנאשם, שכאמור בתסקיר סבל ממצב רפואי מורכב, נפטר </w:t>
      </w:r>
      <w:r w:rsidRPr="003F7759">
        <w:rPr>
          <w:rFonts w:ascii="Tahoma" w:hAnsi="Tahoma" w:hint="cs"/>
          <w:rtl/>
        </w:rPr>
        <w:t>עובר למעצרו של הנאשם</w:t>
      </w:r>
      <w:r w:rsidRPr="003F7759">
        <w:rPr>
          <w:rFonts w:ascii="Tahoma" w:hAnsi="Tahoma"/>
          <w:rtl/>
        </w:rPr>
        <w:t>; ואכן הנאשם שב והסתבך בפלילים. ואולם, במכלול נסיבות אלה –</w:t>
      </w:r>
      <w:r w:rsidRPr="003F7759">
        <w:rPr>
          <w:rFonts w:ascii="Tahoma" w:hAnsi="Tahoma" w:hint="cs"/>
          <w:rtl/>
        </w:rPr>
        <w:t xml:space="preserve"> וכפי שפירט </w:t>
      </w:r>
      <w:r>
        <w:rPr>
          <w:rFonts w:ascii="Tahoma" w:hAnsi="Tahoma" w:hint="cs"/>
          <w:rtl/>
        </w:rPr>
        <w:t xml:space="preserve">כאמור </w:t>
      </w:r>
      <w:r w:rsidRPr="003F7759">
        <w:rPr>
          <w:rFonts w:ascii="Tahoma" w:hAnsi="Tahoma" w:hint="cs"/>
          <w:rtl/>
        </w:rPr>
        <w:t xml:space="preserve">לעיל </w:t>
      </w:r>
      <w:r w:rsidRPr="003F7759">
        <w:rPr>
          <w:rFonts w:ascii="Tahoma" w:hAnsi="Tahoma"/>
          <w:rtl/>
        </w:rPr>
        <w:t>–</w:t>
      </w:r>
      <w:r w:rsidRPr="003F7759">
        <w:rPr>
          <w:rFonts w:ascii="Tahoma" w:hAnsi="Tahoma" w:hint="cs"/>
          <w:rtl/>
        </w:rPr>
        <w:t xml:space="preserve"> </w:t>
      </w:r>
      <w:r w:rsidRPr="003F7759">
        <w:rPr>
          <w:rFonts w:ascii="Tahoma" w:hAnsi="Tahoma"/>
          <w:rtl/>
        </w:rPr>
        <w:t>ביקש הסניגור להקל עם מרשו ולגזור עליו עונש שלא יעלה על 5 חודשי מאסר בפועל ועונש של פסילה בפועל שלא יעלה על תקופה של חמישה חודשים. עוד הדגיש הסניגור את מצבו הכלכ</w:t>
      </w:r>
      <w:r>
        <w:rPr>
          <w:rFonts w:ascii="Tahoma" w:hAnsi="Tahoma"/>
          <w:rtl/>
        </w:rPr>
        <w:t>לי הקשה של מרשו, שבין השאר הסתב</w:t>
      </w:r>
      <w:r>
        <w:rPr>
          <w:rFonts w:ascii="Tahoma" w:hAnsi="Tahoma" w:hint="cs"/>
          <w:rtl/>
        </w:rPr>
        <w:t>ך</w:t>
      </w:r>
      <w:r w:rsidRPr="003F7759">
        <w:rPr>
          <w:rFonts w:ascii="Tahoma" w:hAnsi="Tahoma"/>
          <w:rtl/>
        </w:rPr>
        <w:t xml:space="preserve"> בחובות בהוצאה לפועל (ר' ס/2), ובנסיבות אלה ביקש להימנע מ</w:t>
      </w:r>
      <w:r>
        <w:rPr>
          <w:rFonts w:ascii="Tahoma" w:hAnsi="Tahoma" w:hint="cs"/>
          <w:rtl/>
        </w:rPr>
        <w:t>ה</w:t>
      </w:r>
      <w:r w:rsidRPr="003F7759">
        <w:rPr>
          <w:rFonts w:ascii="Tahoma" w:hAnsi="Tahoma"/>
          <w:rtl/>
        </w:rPr>
        <w:t>חילוט ומענישה כלכלית משמעותית.</w:t>
      </w:r>
    </w:p>
    <w:p w14:paraId="7700B151" w14:textId="77777777" w:rsidR="00DD154A" w:rsidRDefault="00DD154A" w:rsidP="00DD154A">
      <w:pPr>
        <w:spacing w:after="120" w:line="360" w:lineRule="auto"/>
        <w:jc w:val="both"/>
      </w:pPr>
    </w:p>
    <w:p w14:paraId="709F5547" w14:textId="77777777" w:rsidR="00DD154A" w:rsidRDefault="00DD154A" w:rsidP="00DD154A">
      <w:pPr>
        <w:pStyle w:val="a9"/>
        <w:numPr>
          <w:ilvl w:val="0"/>
          <w:numId w:val="1"/>
        </w:numPr>
        <w:spacing w:after="120" w:line="360" w:lineRule="auto"/>
        <w:ind w:left="360"/>
        <w:jc w:val="both"/>
        <w:rPr>
          <w:rFonts w:ascii="Tahoma" w:hAnsi="Tahoma"/>
          <w:b/>
          <w:bCs/>
          <w:u w:val="single"/>
        </w:rPr>
      </w:pPr>
      <w:r>
        <w:rPr>
          <w:rFonts w:ascii="Tahoma" w:hAnsi="Tahoma"/>
          <w:b/>
          <w:bCs/>
          <w:u w:val="single"/>
          <w:rtl/>
        </w:rPr>
        <w:t>קביעת מתחם העונש ההולם:</w:t>
      </w:r>
    </w:p>
    <w:p w14:paraId="2B977184" w14:textId="77777777" w:rsidR="00DD154A" w:rsidRDefault="00DD154A" w:rsidP="00DD154A">
      <w:pPr>
        <w:numPr>
          <w:ilvl w:val="0"/>
          <w:numId w:val="2"/>
        </w:numPr>
        <w:spacing w:after="120" w:line="360" w:lineRule="auto"/>
        <w:ind w:left="360"/>
        <w:jc w:val="both"/>
        <w:rPr>
          <w:rFonts w:ascii="Tahoma" w:hAnsi="Tahoma"/>
        </w:rPr>
      </w:pPr>
      <w:r w:rsidRPr="005D1405">
        <w:rPr>
          <w:rFonts w:ascii="Tahoma" w:hAnsi="Tahoma"/>
          <w:rtl/>
        </w:rPr>
        <w:t xml:space="preserve">בעת גזירת עונשו של נאשם על בית המשפט לקבוע, תחילה, את מתחם העונש ההולם לכל "אירוע" עברייני שבגינו הורשע הנאשם, ולאחר מכן לגזור את עונשו של הנאשם בתוך מתחם זה; והכל כאמור בהוראות </w:t>
      </w:r>
      <w:hyperlink r:id="rId33" w:history="1">
        <w:r w:rsidR="00721623" w:rsidRPr="00721623">
          <w:rPr>
            <w:rStyle w:val="Hyperlink"/>
            <w:rFonts w:ascii="Tahoma" w:hAnsi="Tahoma"/>
            <w:rtl/>
          </w:rPr>
          <w:t>סעיף 40ג</w:t>
        </w:r>
      </w:hyperlink>
      <w:r w:rsidRPr="005D1405">
        <w:rPr>
          <w:rFonts w:ascii="Tahoma" w:hAnsi="Tahoma"/>
          <w:rtl/>
        </w:rPr>
        <w:t xml:space="preserve"> יחד עם </w:t>
      </w:r>
      <w:hyperlink r:id="rId34" w:history="1">
        <w:r w:rsidR="00721623" w:rsidRPr="00721623">
          <w:rPr>
            <w:rStyle w:val="Hyperlink"/>
            <w:rFonts w:ascii="Tahoma" w:hAnsi="Tahoma"/>
            <w:rtl/>
          </w:rPr>
          <w:t>סעיף 40יג</w:t>
        </w:r>
      </w:hyperlink>
      <w:r w:rsidRPr="005D1405">
        <w:rPr>
          <w:rFonts w:ascii="Tahoma" w:hAnsi="Tahoma"/>
          <w:rtl/>
        </w:rPr>
        <w:t xml:space="preserve"> ל</w:t>
      </w:r>
      <w:hyperlink r:id="rId35" w:history="1">
        <w:r w:rsidR="00C94607" w:rsidRPr="00C94607">
          <w:rPr>
            <w:rFonts w:ascii="Tahoma" w:hAnsi="Tahoma"/>
            <w:color w:val="0000FF"/>
            <w:u w:val="single"/>
            <w:rtl/>
          </w:rPr>
          <w:t>חוק העונשין</w:t>
        </w:r>
      </w:hyperlink>
      <w:r w:rsidRPr="005D1405">
        <w:rPr>
          <w:rFonts w:ascii="Tahoma" w:hAnsi="Tahoma"/>
          <w:rtl/>
        </w:rPr>
        <w:t>.</w:t>
      </w:r>
    </w:p>
    <w:p w14:paraId="6BEA9E01" w14:textId="77777777" w:rsidR="00DD154A" w:rsidRPr="005D1405" w:rsidRDefault="00DD154A" w:rsidP="00DD154A">
      <w:pPr>
        <w:numPr>
          <w:ilvl w:val="0"/>
          <w:numId w:val="2"/>
        </w:numPr>
        <w:spacing w:after="120" w:line="360" w:lineRule="auto"/>
        <w:ind w:left="360"/>
        <w:jc w:val="both"/>
        <w:rPr>
          <w:rFonts w:ascii="Tahoma" w:hAnsi="Tahoma"/>
        </w:rPr>
      </w:pPr>
      <w:r w:rsidRPr="005D1405">
        <w:rPr>
          <w:rFonts w:ascii="Tahoma" w:hAnsi="Tahoma"/>
          <w:rtl/>
        </w:rPr>
        <w:t>בענייננו מדובר בשני כתבי אישום שונים, העוסקים בעבירות שנעברו בפער זמנים של מספר חודשים ובמקומות שונים, ולכן לכאורה מדובר ב</w:t>
      </w:r>
      <w:r>
        <w:rPr>
          <w:rFonts w:ascii="Tahoma" w:hAnsi="Tahoma" w:hint="cs"/>
          <w:rtl/>
        </w:rPr>
        <w:t xml:space="preserve">שני </w:t>
      </w:r>
      <w:r w:rsidRPr="005D1405">
        <w:rPr>
          <w:rFonts w:ascii="Tahoma" w:hAnsi="Tahoma"/>
          <w:rtl/>
        </w:rPr>
        <w:t xml:space="preserve">אירועים </w:t>
      </w:r>
      <w:r>
        <w:rPr>
          <w:rFonts w:ascii="Tahoma" w:hAnsi="Tahoma" w:hint="cs"/>
          <w:rtl/>
        </w:rPr>
        <w:t xml:space="preserve">עברייניים </w:t>
      </w:r>
      <w:r w:rsidRPr="005D1405">
        <w:rPr>
          <w:rFonts w:ascii="Tahoma" w:hAnsi="Tahoma"/>
          <w:rtl/>
        </w:rPr>
        <w:t xml:space="preserve">נפרדים. עם זאת, מדובר באותן </w:t>
      </w:r>
      <w:r>
        <w:rPr>
          <w:rFonts w:ascii="Tahoma" w:hAnsi="Tahoma" w:hint="cs"/>
          <w:rtl/>
        </w:rPr>
        <w:t>ה</w:t>
      </w:r>
      <w:r w:rsidRPr="005D1405">
        <w:rPr>
          <w:rFonts w:ascii="Tahoma" w:hAnsi="Tahoma"/>
          <w:rtl/>
        </w:rPr>
        <w:t>עבירות – החזקת סמים מסוכנים מסוג קנבוס ו</w:t>
      </w:r>
      <w:r>
        <w:rPr>
          <w:rFonts w:ascii="Tahoma" w:hAnsi="Tahoma" w:hint="cs"/>
          <w:rtl/>
        </w:rPr>
        <w:t xml:space="preserve">מסוג </w:t>
      </w:r>
      <w:r w:rsidRPr="005D1405">
        <w:rPr>
          <w:rFonts w:ascii="Tahoma" w:hAnsi="Tahoma"/>
          <w:rtl/>
        </w:rPr>
        <w:t xml:space="preserve">קוקאין, שלא לצריכה עצמית, מחולקים – </w:t>
      </w:r>
      <w:r>
        <w:rPr>
          <w:rFonts w:ascii="Tahoma" w:hAnsi="Tahoma" w:hint="cs"/>
          <w:rtl/>
        </w:rPr>
        <w:t xml:space="preserve">שבוצעו </w:t>
      </w:r>
      <w:r w:rsidRPr="005D1405">
        <w:rPr>
          <w:rFonts w:ascii="Tahoma" w:hAnsi="Tahoma"/>
          <w:rtl/>
        </w:rPr>
        <w:t xml:space="preserve">בשני </w:t>
      </w:r>
      <w:r>
        <w:rPr>
          <w:rFonts w:ascii="Tahoma" w:hAnsi="Tahoma" w:hint="cs"/>
          <w:rtl/>
        </w:rPr>
        <w:t>ה</w:t>
      </w:r>
      <w:r w:rsidRPr="005D1405">
        <w:rPr>
          <w:rFonts w:ascii="Tahoma" w:hAnsi="Tahoma"/>
          <w:rtl/>
        </w:rPr>
        <w:t>מקרים בשנת 2019. אמנם בתיק העיקרי מדובר בהחזקת הסמים ברכב</w:t>
      </w:r>
      <w:r>
        <w:rPr>
          <w:rFonts w:ascii="Tahoma" w:hAnsi="Tahoma" w:hint="cs"/>
          <w:rtl/>
        </w:rPr>
        <w:t>,</w:t>
      </w:r>
      <w:r w:rsidRPr="005D1405">
        <w:rPr>
          <w:rFonts w:ascii="Tahoma" w:hAnsi="Tahoma"/>
          <w:rtl/>
        </w:rPr>
        <w:t xml:space="preserve"> ו</w:t>
      </w:r>
      <w:r>
        <w:rPr>
          <w:rFonts w:ascii="Tahoma" w:hAnsi="Tahoma" w:hint="cs"/>
          <w:rtl/>
        </w:rPr>
        <w:t xml:space="preserve">כן </w:t>
      </w:r>
      <w:r w:rsidRPr="005D1405">
        <w:rPr>
          <w:rFonts w:ascii="Tahoma" w:hAnsi="Tahoma"/>
          <w:rtl/>
        </w:rPr>
        <w:t>בעביר</w:t>
      </w:r>
      <w:r>
        <w:rPr>
          <w:rFonts w:ascii="Tahoma" w:hAnsi="Tahoma" w:hint="cs"/>
          <w:rtl/>
        </w:rPr>
        <w:t>ה</w:t>
      </w:r>
      <w:r w:rsidRPr="005D1405">
        <w:rPr>
          <w:rFonts w:ascii="Tahoma" w:hAnsi="Tahoma"/>
          <w:rtl/>
        </w:rPr>
        <w:t xml:space="preserve"> נוספת של נהיגה בהשפעת סמים, אך </w:t>
      </w:r>
      <w:r>
        <w:rPr>
          <w:rFonts w:ascii="Tahoma" w:hAnsi="Tahoma"/>
          <w:rtl/>
        </w:rPr>
        <w:t xml:space="preserve">במהות </w:t>
      </w:r>
      <w:r>
        <w:rPr>
          <w:rFonts w:ascii="Tahoma" w:hAnsi="Tahoma" w:hint="cs"/>
          <w:rtl/>
        </w:rPr>
        <w:t>הע</w:t>
      </w:r>
      <w:r>
        <w:rPr>
          <w:rFonts w:ascii="Tahoma" w:hAnsi="Tahoma"/>
          <w:rtl/>
        </w:rPr>
        <w:t>בירות דומות מאוד</w:t>
      </w:r>
      <w:r>
        <w:rPr>
          <w:rFonts w:ascii="Tahoma" w:hAnsi="Tahoma" w:hint="cs"/>
          <w:rtl/>
        </w:rPr>
        <w:t xml:space="preserve">. </w:t>
      </w:r>
      <w:r w:rsidRPr="005D1405">
        <w:rPr>
          <w:rFonts w:ascii="Tahoma" w:hAnsi="Tahoma"/>
          <w:rtl/>
        </w:rPr>
        <w:t>בנסיבות אלה – אם גם מתוך גישה מקלה – ניתן לראות</w:t>
      </w:r>
      <w:r>
        <w:rPr>
          <w:rFonts w:ascii="Tahoma" w:hAnsi="Tahoma" w:hint="cs"/>
          <w:rtl/>
        </w:rPr>
        <w:t xml:space="preserve"> את מכלול העבירות בשני התיקים </w:t>
      </w:r>
      <w:r w:rsidRPr="005D1405">
        <w:rPr>
          <w:rFonts w:ascii="Tahoma" w:hAnsi="Tahoma"/>
          <w:rtl/>
        </w:rPr>
        <w:t>כחלק ממסכת עבריינית אחת.</w:t>
      </w:r>
    </w:p>
    <w:p w14:paraId="22BC9064" w14:textId="77777777" w:rsidR="00DD154A" w:rsidRDefault="00DD154A" w:rsidP="00DD154A">
      <w:pPr>
        <w:numPr>
          <w:ilvl w:val="0"/>
          <w:numId w:val="2"/>
        </w:numPr>
        <w:spacing w:after="120" w:line="360" w:lineRule="auto"/>
        <w:ind w:left="360"/>
        <w:jc w:val="both"/>
        <w:rPr>
          <w:rFonts w:ascii="Tahoma" w:hAnsi="Tahoma"/>
        </w:rPr>
      </w:pPr>
      <w:r>
        <w:rPr>
          <w:rFonts w:ascii="Tahoma" w:hAnsi="Tahoma"/>
          <w:rtl/>
        </w:rPr>
        <w:t xml:space="preserve">אשר למתחם עונש הולם אחד זה, קביעתו תיעשה בהתאם לעיקרון המנחה בענישה – הוא עקרון ההלימה – תוך התחשבות בערך החברתי שנפגע מביצוע העבירות ובמידת הפגיעה בו, במדיניות הענישה הנהוגה ובנסיבות הקשורות בביצוע העבירות, לרבות אלה המפורטות בהוראות </w:t>
      </w:r>
      <w:hyperlink r:id="rId36" w:history="1">
        <w:r w:rsidR="00721623" w:rsidRPr="00721623">
          <w:rPr>
            <w:rStyle w:val="Hyperlink"/>
            <w:rFonts w:ascii="Tahoma" w:hAnsi="Tahoma"/>
            <w:rtl/>
          </w:rPr>
          <w:t>סעיף 40ט</w:t>
        </w:r>
      </w:hyperlink>
      <w:r>
        <w:rPr>
          <w:rFonts w:ascii="Tahoma" w:hAnsi="Tahoma"/>
          <w:rtl/>
        </w:rPr>
        <w:t xml:space="preserve"> ל</w:t>
      </w:r>
      <w:hyperlink r:id="rId37" w:history="1">
        <w:r w:rsidR="00C94607" w:rsidRPr="00C94607">
          <w:rPr>
            <w:rFonts w:ascii="Tahoma" w:hAnsi="Tahoma"/>
            <w:color w:val="0000FF"/>
            <w:u w:val="single"/>
            <w:rtl/>
          </w:rPr>
          <w:t>חוק העונשין</w:t>
        </w:r>
      </w:hyperlink>
      <w:r>
        <w:rPr>
          <w:rFonts w:ascii="Tahoma" w:hAnsi="Tahoma"/>
          <w:rtl/>
        </w:rPr>
        <w:t>.</w:t>
      </w:r>
    </w:p>
    <w:p w14:paraId="36FC01E7" w14:textId="77777777" w:rsidR="00DD154A" w:rsidRDefault="00DD154A" w:rsidP="00DD154A">
      <w:pPr>
        <w:numPr>
          <w:ilvl w:val="0"/>
          <w:numId w:val="2"/>
        </w:numPr>
        <w:spacing w:after="120" w:line="360" w:lineRule="auto"/>
        <w:ind w:left="360"/>
        <w:jc w:val="both"/>
        <w:rPr>
          <w:rFonts w:ascii="Tahoma" w:hAnsi="Tahoma"/>
        </w:rPr>
      </w:pPr>
      <w:r>
        <w:rPr>
          <w:rFonts w:ascii="Tahoma" w:hAnsi="Tahoma" w:hint="cs"/>
          <w:rtl/>
        </w:rPr>
        <w:t xml:space="preserve">על </w:t>
      </w:r>
      <w:r>
        <w:rPr>
          <w:rFonts w:ascii="Tahoma" w:hAnsi="Tahoma"/>
          <w:rtl/>
        </w:rPr>
        <w:t>הערכים החברתיים, הנפגעים כתולדה מביצוע</w:t>
      </w:r>
      <w:r>
        <w:rPr>
          <w:rFonts w:ascii="Tahoma" w:hAnsi="Tahoma" w:hint="cs"/>
          <w:rtl/>
        </w:rPr>
        <w:t>ן</w:t>
      </w:r>
      <w:r>
        <w:rPr>
          <w:rFonts w:ascii="Tahoma" w:hAnsi="Tahoma"/>
          <w:rtl/>
        </w:rPr>
        <w:t xml:space="preserve"> </w:t>
      </w:r>
      <w:r>
        <w:rPr>
          <w:rFonts w:ascii="Tahoma" w:hAnsi="Tahoma" w:hint="cs"/>
          <w:rtl/>
        </w:rPr>
        <w:t xml:space="preserve">של </w:t>
      </w:r>
      <w:r>
        <w:rPr>
          <w:rFonts w:ascii="Tahoma" w:hAnsi="Tahoma"/>
          <w:rtl/>
        </w:rPr>
        <w:t xml:space="preserve">עבירות הסמים, עמדה הפסיקה שוב ושוב, </w:t>
      </w:r>
      <w:r>
        <w:rPr>
          <w:rFonts w:ascii="Tahoma" w:hAnsi="Tahoma" w:hint="cs"/>
          <w:rtl/>
        </w:rPr>
        <w:t xml:space="preserve">כאשר </w:t>
      </w:r>
      <w:r>
        <w:rPr>
          <w:rFonts w:ascii="Tahoma" w:hAnsi="Tahoma"/>
          <w:rtl/>
        </w:rPr>
        <w:t xml:space="preserve">בהקשר זה ראוי להדגיש במיוחד את העובדה שעבירות הסמים מהוות </w:t>
      </w:r>
      <w:r>
        <w:rPr>
          <w:rFonts w:ascii="Tahoma" w:hAnsi="Tahoma" w:hint="cs"/>
          <w:rtl/>
        </w:rPr>
        <w:t xml:space="preserve">בין השאר </w:t>
      </w:r>
      <w:r>
        <w:rPr>
          <w:rFonts w:ascii="Tahoma" w:hAnsi="Tahoma"/>
          <w:rtl/>
        </w:rPr>
        <w:t>גורם מחולל פשיעה, שכן ביצוען מוביל במקרים רבים לביצוע</w:t>
      </w:r>
      <w:r>
        <w:rPr>
          <w:rFonts w:ascii="Tahoma" w:hAnsi="Tahoma" w:hint="cs"/>
          <w:rtl/>
        </w:rPr>
        <w:t>ן של</w:t>
      </w:r>
      <w:r>
        <w:rPr>
          <w:rFonts w:ascii="Tahoma" w:hAnsi="Tahoma"/>
          <w:rtl/>
        </w:rPr>
        <w:t xml:space="preserve"> עבירות נוספות רבות. מכאן, שביצוען של עבירות סמים פוגע לא רק בערך החברתי של ההגנה על בריאות הציבור</w:t>
      </w:r>
      <w:r>
        <w:rPr>
          <w:rFonts w:ascii="Tahoma" w:hAnsi="Tahoma" w:hint="cs"/>
          <w:rtl/>
        </w:rPr>
        <w:t>,</w:t>
      </w:r>
      <w:r>
        <w:rPr>
          <w:rFonts w:ascii="Tahoma" w:hAnsi="Tahoma"/>
          <w:rtl/>
        </w:rPr>
        <w:t xml:space="preserve"> אלא גם בערכים </w:t>
      </w:r>
      <w:r>
        <w:rPr>
          <w:rFonts w:ascii="Tahoma" w:hAnsi="Tahoma" w:hint="cs"/>
          <w:rtl/>
        </w:rPr>
        <w:t xml:space="preserve">חברתיים </w:t>
      </w:r>
      <w:r>
        <w:rPr>
          <w:rFonts w:ascii="Tahoma" w:hAnsi="Tahoma"/>
          <w:rtl/>
        </w:rPr>
        <w:t xml:space="preserve">נוספים ובהם ההגנה על שמירת הסדר הציבורי. כמעט אין צריך לומר, כי כאשר מדובר בנהיגת רכב מנועי בהשפעת סמים, מצטרפת </w:t>
      </w:r>
      <w:r>
        <w:rPr>
          <w:rFonts w:ascii="Tahoma" w:hAnsi="Tahoma" w:hint="cs"/>
          <w:rtl/>
        </w:rPr>
        <w:t xml:space="preserve">לכל הנ"ל </w:t>
      </w:r>
      <w:r>
        <w:rPr>
          <w:rFonts w:ascii="Tahoma" w:hAnsi="Tahoma"/>
          <w:rtl/>
        </w:rPr>
        <w:t xml:space="preserve">גם </w:t>
      </w:r>
      <w:r>
        <w:rPr>
          <w:rFonts w:ascii="Tahoma" w:hAnsi="Tahoma" w:hint="cs"/>
          <w:rtl/>
        </w:rPr>
        <w:t>ה</w:t>
      </w:r>
      <w:r>
        <w:rPr>
          <w:rFonts w:ascii="Tahoma" w:hAnsi="Tahoma"/>
          <w:rtl/>
        </w:rPr>
        <w:t>פגיעה בערך החברתי של ההגנה על שלומם וביטחונם של המשתמשים בדרך.</w:t>
      </w:r>
    </w:p>
    <w:p w14:paraId="7CE1CFE2" w14:textId="77777777" w:rsidR="00DD154A" w:rsidRDefault="00DD154A" w:rsidP="00DD154A">
      <w:pPr>
        <w:numPr>
          <w:ilvl w:val="0"/>
          <w:numId w:val="2"/>
        </w:numPr>
        <w:spacing w:after="120" w:line="360" w:lineRule="auto"/>
        <w:ind w:left="360"/>
        <w:jc w:val="both"/>
        <w:rPr>
          <w:rFonts w:ascii="Tahoma" w:hAnsi="Tahoma"/>
        </w:rPr>
      </w:pPr>
      <w:r>
        <w:rPr>
          <w:rFonts w:ascii="Tahoma" w:hAnsi="Tahoma"/>
          <w:rtl/>
        </w:rPr>
        <w:t xml:space="preserve">עם זאת, בקביעת מתחם העונש ההולם יש להתחשב גם במדיניות הענישה הנהוגה, אשר נגזרת בין השאר מכמויות הסמים המדוברות וסוגם. בענייננו מדובר בהחזקת סמים מסוג קנבוס ומסוג קוקאין, בכמויות קטנות-יחסית, ומדיניות הענישה הנהוגה (ר' למשל ברע"פ </w:t>
      </w:r>
      <w:r>
        <w:rPr>
          <w:rFonts w:ascii="Tahoma" w:hAnsi="Tahoma"/>
          <w:b/>
          <w:bCs/>
          <w:rtl/>
        </w:rPr>
        <w:t>דיאב</w:t>
      </w:r>
      <w:r>
        <w:rPr>
          <w:rFonts w:ascii="Tahoma" w:hAnsi="Tahoma"/>
          <w:rtl/>
        </w:rPr>
        <w:t xml:space="preserve"> הנ"ל, שאליו הפנתה ב"כ המאשימה</w:t>
      </w:r>
      <w:r>
        <w:rPr>
          <w:rFonts w:ascii="Tahoma" w:hAnsi="Tahoma" w:hint="cs"/>
          <w:rtl/>
        </w:rPr>
        <w:t>, שם דובר בהחזקת סמים מסוכנים מסוג קוקאין, מחולקים, במשקל של כחמישה גרם</w:t>
      </w:r>
      <w:r>
        <w:rPr>
          <w:rFonts w:ascii="Tahoma" w:hAnsi="Tahoma"/>
          <w:rtl/>
        </w:rPr>
        <w:t>) מלמד</w:t>
      </w:r>
      <w:r>
        <w:rPr>
          <w:rFonts w:ascii="Tahoma" w:hAnsi="Tahoma" w:hint="cs"/>
          <w:rtl/>
        </w:rPr>
        <w:t>ת</w:t>
      </w:r>
      <w:r>
        <w:rPr>
          <w:rFonts w:ascii="Tahoma" w:hAnsi="Tahoma"/>
          <w:rtl/>
        </w:rPr>
        <w:t xml:space="preserve"> על מתחמי ענישה שהרף התחתון בהן הוא במאסר בפועל קצר יחסית, לנשיאה בדרך של עבודות שירות (השווה גם </w:t>
      </w:r>
      <w:hyperlink r:id="rId38" w:history="1">
        <w:r w:rsidR="00C94607" w:rsidRPr="00C94607">
          <w:rPr>
            <w:rFonts w:ascii="Tahoma" w:hAnsi="Tahoma"/>
            <w:color w:val="0000FF"/>
            <w:u w:val="single"/>
            <w:rtl/>
          </w:rPr>
          <w:t>ת"פ (שלום ת"א) 7660-03-20</w:t>
        </w:r>
      </w:hyperlink>
      <w:r w:rsidR="00C94607">
        <w:rPr>
          <w:rFonts w:ascii="Tahoma" w:hAnsi="Tahoma"/>
          <w:rtl/>
        </w:rPr>
        <w:t xml:space="preserve"> </w:t>
      </w:r>
      <w:r>
        <w:rPr>
          <w:rFonts w:ascii="Tahoma" w:hAnsi="Tahoma"/>
          <w:b/>
          <w:bCs/>
          <w:rtl/>
        </w:rPr>
        <w:t>מדינת ישראל נ' אסולין</w:t>
      </w:r>
      <w:r w:rsidR="00C94607">
        <w:rPr>
          <w:rFonts w:ascii="Tahoma" w:hAnsi="Tahoma"/>
          <w:rtl/>
        </w:rPr>
        <w:t xml:space="preserve"> </w:t>
      </w:r>
      <w:r>
        <w:rPr>
          <w:rFonts w:ascii="Tahoma" w:hAnsi="Tahoma"/>
          <w:rtl/>
        </w:rPr>
        <w:t>(25.12.2022)).</w:t>
      </w:r>
    </w:p>
    <w:p w14:paraId="7DF1108D" w14:textId="77777777" w:rsidR="00DD154A" w:rsidRPr="002041B3" w:rsidRDefault="00DD154A" w:rsidP="00DD154A">
      <w:pPr>
        <w:numPr>
          <w:ilvl w:val="0"/>
          <w:numId w:val="2"/>
        </w:numPr>
        <w:spacing w:after="120" w:line="360" w:lineRule="auto"/>
        <w:ind w:left="360"/>
        <w:jc w:val="both"/>
        <w:rPr>
          <w:rFonts w:ascii="Tahoma" w:hAnsi="Tahoma"/>
        </w:rPr>
      </w:pPr>
      <w:r>
        <w:rPr>
          <w:rFonts w:hint="cs"/>
          <w:rtl/>
        </w:rPr>
        <w:t xml:space="preserve">בענייננו מתקיימות מספר נסיבות חומרה, שכן מדובר בשני מקרי החזקה, במקומות ובזמנים שונים ותוך חלוקת הסמים. בנוסף, במקרה מושא התיק העיקרי הצטברה עבירה חמורה נוספת, דהיינו הנהיגה תחת השפעת סמים, וזאת בנוסף לכך שהחזקת הסמים נעשתה ברכב. בהתחשב בנסיבות אלה </w:t>
      </w:r>
      <w:r>
        <w:rPr>
          <w:rtl/>
        </w:rPr>
        <w:t>–</w:t>
      </w:r>
      <w:r>
        <w:rPr>
          <w:rFonts w:hint="cs"/>
          <w:rtl/>
        </w:rPr>
        <w:t xml:space="preserve"> כמו גם בכל האמור לעיל </w:t>
      </w:r>
      <w:r>
        <w:rPr>
          <w:rtl/>
        </w:rPr>
        <w:t>–</w:t>
      </w:r>
      <w:r>
        <w:rPr>
          <w:rFonts w:hint="cs"/>
          <w:rtl/>
        </w:rPr>
        <w:t xml:space="preserve"> אני קובע אפוא את מתחם העונש ההולם, במקרה זה, בין 6 חודשי מאסר בפועל לבין 18 חודשי מאסר בפועל.</w:t>
      </w:r>
    </w:p>
    <w:p w14:paraId="2414F061" w14:textId="77777777" w:rsidR="00DD154A" w:rsidRDefault="00DD154A" w:rsidP="00DD154A">
      <w:pPr>
        <w:spacing w:after="120" w:line="360" w:lineRule="auto"/>
        <w:jc w:val="both"/>
        <w:rPr>
          <w:rFonts w:ascii="Tahoma" w:hAnsi="Tahoma"/>
          <w:rtl/>
        </w:rPr>
      </w:pPr>
    </w:p>
    <w:p w14:paraId="52567627" w14:textId="77777777" w:rsidR="00DD154A" w:rsidRDefault="00DD154A" w:rsidP="00DD154A">
      <w:pPr>
        <w:pStyle w:val="a9"/>
        <w:numPr>
          <w:ilvl w:val="0"/>
          <w:numId w:val="1"/>
        </w:numPr>
        <w:spacing w:after="120" w:line="360" w:lineRule="auto"/>
        <w:ind w:left="360"/>
        <w:jc w:val="both"/>
        <w:rPr>
          <w:rFonts w:ascii="Tahoma" w:hAnsi="Tahoma"/>
          <w:b/>
          <w:bCs/>
          <w:u w:val="single"/>
          <w:rtl/>
        </w:rPr>
      </w:pPr>
      <w:r w:rsidRPr="00CE1F20">
        <w:rPr>
          <w:rFonts w:hint="cs"/>
          <w:b/>
          <w:bCs/>
          <w:u w:val="single"/>
          <w:rtl/>
        </w:rPr>
        <w:t>גזירת עונשו של הנאשם בתוך מתחם העונש ההולם:</w:t>
      </w:r>
    </w:p>
    <w:p w14:paraId="59FFA9DB" w14:textId="77777777" w:rsidR="00DD154A" w:rsidRDefault="00DD154A" w:rsidP="00DD154A">
      <w:pPr>
        <w:numPr>
          <w:ilvl w:val="0"/>
          <w:numId w:val="2"/>
        </w:numPr>
        <w:spacing w:after="120" w:line="360" w:lineRule="auto"/>
        <w:ind w:left="360"/>
        <w:jc w:val="both"/>
        <w:rPr>
          <w:rFonts w:ascii="Tahoma" w:hAnsi="Tahoma"/>
        </w:rPr>
      </w:pPr>
      <w:r>
        <w:rPr>
          <w:rFonts w:hint="cs"/>
          <w:rtl/>
        </w:rPr>
        <w:t xml:space="preserve">לאחר קביעת מתחם העונש ההולם על בית המשפט לגזור את עונשו של הנאשם בתוך מתחם זה </w:t>
      </w:r>
      <w:r>
        <w:rPr>
          <w:rtl/>
        </w:rPr>
        <w:t>–</w:t>
      </w:r>
      <w:r>
        <w:rPr>
          <w:rFonts w:hint="cs"/>
          <w:rtl/>
        </w:rPr>
        <w:t xml:space="preserve"> למעט במקרים יוצאי דופן, בהם הוא רשאי לחרוג מכך, שאין עניינם לכאן </w:t>
      </w:r>
      <w:r>
        <w:rPr>
          <w:rtl/>
        </w:rPr>
        <w:t>–</w:t>
      </w:r>
      <w:r>
        <w:rPr>
          <w:rFonts w:hint="cs"/>
          <w:rtl/>
        </w:rPr>
        <w:t xml:space="preserve"> תוך התחשבות בנסיבות שאינן קשורות בביצוע העבירות.</w:t>
      </w:r>
    </w:p>
    <w:p w14:paraId="402421C8" w14:textId="77777777" w:rsidR="00DD154A" w:rsidRDefault="00DD154A" w:rsidP="00DD154A">
      <w:pPr>
        <w:numPr>
          <w:ilvl w:val="0"/>
          <w:numId w:val="2"/>
        </w:numPr>
        <w:spacing w:after="120" w:line="360" w:lineRule="auto"/>
        <w:ind w:left="360"/>
        <w:jc w:val="both"/>
        <w:rPr>
          <w:rFonts w:ascii="Tahoma" w:hAnsi="Tahoma"/>
        </w:rPr>
      </w:pPr>
      <w:r>
        <w:rPr>
          <w:rFonts w:hint="cs"/>
          <w:rtl/>
        </w:rPr>
        <w:t xml:space="preserve">אשר לנאשם שלפניי, </w:t>
      </w:r>
      <w:r>
        <w:rPr>
          <w:rFonts w:ascii="Tahoma" w:hAnsi="Tahoma" w:hint="cs"/>
          <w:rtl/>
        </w:rPr>
        <w:t>מדובר כאמור בנאשם צעיר יחסית, בן 27 שנים, בעל עבר פלילי שאינו מן החמורים. הנאשם נטל אחריות על מעשיו, נמצא-לכאורה מתאים לשילוב בהליך טיפולי, ואף חלף כבר זמן ניכר מאז ביצוע העבירות (בשנת 2019). אמת, לאחרונה שב הנאשם והסתבך בתיק פלילי נוסף, חמור-לכאורה, שבגינו אף נעצר עד לתום ההליכים המשפטיים נגדו. ואולם, כטיעון הסניגור המקובל עליי, לנאשם עומדת עדיין חזקת החפות ולא ניתן לזקוף לחובתו מעשים-נטענים שבגינם טרם הורשע.</w:t>
      </w:r>
    </w:p>
    <w:p w14:paraId="4530CCB9" w14:textId="77777777" w:rsidR="00DD154A" w:rsidRDefault="00DD154A" w:rsidP="00DD154A">
      <w:pPr>
        <w:numPr>
          <w:ilvl w:val="0"/>
          <w:numId w:val="2"/>
        </w:numPr>
        <w:spacing w:after="120" w:line="360" w:lineRule="auto"/>
        <w:ind w:left="360"/>
        <w:jc w:val="both"/>
        <w:rPr>
          <w:rFonts w:ascii="Tahoma" w:hAnsi="Tahoma"/>
        </w:rPr>
      </w:pPr>
      <w:r>
        <w:rPr>
          <w:rFonts w:ascii="Tahoma" w:hAnsi="Tahoma" w:hint="cs"/>
          <w:rtl/>
        </w:rPr>
        <w:t>התמונה המתקבלת בעניינו של הנאשם היא אפוא מורכבת. מדובר בנאשם שנטל אחריות על מעשיו, בשלב מוקדם יחסית של ניהול ההליכים לפניי, כאשר מאז ביצוע המעשים כבר חלפה תקופה משמעותית. עם זאת, ברי כי אופציית השיקום אינה רלוואנטית לעת הזו בעניינו של הנאשם. בנוסף, הגם שעברו הפלילי והתעבורתי של הנאשם אינו מן המכבידים, לא מדובר בנאשם שעברו נקי. המסקנה המתבקשת היא, אם כן, שבנסיבות אלה יש לגזור את עונשו של הנאשם במסגרת הרבע התחתון של מתחם העונש ההולם. אני גוזר אפוא את עונשו של הנאשם, ברכיב המאסר בפועל, לתקופה של 7 חודשים.</w:t>
      </w:r>
    </w:p>
    <w:p w14:paraId="7C2AB197" w14:textId="77777777" w:rsidR="00DD154A" w:rsidRPr="002059D0" w:rsidRDefault="00DD154A" w:rsidP="00DD154A">
      <w:pPr>
        <w:spacing w:after="120" w:line="360" w:lineRule="auto"/>
        <w:jc w:val="both"/>
        <w:rPr>
          <w:rFonts w:ascii="Tahoma" w:hAnsi="Tahoma"/>
          <w:rtl/>
        </w:rPr>
      </w:pPr>
    </w:p>
    <w:p w14:paraId="0CEBECA3" w14:textId="77777777" w:rsidR="00DD154A" w:rsidRDefault="00DD154A" w:rsidP="00DD154A">
      <w:pPr>
        <w:pStyle w:val="a9"/>
        <w:numPr>
          <w:ilvl w:val="0"/>
          <w:numId w:val="1"/>
        </w:numPr>
        <w:spacing w:after="120" w:line="360" w:lineRule="auto"/>
        <w:ind w:left="360"/>
        <w:jc w:val="both"/>
        <w:rPr>
          <w:rFonts w:ascii="Tahoma" w:hAnsi="Tahoma"/>
          <w:b/>
          <w:bCs/>
          <w:u w:val="single"/>
          <w:rtl/>
        </w:rPr>
      </w:pPr>
      <w:r>
        <w:rPr>
          <w:rFonts w:hint="cs"/>
          <w:b/>
          <w:bCs/>
          <w:u w:val="single"/>
          <w:rtl/>
        </w:rPr>
        <w:t xml:space="preserve">בקשת החילוט לפי הוראות </w:t>
      </w:r>
      <w:hyperlink r:id="rId39" w:history="1">
        <w:r w:rsidR="00C94607" w:rsidRPr="00C94607">
          <w:rPr>
            <w:rFonts w:hint="eastAsia"/>
            <w:b/>
            <w:bCs/>
            <w:color w:val="0000FF"/>
            <w:u w:val="single"/>
            <w:rtl/>
          </w:rPr>
          <w:t>פקודת</w:t>
        </w:r>
        <w:r w:rsidR="00C94607" w:rsidRPr="00C94607">
          <w:rPr>
            <w:b/>
            <w:bCs/>
            <w:color w:val="0000FF"/>
            <w:u w:val="single"/>
            <w:rtl/>
          </w:rPr>
          <w:t xml:space="preserve"> </w:t>
        </w:r>
        <w:r w:rsidR="00C94607" w:rsidRPr="00C94607">
          <w:rPr>
            <w:rFonts w:hint="eastAsia"/>
            <w:b/>
            <w:bCs/>
            <w:color w:val="0000FF"/>
            <w:u w:val="single"/>
            <w:rtl/>
          </w:rPr>
          <w:t>הסמים</w:t>
        </w:r>
        <w:r w:rsidR="00C94607" w:rsidRPr="00C94607">
          <w:rPr>
            <w:b/>
            <w:bCs/>
            <w:color w:val="0000FF"/>
            <w:u w:val="single"/>
            <w:rtl/>
          </w:rPr>
          <w:t xml:space="preserve"> </w:t>
        </w:r>
        <w:r w:rsidR="00C94607" w:rsidRPr="00C94607">
          <w:rPr>
            <w:rFonts w:hint="eastAsia"/>
            <w:b/>
            <w:bCs/>
            <w:color w:val="0000FF"/>
            <w:u w:val="single"/>
            <w:rtl/>
          </w:rPr>
          <w:t>המסוכנים</w:t>
        </w:r>
      </w:hyperlink>
      <w:r w:rsidRPr="00CE1F20">
        <w:rPr>
          <w:rFonts w:hint="cs"/>
          <w:b/>
          <w:bCs/>
          <w:u w:val="single"/>
          <w:rtl/>
        </w:rPr>
        <w:t>:</w:t>
      </w:r>
    </w:p>
    <w:p w14:paraId="51E1E994" w14:textId="77777777" w:rsidR="00DD154A" w:rsidRPr="00C4095B" w:rsidRDefault="00DD154A" w:rsidP="00DD154A">
      <w:pPr>
        <w:numPr>
          <w:ilvl w:val="0"/>
          <w:numId w:val="2"/>
        </w:numPr>
        <w:spacing w:after="120" w:line="360" w:lineRule="auto"/>
        <w:ind w:left="360"/>
        <w:jc w:val="both"/>
        <w:rPr>
          <w:rFonts w:ascii="Tahoma" w:hAnsi="Tahoma"/>
        </w:rPr>
      </w:pPr>
      <w:r>
        <w:rPr>
          <w:rFonts w:hint="cs"/>
          <w:rtl/>
        </w:rPr>
        <w:t xml:space="preserve">בתיק העיקרי, בהודעה לבית המשפט שבסיפא לכתב האישום המתוקן, נאמר כי בהתאם להוראות </w:t>
      </w:r>
      <w:hyperlink r:id="rId40" w:history="1">
        <w:r w:rsidR="00721623" w:rsidRPr="00721623">
          <w:rPr>
            <w:rStyle w:val="Hyperlink"/>
            <w:rFonts w:hint="eastAsia"/>
            <w:rtl/>
          </w:rPr>
          <w:t>סעיף</w:t>
        </w:r>
        <w:r w:rsidR="00721623" w:rsidRPr="00721623">
          <w:rPr>
            <w:rStyle w:val="Hyperlink"/>
            <w:rtl/>
          </w:rPr>
          <w:t xml:space="preserve"> 36א(א)</w:t>
        </w:r>
      </w:hyperlink>
      <w:r>
        <w:rPr>
          <w:rFonts w:hint="cs"/>
          <w:rtl/>
        </w:rPr>
        <w:t xml:space="preserve"> </w:t>
      </w:r>
      <w:hyperlink r:id="rId41" w:history="1">
        <w:r w:rsidR="00721623" w:rsidRPr="00721623">
          <w:rPr>
            <w:rStyle w:val="Hyperlink"/>
            <w:rFonts w:hint="eastAsia"/>
            <w:rtl/>
          </w:rPr>
          <w:t>וסעיף</w:t>
        </w:r>
        <w:r w:rsidR="00721623" w:rsidRPr="00721623">
          <w:rPr>
            <w:rStyle w:val="Hyperlink"/>
            <w:rtl/>
          </w:rPr>
          <w:t xml:space="preserve"> 36א(ב)</w:t>
        </w:r>
      </w:hyperlink>
      <w:r>
        <w:rPr>
          <w:rFonts w:hint="cs"/>
          <w:rtl/>
        </w:rPr>
        <w:t xml:space="preserve"> ל</w:t>
      </w:r>
      <w:hyperlink r:id="rId42" w:history="1">
        <w:r w:rsidR="00C94607" w:rsidRPr="00C94607">
          <w:rPr>
            <w:color w:val="0000FF"/>
            <w:u w:val="single"/>
            <w:rtl/>
          </w:rPr>
          <w:t>פקודת הסמים המסוכנים</w:t>
        </w:r>
      </w:hyperlink>
      <w:r>
        <w:rPr>
          <w:rFonts w:hint="cs"/>
          <w:rtl/>
        </w:rPr>
        <w:t>, "</w:t>
      </w:r>
      <w:r w:rsidRPr="00B36A37">
        <w:rPr>
          <w:rFonts w:hint="cs"/>
          <w:b/>
          <w:bCs/>
          <w:rtl/>
        </w:rPr>
        <w:t>מבקשת המאשימה מבית המשפט לקבוע כי הנאשם הינו סוחר סמים ולחלט את המוצג, סכום כסף בסך 2,850 ₪</w:t>
      </w:r>
      <w:r>
        <w:rPr>
          <w:rFonts w:hint="cs"/>
          <w:rtl/>
        </w:rPr>
        <w:t>".</w:t>
      </w:r>
    </w:p>
    <w:p w14:paraId="62CAADBA" w14:textId="77777777" w:rsidR="00DD154A" w:rsidRPr="00E901ED" w:rsidRDefault="00DD154A" w:rsidP="00DD154A">
      <w:pPr>
        <w:numPr>
          <w:ilvl w:val="0"/>
          <w:numId w:val="2"/>
        </w:numPr>
        <w:spacing w:after="120" w:line="360" w:lineRule="auto"/>
        <w:ind w:left="360"/>
        <w:jc w:val="both"/>
        <w:rPr>
          <w:rFonts w:ascii="Tahoma" w:hAnsi="Tahoma"/>
        </w:rPr>
      </w:pPr>
      <w:r>
        <w:rPr>
          <w:rFonts w:hint="cs"/>
          <w:rtl/>
        </w:rPr>
        <w:t>הוראות החילוט האמורות שב</w:t>
      </w:r>
      <w:hyperlink r:id="rId43" w:history="1">
        <w:r w:rsidR="00C94607" w:rsidRPr="00C94607">
          <w:rPr>
            <w:color w:val="0000FF"/>
            <w:u w:val="single"/>
            <w:rtl/>
          </w:rPr>
          <w:t>פקודת הסמים המסוכנים</w:t>
        </w:r>
      </w:hyperlink>
      <w:r>
        <w:rPr>
          <w:rFonts w:hint="cs"/>
          <w:rtl/>
        </w:rPr>
        <w:t xml:space="preserve"> קובעות שתי חלופות שונות לחילוט רכוש בהליך פלילי, במקרים בהם נאשם הורשע בעבירה של "</w:t>
      </w:r>
      <w:r w:rsidRPr="00B36A37">
        <w:rPr>
          <w:rFonts w:hint="cs"/>
          <w:b/>
          <w:bCs/>
          <w:rtl/>
        </w:rPr>
        <w:t>עסקת סמים</w:t>
      </w:r>
      <w:r>
        <w:rPr>
          <w:rFonts w:hint="cs"/>
          <w:rtl/>
        </w:rPr>
        <w:t xml:space="preserve">" (עבירה זו אינה בהכרח עבירת סחר, שכן </w:t>
      </w:r>
      <w:hyperlink r:id="rId44" w:history="1">
        <w:r w:rsidR="00721623" w:rsidRPr="00721623">
          <w:rPr>
            <w:rStyle w:val="Hyperlink"/>
            <w:rFonts w:hint="eastAsia"/>
            <w:rtl/>
          </w:rPr>
          <w:t>בסעיף</w:t>
        </w:r>
        <w:r w:rsidR="00721623" w:rsidRPr="00721623">
          <w:rPr>
            <w:rStyle w:val="Hyperlink"/>
            <w:rtl/>
          </w:rPr>
          <w:t xml:space="preserve"> 1</w:t>
        </w:r>
      </w:hyperlink>
      <w:r>
        <w:rPr>
          <w:rFonts w:hint="cs"/>
          <w:rtl/>
        </w:rPr>
        <w:t xml:space="preserve"> לפקודה היא מוגדרת ככל עבירה לפי הפקודה שעונשה מאסר עשרים שנה או יותר); וזאת כלהלן:</w:t>
      </w:r>
    </w:p>
    <w:p w14:paraId="1477A60B" w14:textId="77777777" w:rsidR="00DD154A" w:rsidRDefault="00DD154A" w:rsidP="00DD154A">
      <w:pPr>
        <w:spacing w:after="120" w:line="360" w:lineRule="auto"/>
        <w:ind w:left="720"/>
        <w:jc w:val="both"/>
        <w:rPr>
          <w:rFonts w:ascii="Tahoma" w:hAnsi="Tahoma"/>
        </w:rPr>
      </w:pPr>
      <w:r w:rsidRPr="00B36A37">
        <w:rPr>
          <w:rFonts w:ascii="Tahoma" w:hAnsi="Tahoma" w:hint="cs"/>
          <w:b/>
          <w:bCs/>
          <w:rtl/>
        </w:rPr>
        <w:t xml:space="preserve">חלופת החילוט </w:t>
      </w:r>
      <w:r>
        <w:rPr>
          <w:rFonts w:ascii="Tahoma" w:hAnsi="Tahoma" w:hint="cs"/>
          <w:b/>
          <w:bCs/>
          <w:rtl/>
        </w:rPr>
        <w:t xml:space="preserve">הראשונה, לפי </w:t>
      </w:r>
      <w:r w:rsidRPr="00B36A37">
        <w:rPr>
          <w:rFonts w:ascii="Tahoma" w:hAnsi="Tahoma" w:hint="cs"/>
          <w:b/>
          <w:bCs/>
          <w:rtl/>
        </w:rPr>
        <w:t xml:space="preserve">הוראות </w:t>
      </w:r>
      <w:hyperlink r:id="rId45" w:history="1">
        <w:r w:rsidR="00721623" w:rsidRPr="00721623">
          <w:rPr>
            <w:rStyle w:val="Hyperlink"/>
            <w:rFonts w:ascii="Tahoma" w:hAnsi="Tahoma" w:hint="eastAsia"/>
            <w:b/>
            <w:bCs/>
            <w:rtl/>
          </w:rPr>
          <w:t>סעיף</w:t>
        </w:r>
        <w:r w:rsidR="00721623" w:rsidRPr="00721623">
          <w:rPr>
            <w:rStyle w:val="Hyperlink"/>
            <w:rFonts w:ascii="Tahoma" w:hAnsi="Tahoma"/>
            <w:b/>
            <w:bCs/>
            <w:rtl/>
          </w:rPr>
          <w:t xml:space="preserve"> 36א(א)</w:t>
        </w:r>
      </w:hyperlink>
      <w:r w:rsidRPr="00B36A37">
        <w:rPr>
          <w:rFonts w:ascii="Tahoma" w:hAnsi="Tahoma" w:hint="cs"/>
          <w:b/>
          <w:bCs/>
          <w:rtl/>
        </w:rPr>
        <w:t xml:space="preserve"> </w:t>
      </w:r>
      <w:r w:rsidRPr="00B36A37">
        <w:rPr>
          <w:rFonts w:ascii="Tahoma" w:hAnsi="Tahoma"/>
          <w:b/>
          <w:bCs/>
          <w:rtl/>
        </w:rPr>
        <w:t>–</w:t>
      </w:r>
      <w:r>
        <w:rPr>
          <w:rFonts w:ascii="Tahoma" w:hAnsi="Tahoma" w:hint="cs"/>
          <w:rtl/>
        </w:rPr>
        <w:t xml:space="preserve"> חלופה זו </w:t>
      </w:r>
      <w:r w:rsidRPr="0086716B">
        <w:rPr>
          <w:rFonts w:ascii="Tahoma" w:hAnsi="Tahoma" w:hint="cs"/>
          <w:rtl/>
        </w:rPr>
        <w:t xml:space="preserve">קובעת כי לאחר הרשעה </w:t>
      </w:r>
      <w:r>
        <w:rPr>
          <w:rFonts w:ascii="Tahoma" w:hAnsi="Tahoma" w:hint="cs"/>
          <w:rtl/>
        </w:rPr>
        <w:t xml:space="preserve">בעבירה של עסקת סמים </w:t>
      </w:r>
      <w:r w:rsidRPr="0086716B">
        <w:rPr>
          <w:rFonts w:ascii="Tahoma" w:hAnsi="Tahoma" w:hint="cs"/>
          <w:rtl/>
        </w:rPr>
        <w:t xml:space="preserve">יצווה בית המשפט, למעט מנימוקים מיוחדים, </w:t>
      </w:r>
      <w:r w:rsidRPr="0086716B">
        <w:rPr>
          <w:rFonts w:ascii="Tahoma" w:hAnsi="Tahoma"/>
          <w:rtl/>
        </w:rPr>
        <w:t>כי בנוסף לכל עונש יחולט לאוצר המדינה כל רכוש</w:t>
      </w:r>
      <w:r>
        <w:rPr>
          <w:rFonts w:ascii="Tahoma" w:hAnsi="Tahoma" w:hint="cs"/>
          <w:rtl/>
        </w:rPr>
        <w:t xml:space="preserve"> </w:t>
      </w:r>
      <w:r w:rsidRPr="0086716B">
        <w:rPr>
          <w:rFonts w:ascii="Tahoma" w:hAnsi="Tahoma" w:hint="cs"/>
          <w:rtl/>
        </w:rPr>
        <w:t>"</w:t>
      </w:r>
      <w:r w:rsidRPr="00B36A37">
        <w:rPr>
          <w:rFonts w:ascii="Tahoma" w:hAnsi="Tahoma"/>
          <w:b/>
          <w:bCs/>
          <w:rtl/>
        </w:rPr>
        <w:t>ששימש או נועד לשמש כאמצעי לביצוע העבירה או ששימש או נועד לשמש כדי לאפשר את ביצוע העבירה</w:t>
      </w:r>
      <w:r>
        <w:rPr>
          <w:rFonts w:ascii="Tahoma" w:hAnsi="Tahoma" w:hint="cs"/>
          <w:rtl/>
        </w:rPr>
        <w:t>", או רכוש "</w:t>
      </w:r>
      <w:r w:rsidRPr="00B36A37">
        <w:rPr>
          <w:rFonts w:ascii="Tahoma" w:hAnsi="Tahoma"/>
          <w:b/>
          <w:bCs/>
          <w:rtl/>
        </w:rPr>
        <w:t>שהושג, במישרין או בעקיפין, כשכר העבירה או כתוצאה מביצוע העבירה, או שיועד לכך</w:t>
      </w:r>
      <w:r>
        <w:rPr>
          <w:rFonts w:ascii="Tahoma" w:hAnsi="Tahoma" w:hint="cs"/>
          <w:rtl/>
        </w:rPr>
        <w:t>".</w:t>
      </w:r>
    </w:p>
    <w:p w14:paraId="4D29B5EF" w14:textId="77777777" w:rsidR="00DD154A" w:rsidRDefault="00DD154A" w:rsidP="00DD154A">
      <w:pPr>
        <w:spacing w:after="120" w:line="360" w:lineRule="auto"/>
        <w:ind w:left="720"/>
        <w:jc w:val="both"/>
        <w:rPr>
          <w:rFonts w:ascii="Tahoma" w:hAnsi="Tahoma"/>
        </w:rPr>
      </w:pPr>
      <w:r w:rsidRPr="00205A20">
        <w:rPr>
          <w:rFonts w:ascii="Tahoma" w:hAnsi="Tahoma" w:hint="cs"/>
          <w:b/>
          <w:bCs/>
          <w:rtl/>
        </w:rPr>
        <w:t xml:space="preserve">חלופת החילוט </w:t>
      </w:r>
      <w:r>
        <w:rPr>
          <w:rFonts w:ascii="Tahoma" w:hAnsi="Tahoma" w:hint="cs"/>
          <w:b/>
          <w:bCs/>
          <w:rtl/>
        </w:rPr>
        <w:t xml:space="preserve">השנייה, לפי </w:t>
      </w:r>
      <w:r w:rsidRPr="00205A20">
        <w:rPr>
          <w:rFonts w:ascii="Tahoma" w:hAnsi="Tahoma" w:hint="cs"/>
          <w:b/>
          <w:bCs/>
          <w:rtl/>
        </w:rPr>
        <w:t xml:space="preserve">הוראות </w:t>
      </w:r>
      <w:hyperlink r:id="rId46" w:history="1">
        <w:r w:rsidR="00721623" w:rsidRPr="00721623">
          <w:rPr>
            <w:rStyle w:val="Hyperlink"/>
            <w:rFonts w:ascii="Tahoma" w:hAnsi="Tahoma" w:hint="eastAsia"/>
            <w:b/>
            <w:bCs/>
            <w:rtl/>
          </w:rPr>
          <w:t>סעיף</w:t>
        </w:r>
        <w:r w:rsidR="00721623" w:rsidRPr="00721623">
          <w:rPr>
            <w:rStyle w:val="Hyperlink"/>
            <w:rFonts w:ascii="Tahoma" w:hAnsi="Tahoma"/>
            <w:b/>
            <w:bCs/>
            <w:rtl/>
          </w:rPr>
          <w:t xml:space="preserve"> 36א(ב)</w:t>
        </w:r>
      </w:hyperlink>
      <w:r w:rsidRPr="00205A20">
        <w:rPr>
          <w:rFonts w:ascii="Tahoma" w:hAnsi="Tahoma" w:hint="cs"/>
          <w:b/>
          <w:bCs/>
          <w:rtl/>
        </w:rPr>
        <w:t xml:space="preserve"> </w:t>
      </w:r>
      <w:r w:rsidRPr="00205A20">
        <w:rPr>
          <w:rFonts w:ascii="Tahoma" w:hAnsi="Tahoma"/>
          <w:b/>
          <w:bCs/>
          <w:rtl/>
        </w:rPr>
        <w:t>–</w:t>
      </w:r>
      <w:r>
        <w:rPr>
          <w:rFonts w:ascii="Tahoma" w:hAnsi="Tahoma" w:hint="cs"/>
          <w:rtl/>
        </w:rPr>
        <w:t xml:space="preserve"> היא החלופה הרחבה יותר, מבחינת הרכוש שאותו ניתן לחלט במסגרתה, נוכח החזקה המרחיבה הקבועה בהוראות </w:t>
      </w:r>
      <w:hyperlink r:id="rId47" w:history="1">
        <w:r w:rsidR="00721623" w:rsidRPr="00721623">
          <w:rPr>
            <w:rStyle w:val="Hyperlink"/>
            <w:rFonts w:ascii="Tahoma" w:hAnsi="Tahoma" w:hint="eastAsia"/>
            <w:rtl/>
          </w:rPr>
          <w:t>סעיף</w:t>
        </w:r>
        <w:r w:rsidR="00721623" w:rsidRPr="00721623">
          <w:rPr>
            <w:rStyle w:val="Hyperlink"/>
            <w:rFonts w:ascii="Tahoma" w:hAnsi="Tahoma"/>
            <w:rtl/>
          </w:rPr>
          <w:t xml:space="preserve"> 31(6)</w:t>
        </w:r>
      </w:hyperlink>
      <w:r>
        <w:rPr>
          <w:rFonts w:ascii="Tahoma" w:hAnsi="Tahoma" w:hint="cs"/>
          <w:rtl/>
        </w:rPr>
        <w:t xml:space="preserve"> לפקודה. על פי תנאי חלופה זו, </w:t>
      </w:r>
      <w:r w:rsidRPr="00C1494C">
        <w:rPr>
          <w:rFonts w:ascii="Tahoma" w:hAnsi="Tahoma"/>
          <w:rtl/>
        </w:rPr>
        <w:t>"</w:t>
      </w:r>
      <w:r w:rsidRPr="00C1494C">
        <w:rPr>
          <w:rFonts w:ascii="Tahoma" w:hAnsi="Tahoma"/>
          <w:b/>
          <w:bCs/>
          <w:rtl/>
        </w:rPr>
        <w:t>בית המשפט שהרשיע אדם בעבירה של עסקת סמים והוכח לו כי הנידון הפיק רווח מעבירה של עסקת סמים או שהיה אמור להפיק רווח מעבירה</w:t>
      </w:r>
      <w:r w:rsidRPr="00C1494C">
        <w:rPr>
          <w:rFonts w:ascii="Tahoma" w:hAnsi="Tahoma" w:hint="cs"/>
          <w:b/>
          <w:bCs/>
          <w:rtl/>
        </w:rPr>
        <w:t xml:space="preserve"> </w:t>
      </w:r>
      <w:r w:rsidRPr="00C1494C">
        <w:rPr>
          <w:rFonts w:ascii="Tahoma" w:hAnsi="Tahoma"/>
          <w:b/>
          <w:bCs/>
          <w:rtl/>
        </w:rPr>
        <w:t>יקבע בהכרעת הדין, על פי בקשת ת</w:t>
      </w:r>
      <w:r w:rsidRPr="00205A20">
        <w:rPr>
          <w:rFonts w:ascii="Tahoma" w:hAnsi="Tahoma"/>
          <w:b/>
          <w:bCs/>
          <w:rtl/>
        </w:rPr>
        <w:t>ובע, שהנידון הוא סוחר סמים ומשעשה כן – יצווה בגזר הדין, כי בנוסף לכל עונש יחולט לאוצר המדינה</w:t>
      </w:r>
      <w:r>
        <w:rPr>
          <w:rFonts w:ascii="Tahoma" w:hAnsi="Tahoma" w:hint="cs"/>
          <w:b/>
          <w:bCs/>
          <w:rtl/>
        </w:rPr>
        <w:t>...</w:t>
      </w:r>
      <w:r>
        <w:rPr>
          <w:rFonts w:ascii="Tahoma" w:hAnsi="Tahoma" w:hint="cs"/>
          <w:rtl/>
        </w:rPr>
        <w:t>" רכוש הנאשם (בהתאם להוראות החזקה הנ"ל, ובהיעדר נימוקים מיוחדים לחרוג מכך).</w:t>
      </w:r>
    </w:p>
    <w:p w14:paraId="543565AB" w14:textId="77777777" w:rsidR="00DD154A" w:rsidRPr="00205A20" w:rsidRDefault="00DD154A" w:rsidP="00DD154A">
      <w:pPr>
        <w:numPr>
          <w:ilvl w:val="0"/>
          <w:numId w:val="2"/>
        </w:numPr>
        <w:spacing w:after="120" w:line="360" w:lineRule="auto"/>
        <w:ind w:left="360"/>
        <w:jc w:val="both"/>
        <w:rPr>
          <w:rFonts w:ascii="Tahoma" w:hAnsi="Tahoma"/>
        </w:rPr>
      </w:pPr>
      <w:r w:rsidRPr="00205A20">
        <w:rPr>
          <w:rFonts w:ascii="Tahoma" w:hAnsi="Tahoma" w:hint="cs"/>
          <w:rtl/>
        </w:rPr>
        <w:t>הנה כי כן, חילוט רכוש</w:t>
      </w:r>
      <w:r>
        <w:rPr>
          <w:rFonts w:ascii="Tahoma" w:hAnsi="Tahoma" w:hint="cs"/>
          <w:rtl/>
        </w:rPr>
        <w:t>ו</w:t>
      </w:r>
      <w:r w:rsidRPr="00205A20">
        <w:rPr>
          <w:rFonts w:ascii="Tahoma" w:hAnsi="Tahoma" w:hint="cs"/>
          <w:rtl/>
        </w:rPr>
        <w:t xml:space="preserve"> </w:t>
      </w:r>
      <w:r>
        <w:rPr>
          <w:rFonts w:ascii="Tahoma" w:hAnsi="Tahoma" w:hint="cs"/>
          <w:rtl/>
        </w:rPr>
        <w:t xml:space="preserve">של נאשם </w:t>
      </w:r>
      <w:r w:rsidRPr="00205A20">
        <w:rPr>
          <w:rFonts w:ascii="Tahoma" w:hAnsi="Tahoma" w:hint="cs"/>
          <w:rtl/>
        </w:rPr>
        <w:t xml:space="preserve">לפי שתי החלופות האמורות </w:t>
      </w:r>
      <w:r>
        <w:rPr>
          <w:rFonts w:ascii="Tahoma" w:hAnsi="Tahoma" w:hint="cs"/>
          <w:rtl/>
        </w:rPr>
        <w:t>שב</w:t>
      </w:r>
      <w:hyperlink r:id="rId48" w:history="1">
        <w:r w:rsidR="00C94607" w:rsidRPr="00C94607">
          <w:rPr>
            <w:rFonts w:ascii="Tahoma" w:hAnsi="Tahoma"/>
            <w:color w:val="0000FF"/>
            <w:u w:val="single"/>
            <w:rtl/>
          </w:rPr>
          <w:t>פקודת הסמים המסוכנים</w:t>
        </w:r>
      </w:hyperlink>
      <w:r>
        <w:rPr>
          <w:rFonts w:ascii="Tahoma" w:hAnsi="Tahoma" w:hint="cs"/>
          <w:rtl/>
        </w:rPr>
        <w:t xml:space="preserve"> </w:t>
      </w:r>
      <w:r w:rsidRPr="00205A20">
        <w:rPr>
          <w:rFonts w:ascii="Tahoma" w:hAnsi="Tahoma" w:hint="cs"/>
          <w:rtl/>
        </w:rPr>
        <w:t>מותנה בהוכחת תשתית עובדתית מסוימת</w:t>
      </w:r>
      <w:r>
        <w:rPr>
          <w:rFonts w:ascii="Tahoma" w:hAnsi="Tahoma" w:hint="cs"/>
          <w:rtl/>
        </w:rPr>
        <w:t xml:space="preserve"> וממילא כפוף לה</w:t>
      </w:r>
      <w:r w:rsidRPr="00205A20">
        <w:rPr>
          <w:rFonts w:ascii="Tahoma" w:hAnsi="Tahoma" w:hint="cs"/>
          <w:rtl/>
        </w:rPr>
        <w:t xml:space="preserve">: </w:t>
      </w:r>
      <w:r w:rsidRPr="00CD3B4D">
        <w:rPr>
          <w:rFonts w:ascii="Tahoma" w:hAnsi="Tahoma" w:hint="cs"/>
          <w:b/>
          <w:bCs/>
          <w:rtl/>
        </w:rPr>
        <w:t>בחלופה הראשונה</w:t>
      </w:r>
      <w:r w:rsidRPr="00205A20">
        <w:rPr>
          <w:rFonts w:ascii="Tahoma" w:hAnsi="Tahoma" w:hint="cs"/>
          <w:rtl/>
        </w:rPr>
        <w:t xml:space="preserve"> </w:t>
      </w:r>
      <w:r w:rsidRPr="00205A20">
        <w:rPr>
          <w:rFonts w:ascii="Tahoma" w:hAnsi="Tahoma"/>
          <w:rtl/>
        </w:rPr>
        <w:t>–</w:t>
      </w:r>
      <w:r w:rsidRPr="00205A20">
        <w:rPr>
          <w:rFonts w:ascii="Tahoma" w:hAnsi="Tahoma" w:hint="cs"/>
          <w:rtl/>
        </w:rPr>
        <w:t xml:space="preserve"> </w:t>
      </w:r>
      <w:r>
        <w:rPr>
          <w:rFonts w:ascii="Tahoma" w:hAnsi="Tahoma" w:hint="cs"/>
          <w:rtl/>
        </w:rPr>
        <w:t xml:space="preserve">בהוכחה </w:t>
      </w:r>
      <w:r w:rsidRPr="00205A20">
        <w:rPr>
          <w:rFonts w:ascii="Tahoma" w:hAnsi="Tahoma" w:hint="cs"/>
          <w:rtl/>
        </w:rPr>
        <w:t>כי הרכוש שנתפס שימש לביצוע עבירה של עסקת סמים או נועד לכך, או נתקבל כתוצאה מביצוע העבירה; ו</w:t>
      </w:r>
      <w:r w:rsidRPr="00CD3B4D">
        <w:rPr>
          <w:rFonts w:ascii="Tahoma" w:hAnsi="Tahoma" w:hint="cs"/>
          <w:b/>
          <w:bCs/>
          <w:rtl/>
        </w:rPr>
        <w:t>בחלופה השנייה</w:t>
      </w:r>
      <w:r w:rsidRPr="00205A20">
        <w:rPr>
          <w:rFonts w:ascii="Tahoma" w:hAnsi="Tahoma" w:hint="cs"/>
          <w:rtl/>
        </w:rPr>
        <w:t xml:space="preserve"> </w:t>
      </w:r>
      <w:r w:rsidRPr="00205A20">
        <w:rPr>
          <w:rFonts w:ascii="Tahoma" w:hAnsi="Tahoma"/>
          <w:rtl/>
        </w:rPr>
        <w:t>–</w:t>
      </w:r>
      <w:r w:rsidRPr="00205A20">
        <w:rPr>
          <w:rFonts w:ascii="Tahoma" w:hAnsi="Tahoma" w:hint="cs"/>
          <w:rtl/>
        </w:rPr>
        <w:t xml:space="preserve"> </w:t>
      </w:r>
      <w:r>
        <w:rPr>
          <w:rFonts w:ascii="Tahoma" w:hAnsi="Tahoma" w:hint="cs"/>
          <w:rtl/>
        </w:rPr>
        <w:t xml:space="preserve">בהוכחה </w:t>
      </w:r>
      <w:r w:rsidRPr="00205A20">
        <w:rPr>
          <w:rFonts w:ascii="Tahoma" w:hAnsi="Tahoma" w:hint="cs"/>
          <w:rtl/>
        </w:rPr>
        <w:t xml:space="preserve">כי הנאשם </w:t>
      </w:r>
      <w:r w:rsidRPr="00205A20">
        <w:rPr>
          <w:rFonts w:ascii="Tahoma" w:hAnsi="Tahoma"/>
          <w:rtl/>
        </w:rPr>
        <w:t xml:space="preserve">הפיק רווח </w:t>
      </w:r>
      <w:r w:rsidRPr="00205A20">
        <w:rPr>
          <w:rFonts w:ascii="Tahoma" w:hAnsi="Tahoma" w:hint="cs"/>
          <w:rtl/>
        </w:rPr>
        <w:t xml:space="preserve">או אמור היה </w:t>
      </w:r>
      <w:r w:rsidRPr="00205A20">
        <w:rPr>
          <w:rFonts w:ascii="Tahoma" w:hAnsi="Tahoma"/>
          <w:rtl/>
        </w:rPr>
        <w:t>להפיק רווח מ</w:t>
      </w:r>
      <w:r>
        <w:rPr>
          <w:rFonts w:ascii="Tahoma" w:hAnsi="Tahoma" w:hint="cs"/>
          <w:rtl/>
        </w:rPr>
        <w:t xml:space="preserve">ביצוע </w:t>
      </w:r>
      <w:r w:rsidRPr="00205A20">
        <w:rPr>
          <w:rFonts w:ascii="Tahoma" w:hAnsi="Tahoma" w:hint="cs"/>
          <w:rtl/>
        </w:rPr>
        <w:t>עבירה</w:t>
      </w:r>
      <w:r>
        <w:rPr>
          <w:rFonts w:ascii="Tahoma" w:hAnsi="Tahoma" w:hint="cs"/>
          <w:rtl/>
        </w:rPr>
        <w:t xml:space="preserve"> של עסקת סמים.</w:t>
      </w:r>
    </w:p>
    <w:p w14:paraId="1F8A34C7" w14:textId="77777777" w:rsidR="00DD154A" w:rsidRDefault="00DD154A" w:rsidP="00DD154A">
      <w:pPr>
        <w:numPr>
          <w:ilvl w:val="0"/>
          <w:numId w:val="2"/>
        </w:numPr>
        <w:spacing w:after="120" w:line="360" w:lineRule="auto"/>
        <w:ind w:left="360"/>
        <w:jc w:val="both"/>
        <w:rPr>
          <w:rFonts w:ascii="Tahoma" w:hAnsi="Tahoma"/>
        </w:rPr>
      </w:pPr>
      <w:r>
        <w:rPr>
          <w:rFonts w:ascii="Tahoma" w:hAnsi="Tahoma" w:hint="cs"/>
          <w:rtl/>
        </w:rPr>
        <w:t xml:space="preserve">במקרה דנא עסקינן בהרשעה שניתנה על יסוד הודאת הנאשם (במסגרת הסדר הטיעון) וממילא העובדות שהוכחו לפניי הן אך ורק העובדות שנטענו בכתבי האישום. עובדות אלה </w:t>
      </w:r>
      <w:r>
        <w:rPr>
          <w:rFonts w:ascii="Tahoma" w:hAnsi="Tahoma"/>
          <w:rtl/>
        </w:rPr>
        <w:t>–</w:t>
      </w:r>
      <w:r>
        <w:rPr>
          <w:rFonts w:ascii="Tahoma" w:hAnsi="Tahoma" w:hint="cs"/>
          <w:rtl/>
        </w:rPr>
        <w:t xml:space="preserve"> בכתב האישום הרלוואנטי, דהיינו כתב האישום המתוקן בתיק העיקרי </w:t>
      </w:r>
      <w:r>
        <w:rPr>
          <w:rFonts w:ascii="Tahoma" w:hAnsi="Tahoma"/>
          <w:rtl/>
        </w:rPr>
        <w:t>–</w:t>
      </w:r>
      <w:r>
        <w:rPr>
          <w:rFonts w:ascii="Tahoma" w:hAnsi="Tahoma" w:hint="cs"/>
          <w:rtl/>
        </w:rPr>
        <w:t xml:space="preserve"> אינן כוללות התייחסות כלשהי לתשתית העובדתית הנדרשת ולו לאחת מהחלופות הנ"ל. ברור אפוא כי בנסיבות אלה אין אפשרות משפטית להורות על החילוט המתבקש, שהרי העובדות בהן הודה הנאשם אינן מגבשות את התשתית העובדתית הנדרשת למתן החלטת החילוט.</w:t>
      </w:r>
    </w:p>
    <w:p w14:paraId="1417801A" w14:textId="77777777" w:rsidR="00DD154A" w:rsidRPr="00E82C05" w:rsidRDefault="00DD154A" w:rsidP="00DD154A">
      <w:pPr>
        <w:numPr>
          <w:ilvl w:val="0"/>
          <w:numId w:val="2"/>
        </w:numPr>
        <w:spacing w:after="120" w:line="360" w:lineRule="auto"/>
        <w:ind w:left="360"/>
        <w:jc w:val="both"/>
        <w:rPr>
          <w:rFonts w:ascii="Tahoma" w:hAnsi="Tahoma"/>
        </w:rPr>
      </w:pPr>
      <w:r w:rsidRPr="00E82C05">
        <w:rPr>
          <w:rFonts w:ascii="Tahoma" w:hAnsi="Tahoma" w:hint="cs"/>
          <w:rtl/>
        </w:rPr>
        <w:t xml:space="preserve">לא למותר להוסיף ולהדגיש, בהקשר זה, כי התשתית העובדתית הנדרשת לא נטענה לא רק בעובדות כתב האישום המתוקן </w:t>
      </w:r>
      <w:r w:rsidRPr="00E82C05">
        <w:rPr>
          <w:rFonts w:ascii="Tahoma" w:hAnsi="Tahoma"/>
          <w:rtl/>
        </w:rPr>
        <w:t>–</w:t>
      </w:r>
      <w:r w:rsidRPr="00E82C05">
        <w:rPr>
          <w:rFonts w:ascii="Tahoma" w:hAnsi="Tahoma" w:hint="cs"/>
          <w:rtl/>
        </w:rPr>
        <w:t xml:space="preserve"> אלא גם לא נטענה בהודעה שבסיפא לו, כאשר כאמור כל שצוין שם הוא שהמאשימה מבקשת מבית המשפט להורות על חילוט סכום הכסף המזומן בסך של 2,850 ₪.</w:t>
      </w:r>
    </w:p>
    <w:p w14:paraId="649A15B2" w14:textId="77777777" w:rsidR="00DD154A" w:rsidRDefault="00DD154A" w:rsidP="00DD154A">
      <w:pPr>
        <w:numPr>
          <w:ilvl w:val="0"/>
          <w:numId w:val="2"/>
        </w:numPr>
        <w:spacing w:after="120" w:line="360" w:lineRule="auto"/>
        <w:ind w:left="360"/>
        <w:jc w:val="both"/>
        <w:rPr>
          <w:rFonts w:ascii="Tahoma" w:hAnsi="Tahoma"/>
        </w:rPr>
      </w:pPr>
      <w:r>
        <w:rPr>
          <w:rFonts w:ascii="Tahoma" w:hAnsi="Tahoma" w:hint="cs"/>
          <w:rtl/>
        </w:rPr>
        <w:t>ב"כ המאשימה הדגישה בטיעוניה כי מדובר בחילוט שעליו הוסכם במסגרת הסדר הטיעון; אך הסניגור הכחיש את הטענה ואף הפנה לכך שבפרוטוקול הצגת הסדר הטיעון לא נאמר מאומה לעניין החילוט. פשיטא, אפוא, כי בנסיבות אלה לא גובשה לפניי התשתית העובדתית הנדרשת לצורך מתן החלטת חילוט; וממילא לא ניתן להורות על חילוט הסכום שצוין בהודעה לבית המשפט שבסיפא לכתב האישום המתוקן (בתיק העיקרי).</w:t>
      </w:r>
    </w:p>
    <w:p w14:paraId="063F4CF9" w14:textId="77777777" w:rsidR="00DD154A" w:rsidRPr="00CD4208" w:rsidRDefault="00DD154A" w:rsidP="00DD154A">
      <w:pPr>
        <w:spacing w:after="120" w:line="360" w:lineRule="auto"/>
        <w:jc w:val="both"/>
        <w:rPr>
          <w:rFonts w:ascii="Tahoma" w:hAnsi="Tahoma"/>
          <w:rtl/>
        </w:rPr>
      </w:pPr>
    </w:p>
    <w:p w14:paraId="457890DF" w14:textId="77777777" w:rsidR="00DD154A" w:rsidRDefault="00DD154A" w:rsidP="00DD154A">
      <w:pPr>
        <w:pStyle w:val="a9"/>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14:paraId="3D5A9F7E" w14:textId="77777777" w:rsidR="00DD154A" w:rsidRPr="002059D0" w:rsidRDefault="00DD154A" w:rsidP="00DD154A">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58A56E80" w14:textId="77777777" w:rsidR="00DD154A" w:rsidRDefault="00DD154A" w:rsidP="00DD154A">
      <w:pPr>
        <w:spacing w:after="120" w:line="360" w:lineRule="auto"/>
        <w:ind w:left="1080" w:hanging="720"/>
        <w:jc w:val="both"/>
        <w:rPr>
          <w:rFonts w:ascii="Tahoma" w:hAnsi="Tahoma"/>
          <w:rtl/>
        </w:rPr>
      </w:pPr>
      <w:r>
        <w:rPr>
          <w:rFonts w:hint="cs"/>
          <w:rtl/>
        </w:rPr>
        <w:t>(א)</w:t>
      </w:r>
      <w:r>
        <w:rPr>
          <w:rtl/>
        </w:rPr>
        <w:tab/>
      </w:r>
      <w:r>
        <w:rPr>
          <w:rFonts w:hint="cs"/>
          <w:rtl/>
        </w:rPr>
        <w:t xml:space="preserve">7 חודשי מאסר בפועל </w:t>
      </w:r>
      <w:r>
        <w:rPr>
          <w:rtl/>
        </w:rPr>
        <w:t>–</w:t>
      </w:r>
      <w:r>
        <w:rPr>
          <w:rFonts w:hint="cs"/>
          <w:rtl/>
        </w:rPr>
        <w:t xml:space="preserve"> בניכוי ימי מעצרו בתיק העיקרי (התיק שבכותרת) ובתיק המצורף, וזאת בהתאם לרישומי שירות בתי הסוהר.</w:t>
      </w:r>
    </w:p>
    <w:p w14:paraId="5D8D1A83" w14:textId="77777777" w:rsidR="00DD154A" w:rsidRDefault="00DD154A" w:rsidP="00DD154A">
      <w:pPr>
        <w:spacing w:after="120" w:line="360" w:lineRule="auto"/>
        <w:ind w:left="1080" w:hanging="720"/>
        <w:jc w:val="both"/>
        <w:rPr>
          <w:rFonts w:ascii="Tahoma" w:hAnsi="Tahoma"/>
          <w:rtl/>
        </w:rPr>
      </w:pPr>
      <w:r>
        <w:rPr>
          <w:rFonts w:hint="cs"/>
          <w:rtl/>
        </w:rPr>
        <w:t>(ב)</w:t>
      </w:r>
      <w:r>
        <w:rPr>
          <w:rtl/>
        </w:rPr>
        <w:tab/>
      </w:r>
      <w:r>
        <w:rPr>
          <w:rFonts w:hint="cs"/>
          <w:rtl/>
        </w:rPr>
        <w:t xml:space="preserve">מאסר על תנאי למשך 6 חודשים, אותו לא יישא הנאשם אלא אם כן יעבור, תוך שלוש שנים מיום שחרורו מן המאסר, עבירה </w:t>
      </w:r>
      <w:r>
        <w:rPr>
          <w:rFonts w:ascii="Tahoma" w:hAnsi="Tahoma" w:hint="cs"/>
          <w:rtl/>
        </w:rPr>
        <w:t xml:space="preserve">לפי הוראות </w:t>
      </w:r>
      <w:hyperlink r:id="rId49" w:history="1">
        <w:r w:rsidR="00C94607" w:rsidRPr="00C94607">
          <w:rPr>
            <w:rFonts w:ascii="Tahoma" w:hAnsi="Tahoma"/>
            <w:color w:val="0000FF"/>
            <w:u w:val="single"/>
            <w:rtl/>
          </w:rPr>
          <w:t>פקודת הסמים המסוכנים</w:t>
        </w:r>
      </w:hyperlink>
      <w:r>
        <w:rPr>
          <w:rFonts w:ascii="Tahoma" w:hAnsi="Tahoma" w:hint="cs"/>
          <w:rtl/>
        </w:rPr>
        <w:t xml:space="preserve"> מסוג פשע.</w:t>
      </w:r>
    </w:p>
    <w:p w14:paraId="093EF0A8" w14:textId="77777777" w:rsidR="00DD154A" w:rsidRDefault="00DD154A" w:rsidP="00DD154A">
      <w:pPr>
        <w:spacing w:after="120" w:line="360" w:lineRule="auto"/>
        <w:ind w:left="1080" w:hanging="720"/>
        <w:jc w:val="both"/>
        <w:rPr>
          <w:rtl/>
        </w:rPr>
      </w:pPr>
      <w:r>
        <w:rPr>
          <w:rFonts w:hint="cs"/>
          <w:rtl/>
        </w:rPr>
        <w:t>(ג)</w:t>
      </w:r>
      <w:r>
        <w:rPr>
          <w:rtl/>
        </w:rPr>
        <w:tab/>
      </w:r>
      <w:r>
        <w:rPr>
          <w:rFonts w:hint="cs"/>
          <w:rtl/>
        </w:rPr>
        <w:t>קנס בסך של 2,000 ₪, או 10 ימי מאסר תמורתו.</w:t>
      </w:r>
    </w:p>
    <w:p w14:paraId="4EA30112" w14:textId="77777777" w:rsidR="00DD154A" w:rsidRDefault="00DD154A" w:rsidP="00DD154A">
      <w:pPr>
        <w:spacing w:after="120" w:line="360" w:lineRule="auto"/>
        <w:ind w:left="1080"/>
        <w:jc w:val="both"/>
        <w:rPr>
          <w:rFonts w:ascii="Tahoma" w:hAnsi="Tahoma"/>
          <w:rtl/>
        </w:rPr>
      </w:pPr>
      <w:r>
        <w:rPr>
          <w:rFonts w:hint="cs"/>
          <w:rtl/>
        </w:rPr>
        <w:t>הקנס ישולם ב-5 תשלומים חודשיים, שווים ורצופים, החל מיום 01.09.2023 ובכל אחד בחודש שלאחריו. היה והנאשם לא ישלם את אחד התשלומים במועד תועמד כל יתרת הקנס לפירעון מידי.</w:t>
      </w:r>
    </w:p>
    <w:p w14:paraId="5E6CF78A" w14:textId="77777777" w:rsidR="00DD154A" w:rsidRPr="000F4EB6" w:rsidRDefault="00DD154A" w:rsidP="00DD154A">
      <w:pPr>
        <w:spacing w:after="120" w:line="360" w:lineRule="auto"/>
        <w:ind w:left="1080" w:hanging="720"/>
        <w:jc w:val="both"/>
      </w:pPr>
      <w:r>
        <w:rPr>
          <w:rFonts w:hint="cs"/>
          <w:rtl/>
        </w:rPr>
        <w:t>(ד)</w:t>
      </w:r>
      <w:r>
        <w:rPr>
          <w:rtl/>
        </w:rPr>
        <w:tab/>
      </w:r>
      <w:r>
        <w:rPr>
          <w:rFonts w:hint="cs"/>
          <w:rtl/>
        </w:rPr>
        <w:t>פסילה מלקבל או מלהחזיק רישיון נהיגה לתקופה של 7 חודשים, בניכוי הפסילה המנהלית.</w:t>
      </w:r>
    </w:p>
    <w:p w14:paraId="15614778" w14:textId="77777777" w:rsidR="00DD154A" w:rsidRDefault="00DD154A" w:rsidP="00DD154A">
      <w:pPr>
        <w:spacing w:after="120" w:line="360" w:lineRule="auto"/>
        <w:ind w:left="1080" w:hanging="720"/>
        <w:jc w:val="both"/>
        <w:rPr>
          <w:rFonts w:ascii="Tahoma" w:hAnsi="Tahoma"/>
        </w:rPr>
      </w:pPr>
      <w:r>
        <w:rPr>
          <w:rFonts w:hint="cs"/>
          <w:rtl/>
        </w:rPr>
        <w:t>(ה)</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50" w:history="1">
        <w:r w:rsidR="00C94607" w:rsidRPr="00C94607">
          <w:rPr>
            <w:color w:val="0000FF"/>
            <w:u w:val="single"/>
            <w:rtl/>
          </w:rPr>
          <w:t>פקודת הסמים המסוכנים</w:t>
        </w:r>
      </w:hyperlink>
      <w:r>
        <w:rPr>
          <w:rFonts w:hint="cs"/>
          <w:rtl/>
        </w:rPr>
        <w:t>.</w:t>
      </w:r>
    </w:p>
    <w:p w14:paraId="4FFF945E" w14:textId="77777777" w:rsidR="00DD154A" w:rsidRDefault="00DD154A" w:rsidP="00DD154A">
      <w:pPr>
        <w:spacing w:after="120" w:line="360" w:lineRule="auto"/>
        <w:jc w:val="both"/>
        <w:rPr>
          <w:rtl/>
        </w:rPr>
      </w:pPr>
      <w:r w:rsidRPr="00BF022E">
        <w:rPr>
          <w:rtl/>
        </w:rPr>
        <w:t>ככל ש</w:t>
      </w:r>
      <w:r>
        <w:rPr>
          <w:rFonts w:hint="cs"/>
          <w:rtl/>
        </w:rPr>
        <w:t>נותר בתיקי בית המשפט (בתיק העיקרי ובתיק המצורף, או בתיקים קשורים אליהם) פיקדון שהופקד מטעם הנאשם, בהסכמת ההגנה יקוזז הפיקדון לתשלום הקנס, כאשר הנאשם יידרש לשלם רק את יתרת הסכום שתיוותר.</w:t>
      </w:r>
    </w:p>
    <w:p w14:paraId="1AEBC8D2" w14:textId="77777777" w:rsidR="00DD154A" w:rsidRDefault="00DD154A" w:rsidP="00DD154A">
      <w:pPr>
        <w:spacing w:after="120" w:line="360" w:lineRule="auto"/>
        <w:jc w:val="both"/>
        <w:rPr>
          <w:rtl/>
        </w:rPr>
      </w:pPr>
      <w:r>
        <w:rPr>
          <w:rFonts w:hint="cs"/>
          <w:rtl/>
        </w:rPr>
        <w:t>ניתן בזה צו כללי, לעניין מוצגים, לשיקול דעתו של קצין משטרה.</w:t>
      </w:r>
    </w:p>
    <w:p w14:paraId="6283DEA1" w14:textId="77777777" w:rsidR="00DD154A" w:rsidRDefault="00DD154A" w:rsidP="00DD154A">
      <w:pPr>
        <w:spacing w:after="120" w:line="360" w:lineRule="auto"/>
        <w:jc w:val="both"/>
        <w:rPr>
          <w:rtl/>
        </w:rPr>
      </w:pPr>
      <w:r>
        <w:rPr>
          <w:rFonts w:hint="cs"/>
          <w:rtl/>
        </w:rPr>
        <w:t>הכסף המזומן בסכום של 2,850 ₪ שנתפס, כאמור בהודעה שבסיפא לכתב האישום המתוקן בתיק העיקרי, יושב לידי הנאשם או למי מטעמו.</w:t>
      </w:r>
    </w:p>
    <w:p w14:paraId="7800A51F" w14:textId="77777777" w:rsidR="00DD154A" w:rsidRDefault="00DD154A" w:rsidP="00DD154A">
      <w:pPr>
        <w:snapToGrid w:val="0"/>
        <w:spacing w:after="120" w:line="360" w:lineRule="auto"/>
        <w:jc w:val="both"/>
        <w:rPr>
          <w:rtl/>
        </w:rPr>
      </w:pPr>
      <w:r>
        <w:rPr>
          <w:rFonts w:hint="cs"/>
          <w:rtl/>
        </w:rPr>
        <w:t>זכות ערעור בתוך 45 יום מהיום.</w:t>
      </w:r>
    </w:p>
    <w:p w14:paraId="4BCB7FE9" w14:textId="77777777" w:rsidR="00DD154A" w:rsidRPr="00761D70" w:rsidRDefault="00C94607" w:rsidP="00DD154A">
      <w:pPr>
        <w:spacing w:after="120" w:line="360" w:lineRule="auto"/>
        <w:jc w:val="both"/>
        <w:rPr>
          <w:rFonts w:ascii="Tahoma" w:hAnsi="Tahoma"/>
          <w:rtl/>
        </w:rPr>
      </w:pPr>
      <w:r w:rsidRPr="00C94607">
        <w:rPr>
          <w:color w:val="FFFFFF"/>
          <w:sz w:val="2"/>
          <w:szCs w:val="2"/>
          <w:rtl/>
        </w:rPr>
        <w:t>5129371</w:t>
      </w:r>
      <w:r w:rsidR="00DD154A">
        <w:rPr>
          <w:rFonts w:hint="cs"/>
          <w:rtl/>
        </w:rPr>
        <w:t>המזכירות תמציא גזר דין זה לשירות המבחן.</w:t>
      </w:r>
    </w:p>
    <w:p w14:paraId="58F6EBFA" w14:textId="77777777" w:rsidR="00DD154A" w:rsidRPr="00250B83" w:rsidRDefault="00C94607" w:rsidP="00DD154A">
      <w:pPr>
        <w:rPr>
          <w:rtl/>
        </w:rPr>
      </w:pPr>
      <w:bookmarkStart w:id="8" w:name="Nitan"/>
      <w:r w:rsidRPr="00C94607">
        <w:rPr>
          <w:rFonts w:ascii="Arial" w:hAnsi="Arial"/>
          <w:color w:val="FFFFFF"/>
          <w:sz w:val="2"/>
          <w:szCs w:val="2"/>
          <w:rtl/>
        </w:rPr>
        <w:t>54678313</w:t>
      </w:r>
      <w:r>
        <w:rPr>
          <w:rFonts w:ascii="Arial" w:hAnsi="Arial"/>
          <w:rtl/>
        </w:rPr>
        <w:t xml:space="preserve">ניתן היום, א' אב תשפ"ג, 19 יולי 2023, במעמד הצדדים. </w:t>
      </w:r>
      <w:bookmarkEnd w:id="8"/>
    </w:p>
    <w:p w14:paraId="13C7C9F6" w14:textId="77777777" w:rsidR="00DD154A" w:rsidRPr="00250B83" w:rsidRDefault="00DD154A" w:rsidP="00C94607">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729BAAAC" w14:textId="77777777" w:rsidR="00DD154A" w:rsidRPr="00250B83" w:rsidRDefault="00DD154A" w:rsidP="00DD154A">
      <w:pPr>
        <w:jc w:val="center"/>
        <w:rPr>
          <w:rFonts w:ascii="Arial" w:hAnsi="Arial"/>
          <w:rtl/>
        </w:rPr>
      </w:pPr>
    </w:p>
    <w:p w14:paraId="58EF6D30" w14:textId="77777777" w:rsidR="00DD154A" w:rsidRPr="00250B83" w:rsidRDefault="00DD154A" w:rsidP="00DD154A">
      <w:pPr>
        <w:rPr>
          <w:rtl/>
        </w:rPr>
      </w:pPr>
    </w:p>
    <w:p w14:paraId="743CA912" w14:textId="77777777" w:rsidR="00DD154A" w:rsidRDefault="00DD154A" w:rsidP="00DD154A">
      <w:pPr>
        <w:pStyle w:val="a3"/>
        <w:jc w:val="center"/>
        <w:rPr>
          <w:rtl/>
        </w:rPr>
      </w:pPr>
    </w:p>
    <w:p w14:paraId="562F0130" w14:textId="77777777" w:rsidR="0038109A" w:rsidRPr="00C94607" w:rsidRDefault="0038109A" w:rsidP="00C94607">
      <w:pPr>
        <w:keepNext/>
        <w:rPr>
          <w:rFonts w:ascii="David" w:hAnsi="David"/>
          <w:color w:val="000000"/>
          <w:sz w:val="22"/>
          <w:szCs w:val="22"/>
          <w:rtl/>
        </w:rPr>
      </w:pPr>
    </w:p>
    <w:p w14:paraId="644D6CC5" w14:textId="77777777" w:rsidR="00C94607" w:rsidRPr="00C94607" w:rsidRDefault="00C94607" w:rsidP="00C94607">
      <w:pPr>
        <w:keepNext/>
        <w:rPr>
          <w:rFonts w:ascii="David" w:hAnsi="David"/>
          <w:color w:val="000000"/>
          <w:sz w:val="22"/>
          <w:szCs w:val="22"/>
          <w:rtl/>
        </w:rPr>
      </w:pPr>
      <w:r w:rsidRPr="00C94607">
        <w:rPr>
          <w:rFonts w:ascii="David" w:hAnsi="David"/>
          <w:color w:val="000000"/>
          <w:sz w:val="22"/>
          <w:szCs w:val="22"/>
          <w:rtl/>
        </w:rPr>
        <w:t>שאול אבינור 54678313</w:t>
      </w:r>
    </w:p>
    <w:p w14:paraId="0952B5B5" w14:textId="77777777" w:rsidR="00C94607" w:rsidRDefault="00C94607" w:rsidP="00C94607">
      <w:r w:rsidRPr="00C94607">
        <w:rPr>
          <w:color w:val="000000"/>
          <w:rtl/>
        </w:rPr>
        <w:t>נוסח מסמך זה כפוף לשינויי ניסוח ועריכה</w:t>
      </w:r>
    </w:p>
    <w:p w14:paraId="4511A90F" w14:textId="77777777" w:rsidR="00C94607" w:rsidRDefault="00C94607" w:rsidP="00C94607">
      <w:pPr>
        <w:rPr>
          <w:rtl/>
        </w:rPr>
      </w:pPr>
    </w:p>
    <w:p w14:paraId="518F8927" w14:textId="77777777" w:rsidR="00C94607" w:rsidRDefault="00C94607" w:rsidP="00C94607">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0A8D7BCE" w14:textId="77777777" w:rsidR="00C94607" w:rsidRPr="00C94607" w:rsidRDefault="00C94607" w:rsidP="00C94607">
      <w:pPr>
        <w:jc w:val="center"/>
        <w:rPr>
          <w:color w:val="0000FF"/>
          <w:u w:val="single"/>
        </w:rPr>
      </w:pPr>
    </w:p>
    <w:sectPr w:rsidR="00C94607" w:rsidRPr="00C94607" w:rsidSect="00C94607">
      <w:headerReference w:type="even" r:id="rId52"/>
      <w:headerReference w:type="default" r:id="rId53"/>
      <w:footerReference w:type="even" r:id="rId54"/>
      <w:footerReference w:type="default" r:id="rId55"/>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20B6B" w14:textId="77777777" w:rsidR="00CC4673" w:rsidRDefault="00CC4673" w:rsidP="00F309FF">
      <w:r>
        <w:separator/>
      </w:r>
    </w:p>
  </w:endnote>
  <w:endnote w:type="continuationSeparator" w:id="0">
    <w:p w14:paraId="7161B9E3" w14:textId="77777777" w:rsidR="00CC4673" w:rsidRDefault="00CC4673" w:rsidP="00F30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4B98F" w14:textId="77777777" w:rsidR="00C94607" w:rsidRDefault="00C94607" w:rsidP="00C9460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17F6EDA" w14:textId="77777777" w:rsidR="00BE3405" w:rsidRPr="00C94607" w:rsidRDefault="00C94607" w:rsidP="00C9460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BB9D0" w14:textId="77777777" w:rsidR="00C94607" w:rsidRDefault="00C94607" w:rsidP="00C9460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16AB">
      <w:rPr>
        <w:rFonts w:ascii="FrankRuehl" w:hAnsi="FrankRuehl" w:cs="FrankRuehl"/>
        <w:noProof/>
        <w:rtl/>
      </w:rPr>
      <w:t>1</w:t>
    </w:r>
    <w:r>
      <w:rPr>
        <w:rFonts w:ascii="FrankRuehl" w:hAnsi="FrankRuehl" w:cs="FrankRuehl"/>
        <w:rtl/>
      </w:rPr>
      <w:fldChar w:fldCharType="end"/>
    </w:r>
  </w:p>
  <w:p w14:paraId="243435D5" w14:textId="77777777" w:rsidR="00BE3405" w:rsidRPr="00C94607" w:rsidRDefault="00C94607" w:rsidP="00C9460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688B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BF072" w14:textId="77777777" w:rsidR="00CC4673" w:rsidRDefault="00CC4673" w:rsidP="00F309FF">
      <w:r>
        <w:separator/>
      </w:r>
    </w:p>
  </w:footnote>
  <w:footnote w:type="continuationSeparator" w:id="0">
    <w:p w14:paraId="622CFCE4" w14:textId="77777777" w:rsidR="00CC4673" w:rsidRDefault="00CC4673" w:rsidP="00F30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70CCB" w14:textId="77777777" w:rsidR="00C94607" w:rsidRPr="00C94607" w:rsidRDefault="00C94607" w:rsidP="00C9460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18353-12-19</w:t>
    </w:r>
    <w:r>
      <w:rPr>
        <w:rFonts w:ascii="David" w:hAnsi="David"/>
        <w:color w:val="000000"/>
        <w:sz w:val="22"/>
        <w:szCs w:val="22"/>
        <w:rtl/>
      </w:rPr>
      <w:tab/>
      <w:t xml:space="preserve"> מדינת ישראל נ' אריאל שבתייב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AC3EF" w14:textId="77777777" w:rsidR="00C94607" w:rsidRPr="00C94607" w:rsidRDefault="00C94607" w:rsidP="00C9460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18353-12-19</w:t>
    </w:r>
    <w:r>
      <w:rPr>
        <w:rFonts w:ascii="David" w:hAnsi="David"/>
        <w:color w:val="000000"/>
        <w:sz w:val="22"/>
        <w:szCs w:val="22"/>
        <w:rtl/>
      </w:rPr>
      <w:tab/>
      <w:t xml:space="preserve"> מדינת ישראל נ' אריאל שבתייב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5B6EE736"/>
    <w:lvl w:ilvl="0" w:tplc="AA6A28DC">
      <w:start w:val="1"/>
      <w:numFmt w:val="decimal"/>
      <w:lvlText w:val="%1."/>
      <w:lvlJc w:val="left"/>
      <w:pPr>
        <w:ind w:left="720" w:hanging="360"/>
      </w:pPr>
      <w:rPr>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65310C"/>
    <w:multiLevelType w:val="hybridMultilevel"/>
    <w:tmpl w:val="9448F7A0"/>
    <w:lvl w:ilvl="0" w:tplc="29AC2444">
      <w:start w:val="1"/>
      <w:numFmt w:val="hebrew1"/>
      <w:lvlText w:val="%1."/>
      <w:lvlJc w:val="left"/>
      <w:pPr>
        <w:ind w:left="728" w:hanging="360"/>
      </w:pPr>
      <w:rPr>
        <w:strike w:val="0"/>
        <w:dstrike w:val="0"/>
        <w:u w:val="none"/>
        <w:effect w:val="none"/>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abstractNum w:abstractNumId="2" w15:restartNumberingAfterBreak="0">
    <w:nsid w:val="5A095D42"/>
    <w:multiLevelType w:val="hybridMultilevel"/>
    <w:tmpl w:val="12F6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418318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07157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0545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154A"/>
    <w:rsid w:val="000207E5"/>
    <w:rsid w:val="00136EAC"/>
    <w:rsid w:val="0038109A"/>
    <w:rsid w:val="004B2408"/>
    <w:rsid w:val="00721623"/>
    <w:rsid w:val="008643CC"/>
    <w:rsid w:val="008A5357"/>
    <w:rsid w:val="008F40EA"/>
    <w:rsid w:val="009A4E4C"/>
    <w:rsid w:val="00B84089"/>
    <w:rsid w:val="00BE3405"/>
    <w:rsid w:val="00C94607"/>
    <w:rsid w:val="00CC4673"/>
    <w:rsid w:val="00D63808"/>
    <w:rsid w:val="00DD154A"/>
    <w:rsid w:val="00DD16AB"/>
    <w:rsid w:val="00F309FF"/>
    <w:rsid w:val="00F315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B0315D"/>
  <w15:chartTrackingRefBased/>
  <w15:docId w15:val="{DDD12E2A-4839-4BF0-AB07-E14B9418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154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D154A"/>
    <w:pPr>
      <w:tabs>
        <w:tab w:val="center" w:pos="4153"/>
        <w:tab w:val="right" w:pos="8306"/>
      </w:tabs>
    </w:pPr>
  </w:style>
  <w:style w:type="character" w:customStyle="1" w:styleId="a4">
    <w:name w:val="כותרת עליונה תו"/>
    <w:link w:val="a3"/>
    <w:rsid w:val="00DD154A"/>
    <w:rPr>
      <w:rFonts w:ascii="Times New Roman" w:eastAsia="Times New Roman" w:hAnsi="Times New Roman" w:cs="David"/>
      <w:sz w:val="24"/>
      <w:szCs w:val="24"/>
    </w:rPr>
  </w:style>
  <w:style w:type="paragraph" w:styleId="a5">
    <w:name w:val="footer"/>
    <w:basedOn w:val="a"/>
    <w:link w:val="a6"/>
    <w:rsid w:val="00DD154A"/>
    <w:pPr>
      <w:tabs>
        <w:tab w:val="center" w:pos="4153"/>
        <w:tab w:val="right" w:pos="8306"/>
      </w:tabs>
    </w:pPr>
  </w:style>
  <w:style w:type="character" w:customStyle="1" w:styleId="a6">
    <w:name w:val="כותרת תחתונה תו"/>
    <w:link w:val="a5"/>
    <w:rsid w:val="00DD154A"/>
    <w:rPr>
      <w:rFonts w:ascii="Times New Roman" w:eastAsia="Times New Roman" w:hAnsi="Times New Roman" w:cs="David"/>
      <w:sz w:val="24"/>
      <w:szCs w:val="24"/>
    </w:rPr>
  </w:style>
  <w:style w:type="table" w:styleId="a7">
    <w:name w:val="Table Grid"/>
    <w:basedOn w:val="a1"/>
    <w:rsid w:val="00DD154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D154A"/>
  </w:style>
  <w:style w:type="paragraph" w:styleId="a9">
    <w:name w:val="List Paragraph"/>
    <w:basedOn w:val="a"/>
    <w:qFormat/>
    <w:rsid w:val="00DD154A"/>
    <w:pPr>
      <w:ind w:left="720"/>
      <w:contextualSpacing/>
    </w:pPr>
    <w:rPr>
      <w:rFonts w:ascii="Arial (W1)" w:hAnsi="Arial (W1)"/>
    </w:rPr>
  </w:style>
  <w:style w:type="character" w:styleId="Hyperlink">
    <w:name w:val="Hyperlink"/>
    <w:rsid w:val="00C946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b"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4274/26.2" TargetMode="External"/><Relationship Id="rId39" Type="http://schemas.openxmlformats.org/officeDocument/2006/relationships/hyperlink" Target="http://www.nevo.co.il/law/4216" TargetMode="External"/><Relationship Id="rId21" Type="http://schemas.openxmlformats.org/officeDocument/2006/relationships/hyperlink" Target="http://www.nevo.co.il/law/70301/40jc" TargetMode="External"/><Relationship Id="rId34" Type="http://schemas.openxmlformats.org/officeDocument/2006/relationships/hyperlink" Target="http://www.nevo.co.il/law/70301/40jc" TargetMode="External"/><Relationship Id="rId42" Type="http://schemas.openxmlformats.org/officeDocument/2006/relationships/hyperlink" Target="http://www.nevo.co.il/law/4216" TargetMode="External"/><Relationship Id="rId47" Type="http://schemas.openxmlformats.org/officeDocument/2006/relationships/hyperlink" Target="http://www.nevo.co.il/law/4216/31.6" TargetMode="External"/><Relationship Id="rId50" Type="http://schemas.openxmlformats.org/officeDocument/2006/relationships/hyperlink" Target="http://www.nevo.co.il/law/4216"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law/5227" TargetMode="External"/><Relationship Id="rId11" Type="http://schemas.openxmlformats.org/officeDocument/2006/relationships/hyperlink" Target="http://www.nevo.co.il/law/4216/31.6"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29212627" TargetMode="External"/><Relationship Id="rId37" Type="http://schemas.openxmlformats.org/officeDocument/2006/relationships/hyperlink" Target="http://www.nevo.co.il/law/70301" TargetMode="External"/><Relationship Id="rId40" Type="http://schemas.openxmlformats.org/officeDocument/2006/relationships/hyperlink" Target="http://www.nevo.co.il/law/4216/36a.a" TargetMode="External"/><Relationship Id="rId45" Type="http://schemas.openxmlformats.org/officeDocument/2006/relationships/hyperlink" Target="http://www.nevo.co.il/law/4216/36a.a"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40c"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4274" TargetMode="External"/><Relationship Id="rId22" Type="http://schemas.openxmlformats.org/officeDocument/2006/relationships/hyperlink" Target="http://www.nevo.co.il/case/27450409" TargetMode="External"/><Relationship Id="rId27" Type="http://schemas.openxmlformats.org/officeDocument/2006/relationships/hyperlink" Target="http://www.nevo.co.il/law/74274" TargetMode="External"/><Relationship Id="rId30" Type="http://schemas.openxmlformats.org/officeDocument/2006/relationships/hyperlink" Target="http://www.nevo.co.il/case/18793360" TargetMode="External"/><Relationship Id="rId35" Type="http://schemas.openxmlformats.org/officeDocument/2006/relationships/hyperlink" Target="http://www.nevo.co.il/law/70301" TargetMode="External"/><Relationship Id="rId43" Type="http://schemas.openxmlformats.org/officeDocument/2006/relationships/hyperlink" Target="http://www.nevo.co.il/law/4216" TargetMode="External"/><Relationship Id="rId48" Type="http://schemas.openxmlformats.org/officeDocument/2006/relationships/hyperlink" Target="http://www.nevo.co.il/law/4216" TargetMode="External"/><Relationship Id="rId56" Type="http://schemas.openxmlformats.org/officeDocument/2006/relationships/fontTable" Target="fontTable.xml"/><Relationship Id="rId8" Type="http://schemas.openxmlformats.org/officeDocument/2006/relationships/hyperlink" Target="http://www.nevo.co.il/law/4216/1"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4216/36a.a" TargetMode="External"/><Relationship Id="rId17" Type="http://schemas.openxmlformats.org/officeDocument/2006/relationships/hyperlink" Target="http://www.nevo.co.il/law/5227/38.1"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40c" TargetMode="External"/><Relationship Id="rId38" Type="http://schemas.openxmlformats.org/officeDocument/2006/relationships/hyperlink" Target="http://www.nevo.co.il/case/26512065" TargetMode="External"/><Relationship Id="rId46" Type="http://schemas.openxmlformats.org/officeDocument/2006/relationships/hyperlink" Target="http://www.nevo.co.il/law/4216/36a.b" TargetMode="External"/><Relationship Id="rId20" Type="http://schemas.openxmlformats.org/officeDocument/2006/relationships/hyperlink" Target="http://www.nevo.co.il/law/70301/40i" TargetMode="External"/><Relationship Id="rId41" Type="http://schemas.openxmlformats.org/officeDocument/2006/relationships/hyperlink" Target="http://www.nevo.co.il/law/4216/36a.b"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274/26.2"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5227/38.1" TargetMode="External"/><Relationship Id="rId36" Type="http://schemas.openxmlformats.org/officeDocument/2006/relationships/hyperlink" Target="http://www.nevo.co.il/law/70301/40i" TargetMode="External"/><Relationship Id="rId49" Type="http://schemas.openxmlformats.org/officeDocument/2006/relationships/hyperlink" Target="http://www.nevo.co.il/law/4216" TargetMode="External"/><Relationship Id="rId57" Type="http://schemas.openxmlformats.org/officeDocument/2006/relationships/theme" Target="theme/theme1.xml"/><Relationship Id="rId10" Type="http://schemas.openxmlformats.org/officeDocument/2006/relationships/hyperlink" Target="http://www.nevo.co.il/law/4216/7.c" TargetMode="External"/><Relationship Id="rId31" Type="http://schemas.openxmlformats.org/officeDocument/2006/relationships/hyperlink" Target="http://www.nevo.co.il/case/23750765" TargetMode="External"/><Relationship Id="rId44" Type="http://schemas.openxmlformats.org/officeDocument/2006/relationships/hyperlink" Target="http://www.nevo.co.il/law/4216/1"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3613</Words>
  <Characters>18068</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21638</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8257637</vt:i4>
      </vt:variant>
      <vt:variant>
        <vt:i4>129</vt:i4>
      </vt:variant>
      <vt:variant>
        <vt:i4>0</vt:i4>
      </vt:variant>
      <vt:variant>
        <vt:i4>5</vt:i4>
      </vt:variant>
      <vt:variant>
        <vt:lpwstr>http://www.nevo.co.il/law/4216</vt:lpwstr>
      </vt:variant>
      <vt:variant>
        <vt:lpwstr/>
      </vt:variant>
      <vt:variant>
        <vt:i4>8257637</vt:i4>
      </vt:variant>
      <vt:variant>
        <vt:i4>126</vt:i4>
      </vt:variant>
      <vt:variant>
        <vt:i4>0</vt:i4>
      </vt:variant>
      <vt:variant>
        <vt:i4>5</vt:i4>
      </vt:variant>
      <vt:variant>
        <vt:lpwstr>http://www.nevo.co.il/law/4216</vt:lpwstr>
      </vt:variant>
      <vt:variant>
        <vt:lpwstr/>
      </vt:variant>
      <vt:variant>
        <vt:i4>8257637</vt:i4>
      </vt:variant>
      <vt:variant>
        <vt:i4>123</vt:i4>
      </vt:variant>
      <vt:variant>
        <vt:i4>0</vt:i4>
      </vt:variant>
      <vt:variant>
        <vt:i4>5</vt:i4>
      </vt:variant>
      <vt:variant>
        <vt:lpwstr>http://www.nevo.co.il/law/4216</vt:lpwstr>
      </vt:variant>
      <vt:variant>
        <vt:lpwstr/>
      </vt:variant>
      <vt:variant>
        <vt:i4>6488187</vt:i4>
      </vt:variant>
      <vt:variant>
        <vt:i4>120</vt:i4>
      </vt:variant>
      <vt:variant>
        <vt:i4>0</vt:i4>
      </vt:variant>
      <vt:variant>
        <vt:i4>5</vt:i4>
      </vt:variant>
      <vt:variant>
        <vt:lpwstr>http://www.nevo.co.il/law/4216/31.6</vt:lpwstr>
      </vt:variant>
      <vt:variant>
        <vt:lpwstr/>
      </vt:variant>
      <vt:variant>
        <vt:i4>5111890</vt:i4>
      </vt:variant>
      <vt:variant>
        <vt:i4>117</vt:i4>
      </vt:variant>
      <vt:variant>
        <vt:i4>0</vt:i4>
      </vt:variant>
      <vt:variant>
        <vt:i4>5</vt:i4>
      </vt:variant>
      <vt:variant>
        <vt:lpwstr>http://www.nevo.co.il/law/4216/36a.b</vt:lpwstr>
      </vt:variant>
      <vt:variant>
        <vt:lpwstr/>
      </vt:variant>
      <vt:variant>
        <vt:i4>5046354</vt:i4>
      </vt:variant>
      <vt:variant>
        <vt:i4>114</vt:i4>
      </vt:variant>
      <vt:variant>
        <vt:i4>0</vt:i4>
      </vt:variant>
      <vt:variant>
        <vt:i4>5</vt:i4>
      </vt:variant>
      <vt:variant>
        <vt:lpwstr>http://www.nevo.co.il/law/4216/36a.a</vt:lpwstr>
      </vt:variant>
      <vt:variant>
        <vt:lpwstr/>
      </vt:variant>
      <vt:variant>
        <vt:i4>5177418</vt:i4>
      </vt:variant>
      <vt:variant>
        <vt:i4>111</vt:i4>
      </vt:variant>
      <vt:variant>
        <vt:i4>0</vt:i4>
      </vt:variant>
      <vt:variant>
        <vt:i4>5</vt:i4>
      </vt:variant>
      <vt:variant>
        <vt:lpwstr>http://www.nevo.co.il/law/4216/1</vt:lpwstr>
      </vt:variant>
      <vt:variant>
        <vt:lpwstr/>
      </vt:variant>
      <vt:variant>
        <vt:i4>8257637</vt:i4>
      </vt:variant>
      <vt:variant>
        <vt:i4>108</vt:i4>
      </vt:variant>
      <vt:variant>
        <vt:i4>0</vt:i4>
      </vt:variant>
      <vt:variant>
        <vt:i4>5</vt:i4>
      </vt:variant>
      <vt:variant>
        <vt:lpwstr>http://www.nevo.co.il/law/4216</vt:lpwstr>
      </vt:variant>
      <vt:variant>
        <vt:lpwstr/>
      </vt:variant>
      <vt:variant>
        <vt:i4>8257637</vt:i4>
      </vt:variant>
      <vt:variant>
        <vt:i4>105</vt:i4>
      </vt:variant>
      <vt:variant>
        <vt:i4>0</vt:i4>
      </vt:variant>
      <vt:variant>
        <vt:i4>5</vt:i4>
      </vt:variant>
      <vt:variant>
        <vt:lpwstr>http://www.nevo.co.il/law/4216</vt:lpwstr>
      </vt:variant>
      <vt:variant>
        <vt:lpwstr/>
      </vt:variant>
      <vt:variant>
        <vt:i4>5111890</vt:i4>
      </vt:variant>
      <vt:variant>
        <vt:i4>102</vt:i4>
      </vt:variant>
      <vt:variant>
        <vt:i4>0</vt:i4>
      </vt:variant>
      <vt:variant>
        <vt:i4>5</vt:i4>
      </vt:variant>
      <vt:variant>
        <vt:lpwstr>http://www.nevo.co.il/law/4216/36a.b</vt:lpwstr>
      </vt:variant>
      <vt:variant>
        <vt:lpwstr/>
      </vt:variant>
      <vt:variant>
        <vt:i4>5046354</vt:i4>
      </vt:variant>
      <vt:variant>
        <vt:i4>99</vt:i4>
      </vt:variant>
      <vt:variant>
        <vt:i4>0</vt:i4>
      </vt:variant>
      <vt:variant>
        <vt:i4>5</vt:i4>
      </vt:variant>
      <vt:variant>
        <vt:lpwstr>http://www.nevo.co.il/law/4216/36a.a</vt:lpwstr>
      </vt:variant>
      <vt:variant>
        <vt:lpwstr/>
      </vt:variant>
      <vt:variant>
        <vt:i4>8257637</vt:i4>
      </vt:variant>
      <vt:variant>
        <vt:i4>96</vt:i4>
      </vt:variant>
      <vt:variant>
        <vt:i4>0</vt:i4>
      </vt:variant>
      <vt:variant>
        <vt:i4>5</vt:i4>
      </vt:variant>
      <vt:variant>
        <vt:lpwstr>http://www.nevo.co.il/law/4216</vt:lpwstr>
      </vt:variant>
      <vt:variant>
        <vt:lpwstr/>
      </vt:variant>
      <vt:variant>
        <vt:i4>3342451</vt:i4>
      </vt:variant>
      <vt:variant>
        <vt:i4>93</vt:i4>
      </vt:variant>
      <vt:variant>
        <vt:i4>0</vt:i4>
      </vt:variant>
      <vt:variant>
        <vt:i4>5</vt:i4>
      </vt:variant>
      <vt:variant>
        <vt:lpwstr>http://www.nevo.co.il/case/26512065</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http://www.nevo.co.il/law/70301/40i</vt:lpwstr>
      </vt:variant>
      <vt:variant>
        <vt:lpwstr/>
      </vt:variant>
      <vt:variant>
        <vt:i4>7995492</vt:i4>
      </vt:variant>
      <vt:variant>
        <vt:i4>84</vt:i4>
      </vt:variant>
      <vt:variant>
        <vt:i4>0</vt:i4>
      </vt:variant>
      <vt:variant>
        <vt:i4>5</vt:i4>
      </vt:variant>
      <vt:variant>
        <vt:lpwstr>http://www.nevo.co.il/law/70301</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6619233</vt:i4>
      </vt:variant>
      <vt:variant>
        <vt:i4>78</vt:i4>
      </vt:variant>
      <vt:variant>
        <vt:i4>0</vt:i4>
      </vt:variant>
      <vt:variant>
        <vt:i4>5</vt:i4>
      </vt:variant>
      <vt:variant>
        <vt:lpwstr>http://www.nevo.co.il/law/70301/40c</vt:lpwstr>
      </vt:variant>
      <vt:variant>
        <vt:lpwstr/>
      </vt:variant>
      <vt:variant>
        <vt:i4>3145850</vt:i4>
      </vt:variant>
      <vt:variant>
        <vt:i4>75</vt:i4>
      </vt:variant>
      <vt:variant>
        <vt:i4>0</vt:i4>
      </vt:variant>
      <vt:variant>
        <vt:i4>5</vt:i4>
      </vt:variant>
      <vt:variant>
        <vt:lpwstr>http://www.nevo.co.il/case/29212627</vt:lpwstr>
      </vt:variant>
      <vt:variant>
        <vt:lpwstr/>
      </vt:variant>
      <vt:variant>
        <vt:i4>3342453</vt:i4>
      </vt:variant>
      <vt:variant>
        <vt:i4>72</vt:i4>
      </vt:variant>
      <vt:variant>
        <vt:i4>0</vt:i4>
      </vt:variant>
      <vt:variant>
        <vt:i4>5</vt:i4>
      </vt:variant>
      <vt:variant>
        <vt:lpwstr>http://www.nevo.co.il/case/23750765</vt:lpwstr>
      </vt:variant>
      <vt:variant>
        <vt:lpwstr/>
      </vt:variant>
      <vt:variant>
        <vt:i4>3342454</vt:i4>
      </vt:variant>
      <vt:variant>
        <vt:i4>69</vt:i4>
      </vt:variant>
      <vt:variant>
        <vt:i4>0</vt:i4>
      </vt:variant>
      <vt:variant>
        <vt:i4>5</vt:i4>
      </vt:variant>
      <vt:variant>
        <vt:lpwstr>http://www.nevo.co.il/case/18793360</vt:lpwstr>
      </vt:variant>
      <vt:variant>
        <vt:lpwstr/>
      </vt:variant>
      <vt:variant>
        <vt:i4>8323175</vt:i4>
      </vt:variant>
      <vt:variant>
        <vt:i4>66</vt:i4>
      </vt:variant>
      <vt:variant>
        <vt:i4>0</vt:i4>
      </vt:variant>
      <vt:variant>
        <vt:i4>5</vt:i4>
      </vt:variant>
      <vt:variant>
        <vt:lpwstr>http://www.nevo.co.il/law/5227</vt:lpwstr>
      </vt:variant>
      <vt:variant>
        <vt:lpwstr/>
      </vt:variant>
      <vt:variant>
        <vt:i4>6422640</vt:i4>
      </vt:variant>
      <vt:variant>
        <vt:i4>63</vt:i4>
      </vt:variant>
      <vt:variant>
        <vt:i4>0</vt:i4>
      </vt:variant>
      <vt:variant>
        <vt:i4>5</vt:i4>
      </vt:variant>
      <vt:variant>
        <vt:lpwstr>http://www.nevo.co.il/law/5227/38.1</vt:lpwstr>
      </vt:variant>
      <vt:variant>
        <vt:lpwstr/>
      </vt:variant>
      <vt:variant>
        <vt:i4>7929957</vt:i4>
      </vt:variant>
      <vt:variant>
        <vt:i4>60</vt:i4>
      </vt:variant>
      <vt:variant>
        <vt:i4>0</vt:i4>
      </vt:variant>
      <vt:variant>
        <vt:i4>5</vt:i4>
      </vt:variant>
      <vt:variant>
        <vt:lpwstr>http://www.nevo.co.il/law/74274</vt:lpwstr>
      </vt:variant>
      <vt:variant>
        <vt:lpwstr/>
      </vt:variant>
      <vt:variant>
        <vt:i4>5374029</vt:i4>
      </vt:variant>
      <vt:variant>
        <vt:i4>57</vt:i4>
      </vt:variant>
      <vt:variant>
        <vt:i4>0</vt:i4>
      </vt:variant>
      <vt:variant>
        <vt:i4>5</vt:i4>
      </vt:variant>
      <vt:variant>
        <vt:lpwstr>http://www.nevo.co.il/law/74274/26.2</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3539058</vt:i4>
      </vt:variant>
      <vt:variant>
        <vt:i4>45</vt:i4>
      </vt:variant>
      <vt:variant>
        <vt:i4>0</vt:i4>
      </vt:variant>
      <vt:variant>
        <vt:i4>5</vt:i4>
      </vt:variant>
      <vt:variant>
        <vt:lpwstr>http://www.nevo.co.il/case/27450409</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6619233</vt:i4>
      </vt:variant>
      <vt:variant>
        <vt:i4>36</vt:i4>
      </vt:variant>
      <vt:variant>
        <vt:i4>0</vt:i4>
      </vt:variant>
      <vt:variant>
        <vt:i4>5</vt:i4>
      </vt:variant>
      <vt:variant>
        <vt:lpwstr>http://www.nevo.co.il/law/70301/40c</vt:lpwstr>
      </vt:variant>
      <vt:variant>
        <vt:lpwstr/>
      </vt:variant>
      <vt:variant>
        <vt:i4>7995492</vt:i4>
      </vt:variant>
      <vt:variant>
        <vt:i4>33</vt:i4>
      </vt:variant>
      <vt:variant>
        <vt:i4>0</vt:i4>
      </vt:variant>
      <vt:variant>
        <vt:i4>5</vt:i4>
      </vt:variant>
      <vt:variant>
        <vt:lpwstr>http://www.nevo.co.il/law/70301</vt:lpwstr>
      </vt:variant>
      <vt:variant>
        <vt:lpwstr/>
      </vt:variant>
      <vt:variant>
        <vt:i4>6422640</vt:i4>
      </vt:variant>
      <vt:variant>
        <vt:i4>30</vt:i4>
      </vt:variant>
      <vt:variant>
        <vt:i4>0</vt:i4>
      </vt:variant>
      <vt:variant>
        <vt:i4>5</vt:i4>
      </vt:variant>
      <vt:variant>
        <vt:lpwstr>http://www.nevo.co.il/law/5227/38.1</vt:lpwstr>
      </vt:variant>
      <vt:variant>
        <vt:lpwstr/>
      </vt:variant>
      <vt:variant>
        <vt:i4>8323175</vt:i4>
      </vt:variant>
      <vt:variant>
        <vt:i4>27</vt:i4>
      </vt:variant>
      <vt:variant>
        <vt:i4>0</vt:i4>
      </vt:variant>
      <vt:variant>
        <vt:i4>5</vt:i4>
      </vt:variant>
      <vt:variant>
        <vt:lpwstr>http://www.nevo.co.il/law/5227</vt:lpwstr>
      </vt:variant>
      <vt:variant>
        <vt:lpwstr/>
      </vt:variant>
      <vt:variant>
        <vt:i4>5374029</vt:i4>
      </vt:variant>
      <vt:variant>
        <vt:i4>24</vt:i4>
      </vt:variant>
      <vt:variant>
        <vt:i4>0</vt:i4>
      </vt:variant>
      <vt:variant>
        <vt:i4>5</vt:i4>
      </vt:variant>
      <vt:variant>
        <vt:lpwstr>http://www.nevo.co.il/law/74274/26.2</vt:lpwstr>
      </vt:variant>
      <vt:variant>
        <vt:lpwstr/>
      </vt:variant>
      <vt:variant>
        <vt:i4>7929957</vt:i4>
      </vt:variant>
      <vt:variant>
        <vt:i4>21</vt:i4>
      </vt:variant>
      <vt:variant>
        <vt:i4>0</vt:i4>
      </vt:variant>
      <vt:variant>
        <vt:i4>5</vt:i4>
      </vt:variant>
      <vt:variant>
        <vt:lpwstr>http://www.nevo.co.il/law/74274</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6488187</vt:i4>
      </vt:variant>
      <vt:variant>
        <vt:i4>12</vt:i4>
      </vt:variant>
      <vt:variant>
        <vt:i4>0</vt:i4>
      </vt:variant>
      <vt:variant>
        <vt:i4>5</vt:i4>
      </vt:variant>
      <vt:variant>
        <vt:lpwstr>http://www.nevo.co.il/law/4216/31.6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2025-04-23T00:23:00Z</dcterms:created>
  <dcterms:modified xsi:type="dcterms:W3CDTF">2025-04-23T00:23:00Z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18353</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אריאל שבתייב</vt:lpwstr>
  </property>
  <property fmtid="{D5CDD505-2E9C-101B-9397-08002B2CF9AE}" pid="10" name="LAWYER">
    <vt:lpwstr>ספיר יגר שחף;עומרי שטרן</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20230719</vt:lpwstr>
  </property>
  <property fmtid="{D5CDD505-2E9C-101B-9397-08002B2CF9AE}" pid="14" name="TYPE_N_DATE">
    <vt:lpwstr>38020230719</vt:lpwstr>
  </property>
  <property fmtid="{D5CDD505-2E9C-101B-9397-08002B2CF9AE}" pid="15" name="WORDNUMPAGES">
    <vt:lpwstr>9</vt:lpwstr>
  </property>
  <property fmtid="{D5CDD505-2E9C-101B-9397-08002B2CF9AE}" pid="16" name="TYPE_ABS_DATE">
    <vt:lpwstr>380020230719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27450409;23750765;29212627;26512065</vt:lpwstr>
  </property>
  <property fmtid="{D5CDD505-2E9C-101B-9397-08002B2CF9AE}" pid="36" name="LAWLISTTMP1">
    <vt:lpwstr>4216/007.a;007.c;036a.a:2;036a.b:2;001;031.6</vt:lpwstr>
  </property>
  <property fmtid="{D5CDD505-2E9C-101B-9397-08002B2CF9AE}" pid="37" name="LAWLISTTMP2">
    <vt:lpwstr>74274/026.2</vt:lpwstr>
  </property>
  <property fmtid="{D5CDD505-2E9C-101B-9397-08002B2CF9AE}" pid="38" name="LAWLISTTMP3">
    <vt:lpwstr>5227/038.1</vt:lpwstr>
  </property>
  <property fmtid="{D5CDD505-2E9C-101B-9397-08002B2CF9AE}" pid="39" name="LAWLISTTMP4">
    <vt:lpwstr>70301/040c;40jc;040i</vt:lpwstr>
  </property>
</Properties>
</file>