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231"/>
        <w:gridCol w:w="3715"/>
        <w:gridCol w:w="269"/>
        <w:gridCol w:w="3308"/>
        <w:gridCol w:w="297"/>
      </w:tblGrid>
      <w:tr w:rsidR="00A058B8" w:rsidRPr="00683C50" w14:paraId="154F06ED" w14:textId="77777777" w:rsidTr="00733EE5">
        <w:trPr>
          <w:gridAfter w:val="1"/>
          <w:wAfter w:w="297" w:type="dxa"/>
          <w:trHeight w:hRule="exact" w:val="418"/>
          <w:jc w:val="center"/>
        </w:trPr>
        <w:tc>
          <w:tcPr>
            <w:tcW w:w="8523" w:type="dxa"/>
            <w:gridSpan w:val="4"/>
          </w:tcPr>
          <w:p w14:paraId="4B7652B0" w14:textId="77777777" w:rsidR="00A058B8" w:rsidRPr="00683C50" w:rsidRDefault="00A058B8" w:rsidP="00265FAC">
            <w:pPr>
              <w:pStyle w:val="a3"/>
              <w:jc w:val="center"/>
              <w:rPr>
                <w:rFonts w:ascii="Tahoma" w:hAnsi="Tahoma" w:cs="Tahoma"/>
                <w:color w:val="000080"/>
                <w:rtl/>
              </w:rPr>
            </w:pPr>
            <w:bookmarkStart w:id="0" w:name="LastJudge"/>
            <w:r w:rsidRPr="00683C50">
              <w:rPr>
                <w:rFonts w:ascii="Tahoma" w:hAnsi="Tahoma" w:cs="Tahoma"/>
                <w:b/>
                <w:bCs/>
                <w:color w:val="000080"/>
                <w:rtl/>
              </w:rPr>
              <w:t>בית משפט השלום ברחובות</w:t>
            </w:r>
          </w:p>
        </w:tc>
      </w:tr>
      <w:tr w:rsidR="00A058B8" w:rsidRPr="00683C50" w14:paraId="6B1ECAA8" w14:textId="77777777" w:rsidTr="00733EE5">
        <w:trPr>
          <w:gridAfter w:val="1"/>
          <w:wAfter w:w="297" w:type="dxa"/>
          <w:trHeight w:val="337"/>
          <w:jc w:val="center"/>
        </w:trPr>
        <w:tc>
          <w:tcPr>
            <w:tcW w:w="4946" w:type="dxa"/>
            <w:gridSpan w:val="2"/>
          </w:tcPr>
          <w:p w14:paraId="13C97589" w14:textId="77777777" w:rsidR="00A058B8" w:rsidRPr="00683C50" w:rsidRDefault="00A058B8" w:rsidP="00265FAC">
            <w:pPr>
              <w:rPr>
                <w:rFonts w:cs="FrankRuehl"/>
                <w:sz w:val="28"/>
                <w:szCs w:val="28"/>
                <w:rtl/>
              </w:rPr>
            </w:pPr>
            <w:r w:rsidRPr="00683C50">
              <w:rPr>
                <w:rFonts w:cs="FrankRuehl"/>
                <w:sz w:val="28"/>
                <w:szCs w:val="28"/>
                <w:rtl/>
              </w:rPr>
              <w:t>ת"פ</w:t>
            </w:r>
            <w:r w:rsidRPr="00683C50">
              <w:rPr>
                <w:rFonts w:cs="FrankRuehl" w:hint="cs"/>
                <w:sz w:val="28"/>
                <w:szCs w:val="28"/>
                <w:rtl/>
              </w:rPr>
              <w:t xml:space="preserve"> </w:t>
            </w:r>
            <w:r w:rsidRPr="00683C50">
              <w:rPr>
                <w:rFonts w:cs="FrankRuehl"/>
                <w:sz w:val="28"/>
                <w:szCs w:val="28"/>
                <w:rtl/>
              </w:rPr>
              <w:t>30746-12-19</w:t>
            </w:r>
            <w:r w:rsidRPr="00683C50">
              <w:rPr>
                <w:rFonts w:cs="FrankRuehl" w:hint="cs"/>
                <w:sz w:val="28"/>
                <w:szCs w:val="28"/>
                <w:rtl/>
              </w:rPr>
              <w:t xml:space="preserve"> </w:t>
            </w:r>
            <w:r w:rsidRPr="00683C50">
              <w:rPr>
                <w:rFonts w:cs="FrankRuehl"/>
                <w:sz w:val="28"/>
                <w:szCs w:val="28"/>
                <w:rtl/>
              </w:rPr>
              <w:t>מדינת ישראל נ' יאסו</w:t>
            </w:r>
          </w:p>
          <w:p w14:paraId="32AECE87" w14:textId="77777777" w:rsidR="00A058B8" w:rsidRPr="00683C50" w:rsidRDefault="00A058B8" w:rsidP="00265FAC">
            <w:pPr>
              <w:pStyle w:val="a3"/>
              <w:rPr>
                <w:rFonts w:cs="FrankRuehl"/>
                <w:sz w:val="28"/>
                <w:szCs w:val="28"/>
                <w:rtl/>
              </w:rPr>
            </w:pPr>
          </w:p>
        </w:tc>
        <w:tc>
          <w:tcPr>
            <w:tcW w:w="3577" w:type="dxa"/>
            <w:gridSpan w:val="2"/>
          </w:tcPr>
          <w:p w14:paraId="7735EF00" w14:textId="77777777" w:rsidR="00A058B8" w:rsidRPr="00683C50" w:rsidRDefault="00A058B8" w:rsidP="00265FAC">
            <w:pPr>
              <w:pStyle w:val="a3"/>
              <w:jc w:val="right"/>
              <w:rPr>
                <w:rFonts w:cs="FrankRuehl"/>
                <w:sz w:val="28"/>
                <w:szCs w:val="28"/>
                <w:rtl/>
              </w:rPr>
            </w:pPr>
          </w:p>
        </w:tc>
      </w:tr>
      <w:tr w:rsidR="00A058B8" w:rsidRPr="00683C50" w14:paraId="39BB0875" w14:textId="77777777" w:rsidTr="00733E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1231" w:type="dxa"/>
            <w:tcBorders>
              <w:top w:val="nil"/>
              <w:left w:val="nil"/>
              <w:bottom w:val="nil"/>
              <w:right w:val="nil"/>
            </w:tcBorders>
            <w:shd w:val="clear" w:color="auto" w:fill="auto"/>
          </w:tcPr>
          <w:p w14:paraId="17519262" w14:textId="77777777" w:rsidR="00A058B8" w:rsidRPr="00683C50" w:rsidRDefault="00A058B8" w:rsidP="00A058B8">
            <w:pPr>
              <w:jc w:val="both"/>
              <w:rPr>
                <w:rFonts w:ascii="David" w:hAnsi="David"/>
                <w:sz w:val="26"/>
                <w:szCs w:val="26"/>
              </w:rPr>
            </w:pPr>
            <w:r w:rsidRPr="00683C50">
              <w:rPr>
                <w:rFonts w:hint="cs"/>
                <w:rtl/>
              </w:rPr>
              <w:t xml:space="preserve"> </w:t>
            </w:r>
            <w:r w:rsidRPr="00683C50">
              <w:rPr>
                <w:rFonts w:ascii="David" w:hAnsi="David"/>
                <w:sz w:val="26"/>
                <w:szCs w:val="26"/>
                <w:rtl/>
              </w:rPr>
              <w:t xml:space="preserve">בפני </w:t>
            </w:r>
          </w:p>
        </w:tc>
        <w:tc>
          <w:tcPr>
            <w:tcW w:w="7589" w:type="dxa"/>
            <w:gridSpan w:val="4"/>
            <w:tcBorders>
              <w:top w:val="nil"/>
              <w:left w:val="nil"/>
              <w:bottom w:val="nil"/>
              <w:right w:val="nil"/>
            </w:tcBorders>
            <w:shd w:val="clear" w:color="auto" w:fill="auto"/>
          </w:tcPr>
          <w:p w14:paraId="2F697D1D" w14:textId="77777777" w:rsidR="00A058B8" w:rsidRPr="00683C50" w:rsidRDefault="00A058B8" w:rsidP="00265FAC">
            <w:pPr>
              <w:rPr>
                <w:rFonts w:ascii="David" w:hAnsi="David"/>
                <w:b/>
                <w:bCs/>
                <w:sz w:val="26"/>
                <w:szCs w:val="26"/>
                <w:rtl/>
              </w:rPr>
            </w:pPr>
            <w:r w:rsidRPr="00683C50">
              <w:rPr>
                <w:rFonts w:ascii="David" w:hAnsi="David"/>
                <w:b/>
                <w:bCs/>
                <w:sz w:val="26"/>
                <w:szCs w:val="26"/>
                <w:rtl/>
              </w:rPr>
              <w:t>כבוד השופטת  זהר דיבון סגל</w:t>
            </w:r>
          </w:p>
          <w:p w14:paraId="7CF18E42" w14:textId="77777777" w:rsidR="00A058B8" w:rsidRPr="00683C50" w:rsidRDefault="00A058B8" w:rsidP="00265FAC">
            <w:pPr>
              <w:rPr>
                <w:rFonts w:ascii="David" w:hAnsi="David"/>
                <w:sz w:val="26"/>
                <w:szCs w:val="26"/>
                <w:rtl/>
              </w:rPr>
            </w:pPr>
          </w:p>
          <w:p w14:paraId="59EB7A2D" w14:textId="77777777" w:rsidR="00A058B8" w:rsidRPr="00683C50" w:rsidRDefault="00A058B8" w:rsidP="00A058B8">
            <w:pPr>
              <w:jc w:val="both"/>
              <w:rPr>
                <w:rFonts w:ascii="David" w:hAnsi="David"/>
                <w:sz w:val="26"/>
                <w:szCs w:val="26"/>
              </w:rPr>
            </w:pPr>
          </w:p>
        </w:tc>
      </w:tr>
      <w:tr w:rsidR="00A058B8" w:rsidRPr="00683C50" w14:paraId="49FAB0F6" w14:textId="77777777" w:rsidTr="00733E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31" w:type="dxa"/>
            <w:tcBorders>
              <w:top w:val="nil"/>
              <w:left w:val="nil"/>
              <w:bottom w:val="nil"/>
              <w:right w:val="nil"/>
            </w:tcBorders>
            <w:shd w:val="clear" w:color="auto" w:fill="auto"/>
          </w:tcPr>
          <w:p w14:paraId="574050DC" w14:textId="77777777" w:rsidR="00A058B8" w:rsidRPr="00683C50" w:rsidRDefault="00A058B8" w:rsidP="00A058B8">
            <w:pPr>
              <w:jc w:val="both"/>
              <w:rPr>
                <w:rFonts w:ascii="David" w:hAnsi="David"/>
                <w:sz w:val="26"/>
                <w:szCs w:val="26"/>
              </w:rPr>
            </w:pPr>
            <w:bookmarkStart w:id="1" w:name="FirstAppellant"/>
            <w:r w:rsidRPr="00683C50">
              <w:rPr>
                <w:rFonts w:ascii="David" w:hAnsi="David"/>
                <w:sz w:val="26"/>
                <w:szCs w:val="26"/>
                <w:rtl/>
              </w:rPr>
              <w:t>בעניין:</w:t>
            </w:r>
          </w:p>
        </w:tc>
        <w:tc>
          <w:tcPr>
            <w:tcW w:w="3984" w:type="dxa"/>
            <w:gridSpan w:val="2"/>
            <w:tcBorders>
              <w:top w:val="nil"/>
              <w:left w:val="nil"/>
              <w:bottom w:val="nil"/>
              <w:right w:val="nil"/>
            </w:tcBorders>
            <w:shd w:val="clear" w:color="auto" w:fill="auto"/>
          </w:tcPr>
          <w:p w14:paraId="596AF863" w14:textId="77777777" w:rsidR="00A058B8" w:rsidRPr="00683C50" w:rsidRDefault="00A058B8" w:rsidP="00265FAC">
            <w:pPr>
              <w:rPr>
                <w:rFonts w:ascii="David" w:hAnsi="David"/>
                <w:sz w:val="26"/>
                <w:szCs w:val="26"/>
              </w:rPr>
            </w:pPr>
            <w:r w:rsidRPr="00683C50">
              <w:rPr>
                <w:rFonts w:ascii="David" w:hAnsi="David"/>
                <w:b/>
                <w:bCs/>
                <w:sz w:val="26"/>
                <w:szCs w:val="26"/>
                <w:rtl/>
              </w:rPr>
              <w:t>מדינת ישראל</w:t>
            </w:r>
          </w:p>
        </w:tc>
        <w:tc>
          <w:tcPr>
            <w:tcW w:w="3605" w:type="dxa"/>
            <w:gridSpan w:val="2"/>
            <w:tcBorders>
              <w:top w:val="nil"/>
              <w:left w:val="nil"/>
              <w:bottom w:val="nil"/>
              <w:right w:val="nil"/>
            </w:tcBorders>
            <w:shd w:val="clear" w:color="auto" w:fill="auto"/>
          </w:tcPr>
          <w:p w14:paraId="77C7E074" w14:textId="77777777" w:rsidR="00A058B8" w:rsidRPr="00683C50" w:rsidRDefault="00A058B8" w:rsidP="00A058B8">
            <w:pPr>
              <w:jc w:val="both"/>
              <w:rPr>
                <w:rFonts w:ascii="David" w:hAnsi="David"/>
                <w:sz w:val="26"/>
                <w:szCs w:val="26"/>
              </w:rPr>
            </w:pPr>
          </w:p>
        </w:tc>
      </w:tr>
      <w:bookmarkEnd w:id="1"/>
      <w:tr w:rsidR="00A058B8" w:rsidRPr="00683C50" w14:paraId="7887A1E9" w14:textId="77777777" w:rsidTr="00733E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31" w:type="dxa"/>
            <w:tcBorders>
              <w:top w:val="nil"/>
              <w:left w:val="nil"/>
              <w:bottom w:val="nil"/>
              <w:right w:val="nil"/>
            </w:tcBorders>
            <w:shd w:val="clear" w:color="auto" w:fill="auto"/>
          </w:tcPr>
          <w:p w14:paraId="316399B8" w14:textId="77777777" w:rsidR="00A058B8" w:rsidRPr="00683C50" w:rsidRDefault="00A058B8" w:rsidP="00A058B8">
            <w:pPr>
              <w:jc w:val="both"/>
              <w:rPr>
                <w:rFonts w:ascii="David" w:hAnsi="David"/>
                <w:b/>
                <w:bCs/>
                <w:sz w:val="26"/>
                <w:szCs w:val="26"/>
                <w:rtl/>
              </w:rPr>
            </w:pPr>
            <w:r w:rsidRPr="00683C50">
              <w:rPr>
                <w:rFonts w:ascii="David" w:hAnsi="David" w:hint="cs"/>
                <w:b/>
                <w:bCs/>
                <w:sz w:val="26"/>
                <w:szCs w:val="26"/>
                <w:rtl/>
              </w:rPr>
              <w:t xml:space="preserve">המאשימה </w:t>
            </w:r>
          </w:p>
        </w:tc>
        <w:tc>
          <w:tcPr>
            <w:tcW w:w="3984" w:type="dxa"/>
            <w:gridSpan w:val="2"/>
            <w:tcBorders>
              <w:top w:val="nil"/>
              <w:left w:val="nil"/>
              <w:bottom w:val="nil"/>
              <w:right w:val="nil"/>
            </w:tcBorders>
            <w:shd w:val="clear" w:color="auto" w:fill="auto"/>
          </w:tcPr>
          <w:p w14:paraId="550D0534" w14:textId="77777777" w:rsidR="00A058B8" w:rsidRPr="00683C50" w:rsidRDefault="00A058B8" w:rsidP="00A058B8">
            <w:pPr>
              <w:jc w:val="both"/>
              <w:rPr>
                <w:rFonts w:ascii="David" w:hAnsi="David"/>
                <w:b/>
                <w:bCs/>
                <w:sz w:val="26"/>
                <w:szCs w:val="26"/>
                <w:rtl/>
              </w:rPr>
            </w:pPr>
            <w:r w:rsidRPr="00683C50">
              <w:rPr>
                <w:rFonts w:ascii="David" w:hAnsi="David" w:hint="cs"/>
                <w:b/>
                <w:bCs/>
                <w:sz w:val="26"/>
                <w:szCs w:val="26"/>
                <w:rtl/>
              </w:rPr>
              <w:t xml:space="preserve">מדינת ישראל </w:t>
            </w:r>
          </w:p>
          <w:p w14:paraId="6F8D822A" w14:textId="77777777" w:rsidR="00A058B8" w:rsidRPr="00683C50" w:rsidRDefault="00A058B8" w:rsidP="00A058B8">
            <w:pPr>
              <w:jc w:val="both"/>
              <w:rPr>
                <w:rFonts w:ascii="David" w:hAnsi="David"/>
                <w:sz w:val="26"/>
                <w:szCs w:val="26"/>
                <w:rtl/>
              </w:rPr>
            </w:pPr>
            <w:r w:rsidRPr="00683C50">
              <w:rPr>
                <w:rFonts w:ascii="David" w:hAnsi="David" w:hint="cs"/>
                <w:sz w:val="26"/>
                <w:szCs w:val="26"/>
                <w:rtl/>
              </w:rPr>
              <w:t xml:space="preserve">יחידת תביעות שלוחת רחובות </w:t>
            </w:r>
          </w:p>
          <w:p w14:paraId="22C78324" w14:textId="77777777" w:rsidR="00A058B8" w:rsidRPr="00683C50" w:rsidRDefault="00A058B8" w:rsidP="00A058B8">
            <w:pPr>
              <w:jc w:val="both"/>
              <w:rPr>
                <w:rFonts w:ascii="David" w:hAnsi="David"/>
                <w:b/>
                <w:bCs/>
                <w:sz w:val="26"/>
                <w:szCs w:val="26"/>
                <w:rtl/>
              </w:rPr>
            </w:pPr>
            <w:r w:rsidRPr="00683C50">
              <w:rPr>
                <w:rFonts w:ascii="David" w:hAnsi="David" w:hint="cs"/>
                <w:b/>
                <w:bCs/>
                <w:sz w:val="26"/>
                <w:szCs w:val="26"/>
                <w:rtl/>
              </w:rPr>
              <w:t xml:space="preserve">באמצעות עוה"ד הדר פרשר </w:t>
            </w:r>
          </w:p>
        </w:tc>
        <w:tc>
          <w:tcPr>
            <w:tcW w:w="3605" w:type="dxa"/>
            <w:gridSpan w:val="2"/>
            <w:tcBorders>
              <w:top w:val="nil"/>
              <w:left w:val="nil"/>
              <w:bottom w:val="nil"/>
              <w:right w:val="nil"/>
            </w:tcBorders>
            <w:shd w:val="clear" w:color="auto" w:fill="auto"/>
          </w:tcPr>
          <w:p w14:paraId="5AFEB58C" w14:textId="77777777" w:rsidR="00A058B8" w:rsidRPr="00683C50" w:rsidRDefault="00A058B8" w:rsidP="00A058B8">
            <w:pPr>
              <w:jc w:val="right"/>
              <w:rPr>
                <w:rFonts w:ascii="David" w:hAnsi="David"/>
                <w:sz w:val="26"/>
                <w:szCs w:val="26"/>
                <w:rtl/>
              </w:rPr>
            </w:pPr>
          </w:p>
        </w:tc>
      </w:tr>
      <w:tr w:rsidR="00A058B8" w:rsidRPr="00683C50" w14:paraId="53E3E9BF" w14:textId="77777777" w:rsidTr="00733E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31" w:type="dxa"/>
            <w:tcBorders>
              <w:top w:val="nil"/>
              <w:left w:val="nil"/>
              <w:bottom w:val="nil"/>
              <w:right w:val="nil"/>
            </w:tcBorders>
            <w:shd w:val="clear" w:color="auto" w:fill="auto"/>
          </w:tcPr>
          <w:p w14:paraId="065B509F" w14:textId="77777777" w:rsidR="00A058B8" w:rsidRPr="00683C50" w:rsidRDefault="00A058B8" w:rsidP="00A058B8">
            <w:pPr>
              <w:jc w:val="both"/>
              <w:rPr>
                <w:rFonts w:ascii="David" w:hAnsi="David"/>
                <w:sz w:val="26"/>
                <w:szCs w:val="26"/>
                <w:rtl/>
              </w:rPr>
            </w:pPr>
          </w:p>
        </w:tc>
        <w:tc>
          <w:tcPr>
            <w:tcW w:w="7589" w:type="dxa"/>
            <w:gridSpan w:val="4"/>
            <w:tcBorders>
              <w:top w:val="nil"/>
              <w:left w:val="nil"/>
              <w:bottom w:val="nil"/>
              <w:right w:val="nil"/>
            </w:tcBorders>
            <w:shd w:val="clear" w:color="auto" w:fill="auto"/>
          </w:tcPr>
          <w:p w14:paraId="7830A9AB" w14:textId="77777777" w:rsidR="00A058B8" w:rsidRPr="00683C50" w:rsidRDefault="00A058B8" w:rsidP="00A058B8">
            <w:pPr>
              <w:jc w:val="center"/>
              <w:rPr>
                <w:rFonts w:ascii="David" w:hAnsi="David"/>
                <w:b/>
                <w:bCs/>
                <w:sz w:val="26"/>
                <w:szCs w:val="26"/>
                <w:rtl/>
              </w:rPr>
            </w:pPr>
          </w:p>
          <w:p w14:paraId="7DE9F104" w14:textId="77777777" w:rsidR="00A058B8" w:rsidRPr="00683C50" w:rsidRDefault="00A058B8" w:rsidP="00A058B8">
            <w:pPr>
              <w:jc w:val="center"/>
              <w:rPr>
                <w:rFonts w:ascii="David" w:hAnsi="David"/>
                <w:b/>
                <w:bCs/>
                <w:sz w:val="26"/>
                <w:szCs w:val="26"/>
                <w:rtl/>
              </w:rPr>
            </w:pPr>
            <w:r w:rsidRPr="00683C50">
              <w:rPr>
                <w:rFonts w:ascii="David" w:hAnsi="David"/>
                <w:b/>
                <w:bCs/>
                <w:sz w:val="26"/>
                <w:szCs w:val="26"/>
                <w:rtl/>
              </w:rPr>
              <w:t>נגד</w:t>
            </w:r>
          </w:p>
          <w:p w14:paraId="12D015E0" w14:textId="77777777" w:rsidR="00A058B8" w:rsidRPr="00683C50" w:rsidRDefault="00A058B8" w:rsidP="00A058B8">
            <w:pPr>
              <w:jc w:val="both"/>
              <w:rPr>
                <w:rFonts w:ascii="David" w:hAnsi="David"/>
                <w:sz w:val="26"/>
                <w:szCs w:val="26"/>
              </w:rPr>
            </w:pPr>
          </w:p>
        </w:tc>
      </w:tr>
      <w:tr w:rsidR="00A058B8" w:rsidRPr="00683C50" w14:paraId="3FC96ADD" w14:textId="77777777" w:rsidTr="00733E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31" w:type="dxa"/>
            <w:tcBorders>
              <w:top w:val="nil"/>
              <w:left w:val="nil"/>
              <w:bottom w:val="nil"/>
              <w:right w:val="nil"/>
            </w:tcBorders>
            <w:shd w:val="clear" w:color="auto" w:fill="auto"/>
          </w:tcPr>
          <w:p w14:paraId="698B2724" w14:textId="77777777" w:rsidR="00A058B8" w:rsidRPr="00683C50" w:rsidRDefault="00A058B8" w:rsidP="00265FAC">
            <w:pPr>
              <w:rPr>
                <w:rFonts w:ascii="David" w:hAnsi="David"/>
                <w:b/>
                <w:bCs/>
                <w:sz w:val="26"/>
                <w:szCs w:val="26"/>
                <w:rtl/>
              </w:rPr>
            </w:pPr>
            <w:r w:rsidRPr="00683C50">
              <w:rPr>
                <w:rFonts w:ascii="David" w:hAnsi="David" w:hint="cs"/>
                <w:b/>
                <w:bCs/>
                <w:sz w:val="26"/>
                <w:szCs w:val="26"/>
                <w:rtl/>
              </w:rPr>
              <w:t>הנאשם</w:t>
            </w:r>
          </w:p>
        </w:tc>
        <w:tc>
          <w:tcPr>
            <w:tcW w:w="3984" w:type="dxa"/>
            <w:gridSpan w:val="2"/>
            <w:tcBorders>
              <w:top w:val="nil"/>
              <w:left w:val="nil"/>
              <w:bottom w:val="nil"/>
              <w:right w:val="nil"/>
            </w:tcBorders>
            <w:shd w:val="clear" w:color="auto" w:fill="auto"/>
          </w:tcPr>
          <w:p w14:paraId="1A69795B" w14:textId="77777777" w:rsidR="00A058B8" w:rsidRPr="00683C50" w:rsidRDefault="00A058B8" w:rsidP="00265FAC">
            <w:pPr>
              <w:rPr>
                <w:rFonts w:ascii="David" w:hAnsi="David"/>
                <w:sz w:val="26"/>
                <w:szCs w:val="26"/>
                <w:rtl/>
              </w:rPr>
            </w:pPr>
            <w:r w:rsidRPr="00683C50">
              <w:rPr>
                <w:rFonts w:ascii="David" w:hAnsi="David"/>
                <w:b/>
                <w:bCs/>
                <w:sz w:val="26"/>
                <w:szCs w:val="26"/>
                <w:rtl/>
              </w:rPr>
              <w:t>שמואל יאסו</w:t>
            </w:r>
            <w:r w:rsidRPr="00683C50">
              <w:rPr>
                <w:rFonts w:ascii="David" w:hAnsi="David" w:hint="cs"/>
                <w:b/>
                <w:bCs/>
                <w:sz w:val="26"/>
                <w:szCs w:val="26"/>
                <w:rtl/>
              </w:rPr>
              <w:t xml:space="preserve"> - בעצמו</w:t>
            </w:r>
            <w:r w:rsidRPr="00683C50">
              <w:rPr>
                <w:rFonts w:ascii="David" w:hAnsi="David"/>
                <w:b/>
                <w:bCs/>
                <w:sz w:val="26"/>
                <w:szCs w:val="26"/>
                <w:rtl/>
              </w:rPr>
              <w:br/>
            </w:r>
            <w:r w:rsidRPr="00683C50">
              <w:rPr>
                <w:rFonts w:ascii="David" w:hAnsi="David" w:hint="cs"/>
                <w:b/>
                <w:bCs/>
                <w:sz w:val="26"/>
                <w:szCs w:val="26"/>
                <w:rtl/>
              </w:rPr>
              <w:t xml:space="preserve">באמצעות עוה"ד אבו עאמר </w:t>
            </w:r>
          </w:p>
        </w:tc>
        <w:tc>
          <w:tcPr>
            <w:tcW w:w="3605" w:type="dxa"/>
            <w:gridSpan w:val="2"/>
            <w:tcBorders>
              <w:top w:val="nil"/>
              <w:left w:val="nil"/>
              <w:bottom w:val="nil"/>
              <w:right w:val="nil"/>
            </w:tcBorders>
            <w:shd w:val="clear" w:color="auto" w:fill="auto"/>
          </w:tcPr>
          <w:p w14:paraId="5B615367" w14:textId="77777777" w:rsidR="00A058B8" w:rsidRPr="00683C50" w:rsidRDefault="00A058B8" w:rsidP="00A058B8">
            <w:pPr>
              <w:jc w:val="right"/>
              <w:rPr>
                <w:rFonts w:ascii="David" w:hAnsi="David"/>
                <w:sz w:val="26"/>
                <w:szCs w:val="26"/>
              </w:rPr>
            </w:pPr>
          </w:p>
        </w:tc>
      </w:tr>
    </w:tbl>
    <w:p w14:paraId="2D156EF6" w14:textId="77777777" w:rsidR="00733EE5" w:rsidRDefault="00733EE5" w:rsidP="00A058B8">
      <w:pPr>
        <w:rPr>
          <w:sz w:val="26"/>
          <w:szCs w:val="26"/>
          <w:rtl/>
        </w:rPr>
      </w:pPr>
    </w:p>
    <w:p w14:paraId="2A4EA291" w14:textId="77777777" w:rsidR="00733EE5" w:rsidRPr="00733EE5" w:rsidRDefault="00733EE5" w:rsidP="00733EE5">
      <w:pPr>
        <w:spacing w:after="120" w:line="240" w:lineRule="exact"/>
        <w:ind w:left="283" w:hanging="283"/>
        <w:jc w:val="both"/>
        <w:rPr>
          <w:rFonts w:ascii="FrankRuehl" w:hAnsi="FrankRuehl" w:cs="FrankRuehl"/>
          <w:rtl/>
        </w:rPr>
      </w:pPr>
    </w:p>
    <w:p w14:paraId="25BF6E4B" w14:textId="77777777" w:rsidR="00E760C1" w:rsidRPr="00E760C1" w:rsidRDefault="00E760C1" w:rsidP="00E760C1">
      <w:pPr>
        <w:spacing w:before="120" w:after="120" w:line="240" w:lineRule="exact"/>
        <w:ind w:left="283" w:hanging="283"/>
        <w:jc w:val="both"/>
        <w:rPr>
          <w:rFonts w:ascii="FrankRuehl" w:hAnsi="FrankRuehl" w:cs="FrankRuehl"/>
          <w:rtl/>
        </w:rPr>
      </w:pPr>
    </w:p>
    <w:p w14:paraId="3BF6F003" w14:textId="77777777" w:rsidR="00B04E4E" w:rsidRDefault="00B04E4E" w:rsidP="00B04E4E">
      <w:pPr>
        <w:rPr>
          <w:sz w:val="26"/>
          <w:szCs w:val="26"/>
          <w:rtl/>
        </w:rPr>
      </w:pPr>
      <w:bookmarkStart w:id="2" w:name="LawTable"/>
      <w:bookmarkEnd w:id="2"/>
    </w:p>
    <w:p w14:paraId="0B6288D9" w14:textId="77777777" w:rsidR="00B04E4E" w:rsidRPr="00B04E4E" w:rsidRDefault="00B04E4E" w:rsidP="00B04E4E">
      <w:pPr>
        <w:spacing w:before="120" w:after="120" w:line="240" w:lineRule="exact"/>
        <w:ind w:left="283" w:hanging="283"/>
        <w:jc w:val="both"/>
        <w:rPr>
          <w:rFonts w:ascii="FrankRuehl" w:hAnsi="FrankRuehl" w:cs="FrankRuehl"/>
          <w:rtl/>
        </w:rPr>
      </w:pPr>
    </w:p>
    <w:p w14:paraId="5E289392" w14:textId="77777777" w:rsidR="00B04E4E" w:rsidRPr="00B04E4E" w:rsidRDefault="00B04E4E" w:rsidP="00B04E4E">
      <w:pPr>
        <w:spacing w:before="120" w:after="120" w:line="240" w:lineRule="exact"/>
        <w:ind w:left="283" w:hanging="283"/>
        <w:jc w:val="both"/>
        <w:rPr>
          <w:rFonts w:ascii="FrankRuehl" w:hAnsi="FrankRuehl" w:cs="FrankRuehl"/>
          <w:rtl/>
        </w:rPr>
      </w:pPr>
    </w:p>
    <w:p w14:paraId="55B21E5B" w14:textId="77777777" w:rsidR="00B04E4E" w:rsidRPr="00B04E4E" w:rsidRDefault="00B04E4E" w:rsidP="00B04E4E">
      <w:pPr>
        <w:spacing w:before="120" w:after="120" w:line="240" w:lineRule="exact"/>
        <w:ind w:left="283" w:hanging="283"/>
        <w:jc w:val="both"/>
        <w:rPr>
          <w:rFonts w:ascii="FrankRuehl" w:hAnsi="FrankRuehl" w:cs="FrankRuehl"/>
          <w:rtl/>
        </w:rPr>
      </w:pPr>
      <w:r w:rsidRPr="00B04E4E">
        <w:rPr>
          <w:rFonts w:ascii="FrankRuehl" w:hAnsi="FrankRuehl" w:cs="FrankRuehl"/>
          <w:rtl/>
        </w:rPr>
        <w:t xml:space="preserve">חקיקה שאוזכרה: </w:t>
      </w:r>
    </w:p>
    <w:p w14:paraId="2D436C7D" w14:textId="77777777" w:rsidR="00B04E4E" w:rsidRPr="00B04E4E" w:rsidRDefault="00B04E4E" w:rsidP="00B04E4E">
      <w:pPr>
        <w:spacing w:before="120" w:after="120" w:line="240" w:lineRule="exact"/>
        <w:ind w:left="283" w:hanging="283"/>
        <w:jc w:val="both"/>
        <w:rPr>
          <w:rFonts w:ascii="FrankRuehl" w:hAnsi="FrankRuehl" w:cs="FrankRuehl"/>
          <w:rtl/>
        </w:rPr>
      </w:pPr>
      <w:hyperlink r:id="rId7" w:history="1">
        <w:r w:rsidRPr="00B04E4E">
          <w:rPr>
            <w:rFonts w:ascii="FrankRuehl" w:hAnsi="FrankRuehl" w:cs="FrankRuehl"/>
            <w:color w:val="0000FF"/>
            <w:rtl/>
          </w:rPr>
          <w:t>פקודת הסמים המסוכנים [נוסח חדש], תשל"ג-1973</w:t>
        </w:r>
      </w:hyperlink>
      <w:r w:rsidRPr="00B04E4E">
        <w:rPr>
          <w:rFonts w:ascii="FrankRuehl" w:hAnsi="FrankRuehl" w:cs="FrankRuehl"/>
          <w:rtl/>
        </w:rPr>
        <w:t xml:space="preserve">: סע'  </w:t>
      </w:r>
      <w:hyperlink r:id="rId8" w:history="1">
        <w:r w:rsidRPr="00B04E4E">
          <w:rPr>
            <w:rFonts w:ascii="FrankRuehl" w:hAnsi="FrankRuehl" w:cs="FrankRuehl"/>
            <w:color w:val="0000FF"/>
            <w:rtl/>
          </w:rPr>
          <w:t>7(א)</w:t>
        </w:r>
      </w:hyperlink>
      <w:r w:rsidRPr="00B04E4E">
        <w:rPr>
          <w:rFonts w:ascii="FrankRuehl" w:hAnsi="FrankRuehl" w:cs="FrankRuehl"/>
          <w:rtl/>
        </w:rPr>
        <w:t xml:space="preserve">, </w:t>
      </w:r>
      <w:hyperlink r:id="rId9" w:history="1">
        <w:r w:rsidRPr="00B04E4E">
          <w:rPr>
            <w:rFonts w:ascii="FrankRuehl" w:hAnsi="FrankRuehl" w:cs="FrankRuehl"/>
            <w:color w:val="0000FF"/>
            <w:rtl/>
          </w:rPr>
          <w:t>7(ג)</w:t>
        </w:r>
      </w:hyperlink>
      <w:r w:rsidRPr="00B04E4E">
        <w:rPr>
          <w:rFonts w:ascii="FrankRuehl" w:hAnsi="FrankRuehl" w:cs="FrankRuehl"/>
          <w:rtl/>
        </w:rPr>
        <w:t xml:space="preserve">, </w:t>
      </w:r>
      <w:hyperlink r:id="rId10" w:history="1">
        <w:r w:rsidRPr="00B04E4E">
          <w:rPr>
            <w:rFonts w:ascii="FrankRuehl" w:hAnsi="FrankRuehl" w:cs="FrankRuehl"/>
            <w:color w:val="0000FF"/>
            <w:rtl/>
          </w:rPr>
          <w:t>39(א)</w:t>
        </w:r>
      </w:hyperlink>
    </w:p>
    <w:p w14:paraId="0EA5D2AD" w14:textId="77777777" w:rsidR="00B04E4E" w:rsidRPr="00B04E4E" w:rsidRDefault="00B04E4E" w:rsidP="00B04E4E">
      <w:pPr>
        <w:spacing w:before="120" w:after="120" w:line="240" w:lineRule="exact"/>
        <w:ind w:left="283" w:hanging="283"/>
        <w:jc w:val="both"/>
        <w:rPr>
          <w:rFonts w:ascii="FrankRuehl" w:hAnsi="FrankRuehl" w:cs="FrankRuehl"/>
          <w:rtl/>
        </w:rPr>
      </w:pPr>
      <w:hyperlink r:id="rId11" w:history="1">
        <w:r w:rsidRPr="00B04E4E">
          <w:rPr>
            <w:rFonts w:ascii="FrankRuehl" w:hAnsi="FrankRuehl" w:cs="FrankRuehl"/>
            <w:color w:val="0000FF"/>
            <w:rtl/>
          </w:rPr>
          <w:t>חוק העונשין, תשל"ז-1977</w:t>
        </w:r>
      </w:hyperlink>
      <w:r w:rsidRPr="00B04E4E">
        <w:rPr>
          <w:rFonts w:ascii="FrankRuehl" w:hAnsi="FrankRuehl" w:cs="FrankRuehl"/>
          <w:rtl/>
        </w:rPr>
        <w:t xml:space="preserve">: סע'  </w:t>
      </w:r>
      <w:hyperlink r:id="rId12" w:history="1">
        <w:r w:rsidRPr="00B04E4E">
          <w:rPr>
            <w:rFonts w:ascii="FrankRuehl" w:hAnsi="FrankRuehl" w:cs="FrankRuehl"/>
            <w:color w:val="0000FF"/>
            <w:rtl/>
          </w:rPr>
          <w:t>29(א)</w:t>
        </w:r>
      </w:hyperlink>
      <w:r w:rsidRPr="00B04E4E">
        <w:rPr>
          <w:rFonts w:ascii="FrankRuehl" w:hAnsi="FrankRuehl" w:cs="FrankRuehl"/>
          <w:rtl/>
        </w:rPr>
        <w:t xml:space="preserve">, </w:t>
      </w:r>
      <w:hyperlink r:id="rId13" w:history="1">
        <w:r w:rsidRPr="00B04E4E">
          <w:rPr>
            <w:rFonts w:ascii="FrankRuehl" w:hAnsi="FrankRuehl" w:cs="FrankRuehl"/>
            <w:color w:val="0000FF"/>
            <w:rtl/>
          </w:rPr>
          <w:t>379</w:t>
        </w:r>
      </w:hyperlink>
      <w:r w:rsidRPr="00B04E4E">
        <w:rPr>
          <w:rFonts w:ascii="FrankRuehl" w:hAnsi="FrankRuehl" w:cs="FrankRuehl"/>
          <w:rtl/>
        </w:rPr>
        <w:t xml:space="preserve">, </w:t>
      </w:r>
      <w:hyperlink r:id="rId14" w:history="1">
        <w:r w:rsidRPr="00B04E4E">
          <w:rPr>
            <w:rFonts w:ascii="FrankRuehl" w:hAnsi="FrankRuehl" w:cs="FrankRuehl"/>
            <w:color w:val="0000FF"/>
            <w:rtl/>
          </w:rPr>
          <w:t>382(א)</w:t>
        </w:r>
      </w:hyperlink>
      <w:r w:rsidRPr="00B04E4E">
        <w:rPr>
          <w:rFonts w:ascii="FrankRuehl" w:hAnsi="FrankRuehl" w:cs="FrankRuehl"/>
          <w:rtl/>
        </w:rPr>
        <w:t xml:space="preserve">, </w:t>
      </w:r>
      <w:hyperlink r:id="rId15" w:history="1">
        <w:r w:rsidRPr="00B04E4E">
          <w:rPr>
            <w:rFonts w:ascii="FrankRuehl" w:hAnsi="FrankRuehl" w:cs="FrankRuehl"/>
            <w:color w:val="0000FF"/>
            <w:rtl/>
          </w:rPr>
          <w:t>383</w:t>
        </w:r>
      </w:hyperlink>
      <w:r w:rsidRPr="00B04E4E">
        <w:rPr>
          <w:rFonts w:ascii="FrankRuehl" w:hAnsi="FrankRuehl" w:cs="FrankRuehl"/>
          <w:rtl/>
        </w:rPr>
        <w:t xml:space="preserve">, </w:t>
      </w:r>
      <w:hyperlink r:id="rId16" w:history="1">
        <w:r w:rsidRPr="00B04E4E">
          <w:rPr>
            <w:rFonts w:ascii="FrankRuehl" w:hAnsi="FrankRuehl" w:cs="FrankRuehl"/>
            <w:color w:val="0000FF"/>
            <w:rtl/>
          </w:rPr>
          <w:t>384</w:t>
        </w:r>
      </w:hyperlink>
      <w:r w:rsidRPr="00B04E4E">
        <w:rPr>
          <w:rFonts w:ascii="FrankRuehl" w:hAnsi="FrankRuehl" w:cs="FrankRuehl"/>
          <w:rtl/>
        </w:rPr>
        <w:t xml:space="preserve">, </w:t>
      </w:r>
      <w:hyperlink r:id="rId17" w:history="1">
        <w:r w:rsidRPr="00B04E4E">
          <w:rPr>
            <w:rFonts w:ascii="FrankRuehl" w:hAnsi="FrankRuehl" w:cs="FrankRuehl"/>
            <w:color w:val="0000FF"/>
            <w:rtl/>
          </w:rPr>
          <w:t>404</w:t>
        </w:r>
      </w:hyperlink>
      <w:r w:rsidRPr="00B04E4E">
        <w:rPr>
          <w:rFonts w:ascii="FrankRuehl" w:hAnsi="FrankRuehl" w:cs="FrankRuehl"/>
          <w:rtl/>
        </w:rPr>
        <w:t xml:space="preserve">, </w:t>
      </w:r>
      <w:hyperlink r:id="rId18" w:history="1">
        <w:r w:rsidRPr="00B04E4E">
          <w:rPr>
            <w:rFonts w:ascii="FrankRuehl" w:hAnsi="FrankRuehl" w:cs="FrankRuehl"/>
            <w:color w:val="0000FF"/>
            <w:rtl/>
          </w:rPr>
          <w:t>40יא'</w:t>
        </w:r>
      </w:hyperlink>
    </w:p>
    <w:p w14:paraId="0A8FF378" w14:textId="77777777" w:rsidR="00B04E4E" w:rsidRPr="00B04E4E" w:rsidRDefault="00B04E4E" w:rsidP="00B04E4E">
      <w:pPr>
        <w:spacing w:before="120" w:after="120" w:line="240" w:lineRule="exact"/>
        <w:ind w:left="283" w:hanging="283"/>
        <w:jc w:val="both"/>
        <w:rPr>
          <w:rFonts w:ascii="FrankRuehl" w:hAnsi="FrankRuehl" w:cs="FrankRuehl"/>
          <w:rtl/>
        </w:rPr>
      </w:pPr>
      <w:hyperlink r:id="rId19" w:history="1">
        <w:r w:rsidRPr="00B04E4E">
          <w:rPr>
            <w:rFonts w:ascii="FrankRuehl" w:hAnsi="FrankRuehl" w:cs="FrankRuehl"/>
            <w:color w:val="0000FF"/>
            <w:rtl/>
          </w:rPr>
          <w:t>חוק-יסוד: כבוד האדם וחירותו</w:t>
        </w:r>
      </w:hyperlink>
    </w:p>
    <w:p w14:paraId="4F7BF40C" w14:textId="77777777" w:rsidR="00B04E4E" w:rsidRPr="00B04E4E" w:rsidRDefault="00B04E4E" w:rsidP="00B04E4E">
      <w:pPr>
        <w:rPr>
          <w:sz w:val="26"/>
          <w:szCs w:val="26"/>
          <w:rtl/>
        </w:rPr>
      </w:pPr>
      <w:bookmarkStart w:id="3" w:name="LawTable_End"/>
      <w:bookmarkEnd w:id="3"/>
    </w:p>
    <w:p w14:paraId="614E45B3" w14:textId="77777777" w:rsidR="00A058B8" w:rsidRPr="00E760C1" w:rsidRDefault="00A058B8" w:rsidP="00E760C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058B8" w14:paraId="2CD2BA6F" w14:textId="77777777" w:rsidTr="00A058B8">
        <w:trPr>
          <w:trHeight w:val="355"/>
          <w:jc w:val="center"/>
        </w:trPr>
        <w:tc>
          <w:tcPr>
            <w:tcW w:w="8820" w:type="dxa"/>
            <w:tcBorders>
              <w:top w:val="nil"/>
              <w:left w:val="nil"/>
              <w:bottom w:val="nil"/>
              <w:right w:val="nil"/>
            </w:tcBorders>
            <w:shd w:val="clear" w:color="auto" w:fill="auto"/>
          </w:tcPr>
          <w:p w14:paraId="12D4DFF6" w14:textId="77777777" w:rsidR="00683C50" w:rsidRPr="00683C50" w:rsidRDefault="00683C50" w:rsidP="00683C50">
            <w:pPr>
              <w:jc w:val="center"/>
              <w:rPr>
                <w:rFonts w:ascii="David" w:hAnsi="David"/>
                <w:b/>
                <w:bCs/>
                <w:sz w:val="32"/>
                <w:szCs w:val="32"/>
                <w:u w:val="single"/>
                <w:rtl/>
              </w:rPr>
            </w:pPr>
            <w:bookmarkStart w:id="4" w:name="PsakDin" w:colFirst="0" w:colLast="0"/>
            <w:bookmarkEnd w:id="0"/>
            <w:r w:rsidRPr="00683C50">
              <w:rPr>
                <w:rFonts w:ascii="David" w:hAnsi="David"/>
                <w:b/>
                <w:bCs/>
                <w:sz w:val="32"/>
                <w:szCs w:val="32"/>
                <w:u w:val="single"/>
                <w:rtl/>
              </w:rPr>
              <w:t>גזר דין</w:t>
            </w:r>
          </w:p>
          <w:p w14:paraId="0BA0A47B" w14:textId="77777777" w:rsidR="00A058B8" w:rsidRPr="00683C50" w:rsidRDefault="00A058B8" w:rsidP="00683C50">
            <w:pPr>
              <w:jc w:val="center"/>
              <w:rPr>
                <w:rFonts w:ascii="David" w:hAnsi="David"/>
                <w:bCs/>
                <w:sz w:val="32"/>
                <w:szCs w:val="32"/>
                <w:u w:val="single"/>
                <w:rtl/>
              </w:rPr>
            </w:pPr>
          </w:p>
        </w:tc>
      </w:tr>
      <w:bookmarkEnd w:id="4"/>
    </w:tbl>
    <w:p w14:paraId="2B46ED32" w14:textId="77777777" w:rsidR="00A058B8" w:rsidRPr="002B7D23" w:rsidRDefault="00A058B8" w:rsidP="00A058B8">
      <w:pPr>
        <w:rPr>
          <w:rFonts w:ascii="David" w:hAnsi="David"/>
          <w:sz w:val="26"/>
          <w:szCs w:val="26"/>
          <w:rtl/>
        </w:rPr>
      </w:pPr>
    </w:p>
    <w:p w14:paraId="5B066BD5" w14:textId="77777777" w:rsidR="00A058B8" w:rsidRDefault="00A058B8" w:rsidP="00A058B8">
      <w:pPr>
        <w:spacing w:before="100" w:beforeAutospacing="1" w:after="120" w:line="360" w:lineRule="auto"/>
        <w:ind w:left="-2" w:firstLine="722"/>
        <w:jc w:val="both"/>
        <w:rPr>
          <w:rFonts w:ascii="Corbel" w:hAnsi="Corbel" w:cs="FrankRuehl"/>
          <w:sz w:val="28"/>
          <w:szCs w:val="28"/>
          <w:rtl/>
        </w:rPr>
      </w:pPr>
      <w:bookmarkStart w:id="5" w:name="ABSTRACT_START"/>
      <w:bookmarkEnd w:id="5"/>
      <w:r>
        <w:rPr>
          <w:rFonts w:ascii="Corbel" w:hAnsi="Corbel" w:cs="FrankRuehl"/>
          <w:sz w:val="28"/>
          <w:szCs w:val="28"/>
          <w:rtl/>
        </w:rPr>
        <w:t>הנאשם הודה בהתאם להסדר טיעון בכתב אישום מתוקן</w:t>
      </w:r>
      <w:r>
        <w:rPr>
          <w:rFonts w:ascii="Corbel" w:hAnsi="Corbel" w:cs="FrankRuehl" w:hint="cs"/>
          <w:sz w:val="28"/>
          <w:szCs w:val="28"/>
          <w:rtl/>
        </w:rPr>
        <w:t xml:space="preserve"> ב</w:t>
      </w:r>
      <w:r>
        <w:rPr>
          <w:rFonts w:ascii="Miriam" w:hAnsi="Miriam" w:cs="Miriam"/>
          <w:rtl/>
        </w:rPr>
        <w:t>החזק</w:t>
      </w:r>
      <w:r>
        <w:rPr>
          <w:rFonts w:ascii="Miriam" w:hAnsi="Miriam" w:cs="Miriam" w:hint="cs"/>
          <w:rtl/>
        </w:rPr>
        <w:t>ת</w:t>
      </w:r>
      <w:r>
        <w:rPr>
          <w:rFonts w:ascii="Miriam" w:hAnsi="Miriam" w:cs="Miriam"/>
          <w:rtl/>
        </w:rPr>
        <w:t xml:space="preserve"> סמים לצריכה עצמית</w:t>
      </w:r>
      <w:r>
        <w:rPr>
          <w:rFonts w:ascii="Corbel" w:hAnsi="Corbel" w:cs="FrankRuehl"/>
          <w:sz w:val="28"/>
          <w:szCs w:val="28"/>
          <w:rtl/>
        </w:rPr>
        <w:t xml:space="preserve">, עבירה לפי </w:t>
      </w:r>
      <w:hyperlink r:id="rId20" w:history="1">
        <w:r w:rsidR="00733EE5" w:rsidRPr="00733EE5">
          <w:rPr>
            <w:rStyle w:val="Hyperlink"/>
            <w:rFonts w:ascii="Miriam" w:hAnsi="Miriam" w:cs="Miriam"/>
            <w:rtl/>
          </w:rPr>
          <w:t>סעיף 7(א)</w:t>
        </w:r>
      </w:hyperlink>
      <w:r>
        <w:rPr>
          <w:rFonts w:ascii="Corbel" w:hAnsi="Corbel" w:cs="FrankRuehl"/>
          <w:sz w:val="28"/>
          <w:szCs w:val="28"/>
          <w:rtl/>
        </w:rPr>
        <w:t xml:space="preserve"> בצירוף</w:t>
      </w:r>
      <w:r>
        <w:rPr>
          <w:rFonts w:ascii="Miriam" w:hAnsi="Miriam" w:cs="Miriam"/>
          <w:rtl/>
        </w:rPr>
        <w:t xml:space="preserve"> סעיף </w:t>
      </w:r>
      <w:hyperlink r:id="rId21" w:history="1">
        <w:r w:rsidR="00733EE5" w:rsidRPr="00733EE5">
          <w:rPr>
            <w:rStyle w:val="Hyperlink"/>
            <w:rFonts w:ascii="Miriam" w:hAnsi="Miriam" w:cs="Miriam"/>
            <w:rtl/>
          </w:rPr>
          <w:t>7(ג)</w:t>
        </w:r>
      </w:hyperlink>
      <w:r>
        <w:rPr>
          <w:rFonts w:ascii="Miriam" w:hAnsi="Miriam" w:cs="Miriam"/>
          <w:rtl/>
        </w:rPr>
        <w:t xml:space="preserve"> סיפא ל</w:t>
      </w:r>
      <w:hyperlink r:id="rId22" w:history="1">
        <w:r w:rsidR="00683C50" w:rsidRPr="00683C50">
          <w:rPr>
            <w:rFonts w:ascii="Miriam" w:hAnsi="Miriam" w:cs="Miriam"/>
            <w:color w:val="0000FF"/>
            <w:u w:val="single"/>
            <w:rtl/>
          </w:rPr>
          <w:t>פקודת הסמים המסוכנים</w:t>
        </w:r>
      </w:hyperlink>
      <w:r>
        <w:rPr>
          <w:rFonts w:ascii="Miriam" w:hAnsi="Miriam" w:cs="Miriam"/>
          <w:rtl/>
        </w:rPr>
        <w:t xml:space="preserve"> (נוסח חדש) התשל"ג–1973</w:t>
      </w:r>
      <w:r>
        <w:rPr>
          <w:rFonts w:ascii="Corbel" w:hAnsi="Corbel" w:cs="FrankRuehl"/>
          <w:sz w:val="28"/>
          <w:szCs w:val="28"/>
          <w:rtl/>
        </w:rPr>
        <w:t xml:space="preserve"> (להלן: </w:t>
      </w:r>
      <w:r>
        <w:rPr>
          <w:rFonts w:ascii="Miriam" w:hAnsi="Miriam" w:cs="Miriam"/>
          <w:rtl/>
        </w:rPr>
        <w:t>הפקודה</w:t>
      </w:r>
      <w:r>
        <w:rPr>
          <w:rFonts w:ascii="Corbel" w:hAnsi="Corbel" w:cs="FrankRuehl"/>
          <w:sz w:val="28"/>
          <w:szCs w:val="28"/>
          <w:rtl/>
        </w:rPr>
        <w:t xml:space="preserve">); </w:t>
      </w:r>
      <w:r>
        <w:rPr>
          <w:rFonts w:ascii="Miriam" w:hAnsi="Miriam" w:cs="Miriam"/>
          <w:rtl/>
        </w:rPr>
        <w:t>דרישה באיומים של רכוש</w:t>
      </w:r>
      <w:r>
        <w:rPr>
          <w:rFonts w:ascii="Corbel" w:hAnsi="Corbel" w:cs="FrankRuehl"/>
          <w:sz w:val="28"/>
          <w:szCs w:val="28"/>
          <w:rtl/>
        </w:rPr>
        <w:t xml:space="preserve">, עבירה לפי </w:t>
      </w:r>
      <w:hyperlink r:id="rId23" w:history="1">
        <w:r w:rsidR="00733EE5" w:rsidRPr="00733EE5">
          <w:rPr>
            <w:rStyle w:val="Hyperlink"/>
            <w:rFonts w:ascii="Miriam" w:hAnsi="Miriam" w:cs="Miriam"/>
            <w:rtl/>
          </w:rPr>
          <w:t>סעיף 404</w:t>
        </w:r>
      </w:hyperlink>
      <w:r>
        <w:rPr>
          <w:rFonts w:ascii="Miriam" w:hAnsi="Miriam" w:cs="Miriam"/>
          <w:rtl/>
        </w:rPr>
        <w:t xml:space="preserve"> רישא</w:t>
      </w:r>
      <w:r>
        <w:rPr>
          <w:rFonts w:ascii="Corbel" w:hAnsi="Corbel" w:cs="FrankRuehl"/>
          <w:sz w:val="28"/>
          <w:szCs w:val="28"/>
          <w:rtl/>
        </w:rPr>
        <w:t xml:space="preserve"> בצירוף </w:t>
      </w:r>
      <w:hyperlink r:id="rId24" w:history="1">
        <w:r w:rsidR="00733EE5" w:rsidRPr="00733EE5">
          <w:rPr>
            <w:rStyle w:val="Hyperlink"/>
            <w:rFonts w:ascii="Miriam" w:hAnsi="Miriam" w:cs="Miriam"/>
            <w:rtl/>
          </w:rPr>
          <w:t>סעיף 29(א)</w:t>
        </w:r>
      </w:hyperlink>
      <w:r>
        <w:rPr>
          <w:rFonts w:ascii="Miriam" w:hAnsi="Miriam" w:cs="Miriam"/>
          <w:rtl/>
        </w:rPr>
        <w:t xml:space="preserve"> ל</w:t>
      </w:r>
      <w:hyperlink r:id="rId25" w:history="1">
        <w:r w:rsidR="00683C50" w:rsidRPr="00683C50">
          <w:rPr>
            <w:rFonts w:ascii="Miriam" w:hAnsi="Miriam" w:cs="Miriam"/>
            <w:color w:val="0000FF"/>
            <w:u w:val="single"/>
            <w:rtl/>
          </w:rPr>
          <w:t>חוק העונשין</w:t>
        </w:r>
      </w:hyperlink>
      <w:r>
        <w:rPr>
          <w:rFonts w:ascii="Miriam" w:hAnsi="Miriam" w:cs="Miriam"/>
          <w:rtl/>
        </w:rPr>
        <w:t>, התשל"ז–1977</w:t>
      </w:r>
      <w:r>
        <w:rPr>
          <w:rFonts w:ascii="Corbel" w:hAnsi="Corbel" w:cs="FrankRuehl"/>
          <w:sz w:val="28"/>
          <w:szCs w:val="28"/>
          <w:rtl/>
        </w:rPr>
        <w:t xml:space="preserve"> (להלן: </w:t>
      </w:r>
      <w:r>
        <w:rPr>
          <w:rFonts w:ascii="Miriam" w:hAnsi="Miriam" w:cs="Miriam"/>
          <w:rtl/>
        </w:rPr>
        <w:t>חוק העונשין</w:t>
      </w:r>
      <w:r>
        <w:rPr>
          <w:rFonts w:ascii="Corbel" w:hAnsi="Corbel" w:cs="FrankRuehl"/>
          <w:sz w:val="28"/>
          <w:szCs w:val="28"/>
          <w:rtl/>
        </w:rPr>
        <w:t xml:space="preserve">); </w:t>
      </w:r>
      <w:r>
        <w:rPr>
          <w:rFonts w:ascii="Miriam" w:hAnsi="Miriam" w:cs="Miriam"/>
          <w:rtl/>
        </w:rPr>
        <w:t>גניבה בצוותא</w:t>
      </w:r>
      <w:r>
        <w:rPr>
          <w:rFonts w:ascii="Corbel" w:hAnsi="Corbel" w:cs="FrankRuehl"/>
          <w:sz w:val="28"/>
          <w:szCs w:val="28"/>
          <w:rtl/>
        </w:rPr>
        <w:t xml:space="preserve">, עבירה לפי </w:t>
      </w:r>
      <w:hyperlink r:id="rId26" w:history="1">
        <w:r w:rsidR="00733EE5" w:rsidRPr="00733EE5">
          <w:rPr>
            <w:rStyle w:val="Hyperlink"/>
            <w:rFonts w:ascii="Miriam" w:hAnsi="Miriam" w:cs="Miriam"/>
            <w:rtl/>
          </w:rPr>
          <w:t>סעיפים 384</w:t>
        </w:r>
      </w:hyperlink>
      <w:r>
        <w:rPr>
          <w:rFonts w:ascii="Miriam" w:hAnsi="Miriam" w:cs="Miriam"/>
          <w:rtl/>
        </w:rPr>
        <w:t xml:space="preserve"> </w:t>
      </w:r>
      <w:r>
        <w:rPr>
          <w:rFonts w:ascii="Miriam" w:hAnsi="Miriam" w:cs="Miriam" w:hint="cs"/>
          <w:rtl/>
        </w:rPr>
        <w:t xml:space="preserve">+ </w:t>
      </w:r>
      <w:hyperlink r:id="rId27" w:history="1">
        <w:r w:rsidR="00733EE5" w:rsidRPr="00733EE5">
          <w:rPr>
            <w:rStyle w:val="Hyperlink"/>
            <w:rFonts w:ascii="Miriam" w:hAnsi="Miriam" w:cs="Miriam"/>
            <w:rtl/>
          </w:rPr>
          <w:t>383</w:t>
        </w:r>
      </w:hyperlink>
      <w:r>
        <w:rPr>
          <w:rFonts w:ascii="Miriam" w:hAnsi="Miriam" w:cs="Miriam" w:hint="cs"/>
          <w:rtl/>
        </w:rPr>
        <w:t xml:space="preserve"> </w:t>
      </w:r>
      <w:r>
        <w:rPr>
          <w:rFonts w:ascii="Miriam" w:hAnsi="Miriam" w:cs="Miriam"/>
          <w:rtl/>
        </w:rPr>
        <w:t xml:space="preserve">בצירוף </w:t>
      </w:r>
      <w:hyperlink r:id="rId28" w:history="1">
        <w:r w:rsidR="00733EE5" w:rsidRPr="00733EE5">
          <w:rPr>
            <w:rStyle w:val="Hyperlink"/>
            <w:rFonts w:ascii="Miriam" w:hAnsi="Miriam" w:cs="Miriam"/>
            <w:rtl/>
          </w:rPr>
          <w:t>סעיף 29(א)</w:t>
        </w:r>
      </w:hyperlink>
      <w:r>
        <w:rPr>
          <w:rFonts w:ascii="Miriam" w:hAnsi="Miriam" w:cs="Miriam"/>
          <w:rtl/>
        </w:rPr>
        <w:t xml:space="preserve"> לחוק העונשין</w:t>
      </w:r>
      <w:r>
        <w:rPr>
          <w:rFonts w:ascii="Corbel" w:hAnsi="Corbel" w:cs="FrankRuehl"/>
          <w:sz w:val="28"/>
          <w:szCs w:val="28"/>
          <w:rtl/>
        </w:rPr>
        <w:t xml:space="preserve">; </w:t>
      </w:r>
      <w:r w:rsidRPr="00D23520">
        <w:rPr>
          <w:rFonts w:ascii="Miriam" w:hAnsi="Miriam" w:cs="Miriam"/>
          <w:rtl/>
        </w:rPr>
        <w:t>תקיפה סתם על ידי שניים או יותר</w:t>
      </w:r>
      <w:r w:rsidRPr="00D23520">
        <w:rPr>
          <w:rFonts w:ascii="Corbel" w:hAnsi="Corbel" w:cs="FrankRuehl"/>
          <w:sz w:val="28"/>
          <w:szCs w:val="28"/>
          <w:rtl/>
        </w:rPr>
        <w:t xml:space="preserve">, עבירה לפי </w:t>
      </w:r>
      <w:hyperlink r:id="rId29" w:history="1">
        <w:r w:rsidR="00733EE5" w:rsidRPr="00733EE5">
          <w:rPr>
            <w:rStyle w:val="Hyperlink"/>
            <w:rFonts w:ascii="Miriam" w:hAnsi="Miriam" w:cs="Miriam" w:hint="eastAsia"/>
            <w:rtl/>
          </w:rPr>
          <w:t>סעיפים</w:t>
        </w:r>
        <w:r w:rsidR="00733EE5" w:rsidRPr="00733EE5">
          <w:rPr>
            <w:rStyle w:val="Hyperlink"/>
            <w:rFonts w:ascii="Miriam" w:hAnsi="Miriam" w:cs="Miriam"/>
            <w:rtl/>
          </w:rPr>
          <w:t xml:space="preserve"> 379</w:t>
        </w:r>
      </w:hyperlink>
      <w:r>
        <w:rPr>
          <w:rFonts w:ascii="Miriam" w:hAnsi="Miriam" w:cs="Miriam" w:hint="cs"/>
          <w:rtl/>
        </w:rPr>
        <w:t xml:space="preserve"> +</w:t>
      </w:r>
      <w:r w:rsidRPr="00D23520">
        <w:rPr>
          <w:rFonts w:ascii="Miriam" w:hAnsi="Miriam" w:cs="Miriam"/>
          <w:rtl/>
        </w:rPr>
        <w:t xml:space="preserve"> </w:t>
      </w:r>
      <w:hyperlink r:id="rId30" w:history="1">
        <w:r w:rsidR="00733EE5" w:rsidRPr="00733EE5">
          <w:rPr>
            <w:rStyle w:val="Hyperlink"/>
            <w:rFonts w:ascii="Miriam" w:hAnsi="Miriam" w:cs="Miriam"/>
            <w:rtl/>
          </w:rPr>
          <w:t>382(א)</w:t>
        </w:r>
      </w:hyperlink>
      <w:r w:rsidRPr="00D23520">
        <w:rPr>
          <w:rFonts w:ascii="Miriam" w:hAnsi="Miriam" w:cs="Miriam"/>
          <w:rtl/>
        </w:rPr>
        <w:t xml:space="preserve"> לחוק העונשין</w:t>
      </w:r>
      <w:r w:rsidRPr="00D23520">
        <w:rPr>
          <w:rFonts w:ascii="Corbel" w:hAnsi="Corbel" w:cs="FrankRuehl"/>
          <w:sz w:val="28"/>
          <w:szCs w:val="28"/>
          <w:rtl/>
        </w:rPr>
        <w:t>.</w:t>
      </w:r>
      <w:r>
        <w:rPr>
          <w:rFonts w:ascii="Corbel" w:hAnsi="Corbel" w:cs="FrankRuehl"/>
          <w:sz w:val="28"/>
          <w:szCs w:val="28"/>
          <w:rtl/>
        </w:rPr>
        <w:t xml:space="preserve"> </w:t>
      </w:r>
    </w:p>
    <w:p w14:paraId="2063ADF6" w14:textId="77777777" w:rsidR="00A058B8" w:rsidRDefault="00A058B8" w:rsidP="00A058B8">
      <w:pPr>
        <w:spacing w:before="100" w:beforeAutospacing="1" w:after="120" w:line="360" w:lineRule="auto"/>
        <w:ind w:left="-2" w:firstLine="722"/>
        <w:jc w:val="both"/>
        <w:rPr>
          <w:rFonts w:ascii="Corbel" w:hAnsi="Corbel" w:cs="FrankRuehl"/>
          <w:sz w:val="28"/>
          <w:szCs w:val="28"/>
          <w:rtl/>
        </w:rPr>
      </w:pPr>
      <w:bookmarkStart w:id="6" w:name="ABSTRACT_END"/>
      <w:bookmarkEnd w:id="6"/>
      <w:r>
        <w:rPr>
          <w:rFonts w:ascii="Corbel" w:hAnsi="Corbel" w:cs="FrankRuehl"/>
          <w:sz w:val="28"/>
          <w:szCs w:val="28"/>
          <w:rtl/>
        </w:rPr>
        <w:t>הסדר הטיעון הדיוני לא כלל הסכמה לעניין העונש, אך בהסכמת הצדדים, הופנה הנאשם לשירות המבחן על מנת שיתקבל תסקיר בעניינו. כן עתרה המאשימה לחילוט הרכב.</w:t>
      </w:r>
    </w:p>
    <w:p w14:paraId="2B157934" w14:textId="77777777" w:rsidR="00A058B8" w:rsidRDefault="00A058B8" w:rsidP="00A058B8">
      <w:pPr>
        <w:spacing w:before="100" w:beforeAutospacing="1" w:after="120" w:line="360" w:lineRule="auto"/>
        <w:ind w:left="-2" w:firstLine="2"/>
        <w:jc w:val="both"/>
        <w:rPr>
          <w:rFonts w:ascii="Corbel" w:hAnsi="Corbel" w:cs="Miriam"/>
          <w:b/>
          <w:rtl/>
        </w:rPr>
      </w:pPr>
      <w:r>
        <w:rPr>
          <w:rFonts w:ascii="Corbel" w:hAnsi="Corbel" w:cs="Miriam"/>
          <w:b/>
          <w:rtl/>
        </w:rPr>
        <w:t xml:space="preserve">כתב האישום המתוקן </w:t>
      </w:r>
    </w:p>
    <w:p w14:paraId="71D79AA0" w14:textId="77777777" w:rsidR="00A058B8" w:rsidRDefault="00A058B8" w:rsidP="00A058B8">
      <w:pPr>
        <w:numPr>
          <w:ilvl w:val="0"/>
          <w:numId w:val="1"/>
        </w:numPr>
        <w:spacing w:before="100" w:beforeAutospacing="1" w:after="120" w:line="360" w:lineRule="auto"/>
        <w:ind w:left="-2" w:firstLine="0"/>
        <w:jc w:val="both"/>
        <w:rPr>
          <w:rFonts w:ascii="Corbel" w:hAnsi="Corbel" w:cs="Miriam"/>
          <w:b/>
          <w:rtl/>
        </w:rPr>
      </w:pPr>
      <w:r>
        <w:rPr>
          <w:rFonts w:ascii="Corbel" w:hAnsi="Corbel" w:cs="FrankRuehl"/>
          <w:sz w:val="28"/>
          <w:szCs w:val="28"/>
          <w:rtl/>
        </w:rPr>
        <w:lastRenderedPageBreak/>
        <w:t xml:space="preserve">לפי כתב האישום המתוקן </w:t>
      </w:r>
      <w:r>
        <w:rPr>
          <w:rFonts w:ascii="Corbel" w:hAnsi="Corbel" w:cs="FrankRuehl" w:hint="cs"/>
          <w:sz w:val="28"/>
          <w:szCs w:val="28"/>
          <w:rtl/>
        </w:rPr>
        <w:t>בשלישית</w:t>
      </w:r>
      <w:r>
        <w:rPr>
          <w:rFonts w:ascii="Corbel" w:hAnsi="Corbel" w:cs="FrankRuehl"/>
          <w:sz w:val="28"/>
          <w:szCs w:val="28"/>
          <w:rtl/>
        </w:rPr>
        <w:t xml:space="preserve">, ביום 4.12.2019 הגיע הנאשם עם אחר ברכב לרחוב בני משה ברחובות, השניים ירדו מהרכב והחלו לרדוף אחר קטין יליד 2003, דרשו ממנו שימסור להם את הנייד והתיק שברשותו. בהמשך, אחז הנאשם בחוזקה בידו של הקטין, האחר בסיוע הנאשם הפיל ועיקם את המשקפיים שהרכיב הקטין, היכה בידו, הרים אבן ואיים באמצעותה על הקטין. מיד לאחר מכן נמלטו הנאשם והאחר מהמקום כשברשותם הנייד והתיק של הקטין. </w:t>
      </w:r>
    </w:p>
    <w:p w14:paraId="7753EB0D" w14:textId="77777777" w:rsidR="00A058B8" w:rsidRDefault="00A058B8" w:rsidP="00A058B8">
      <w:pPr>
        <w:numPr>
          <w:ilvl w:val="0"/>
          <w:numId w:val="1"/>
        </w:numPr>
        <w:spacing w:before="100" w:beforeAutospacing="1" w:after="120" w:line="360" w:lineRule="auto"/>
        <w:ind w:left="-2" w:firstLine="0"/>
        <w:jc w:val="both"/>
        <w:rPr>
          <w:rFonts w:ascii="Corbel" w:hAnsi="Corbel" w:cs="Miriam"/>
          <w:b/>
        </w:rPr>
      </w:pPr>
      <w:r>
        <w:rPr>
          <w:rFonts w:ascii="Corbel" w:hAnsi="Corbel" w:cs="FrankRuehl"/>
          <w:sz w:val="28"/>
          <w:szCs w:val="28"/>
          <w:rtl/>
        </w:rPr>
        <w:t>ביום 5.12.2019 החזיק הנאשם בביתו סם מסוכן מסוג קנבוס במשקל 6.90 גרם וכן החזיק ברכבו סם מסוכן מסוג קנבוס במשקל 27.99 גרם.</w:t>
      </w:r>
    </w:p>
    <w:p w14:paraId="696D4689" w14:textId="77777777" w:rsidR="00A058B8" w:rsidRDefault="00A058B8" w:rsidP="00A058B8">
      <w:pPr>
        <w:spacing w:before="100" w:beforeAutospacing="1" w:after="120" w:line="360" w:lineRule="auto"/>
        <w:ind w:left="-2"/>
        <w:jc w:val="both"/>
        <w:rPr>
          <w:rFonts w:ascii="Corbel" w:hAnsi="Corbel" w:cs="Miriam"/>
          <w:b/>
        </w:rPr>
      </w:pPr>
      <w:r>
        <w:rPr>
          <w:rFonts w:ascii="Corbel" w:hAnsi="Corbel" w:cs="Miriam"/>
          <w:b/>
          <w:rtl/>
        </w:rPr>
        <w:t>תסקירי שירות המבחן וחוות דעת ממונה על עבודות שירות</w:t>
      </w:r>
    </w:p>
    <w:p w14:paraId="2037D681" w14:textId="77777777" w:rsidR="00A058B8" w:rsidRDefault="00A058B8" w:rsidP="00A058B8">
      <w:pPr>
        <w:numPr>
          <w:ilvl w:val="0"/>
          <w:numId w:val="1"/>
        </w:numPr>
        <w:spacing w:before="100" w:beforeAutospacing="1" w:after="120" w:line="360" w:lineRule="auto"/>
        <w:ind w:left="-2" w:firstLine="0"/>
        <w:jc w:val="both"/>
        <w:rPr>
          <w:rFonts w:cs="FrankRuehl"/>
          <w:sz w:val="28"/>
          <w:szCs w:val="28"/>
          <w:rtl/>
        </w:rPr>
      </w:pPr>
      <w:r>
        <w:rPr>
          <w:rFonts w:ascii="Corbel" w:hAnsi="Corbel" w:cs="Miriam"/>
          <w:b/>
          <w:rtl/>
        </w:rPr>
        <w:t>בתסקיר מיום 17.2.2021</w:t>
      </w:r>
      <w:r>
        <w:rPr>
          <w:rFonts w:ascii="FrankRuehl" w:hAnsi="FrankRuehl" w:cs="FrankRuehl"/>
          <w:sz w:val="28"/>
          <w:szCs w:val="28"/>
          <w:rtl/>
        </w:rPr>
        <w:t xml:space="preserve"> הובאה </w:t>
      </w:r>
      <w:r>
        <w:rPr>
          <w:rFonts w:cs="FrankRuehl"/>
          <w:sz w:val="28"/>
          <w:szCs w:val="28"/>
          <w:rtl/>
        </w:rPr>
        <w:t>סקירת נתוניו האישים של הנאשם, וכן התייחסות מקיפה לנסיבות ביצוע העבירה ולהתייחסות הנאשם לעבירות שביצע. מהתסקיר עולה כי הנאשם בן 24, רווק, התגורר בעבר עם בת זוג בנתניה ולאחר האירוע שוחרר למעצר בית אצל הוריו בחריש. נכון לכתיבת התסקיר היה מצוי במעצר בית לילי ועבד במשלוחים. הנאשם בוגר 9 שנות לימוד, לאחר בית ספר יסודי הועבר בהחלטת אביו לפנימייה שם שהה עד כיתה ט' והושעה בשל אי עמידה בנדרש במסגרת, ניסיון לשלבו בפרויקט היל"ה לא צלח. הנאשם שירת שירות צבאי חלקי לאחר שהתאכזב שלא נשלח לשירות קרבי, ערק כעבור שנה וחצי ושוחרר בגין אי התאמה. הנאשם מאופיין בתעסוקה לא רציפה, מגיל צעיר החל לעבוד באופן מזדמן בדרך כלל וכיום עובד במשלוחים.</w:t>
      </w:r>
    </w:p>
    <w:p w14:paraId="192CD973" w14:textId="77777777" w:rsidR="00A058B8" w:rsidRDefault="00A058B8" w:rsidP="00A058B8">
      <w:pPr>
        <w:spacing w:before="100" w:beforeAutospacing="1" w:after="120" w:line="360" w:lineRule="auto"/>
        <w:ind w:left="-2" w:firstLine="722"/>
        <w:jc w:val="both"/>
        <w:rPr>
          <w:rFonts w:cs="FrankRuehl"/>
          <w:sz w:val="28"/>
          <w:szCs w:val="28"/>
        </w:rPr>
      </w:pPr>
      <w:r>
        <w:rPr>
          <w:rFonts w:cs="FrankRuehl"/>
          <w:sz w:val="28"/>
          <w:szCs w:val="28"/>
          <w:rtl/>
        </w:rPr>
        <w:t xml:space="preserve">הנאשם מסר פרטים אודות משפחתו, וסיפר כי הינו הילד הרביעי מבין חמישה ילדים שנולדו להוריו, ילידי אתיופיה שעלו לישראל בשנות ה-80 במסע מורכב דרך המדבר שם איבדו את ילדם הבכור בעודו תינוק. כיום הוריו שכירים ומצבם הכלכלי סביר, אך לדבריו הורגש חוסר כלכלי בבית. בתסקיר צוין כי הנאשם גילה כבוד והערכה לדרך החיים הקשה של הוריו ולצד זאת מייחל לעצמו חופש בחירה ושגשוג. </w:t>
      </w:r>
    </w:p>
    <w:p w14:paraId="689EC84C" w14:textId="77777777" w:rsidR="00A058B8" w:rsidRDefault="00A058B8" w:rsidP="00A058B8">
      <w:pPr>
        <w:spacing w:before="100" w:beforeAutospacing="1" w:after="120" w:line="360" w:lineRule="auto"/>
        <w:ind w:left="-2" w:firstLine="722"/>
        <w:jc w:val="both"/>
        <w:rPr>
          <w:rFonts w:cs="FrankRuehl"/>
          <w:sz w:val="28"/>
          <w:szCs w:val="28"/>
        </w:rPr>
      </w:pPr>
      <w:r>
        <w:rPr>
          <w:rFonts w:cs="FrankRuehl"/>
          <w:sz w:val="28"/>
          <w:szCs w:val="28"/>
          <w:rtl/>
        </w:rPr>
        <w:t xml:space="preserve">הנאשם ללא הרשעות קודמות אך בתקופת האבחון נפתח כנגדו תיק בגין החזקת סמים לצריכה עצמית מבלי שהוגש כתב אישום בעניין זה. בתסקיר נמסר כי הנאשם הגיע באיחור לפגישה אחת בשירות המבחן, פגישה אחרת בוטלה ונקבעה במקומה פגישה נוספת אליה לא הגיע. מבדיקת שתן לאיתור שרידי סמים מתאריך 26.1.2021 עלה כי נותרו שרידי קנאביס, לבדיקה נוספת הנאשם הודיע כי מתקשה להגיע. בשיחה טלפונית שביצעו שירות המבחן עם הנאשם מסר האחרון כי מתקשה לערוך סדר עדיפויות ולכן התקשה להגיע למפגש ולבצע </w:t>
      </w:r>
      <w:r>
        <w:rPr>
          <w:rFonts w:cs="FrankRuehl"/>
          <w:sz w:val="28"/>
          <w:szCs w:val="28"/>
          <w:rtl/>
        </w:rPr>
        <w:lastRenderedPageBreak/>
        <w:t>בדיקת השתן. לפיכך שירות המבחן קבעו עמו פגישה נוספת וכן נקבעו שתי בדיקות שתן נוספות. להשלמת האבחון בעניינו של הנאשם התבקשה דחייה מטעם שירות המבחן.</w:t>
      </w:r>
    </w:p>
    <w:p w14:paraId="2E76FC4E" w14:textId="77777777" w:rsidR="00A058B8" w:rsidRDefault="00A058B8" w:rsidP="00A058B8">
      <w:pPr>
        <w:numPr>
          <w:ilvl w:val="0"/>
          <w:numId w:val="1"/>
        </w:numPr>
        <w:spacing w:before="100" w:beforeAutospacing="1" w:after="120" w:line="360" w:lineRule="auto"/>
        <w:ind w:left="0" w:firstLine="0"/>
        <w:jc w:val="both"/>
        <w:rPr>
          <w:rFonts w:cs="FrankRuehl"/>
          <w:sz w:val="28"/>
          <w:szCs w:val="28"/>
        </w:rPr>
      </w:pPr>
      <w:r>
        <w:rPr>
          <w:rFonts w:ascii="Corbel" w:hAnsi="Corbel" w:cs="Miriam"/>
          <w:b/>
          <w:rtl/>
        </w:rPr>
        <w:t>בתסקיר המשלים מיום 18.4.2021</w:t>
      </w:r>
      <w:r>
        <w:rPr>
          <w:rFonts w:cs="FrankRuehl"/>
          <w:sz w:val="28"/>
          <w:szCs w:val="28"/>
          <w:rtl/>
        </w:rPr>
        <w:t xml:space="preserve"> נמסר כי במהלך תקופת הדחייה הנאשם הפסיק לעבוד במשלוחים, לא שמר על קשר רציף עם שירות המבחן, לא הגיע לכל הפגישות שנקבעו לו מסיבות שונות וניסיונות להשיגו טלפונית לא תמיד צלחו. עם זאת, נמסר כי כאשר כן הגיע לפגישה שנקבעה לו קיים תקשורת פתוחה עם שירות למבחן, הודה בביצוע העבירה, הכיר בבעייתיות שבהתנהלותו ובחומרת פגיעתו במתלונן.</w:t>
      </w:r>
    </w:p>
    <w:p w14:paraId="25B9F702" w14:textId="77777777" w:rsidR="00A058B8" w:rsidRDefault="00A058B8" w:rsidP="00A058B8">
      <w:pPr>
        <w:spacing w:before="100" w:beforeAutospacing="1" w:after="120" w:line="360" w:lineRule="auto"/>
        <w:ind w:firstLine="720"/>
        <w:jc w:val="both"/>
        <w:rPr>
          <w:rFonts w:cs="FrankRuehl"/>
          <w:sz w:val="28"/>
          <w:szCs w:val="28"/>
        </w:rPr>
      </w:pPr>
      <w:r>
        <w:rPr>
          <w:rFonts w:cs="FrankRuehl"/>
          <w:sz w:val="28"/>
          <w:szCs w:val="28"/>
          <w:rtl/>
        </w:rPr>
        <w:t>באשר לנסיבות ביצוע העבירה, מסר הנאשם כי לא מכיר את המתלונן באופן אישי, אך חברו המתואר כ"אחר" בכתב האישום ביקש ממנו טרמפ והוא הסכים לבקשתו. הנאשם המשיך ותיאר כי בהגיעם למקום</w:t>
      </w:r>
      <w:r>
        <w:rPr>
          <w:rFonts w:cs="FrankRuehl" w:hint="cs"/>
          <w:sz w:val="28"/>
          <w:szCs w:val="28"/>
          <w:rtl/>
        </w:rPr>
        <w:t>,</w:t>
      </w:r>
      <w:r>
        <w:rPr>
          <w:rFonts w:cs="FrankRuehl"/>
          <w:sz w:val="28"/>
          <w:szCs w:val="28"/>
          <w:rtl/>
        </w:rPr>
        <w:t xml:space="preserve"> המתלונן נכנס לרכב, מסר כסף ל"אחר" בתמורה לדבר מה שמסר לו ה"אחר" ויצא מהרכב. הנאשם מסר כי לא חשב שמהות העסקה היא עניינו אך כשהתברר כי הכסף מזויף רדפו השניים אחר המתלונן. הנאשם תיאר כי האירוע הסלים במהירות והוא נגרר לתוכו, וכן הודה כי שיתף פעולה עם התנהלותו של חברו ה"אחר" על אף שהבין כי האירוע מסלים. בהתאם הנאשם ביטא צער על התנהלותו.</w:t>
      </w:r>
    </w:p>
    <w:p w14:paraId="6A45C3D1" w14:textId="77777777" w:rsidR="00A058B8" w:rsidRDefault="00A058B8" w:rsidP="00A058B8">
      <w:pPr>
        <w:spacing w:before="100" w:beforeAutospacing="1" w:after="120" w:line="360" w:lineRule="auto"/>
        <w:ind w:firstLine="720"/>
        <w:jc w:val="both"/>
        <w:rPr>
          <w:rFonts w:cs="FrankRuehl"/>
          <w:sz w:val="28"/>
          <w:szCs w:val="28"/>
        </w:rPr>
      </w:pPr>
      <w:r>
        <w:rPr>
          <w:rFonts w:cs="FrankRuehl"/>
          <w:sz w:val="28"/>
          <w:szCs w:val="28"/>
          <w:rtl/>
        </w:rPr>
        <w:t>עוד סיפר הנאשם כי החל לצרוך סמים מסוג קנבוס בגיל 20 לאחר שעות העבודה במצבים רגשיים מורכבים או לצורך הנאה, אך אינו צורך סמים מזה מספר חודשים ומסר כי הוא אינו זקוק לטיפול בתחום ההתמכרויות. בדיקות שתן שביצע הנאשם יצאו נקיות משר</w:t>
      </w:r>
      <w:r>
        <w:rPr>
          <w:rFonts w:cs="FrankRuehl" w:hint="cs"/>
          <w:sz w:val="28"/>
          <w:szCs w:val="28"/>
          <w:rtl/>
        </w:rPr>
        <w:t>י</w:t>
      </w:r>
      <w:r>
        <w:rPr>
          <w:rFonts w:cs="FrankRuehl"/>
          <w:sz w:val="28"/>
          <w:szCs w:val="28"/>
          <w:rtl/>
        </w:rPr>
        <w:t>די סמים.</w:t>
      </w:r>
    </w:p>
    <w:p w14:paraId="11761CB1" w14:textId="77777777" w:rsidR="00A058B8" w:rsidRDefault="00A058B8" w:rsidP="00A058B8">
      <w:pPr>
        <w:spacing w:before="100" w:beforeAutospacing="1" w:after="120" w:line="360" w:lineRule="auto"/>
        <w:ind w:firstLine="720"/>
        <w:jc w:val="both"/>
        <w:rPr>
          <w:rFonts w:cs="FrankRuehl"/>
          <w:sz w:val="28"/>
          <w:szCs w:val="28"/>
        </w:rPr>
      </w:pPr>
      <w:r>
        <w:rPr>
          <w:rFonts w:cs="FrankRuehl"/>
          <w:sz w:val="28"/>
          <w:szCs w:val="28"/>
          <w:rtl/>
        </w:rPr>
        <w:t>מהתסקיר עולה תמונה של אדם צעיר אשר גילה קשיי תפקוד ויציבות כבר מגיל מוקדם. כאשר שירות המבחן מעריכים שהעובדה כי התחבר לחברה שולית תוך שימוש בקנבוס והתנהלותו שאינה שקולה סביב אירועים חברתיים מהווים גורמי סיכון עבורו להישנות העבירה, ולהערכתם רמת הסיכון נמוכה. באשר לגורמי הסיכוי אלו כוללים העדר הרשעות קודמות, תקשורת פתוחה וישירה של הנאשם עם שירות המבחן, הפסקת השימוש בסמים, הכרה בחומרת מעשיו ויכולתו של הנאשם לבטא אמפתיה כלפי המתלונן.</w:t>
      </w:r>
    </w:p>
    <w:p w14:paraId="7B377E20" w14:textId="77777777" w:rsidR="00A058B8" w:rsidRDefault="00A058B8" w:rsidP="00A058B8">
      <w:pPr>
        <w:spacing w:before="100" w:beforeAutospacing="1" w:after="120" w:line="360" w:lineRule="auto"/>
        <w:ind w:firstLine="720"/>
        <w:jc w:val="both"/>
        <w:rPr>
          <w:rFonts w:cs="FrankRuehl"/>
          <w:sz w:val="28"/>
          <w:szCs w:val="28"/>
        </w:rPr>
      </w:pPr>
      <w:r>
        <w:rPr>
          <w:rFonts w:cs="FrankRuehl"/>
          <w:sz w:val="28"/>
          <w:szCs w:val="28"/>
          <w:rtl/>
        </w:rPr>
        <w:t>שירות המבחן סבר כי הנאשם יכול להיתרם בהשתלבות בהליך טיפולי כגורם מפחית סיכון, על אף שהנאשם גילה חוסר יציבות והתלבטות באשר לטיפול באופן כללי. מכאן ולנוכח הספק בנוגע לבשלותו של הנאשם לטיפול, ציין שירות המבחן כי ככל שיביע הנאשם במעמד הדיון רצון להשתלב בהליך טיפולי, תתבקש דחיית הדיון בשלושה חודשים כדי לבחון יכולתו להתמיד בטיפול ולהיעזר בו.</w:t>
      </w:r>
    </w:p>
    <w:p w14:paraId="1AEE8AF0" w14:textId="77777777" w:rsidR="00A058B8" w:rsidRDefault="00A058B8" w:rsidP="00A058B8">
      <w:pPr>
        <w:numPr>
          <w:ilvl w:val="0"/>
          <w:numId w:val="1"/>
        </w:numPr>
        <w:spacing w:before="100" w:beforeAutospacing="1" w:after="120" w:line="360" w:lineRule="auto"/>
        <w:ind w:left="0" w:firstLine="0"/>
        <w:jc w:val="both"/>
        <w:rPr>
          <w:rFonts w:cs="FrankRuehl"/>
          <w:sz w:val="28"/>
          <w:szCs w:val="28"/>
        </w:rPr>
      </w:pPr>
      <w:r>
        <w:rPr>
          <w:rFonts w:ascii="Corbel" w:hAnsi="Corbel" w:cs="Miriam"/>
          <w:b/>
          <w:rtl/>
        </w:rPr>
        <w:t>בתסקיר מיום 18.7.2021</w:t>
      </w:r>
      <w:r>
        <w:rPr>
          <w:rFonts w:cs="FrankRuehl"/>
          <w:sz w:val="28"/>
          <w:szCs w:val="28"/>
          <w:rtl/>
        </w:rPr>
        <w:t xml:space="preserve"> עדכן שירות המבחן כי בתקופת הדחייה החל הנאשם, בן 25 מתגורר בחריש, לעבוד בעבודות "פוליש" החל מחודש אוקטובר 2020. הנאשם מסר לשירות המבחן כי נמצא במצוקה כלכלית ומשקיע ברצף תעסוקתי על מנת לבנות לעצמו מסגרת חיים מאורגנת. מהתסקיר עולה כי תחילה הנאשם הביע התנגדות לטיפול לאור חוסר הפניות הרגשית והפיזית בה נמצא, אך הסכים להשתלב בקבוצת הכנה לטיפול בשירות המבחן. </w:t>
      </w:r>
    </w:p>
    <w:p w14:paraId="4C54CFA9" w14:textId="77777777" w:rsidR="00A058B8" w:rsidRDefault="00A058B8" w:rsidP="00A058B8">
      <w:pPr>
        <w:spacing w:before="100" w:beforeAutospacing="1" w:after="120" w:line="360" w:lineRule="auto"/>
        <w:ind w:firstLine="720"/>
        <w:jc w:val="both"/>
        <w:rPr>
          <w:rFonts w:cs="FrankRuehl"/>
          <w:sz w:val="28"/>
          <w:szCs w:val="28"/>
        </w:rPr>
      </w:pPr>
      <w:r>
        <w:rPr>
          <w:rFonts w:cs="FrankRuehl"/>
          <w:sz w:val="28"/>
          <w:szCs w:val="28"/>
          <w:rtl/>
        </w:rPr>
        <w:t xml:space="preserve">הנאשם הגיע ל-3 מתוך 4 פגישות כאשר לשתיים מהפגישות הגיע באיחור רב בשל עיכוב בעבודה וקושי בהגעה למיקום הפגישה. כפי שנמסר בתסקיר במפגשים שנכח היה פעיל ומשמעותי עבור חברי הקבוצה כך גם כפי שחבריו לקבוצה ציינו וגילה יכולת להיעזר בטיפול אם יהיה נוכח בו. אולם הנאשם מצוי בתקופה הישרדותית ואינו פנוי להליך טיפולי, ומשכך שירות המבחן בחנו האופציה לשלבו בתוכנית ית"ד המיועדת להכוונה בפתרון קשיים כלכליים וקידום תעסוקתי, אך הנאשם הביע הסתייגות גם מתוכנית זו מתוך חשש כי ההליכים המשפטיים ימשכו ולא הודיע את תשובתו הסופית באשר להשתלבותו בתוכנית זו. </w:t>
      </w:r>
    </w:p>
    <w:p w14:paraId="6CAF6241" w14:textId="77777777" w:rsidR="00A058B8" w:rsidRDefault="00A058B8" w:rsidP="00A058B8">
      <w:pPr>
        <w:spacing w:before="100" w:beforeAutospacing="1" w:after="120" w:line="360" w:lineRule="auto"/>
        <w:ind w:firstLine="720"/>
        <w:jc w:val="both"/>
        <w:rPr>
          <w:rFonts w:cs="FrankRuehl"/>
          <w:sz w:val="28"/>
          <w:szCs w:val="28"/>
        </w:rPr>
      </w:pPr>
      <w:r>
        <w:rPr>
          <w:rFonts w:cs="FrankRuehl"/>
          <w:sz w:val="28"/>
          <w:szCs w:val="28"/>
          <w:rtl/>
        </w:rPr>
        <w:t>שירות המבחן סברו כי קיים לנאשם קושי להתחייב להליך טיפולי, אך קיימת לו יכולת תקשורת בינאישית טובה והשפעה חיובית על חברי הקבוצה. הערכת שירות המבחן בהתאם היא כי כאשר הנאשם יהיה פנוי רגשית ופיזית לכך, יוכל להיתרם רבות מהליך קבוצתי טיפולי. ואולם בעיתוי זה סבורים שירות המבחן כי ניכר שהנאשם אינו בשל לטיפול שכזה כאשר עסוק בעניינים הישרדותיים. לפיכך, שירות המבחן לא המליץ על המשך מעורבותו בעניינו של הנאשם.</w:t>
      </w:r>
    </w:p>
    <w:p w14:paraId="1F594BFB" w14:textId="77777777" w:rsidR="00A058B8" w:rsidRDefault="00A058B8" w:rsidP="00A058B8">
      <w:pPr>
        <w:spacing w:before="100" w:beforeAutospacing="1" w:after="120" w:line="360" w:lineRule="auto"/>
        <w:jc w:val="both"/>
        <w:rPr>
          <w:rFonts w:ascii="Corbel" w:hAnsi="Corbel" w:cs="Miriam"/>
          <w:b/>
        </w:rPr>
      </w:pPr>
      <w:r>
        <w:rPr>
          <w:rFonts w:ascii="Corbel" w:hAnsi="Corbel" w:cs="Miriam"/>
          <w:b/>
          <w:rtl/>
        </w:rPr>
        <w:t>טיעוני הצדדים לעונש</w:t>
      </w:r>
    </w:p>
    <w:p w14:paraId="3FC4931B" w14:textId="77777777" w:rsidR="00A058B8" w:rsidRDefault="00A058B8" w:rsidP="00A058B8">
      <w:pPr>
        <w:numPr>
          <w:ilvl w:val="0"/>
          <w:numId w:val="1"/>
        </w:numPr>
        <w:spacing w:before="100" w:beforeAutospacing="1" w:after="120" w:line="360" w:lineRule="auto"/>
        <w:ind w:left="0" w:firstLine="0"/>
        <w:jc w:val="both"/>
        <w:rPr>
          <w:rFonts w:ascii="FrankRuehl" w:hAnsi="FrankRuehl" w:cs="FrankRuehl"/>
          <w:sz w:val="28"/>
          <w:szCs w:val="28"/>
          <w:rtl/>
        </w:rPr>
      </w:pPr>
      <w:r>
        <w:rPr>
          <w:rFonts w:ascii="Corbel" w:hAnsi="Corbel" w:cs="Miriam"/>
          <w:b/>
          <w:rtl/>
        </w:rPr>
        <w:t>המאשימה</w:t>
      </w:r>
      <w:r>
        <w:rPr>
          <w:rFonts w:ascii="Corbel" w:hAnsi="Corbel" w:cs="FrankRuehl"/>
          <w:sz w:val="28"/>
          <w:szCs w:val="28"/>
          <w:rtl/>
        </w:rPr>
        <w:t xml:space="preserve"> בטיעוניה הפנתה לערכים המוגנים שנפגעו כפועל יוצא ממעשיו של הנאשם, ובהם שמירה על הציבור ובריאותו מפני נגע הסמים ועבירות נלוות ופגיעה בזכות האדם לשלמות גופו ורכושו.</w:t>
      </w:r>
      <w:r>
        <w:rPr>
          <w:rFonts w:ascii="FrankRuehl" w:hAnsi="FrankRuehl" w:cs="FrankRuehl"/>
          <w:sz w:val="28"/>
          <w:szCs w:val="28"/>
          <w:rtl/>
        </w:rPr>
        <w:t xml:space="preserve"> </w:t>
      </w:r>
    </w:p>
    <w:p w14:paraId="734C521D" w14:textId="77777777" w:rsidR="00A058B8" w:rsidRDefault="00A058B8" w:rsidP="00A058B8">
      <w:pPr>
        <w:spacing w:before="100" w:beforeAutospacing="1" w:after="120" w:line="360" w:lineRule="auto"/>
        <w:ind w:firstLine="720"/>
        <w:jc w:val="both"/>
        <w:rPr>
          <w:rFonts w:ascii="FrankRuehl" w:hAnsi="FrankRuehl" w:cs="FrankRuehl"/>
          <w:sz w:val="28"/>
          <w:szCs w:val="28"/>
          <w:rtl/>
        </w:rPr>
      </w:pPr>
      <w:r>
        <w:rPr>
          <w:rFonts w:ascii="FrankRuehl" w:hAnsi="FrankRuehl" w:cs="FrankRuehl"/>
          <w:sz w:val="28"/>
          <w:szCs w:val="28"/>
          <w:rtl/>
        </w:rPr>
        <w:t>עוד בטיעוניה עמדה המאשימה על נסיבות ביצוע העבירה כאשר ביקשה לייחס חומרה יתרה לעובדה כי אלו בוצעו בצוותא חדא כלפי קטין הנזקק להגנה מוגברת בשל גילו. המאשימה הציגה את כתב האישום המתוקן כנגד האחר אשר ייחס לו עבירה של סיוע לדרישת נכס באיומים וכן סיוע לתקיפה סתם ו</w:t>
      </w:r>
      <w:r>
        <w:rPr>
          <w:rFonts w:ascii="FrankRuehl" w:hAnsi="FrankRuehl" w:cs="FrankRuehl" w:hint="cs"/>
          <w:sz w:val="28"/>
          <w:szCs w:val="28"/>
          <w:rtl/>
        </w:rPr>
        <w:t>ה</w:t>
      </w:r>
      <w:r>
        <w:rPr>
          <w:rFonts w:ascii="FrankRuehl" w:hAnsi="FrankRuehl" w:cs="FrankRuehl"/>
          <w:sz w:val="28"/>
          <w:szCs w:val="28"/>
          <w:rtl/>
        </w:rPr>
        <w:t>דגישה כי בבסיס הסדר הטיעון עמדו קשיים ראייתיים. כן הוצג גזר הדין בעניינו של האחר שם בהתאם להסכמות הצדדים צורפו תיקים נוספים והוא נידון ל-9 חודשי עבודות שירות ורכיבי ענישה נוספים (</w:t>
      </w:r>
      <w:r>
        <w:rPr>
          <w:rFonts w:ascii="Miriam" w:hAnsi="Miriam" w:cs="Miriam"/>
          <w:rtl/>
        </w:rPr>
        <w:t>טעת/1</w:t>
      </w:r>
      <w:r>
        <w:rPr>
          <w:rFonts w:ascii="FrankRuehl" w:hAnsi="FrankRuehl" w:cs="FrankRuehl"/>
          <w:sz w:val="28"/>
          <w:szCs w:val="28"/>
          <w:rtl/>
        </w:rPr>
        <w:t xml:space="preserve">). </w:t>
      </w:r>
    </w:p>
    <w:p w14:paraId="51F72489" w14:textId="77777777" w:rsidR="00A058B8" w:rsidRDefault="00A058B8" w:rsidP="00A058B8">
      <w:pPr>
        <w:spacing w:before="100" w:beforeAutospacing="1" w:after="120" w:line="360" w:lineRule="auto"/>
        <w:ind w:firstLine="720"/>
        <w:jc w:val="both"/>
        <w:rPr>
          <w:rFonts w:ascii="FrankRuehl" w:hAnsi="FrankRuehl" w:cs="FrankRuehl"/>
          <w:sz w:val="28"/>
          <w:szCs w:val="28"/>
        </w:rPr>
      </w:pPr>
      <w:r>
        <w:rPr>
          <w:rFonts w:ascii="FrankRuehl" w:hAnsi="FrankRuehl" w:cs="FrankRuehl"/>
          <w:sz w:val="28"/>
          <w:szCs w:val="28"/>
          <w:rtl/>
        </w:rPr>
        <w:t xml:space="preserve">יוער כי במהלך הטיעונים לעונש ובשל הערות בית המשפט מצאה המאשימה לתקן את כתב האישום כנגד הנאשם </w:t>
      </w:r>
      <w:r>
        <w:rPr>
          <w:rFonts w:ascii="FrankRuehl" w:hAnsi="FrankRuehl" w:cs="FrankRuehl" w:hint="cs"/>
          <w:sz w:val="28"/>
          <w:szCs w:val="28"/>
          <w:rtl/>
        </w:rPr>
        <w:t xml:space="preserve">בשנית, </w:t>
      </w:r>
      <w:r>
        <w:rPr>
          <w:rFonts w:ascii="FrankRuehl" w:hAnsi="FrankRuehl" w:cs="FrankRuehl"/>
          <w:sz w:val="28"/>
          <w:szCs w:val="28"/>
          <w:rtl/>
        </w:rPr>
        <w:t xml:space="preserve">באופן התואם לשיטתה את כתב האישום שתוקן בעניינו של האחר. מכאן ולנוכח חלקו של הנאשם בכתב האישום נטען כי מידת הפגיעה בערכים המוגנים היא בינונית – נמוכה. </w:t>
      </w:r>
      <w:r>
        <w:rPr>
          <w:rFonts w:ascii="Corbel" w:hAnsi="Corbel" w:cs="FrankRuehl"/>
          <w:sz w:val="28"/>
          <w:szCs w:val="28"/>
          <w:rtl/>
        </w:rPr>
        <w:t xml:space="preserve">המאשימה עתרה לקביעת מתחם העונש ההולם כנע בין מספר חודשי עבודות שירות ועד 10 חודשי מאסר לריצוי בפועל ותמכה עמדתה בפסיקה. </w:t>
      </w:r>
    </w:p>
    <w:p w14:paraId="11417B4E" w14:textId="77777777" w:rsidR="00A058B8" w:rsidRDefault="00A058B8" w:rsidP="00A058B8">
      <w:pPr>
        <w:spacing w:before="100" w:beforeAutospacing="1" w:after="120" w:line="360" w:lineRule="auto"/>
        <w:ind w:firstLine="720"/>
        <w:jc w:val="both"/>
        <w:rPr>
          <w:rFonts w:ascii="FrankRuehl" w:hAnsi="FrankRuehl" w:cs="FrankRuehl"/>
          <w:sz w:val="28"/>
          <w:szCs w:val="28"/>
        </w:rPr>
      </w:pPr>
      <w:r>
        <w:rPr>
          <w:rFonts w:ascii="FrankRuehl" w:hAnsi="FrankRuehl" w:cs="FrankRuehl"/>
          <w:sz w:val="28"/>
          <w:szCs w:val="28"/>
          <w:rtl/>
        </w:rPr>
        <w:t xml:space="preserve">המאשימה בטיעוניה סקרה את עיקרי תסקירי שירות המבחן מהם עולה כי הנאשם התקשה לשמור על קשר רציף עם שירות המבחן, שיתף פעולה באופן חלקי, נעדר מחלק מהפגישות, הביע  ההתלבטויות והסתייגות באשר לשילובו בטיפול. עוד הפנתה לתוצאות בדיקות השתן לאיתור סמים, אשר לפחות אחת מהן מעידה על שימוש בסם. כן הפנתה לרמת הסיכון אותה העריך שירות המבחן כנמוכה. המאשימה פירטה את הניסיונות שערך שירות המבחן לשילובו של הנאשם בטיפול בקבוצה טיפולית ובמרכז "יתד", אך אלו לא נשאו פרי בשל חוסר פניותיו ומוכנותו של הנאשם להתמיד בטיפול. לסיום הפנתה לעמדת שירות המבחן לפיה אין מקום עוד להמשך מעורבותו.  </w:t>
      </w:r>
    </w:p>
    <w:p w14:paraId="18242985" w14:textId="77777777" w:rsidR="00A058B8" w:rsidRDefault="00A058B8" w:rsidP="00A058B8">
      <w:pPr>
        <w:spacing w:before="100" w:beforeAutospacing="1" w:after="120" w:line="360" w:lineRule="auto"/>
        <w:ind w:firstLine="720"/>
        <w:jc w:val="both"/>
        <w:rPr>
          <w:rFonts w:ascii="FrankRuehl" w:hAnsi="FrankRuehl" w:cs="FrankRuehl"/>
          <w:sz w:val="28"/>
          <w:szCs w:val="28"/>
          <w:rtl/>
        </w:rPr>
      </w:pPr>
      <w:r>
        <w:rPr>
          <w:rFonts w:ascii="FrankRuehl" w:hAnsi="FrankRuehl" w:cs="FrankRuehl"/>
          <w:sz w:val="28"/>
          <w:szCs w:val="28"/>
          <w:rtl/>
        </w:rPr>
        <w:t>בסופו של דבר ולנוכח גילו של הנאשם, העדר עבר פלילי, לקיחת האחריות, הכרתו של הנאשם בפגיעה במתלונן ובבעייתיות שבהתנהלותו, הבעת צער על שיתוף הפעולה עם חברו והפגיעה במתלונן, העונש שהוטל על האחר, ביקשה המאשימה למקם את עונשו של הנאשם ברף התחתון – בינוני של המתחם ולהשית עליו מספר חודשי עבודות שירות לצד רכיבי ענישה נוספים. כן עתרה לחילוט הרכב, צו למוצגים והשמדת הסמים וכל היתר לפי שיקול דעת קצין משטרה.</w:t>
      </w:r>
    </w:p>
    <w:p w14:paraId="3E59800D" w14:textId="77777777" w:rsidR="00A058B8" w:rsidRDefault="00A058B8" w:rsidP="00A058B8">
      <w:pPr>
        <w:spacing w:before="100" w:beforeAutospacing="1" w:after="120" w:line="360" w:lineRule="auto"/>
        <w:ind w:firstLine="720"/>
        <w:jc w:val="both"/>
        <w:rPr>
          <w:rFonts w:ascii="FrankRuehl" w:hAnsi="FrankRuehl" w:cs="FrankRuehl"/>
          <w:sz w:val="28"/>
          <w:szCs w:val="28"/>
          <w:rtl/>
        </w:rPr>
      </w:pPr>
      <w:r>
        <w:rPr>
          <w:rFonts w:ascii="FrankRuehl" w:hAnsi="FrankRuehl" w:cs="FrankRuehl" w:hint="cs"/>
          <w:sz w:val="28"/>
          <w:szCs w:val="28"/>
          <w:rtl/>
        </w:rPr>
        <w:t>עובר לשימוע גזר הדין בשל תקלה שנתגלעה בסריקת כתב האישום המתוקן, למערכת נט המשפט הוגש כתב אישום מתוקן בשלישית והוא כולל את התיקונים אשר הציגה המאשימה בשלב הטיעונים לעונש.</w:t>
      </w:r>
    </w:p>
    <w:p w14:paraId="0A923710" w14:textId="77777777" w:rsidR="00A058B8" w:rsidRDefault="00A058B8" w:rsidP="00A058B8">
      <w:pPr>
        <w:numPr>
          <w:ilvl w:val="0"/>
          <w:numId w:val="1"/>
        </w:numPr>
        <w:spacing w:before="100" w:beforeAutospacing="1" w:after="120" w:line="360" w:lineRule="auto"/>
        <w:ind w:left="0" w:firstLine="0"/>
        <w:jc w:val="both"/>
        <w:rPr>
          <w:rFonts w:ascii="FrankRuehl" w:hAnsi="FrankRuehl" w:cs="FrankRuehl"/>
          <w:sz w:val="28"/>
          <w:szCs w:val="28"/>
        </w:rPr>
      </w:pPr>
      <w:r>
        <w:rPr>
          <w:rFonts w:ascii="Corbel" w:hAnsi="Corbel" w:cs="Miriam"/>
          <w:b/>
          <w:rtl/>
        </w:rPr>
        <w:t>ב"כ הנאשם</w:t>
      </w:r>
      <w:r>
        <w:rPr>
          <w:rFonts w:ascii="FrankRuehl" w:hAnsi="FrankRuehl" w:cs="FrankRuehl"/>
          <w:sz w:val="28"/>
          <w:szCs w:val="28"/>
          <w:rtl/>
        </w:rPr>
        <w:t xml:space="preserve"> טען כי עתירת המאשימה לעונש מאסר שיכול וירוצה בעבודות שירות מחמירה ואינה תואמת את נסיבות העושה וזאת אף בהשוואה לעונש שנגזר על האחר אשר צירף מספר תיקים גם יחד. באשר לנסיבות ביצוע העבירות הפנה בא כוח הנאשם לכך שמדובר באירוע ספונטני שאינו מתוכנן כאשר הנאשם הצטרף לחברו האחר לצורך מפגש עם קטין הנמצא על גבול הבגירות ובמהלך אותו המפגש התעורר חשד כי הקטין התעסק בשטרות מזויפים. דין ודברים בנוגע לכך הסלים והחריף בעת שביקשו לברר האמור באמצעות עיון בטלפון הנייד של המתלונן. ב"כ הנאשם הפנה בהקשר לכך כי המתלונן נחקר באזהרה ונתפסו אצלו בנייד התכתבויות עם אחרים באשר לכסף מזויף. כמו כן הפנה ב"כ הנאשם לחלקו של הנאשם בכתב האישום המתוקן ממנו עולה כי הנאשם החזיק בידו בחוזקה בעוד שעיקר המעשים האלימים בוצעו על ידי האחר. ב"כ הנאשם הוסיף כי אין היכרות מוקדמת בין הנאשם למתלונן ואף אין ביניהם כל קשר כיום.  </w:t>
      </w:r>
    </w:p>
    <w:p w14:paraId="2657071A" w14:textId="77777777" w:rsidR="00A058B8" w:rsidRDefault="00A058B8" w:rsidP="00A058B8">
      <w:pPr>
        <w:spacing w:before="100" w:beforeAutospacing="1" w:after="120" w:line="360" w:lineRule="auto"/>
        <w:ind w:firstLine="720"/>
        <w:jc w:val="both"/>
        <w:rPr>
          <w:rFonts w:ascii="FrankRuehl" w:hAnsi="FrankRuehl" w:cs="FrankRuehl"/>
          <w:sz w:val="28"/>
          <w:szCs w:val="28"/>
        </w:rPr>
      </w:pPr>
      <w:r>
        <w:rPr>
          <w:rFonts w:ascii="FrankRuehl" w:hAnsi="FrankRuehl" w:cs="FrankRuehl"/>
          <w:sz w:val="28"/>
          <w:szCs w:val="28"/>
          <w:rtl/>
        </w:rPr>
        <w:t xml:space="preserve">בא כוח הנאשם הוסיף והפנה לנסיבות שאינן קשורות בביצוע העבירה אשר לטעמו מצדיקות הטלת עונש מתון ובהן מנה את גילו של הנאשם, שזוהי הסתבכותו הראשונה בפלילים; הנאשם הודה בהזדמנות הראשונה ולקח אחריות על מעשיו; הנאשם מגלה אמפתיה ומביע צער; הנאשם בחור צעיר, קשה יום, מגיע מרקע משפחתי כלכלי קשה; הנאשם עובד קשה מאד על מנת לעמוד על רגליו, לכסות חובות שנוצרו בין היתר גם בשל התיק שמתנהל מולו, ולתמוך באמו שאינה בקו הבריאות; הנאשם שהה למעלה משנה במעצר בית מלא. </w:t>
      </w:r>
    </w:p>
    <w:p w14:paraId="73B84350" w14:textId="77777777" w:rsidR="00A058B8" w:rsidRDefault="00A058B8" w:rsidP="00A058B8">
      <w:pPr>
        <w:spacing w:before="100" w:beforeAutospacing="1" w:after="120" w:line="360" w:lineRule="auto"/>
        <w:ind w:firstLine="720"/>
        <w:jc w:val="both"/>
        <w:rPr>
          <w:rFonts w:ascii="FrankRuehl" w:hAnsi="FrankRuehl" w:cs="FrankRuehl"/>
          <w:sz w:val="28"/>
          <w:szCs w:val="28"/>
          <w:rtl/>
        </w:rPr>
      </w:pPr>
      <w:r>
        <w:rPr>
          <w:rFonts w:ascii="FrankRuehl" w:hAnsi="FrankRuehl" w:cs="FrankRuehl"/>
          <w:sz w:val="28"/>
          <w:szCs w:val="28"/>
          <w:rtl/>
        </w:rPr>
        <w:t>כן הוסיף בא כוח הנאשם להתייחס לתסקיר שלטעמו נושא אופי חיובי כאשר להערכת שירות המבחן רמת הסיכון להישנות עבירות נמוכה, בדיקות</w:t>
      </w:r>
      <w:r>
        <w:rPr>
          <w:rFonts w:ascii="FrankRuehl" w:hAnsi="FrankRuehl" w:cs="FrankRuehl"/>
          <w:sz w:val="28"/>
          <w:szCs w:val="28"/>
        </w:rPr>
        <w:t xml:space="preserve"> </w:t>
      </w:r>
      <w:r>
        <w:rPr>
          <w:rFonts w:ascii="FrankRuehl" w:hAnsi="FrankRuehl" w:cs="FrankRuehl"/>
          <w:sz w:val="28"/>
          <w:szCs w:val="28"/>
          <w:rtl/>
        </w:rPr>
        <w:t xml:space="preserve">השתן לאיתור סמים נמצאו נקיות למעט אחת, הנאשם שיתף פעולה עם שירות המבחן תקופה ארוכה, גם אם באופן חלקי, כאשר הסביר האמור בקשיים ההישרדותיים עימם מתמודד יום יום שעה שעה. </w:t>
      </w:r>
    </w:p>
    <w:p w14:paraId="7EFB5037" w14:textId="77777777" w:rsidR="00A058B8" w:rsidRDefault="00A058B8" w:rsidP="00A058B8">
      <w:pPr>
        <w:spacing w:before="100" w:beforeAutospacing="1" w:after="120" w:line="360" w:lineRule="auto"/>
        <w:ind w:firstLine="720"/>
        <w:jc w:val="both"/>
        <w:rPr>
          <w:rFonts w:ascii="FrankRuehl" w:hAnsi="FrankRuehl" w:cs="FrankRuehl"/>
          <w:sz w:val="28"/>
          <w:szCs w:val="28"/>
          <w:rtl/>
        </w:rPr>
      </w:pPr>
      <w:r>
        <w:rPr>
          <w:rFonts w:ascii="FrankRuehl" w:hAnsi="FrankRuehl" w:cs="FrankRuehl"/>
          <w:sz w:val="28"/>
          <w:szCs w:val="28"/>
          <w:rtl/>
        </w:rPr>
        <w:t>בא כוח הנאשם עתר להסתפק בעונש מתון צופה פני עתיד והתנגד לבקשת המאשימה לחילוט הרכב אשר תפוס בידי המאשימה תקופה ממושכת ובפרט לנוכח העובדה כי לא בוצעה עבירה ברכב.</w:t>
      </w:r>
    </w:p>
    <w:p w14:paraId="0A414D70" w14:textId="77777777" w:rsidR="00A058B8" w:rsidRDefault="00A058B8" w:rsidP="00A058B8">
      <w:pPr>
        <w:numPr>
          <w:ilvl w:val="0"/>
          <w:numId w:val="1"/>
        </w:numPr>
        <w:spacing w:before="100" w:beforeAutospacing="1" w:after="120" w:line="360" w:lineRule="auto"/>
        <w:ind w:left="0" w:firstLine="0"/>
        <w:jc w:val="both"/>
        <w:rPr>
          <w:rFonts w:cs="FrankRuehl"/>
          <w:sz w:val="28"/>
          <w:szCs w:val="28"/>
          <w:rtl/>
        </w:rPr>
      </w:pPr>
      <w:r>
        <w:rPr>
          <w:rFonts w:cs="FrankRuehl"/>
          <w:sz w:val="28"/>
          <w:szCs w:val="28"/>
          <w:rtl/>
        </w:rPr>
        <w:t xml:space="preserve">לאחר שנשמעו טיעוני הצדדים התבקש הממונה לבחון את כשירותו של הנאשם לרצות עונש מאסר בדרך של עבודות שירות. </w:t>
      </w:r>
    </w:p>
    <w:p w14:paraId="0644741E" w14:textId="77777777" w:rsidR="00A058B8" w:rsidRPr="00A30581" w:rsidRDefault="00A058B8" w:rsidP="00A058B8">
      <w:pPr>
        <w:numPr>
          <w:ilvl w:val="0"/>
          <w:numId w:val="1"/>
        </w:numPr>
        <w:spacing w:before="100" w:beforeAutospacing="1" w:after="120" w:line="360" w:lineRule="auto"/>
        <w:ind w:left="0" w:firstLine="0"/>
        <w:jc w:val="both"/>
        <w:rPr>
          <w:rFonts w:ascii="FrankRuehl" w:hAnsi="FrankRuehl" w:cs="FrankRuehl"/>
          <w:sz w:val="28"/>
          <w:szCs w:val="28"/>
        </w:rPr>
      </w:pPr>
      <w:r w:rsidRPr="00A30581">
        <w:rPr>
          <w:rFonts w:cs="FrankRuehl"/>
          <w:sz w:val="28"/>
          <w:szCs w:val="28"/>
          <w:rtl/>
        </w:rPr>
        <w:t xml:space="preserve">הנאשם בדברו האחרון אמר את הדברים הבאים : </w:t>
      </w:r>
      <w:r w:rsidRPr="00A30581">
        <w:rPr>
          <w:rFonts w:ascii="FrankRuehl" w:hAnsi="FrankRuehl" w:cs="FrankRuehl" w:hint="cs"/>
          <w:sz w:val="28"/>
          <w:szCs w:val="28"/>
          <w:rtl/>
        </w:rPr>
        <w:t xml:space="preserve">"אני לא אגיד לך איך לעשות את העבודה ואיזה עונש לתת לי, אבל כרגע אני עם חברה שנמצאת בחודש חמישי להיריון ואני אשמח אם תשקלי את זה במתן גזר הדין". </w:t>
      </w:r>
    </w:p>
    <w:p w14:paraId="0B275FBE" w14:textId="77777777" w:rsidR="00A058B8" w:rsidRDefault="00A058B8" w:rsidP="00A058B8">
      <w:pPr>
        <w:spacing w:before="100" w:beforeAutospacing="1" w:after="120" w:line="360" w:lineRule="auto"/>
        <w:ind w:left="-2" w:firstLine="2"/>
        <w:jc w:val="both"/>
        <w:rPr>
          <w:rFonts w:ascii="Corbel" w:hAnsi="Corbel" w:cs="Miriam"/>
          <w:b/>
        </w:rPr>
      </w:pPr>
      <w:r>
        <w:rPr>
          <w:rFonts w:ascii="Corbel" w:hAnsi="Corbel" w:cs="Miriam"/>
          <w:b/>
          <w:rtl/>
        </w:rPr>
        <w:t>דיון והכרעה</w:t>
      </w:r>
    </w:p>
    <w:p w14:paraId="0090C263" w14:textId="77777777" w:rsidR="00A058B8" w:rsidRDefault="00A058B8" w:rsidP="00A058B8">
      <w:pPr>
        <w:spacing w:before="100" w:beforeAutospacing="1" w:after="120" w:line="360" w:lineRule="auto"/>
        <w:ind w:left="-2" w:firstLine="2"/>
        <w:jc w:val="both"/>
        <w:rPr>
          <w:rFonts w:ascii="Corbel" w:hAnsi="Corbel" w:cs="Miriam"/>
          <w:b/>
          <w:rtl/>
        </w:rPr>
      </w:pPr>
      <w:r>
        <w:rPr>
          <w:rFonts w:ascii="Corbel" w:hAnsi="Corbel" w:cs="Miriam"/>
          <w:b/>
          <w:rtl/>
        </w:rPr>
        <w:t>מתחם העונש ההולם</w:t>
      </w:r>
    </w:p>
    <w:p w14:paraId="4C7DF295" w14:textId="77777777" w:rsidR="00A058B8" w:rsidRDefault="00A058B8" w:rsidP="00A058B8">
      <w:pPr>
        <w:numPr>
          <w:ilvl w:val="0"/>
          <w:numId w:val="1"/>
        </w:numPr>
        <w:spacing w:before="100" w:beforeAutospacing="1" w:after="120" w:line="360" w:lineRule="auto"/>
        <w:ind w:left="0" w:firstLine="0"/>
        <w:jc w:val="both"/>
        <w:rPr>
          <w:rFonts w:ascii="FrankRuehl" w:hAnsi="FrankRuehl" w:cs="FrankRuehl"/>
          <w:sz w:val="28"/>
          <w:szCs w:val="28"/>
        </w:rPr>
      </w:pPr>
      <w:r>
        <w:rPr>
          <w:rFonts w:ascii="Corbel" w:hAnsi="Corbel" w:cs="FrankRuehl"/>
          <w:sz w:val="28"/>
          <w:szCs w:val="28"/>
          <w:rtl/>
        </w:rPr>
        <w:t>מתחם העונש ההולם ייקבע בהתאם לעיקרון ההלימה תוך מתן משקל לערכים שנפגעו מביצוע העבירות, למידת הפגיעה בהם, למדיניות הענישה הנהוגה – והכול בנסיבות הקשורות בביצוע העבירות.</w:t>
      </w:r>
    </w:p>
    <w:p w14:paraId="16D014D3" w14:textId="77777777" w:rsidR="00A058B8" w:rsidRDefault="00A058B8" w:rsidP="00A058B8">
      <w:pPr>
        <w:numPr>
          <w:ilvl w:val="0"/>
          <w:numId w:val="1"/>
        </w:numPr>
        <w:spacing w:before="100" w:beforeAutospacing="1" w:after="120" w:line="360" w:lineRule="auto"/>
        <w:ind w:left="-58" w:firstLine="8"/>
        <w:jc w:val="both"/>
        <w:rPr>
          <w:rFonts w:ascii="FrankRuehl" w:hAnsi="FrankRuehl" w:cs="FrankRuehl"/>
          <w:sz w:val="28"/>
          <w:szCs w:val="28"/>
        </w:rPr>
      </w:pPr>
      <w:r w:rsidRPr="00D2382B">
        <w:rPr>
          <w:rFonts w:ascii="FrankRuehl" w:hAnsi="FrankRuehl" w:cs="FrankRuehl"/>
          <w:sz w:val="28"/>
          <w:szCs w:val="28"/>
          <w:rtl/>
        </w:rPr>
        <w:t xml:space="preserve">אפשר להצביע על שורה של ערכים חברתיים מוגנים שנפגעו כתוצאה ממעשיו האלימים של הנאשם. זכותו של אדם לכבוד, לביטחון, להגנה על חייו ושלמות גופו, וכן הגנה על קניינו ורכושו של אדם. </w:t>
      </w:r>
    </w:p>
    <w:p w14:paraId="47BBA7A9" w14:textId="77777777" w:rsidR="00A058B8" w:rsidRPr="00D2382B" w:rsidRDefault="00A058B8" w:rsidP="00A058B8">
      <w:pPr>
        <w:numPr>
          <w:ilvl w:val="0"/>
          <w:numId w:val="1"/>
        </w:numPr>
        <w:spacing w:before="100" w:beforeAutospacing="1" w:after="120" w:line="360" w:lineRule="auto"/>
        <w:ind w:left="-58" w:firstLine="8"/>
        <w:jc w:val="both"/>
        <w:rPr>
          <w:rFonts w:ascii="FrankRuehl" w:hAnsi="FrankRuehl" w:cs="FrankRuehl"/>
          <w:sz w:val="28"/>
          <w:szCs w:val="28"/>
        </w:rPr>
      </w:pPr>
      <w:r w:rsidRPr="00D2382B">
        <w:rPr>
          <w:rFonts w:ascii="FrankRuehl" w:hAnsi="FrankRuehl" w:cs="FrankRuehl"/>
          <w:sz w:val="28"/>
          <w:szCs w:val="28"/>
          <w:rtl/>
        </w:rPr>
        <w:t xml:space="preserve">נסיבות המקרה מלמדות על כך שהנאשם והאחר הגיעו לפגישה בשעות הערב עם הקטין מבלי שיש ביניהם היכרות מוקדמת. על אף שהפגישה עצמה תוכננה מבעוד מועד, לא נראה כי השניים תכננו לפגוע במתלונן. האירוע לא בוצע בתחכום מיוחד ולא באכזריות, אלא שתחילתו בדין ודברים עם הקטין שהרקע לו לא הובהר עד תום וסופו בהתנהגות בריונית ואלימה. </w:t>
      </w:r>
    </w:p>
    <w:p w14:paraId="051BE367" w14:textId="77777777" w:rsidR="00A058B8" w:rsidRDefault="00A058B8" w:rsidP="00A058B8">
      <w:pPr>
        <w:spacing w:before="100" w:beforeAutospacing="1" w:after="120" w:line="360" w:lineRule="auto"/>
        <w:ind w:left="-50" w:firstLine="770"/>
        <w:jc w:val="both"/>
        <w:rPr>
          <w:rFonts w:ascii="FrankRuehl" w:hAnsi="FrankRuehl" w:cs="FrankRuehl"/>
          <w:sz w:val="28"/>
          <w:szCs w:val="28"/>
        </w:rPr>
      </w:pPr>
      <w:r>
        <w:rPr>
          <w:rFonts w:ascii="FrankRuehl" w:hAnsi="FrankRuehl" w:cs="FrankRuehl"/>
          <w:sz w:val="28"/>
          <w:szCs w:val="28"/>
          <w:rtl/>
        </w:rPr>
        <w:t>בהקשר לכך אומר כי לא אוכל לתת משקל לטענות בא כוח הנאשם בנוגע לרקע לביצוען של העבירות לרבות החשד שהתעורר בליבו של האחר לפיו המתלונן מעורב בפעילות לא חוקית כזו או אחרת. כידוע, הפירוט העובדתי שבכתב אישום המתוקן ואשר בו הודה הנאשם, הוא הקובע את התשתית העובדתית והנסיבתית המלאה, שעתידה לשמש בסיס לגזר הדין ובית המשפט אינו רשאי להיזקק לעובדות שאינן מופיעות בו. טענה עובדתית זו לא רק שאינה מופיעה בכתב האישום המתוקן</w:t>
      </w:r>
      <w:r>
        <w:rPr>
          <w:rFonts w:ascii="FrankRuehl" w:hAnsi="FrankRuehl" w:cs="FrankRuehl" w:hint="cs"/>
          <w:sz w:val="28"/>
          <w:szCs w:val="28"/>
          <w:rtl/>
        </w:rPr>
        <w:t xml:space="preserve"> בשלישית</w:t>
      </w:r>
      <w:r>
        <w:rPr>
          <w:rFonts w:ascii="FrankRuehl" w:hAnsi="FrankRuehl" w:cs="FrankRuehl"/>
          <w:sz w:val="28"/>
          <w:szCs w:val="28"/>
          <w:rtl/>
        </w:rPr>
        <w:t>, אלא ש</w:t>
      </w:r>
      <w:r>
        <w:rPr>
          <w:rFonts w:ascii="FrankRuehl" w:hAnsi="FrankRuehl" w:cs="FrankRuehl" w:hint="cs"/>
          <w:sz w:val="28"/>
          <w:szCs w:val="28"/>
          <w:rtl/>
        </w:rPr>
        <w:t>זה</w:t>
      </w:r>
      <w:r>
        <w:rPr>
          <w:rFonts w:ascii="FrankRuehl" w:hAnsi="FrankRuehl" w:cs="FrankRuehl"/>
          <w:sz w:val="28"/>
          <w:szCs w:val="28"/>
          <w:rtl/>
        </w:rPr>
        <w:t xml:space="preserve"> מציין באופן מפורש כי הרקע לביצוען של העבירות אינו ידוע למאשימה. הטענה העובדתית לפיה היה מעורב הקטין בפעילות לא חוקית אינה בבחינת עובדה מוסכמת על הצדדים ועל כן לא אוכל ליתן לה משקל. בבחינת למעלה מן הצורך אומר כי אף לו הייתי מקבלת את הטענה כי אכן כך הם פני הדברים שהרי אין בכך לשנות כהוא זה מחומרת המעשים. לא הנאשם ואף לא האחר רשאים לקחת את החוק לידיהם ולברר חשדות כאלו או אחרים בכוח הזרוע.      </w:t>
      </w:r>
    </w:p>
    <w:p w14:paraId="19EF9434" w14:textId="77777777" w:rsidR="00A058B8" w:rsidRDefault="00A058B8" w:rsidP="00A058B8">
      <w:pPr>
        <w:pStyle w:val="2"/>
        <w:ind w:left="-58" w:firstLine="778"/>
        <w:rPr>
          <w:rFonts w:ascii="FrankRuehl" w:hAnsi="FrankRuehl" w:cs="FrankRuehl"/>
          <w:sz w:val="28"/>
          <w:szCs w:val="28"/>
        </w:rPr>
      </w:pPr>
      <w:r>
        <w:rPr>
          <w:rFonts w:ascii="FrankRuehl" w:hAnsi="FrankRuehl" w:cs="FrankRuehl"/>
          <w:sz w:val="28"/>
          <w:szCs w:val="28"/>
          <w:rtl/>
        </w:rPr>
        <w:t>עוד יש לראות חומרה ייתרה במעשים האלימים שבוצעו בצוותא עם אחר כנגד המתלונן קטין יליד 2003 אשר כפי הידוע זקוק אף ביתר שאת להגנה של החברה על שלומו וביטחונו. עם זאת, התמונה המצטיירת מכתב האישום המתוקן</w:t>
      </w:r>
      <w:r>
        <w:rPr>
          <w:rFonts w:ascii="FrankRuehl" w:hAnsi="FrankRuehl" w:cs="FrankRuehl" w:hint="cs"/>
          <w:sz w:val="28"/>
          <w:szCs w:val="28"/>
          <w:rtl/>
        </w:rPr>
        <w:t xml:space="preserve"> בשלישית</w:t>
      </w:r>
      <w:r>
        <w:rPr>
          <w:rFonts w:ascii="FrankRuehl" w:hAnsi="FrankRuehl" w:cs="FrankRuehl"/>
          <w:sz w:val="28"/>
          <w:szCs w:val="28"/>
          <w:rtl/>
        </w:rPr>
        <w:t xml:space="preserve"> היא כי הרוח החיה והמרכזית באירוע הוא האחר בעוד שחלקו של הנאשם התמצה באחיזה בחוזקה בידו של הקטין. האחר הוא שהפיל ועיקם את משקפיו של הקטין, האחר הוא שהיכה בידו של הקטין, האחר הוא שהרים אבן, האחר הוא שאיים באמצעות האבן על הקטין תוך שהניף את ידו באוויר. </w:t>
      </w:r>
    </w:p>
    <w:p w14:paraId="171541B2" w14:textId="77777777" w:rsidR="00A058B8" w:rsidRDefault="00A058B8" w:rsidP="00A058B8">
      <w:pPr>
        <w:pStyle w:val="2"/>
        <w:ind w:left="-58" w:firstLine="778"/>
        <w:rPr>
          <w:rFonts w:ascii="FrankRuehl" w:hAnsi="FrankRuehl" w:cs="FrankRuehl"/>
          <w:sz w:val="28"/>
          <w:szCs w:val="28"/>
          <w:rtl/>
        </w:rPr>
      </w:pPr>
    </w:p>
    <w:p w14:paraId="258602FC" w14:textId="77777777" w:rsidR="00A058B8" w:rsidRDefault="00A058B8" w:rsidP="00A058B8">
      <w:pPr>
        <w:pStyle w:val="2"/>
        <w:ind w:left="-58" w:firstLine="778"/>
        <w:rPr>
          <w:rFonts w:ascii="FrankRuehl" w:hAnsi="FrankRuehl" w:cs="FrankRuehl"/>
          <w:sz w:val="28"/>
          <w:szCs w:val="28"/>
          <w:rtl/>
        </w:rPr>
      </w:pPr>
      <w:r>
        <w:rPr>
          <w:rFonts w:ascii="FrankRuehl" w:hAnsi="FrankRuehl" w:cs="FrankRuehl"/>
          <w:sz w:val="28"/>
          <w:szCs w:val="28"/>
          <w:rtl/>
        </w:rPr>
        <w:t xml:space="preserve">כאן חשוב שייאמר כי המאשימה משיקולים ראייתיים ונוספים, מצאה לתקן את כתב האישום בעניינו של האחר, אשר הורשע בסיוע לדרישת נכס באיומים ובסיוע לתקיפה סתם. במהלך שמיעת הטיעונים ולנוכח הערות בית המשפט תוקן כתב האישום כנגד הנאשם בשנית </w:t>
      </w:r>
      <w:r>
        <w:rPr>
          <w:rFonts w:ascii="FrankRuehl" w:hAnsi="FrankRuehl" w:cs="FrankRuehl" w:hint="cs"/>
          <w:sz w:val="28"/>
          <w:szCs w:val="28"/>
          <w:rtl/>
        </w:rPr>
        <w:t xml:space="preserve"> ולאחר מכן בשלישית </w:t>
      </w:r>
      <w:r>
        <w:rPr>
          <w:rFonts w:ascii="FrankRuehl" w:hAnsi="FrankRuehl" w:cs="FrankRuehl"/>
          <w:sz w:val="28"/>
          <w:szCs w:val="28"/>
          <w:rtl/>
        </w:rPr>
        <w:t>באופן התואם לעמדת המאשימה את תיקון כתב האישום כנגד האחר. בהתאמה ולנוכח חלקו של הנאשם בכתב האישום המתוקן טענה המאשימה כי עתה הפגיעה בערכים המוגנים היא נמוכה – בינונית.</w:t>
      </w:r>
    </w:p>
    <w:p w14:paraId="212D55AA" w14:textId="77777777" w:rsidR="00A058B8" w:rsidRDefault="00A058B8" w:rsidP="00A058B8">
      <w:pPr>
        <w:pStyle w:val="2"/>
        <w:ind w:left="-58" w:firstLine="778"/>
        <w:rPr>
          <w:rFonts w:ascii="FrankRuehl" w:hAnsi="FrankRuehl" w:cs="FrankRuehl"/>
          <w:sz w:val="28"/>
          <w:szCs w:val="28"/>
          <w:rtl/>
        </w:rPr>
      </w:pPr>
      <w:r>
        <w:rPr>
          <w:rFonts w:ascii="FrankRuehl" w:hAnsi="FrankRuehl" w:cs="FrankRuehl"/>
          <w:sz w:val="28"/>
          <w:szCs w:val="28"/>
          <w:rtl/>
        </w:rPr>
        <w:t xml:space="preserve"> </w:t>
      </w:r>
    </w:p>
    <w:p w14:paraId="633C259C" w14:textId="77777777" w:rsidR="00A058B8" w:rsidRDefault="00A058B8" w:rsidP="00A058B8">
      <w:pPr>
        <w:pStyle w:val="2"/>
        <w:ind w:left="-58" w:firstLine="778"/>
        <w:rPr>
          <w:rFonts w:ascii="FrankRuehl" w:hAnsi="FrankRuehl" w:cs="FrankRuehl"/>
          <w:sz w:val="28"/>
          <w:szCs w:val="28"/>
          <w:rtl/>
        </w:rPr>
      </w:pPr>
      <w:r>
        <w:rPr>
          <w:rFonts w:ascii="FrankRuehl" w:hAnsi="FrankRuehl" w:cs="FrankRuehl"/>
          <w:sz w:val="28"/>
          <w:szCs w:val="28"/>
          <w:rtl/>
        </w:rPr>
        <w:t>על אף ש</w:t>
      </w:r>
      <w:r>
        <w:rPr>
          <w:rFonts w:ascii="FrankRuehl" w:hAnsi="FrankRuehl" w:cs="FrankRuehl" w:hint="cs"/>
          <w:sz w:val="28"/>
          <w:szCs w:val="28"/>
          <w:rtl/>
        </w:rPr>
        <w:t xml:space="preserve">לכאורה </w:t>
      </w:r>
      <w:r>
        <w:rPr>
          <w:rFonts w:ascii="FrankRuehl" w:hAnsi="FrankRuehl" w:cs="FrankRuehl"/>
          <w:sz w:val="28"/>
          <w:szCs w:val="28"/>
          <w:rtl/>
        </w:rPr>
        <w:t xml:space="preserve">נוצר פער בין שני כתבי האישום המתוקנים כנגד האחר וכנגד הנאשם בכל הנוגע לבחירת סעיפי האישום שנותרו על כנם לא אייחס לכך משקל רב, שכן בסופו של דבר בית המשפט אינו מוגבל אך לכותרות העבירות, אלא נזקק הוא לעובדות המפורטות בכתב האישום המתוקן. דברים אלו נכונים בפרט כאשר עבירת דרישת הנכס באיומים כוללת בחובה יסודות של מספר עבירות לרבות עבירת תקיפה וגניבה כך שפיצול העבירות במקרה דנא הוא מלאכותי. כך או אחרת, </w:t>
      </w:r>
      <w:r>
        <w:rPr>
          <w:rFonts w:ascii="FrankRuehl" w:hAnsi="FrankRuehl" w:cs="FrankRuehl" w:hint="cs"/>
          <w:sz w:val="28"/>
          <w:szCs w:val="28"/>
          <w:rtl/>
        </w:rPr>
        <w:t xml:space="preserve">מצאתי כי </w:t>
      </w:r>
      <w:r>
        <w:rPr>
          <w:rFonts w:ascii="FrankRuehl" w:hAnsi="FrankRuehl" w:cs="FrankRuehl"/>
          <w:sz w:val="28"/>
          <w:szCs w:val="28"/>
          <w:rtl/>
        </w:rPr>
        <w:t>נסיבות המקרה מלמדות באופן ברור וחד משמעי כי האחר הוא הרוח החיה והמרכזית באירוע האלים ולא הנאשם הנותן את הדין בפנ</w:t>
      </w:r>
      <w:r>
        <w:rPr>
          <w:rFonts w:ascii="FrankRuehl" w:hAnsi="FrankRuehl" w:cs="FrankRuehl" w:hint="cs"/>
          <w:sz w:val="28"/>
          <w:szCs w:val="28"/>
          <w:rtl/>
        </w:rPr>
        <w:t>י</w:t>
      </w:r>
      <w:r>
        <w:rPr>
          <w:rFonts w:ascii="FrankRuehl" w:hAnsi="FrankRuehl" w:cs="FrankRuehl"/>
          <w:sz w:val="28"/>
          <w:szCs w:val="28"/>
          <w:rtl/>
        </w:rPr>
        <w:t xml:space="preserve">י. והמאשימה כאמור לא טענה אחרת.  </w:t>
      </w:r>
    </w:p>
    <w:p w14:paraId="157BBD1F" w14:textId="77777777" w:rsidR="00A058B8" w:rsidRDefault="00A058B8" w:rsidP="00A058B8">
      <w:pPr>
        <w:pStyle w:val="2"/>
        <w:ind w:left="-58" w:firstLine="778"/>
        <w:rPr>
          <w:rFonts w:ascii="FrankRuehl" w:hAnsi="FrankRuehl" w:cs="FrankRuehl"/>
          <w:sz w:val="28"/>
          <w:szCs w:val="28"/>
          <w:rtl/>
        </w:rPr>
      </w:pPr>
    </w:p>
    <w:p w14:paraId="471313DF" w14:textId="77777777" w:rsidR="00A058B8" w:rsidRDefault="00A058B8" w:rsidP="00A058B8">
      <w:pPr>
        <w:pStyle w:val="2"/>
        <w:ind w:left="-58" w:firstLine="778"/>
        <w:rPr>
          <w:rFonts w:ascii="FrankRuehl" w:hAnsi="FrankRuehl" w:cs="FrankRuehl"/>
          <w:sz w:val="28"/>
          <w:szCs w:val="28"/>
          <w:rtl/>
        </w:rPr>
      </w:pPr>
      <w:r>
        <w:rPr>
          <w:rFonts w:ascii="FrankRuehl" w:hAnsi="FrankRuehl" w:cs="FrankRuehl"/>
          <w:sz w:val="28"/>
          <w:szCs w:val="28"/>
          <w:rtl/>
        </w:rPr>
        <w:t>עוד יש לקחת בחשבון ומבלי להקל ראש בחומרת העבירו</w:t>
      </w:r>
      <w:r>
        <w:rPr>
          <w:rFonts w:ascii="FrankRuehl" w:hAnsi="FrankRuehl" w:cs="FrankRuehl" w:hint="cs"/>
          <w:sz w:val="28"/>
          <w:szCs w:val="28"/>
          <w:rtl/>
        </w:rPr>
        <w:t>ת</w:t>
      </w:r>
      <w:r>
        <w:rPr>
          <w:rFonts w:ascii="FrankRuehl" w:hAnsi="FrankRuehl" w:cs="FrankRuehl"/>
          <w:sz w:val="28"/>
          <w:szCs w:val="28"/>
          <w:rtl/>
        </w:rPr>
        <w:t xml:space="preserve"> כי האלימות שננקטה אינה ברף חומרה גבוה וכתוצאה ממעשיהם של הנאשם והאחר לא נותרו על גופו של הקטין כל סימני חבלה. עם זאת אפשר בנקל לשער את עגמת הנפש, חוסר האונים וההשפלה שחווה הקטין כתוצאה מהמעשים האלימים וכתוצאה משלילת קניינו והעדר יכולתו לעמוד מול תוקפיו. </w:t>
      </w:r>
    </w:p>
    <w:p w14:paraId="41EE2209" w14:textId="77777777" w:rsidR="00A058B8" w:rsidRDefault="00A058B8" w:rsidP="00A058B8">
      <w:pPr>
        <w:pStyle w:val="2"/>
        <w:ind w:left="-58" w:firstLine="778"/>
        <w:rPr>
          <w:rFonts w:ascii="FrankRuehl" w:hAnsi="FrankRuehl" w:cs="FrankRuehl"/>
          <w:sz w:val="28"/>
          <w:szCs w:val="28"/>
          <w:rtl/>
        </w:rPr>
      </w:pPr>
    </w:p>
    <w:p w14:paraId="679C8CCF" w14:textId="77777777" w:rsidR="00A058B8" w:rsidRDefault="00A058B8" w:rsidP="00A058B8">
      <w:pPr>
        <w:pStyle w:val="2"/>
        <w:ind w:left="-58" w:firstLine="778"/>
        <w:rPr>
          <w:rFonts w:ascii="FrankRuehl" w:hAnsi="FrankRuehl" w:cs="FrankRuehl"/>
          <w:sz w:val="28"/>
          <w:szCs w:val="28"/>
          <w:rtl/>
        </w:rPr>
      </w:pPr>
      <w:r>
        <w:rPr>
          <w:rFonts w:ascii="FrankRuehl" w:hAnsi="FrankRuehl" w:cs="FrankRuehl"/>
          <w:sz w:val="28"/>
          <w:szCs w:val="28"/>
          <w:rtl/>
        </w:rPr>
        <w:t xml:space="preserve">עוד נתתי דעתי לכך שהנאשם והאחר נטלו את הטלפון הנייד של המתלונן ותיקו. סוג ושווי של הטלפון הנייד לא פורטו בכתב האישום והצדדים בטיעוניהם לא הבהירו האם הרכוש הושב למתלונן, אך דומה כי אין להכביר מילים על משמעות גניבה של טלפון נייד אשר זה מכבר קנה בעולמנו מעמד מיוחד. </w:t>
      </w:r>
    </w:p>
    <w:p w14:paraId="7BD2BD5C" w14:textId="77777777" w:rsidR="00A058B8" w:rsidRDefault="00A058B8" w:rsidP="00A058B8">
      <w:pPr>
        <w:numPr>
          <w:ilvl w:val="0"/>
          <w:numId w:val="1"/>
        </w:numPr>
        <w:spacing w:before="100" w:beforeAutospacing="1" w:after="120" w:line="360" w:lineRule="auto"/>
        <w:ind w:left="0" w:firstLine="0"/>
        <w:jc w:val="both"/>
        <w:rPr>
          <w:rFonts w:ascii="FrankRuehl" w:hAnsi="FrankRuehl" w:cs="FrankRuehl"/>
          <w:sz w:val="28"/>
          <w:szCs w:val="28"/>
          <w:rtl/>
        </w:rPr>
      </w:pPr>
      <w:r>
        <w:rPr>
          <w:rFonts w:ascii="FrankRuehl" w:hAnsi="FrankRuehl" w:cs="FrankRuehl"/>
          <w:sz w:val="28"/>
          <w:szCs w:val="28"/>
          <w:rtl/>
        </w:rPr>
        <w:t xml:space="preserve">לצד זאת, כתוצאה מביצוע עבירות הסמים בהן הורשע הנאשם נפגעו גם ערכים חברתיים ובהם בשמירה על בריאות הציבור מפני נזקים הנגרמים כתוצאה משימוש בסמים והשפעתם הממכרת וההרסנית. עם זאת, הפגיעה בערכים אלו נמוכה לנוכח סוג הסמים ומשקלם. </w:t>
      </w:r>
    </w:p>
    <w:p w14:paraId="5EB75C4B" w14:textId="77777777" w:rsidR="00A058B8" w:rsidRDefault="00A058B8" w:rsidP="00A058B8">
      <w:pPr>
        <w:numPr>
          <w:ilvl w:val="0"/>
          <w:numId w:val="1"/>
        </w:numPr>
        <w:spacing w:before="100" w:beforeAutospacing="1" w:after="120" w:line="360" w:lineRule="auto"/>
        <w:ind w:left="0" w:firstLine="0"/>
        <w:jc w:val="both"/>
        <w:rPr>
          <w:rFonts w:ascii="FrankRuehl" w:hAnsi="FrankRuehl" w:cs="FrankRuehl"/>
          <w:sz w:val="28"/>
          <w:szCs w:val="28"/>
        </w:rPr>
      </w:pPr>
      <w:r>
        <w:rPr>
          <w:rFonts w:ascii="Corbel" w:hAnsi="Corbel" w:cs="FrankRuehl"/>
          <w:sz w:val="28"/>
          <w:szCs w:val="28"/>
          <w:rtl/>
        </w:rPr>
        <w:t xml:space="preserve">בחינת מדיניות הענישה הנוהגת בעבירות דרישה באיומים של רכוש ותקיפה סתם על ידי שניים או יותר וגניבה מלמדת על מנעד רחב של עונשים הנגזרים החל ממאסרים מותנים ועד למאסרים בפועל וזאת בהתאם לטיבו של המעשה ולנסיבותיו האישיות של מבצע העבירה. להלן רשימה בלתי ממצה של גזרי דין רלבנטיים לענייננו, אך </w:t>
      </w:r>
      <w:r>
        <w:rPr>
          <w:rFonts w:ascii="FrankRuehl" w:hAnsi="FrankRuehl" w:cs="FrankRuehl"/>
          <w:sz w:val="28"/>
          <w:szCs w:val="28"/>
          <w:rtl/>
        </w:rPr>
        <w:t xml:space="preserve">אבהיר כי חלק מהמקרים שיובאו להלן נופלים מהעבירות בהן הורשע הנאשם וחלקם עולים על נסיבות המקרה באשר חלקם נידונו בבית המשפט המחוזי וחלקם כוללים עבירות נוספות. </w:t>
      </w:r>
      <w:r>
        <w:rPr>
          <w:rFonts w:ascii="Corbel" w:hAnsi="Corbel" w:cs="FrankRuehl"/>
          <w:sz w:val="28"/>
          <w:szCs w:val="28"/>
          <w:rtl/>
        </w:rPr>
        <w:t xml:space="preserve"> </w:t>
      </w:r>
    </w:p>
    <w:p w14:paraId="3B5C9C69" w14:textId="77777777" w:rsidR="00A058B8" w:rsidRDefault="00683C50" w:rsidP="00A058B8">
      <w:pPr>
        <w:spacing w:before="100" w:beforeAutospacing="1" w:after="120" w:line="360" w:lineRule="auto"/>
        <w:ind w:firstLine="720"/>
        <w:jc w:val="both"/>
        <w:rPr>
          <w:rFonts w:ascii="Corbel" w:hAnsi="Corbel" w:cs="FrankRuehl"/>
          <w:sz w:val="28"/>
          <w:szCs w:val="28"/>
        </w:rPr>
      </w:pPr>
      <w:hyperlink r:id="rId31" w:history="1">
        <w:r w:rsidRPr="00683C50">
          <w:rPr>
            <w:rFonts w:ascii="Corbel" w:hAnsi="Corbel" w:cs="FrankRuehl" w:hint="eastAsia"/>
            <w:color w:val="0000FF"/>
            <w:sz w:val="28"/>
            <w:szCs w:val="28"/>
            <w:u w:val="single"/>
            <w:rtl/>
          </w:rPr>
          <w:t>ע</w:t>
        </w:r>
        <w:r w:rsidRPr="00683C50">
          <w:rPr>
            <w:rFonts w:ascii="Corbel" w:hAnsi="Corbel" w:cs="FrankRuehl"/>
            <w:color w:val="0000FF"/>
            <w:sz w:val="28"/>
            <w:szCs w:val="28"/>
            <w:u w:val="single"/>
            <w:rtl/>
          </w:rPr>
          <w:t>"</w:t>
        </w:r>
        <w:r w:rsidRPr="00683C50">
          <w:rPr>
            <w:rFonts w:ascii="Corbel" w:hAnsi="Corbel" w:cs="FrankRuehl" w:hint="eastAsia"/>
            <w:color w:val="0000FF"/>
            <w:sz w:val="28"/>
            <w:szCs w:val="28"/>
            <w:u w:val="single"/>
            <w:rtl/>
          </w:rPr>
          <w:t>פ</w:t>
        </w:r>
        <w:r w:rsidRPr="00683C50">
          <w:rPr>
            <w:rFonts w:ascii="Corbel" w:hAnsi="Corbel" w:cs="FrankRuehl"/>
            <w:color w:val="0000FF"/>
            <w:sz w:val="28"/>
            <w:szCs w:val="28"/>
            <w:u w:val="single"/>
            <w:rtl/>
          </w:rPr>
          <w:t xml:space="preserve"> 7353/18</w:t>
        </w:r>
      </w:hyperlink>
      <w:r w:rsidR="00A058B8" w:rsidRPr="008D583F">
        <w:rPr>
          <w:rFonts w:ascii="Corbel" w:hAnsi="Corbel" w:cs="FrankRuehl"/>
          <w:sz w:val="28"/>
          <w:szCs w:val="28"/>
          <w:rtl/>
        </w:rPr>
        <w:t xml:space="preserve"> </w:t>
      </w:r>
      <w:r w:rsidR="00A058B8">
        <w:rPr>
          <w:rFonts w:ascii="Corbel" w:hAnsi="Corbel" w:cs="FrankRuehl" w:hint="cs"/>
          <w:sz w:val="28"/>
          <w:szCs w:val="28"/>
          <w:rtl/>
        </w:rPr>
        <w:t xml:space="preserve">(מחוזי ב"ש) </w:t>
      </w:r>
      <w:r w:rsidR="00A058B8">
        <w:rPr>
          <w:rFonts w:ascii="Miriam" w:hAnsi="Miriam" w:cs="Miriam"/>
          <w:rtl/>
        </w:rPr>
        <w:t>חדד נ' מדינת ישראל</w:t>
      </w:r>
      <w:r w:rsidR="00A058B8">
        <w:rPr>
          <w:rFonts w:ascii="Corbel" w:hAnsi="Corbel" w:cs="FrankRuehl"/>
          <w:rtl/>
        </w:rPr>
        <w:t xml:space="preserve"> </w:t>
      </w:r>
      <w:r w:rsidR="00A058B8">
        <w:rPr>
          <w:rFonts w:ascii="Corbel" w:hAnsi="Corbel" w:cs="FrankRuehl"/>
          <w:sz w:val="28"/>
          <w:szCs w:val="28"/>
          <w:rtl/>
        </w:rPr>
        <w:t xml:space="preserve">(1.5.2019) – הנאשם הורשע בעבירה של דרישת נכס באיומים בכך שהלך אחרי המתלוננת ברחוב, אחז בה בשתי ידיו וניער אותה בחוזקה על מנת ליטול ממנה את מכשיר הנייד שהחזיקה בידה. בית המשפט המחוזי קבע מתחם עונש הולם הנע בין 28-12 חודשי מאסר ורכיבי ענישה נוספים ומצא לסטות ממתחם העונש ההולם משיקולי שיקום  וגזר עליו 5 חודשי מאסר לריצוי בדרך של עבודות שירות. בית המשפט העליון הקל בעונשו של הנאשם, בהסכמת המדינה ומטעמי שיקום והוא נידון למאסר מותנה וצו של"צ. </w:t>
      </w:r>
    </w:p>
    <w:p w14:paraId="6AE948F3" w14:textId="77777777" w:rsidR="00A058B8" w:rsidRDefault="00683C50" w:rsidP="00A058B8">
      <w:pPr>
        <w:spacing w:before="100" w:beforeAutospacing="1" w:after="120" w:line="360" w:lineRule="auto"/>
        <w:ind w:firstLine="720"/>
        <w:jc w:val="both"/>
        <w:rPr>
          <w:rFonts w:ascii="Corbel" w:hAnsi="Corbel" w:cs="FrankRuehl"/>
          <w:sz w:val="28"/>
          <w:szCs w:val="28"/>
          <w:rtl/>
        </w:rPr>
      </w:pPr>
      <w:hyperlink r:id="rId32" w:history="1">
        <w:r w:rsidRPr="00683C50">
          <w:rPr>
            <w:rFonts w:ascii="Corbel" w:hAnsi="Corbel" w:cs="FrankRuehl" w:hint="eastAsia"/>
            <w:color w:val="0000FF"/>
            <w:sz w:val="28"/>
            <w:szCs w:val="28"/>
            <w:u w:val="single"/>
            <w:rtl/>
          </w:rPr>
          <w:t>עפ</w:t>
        </w:r>
        <w:r w:rsidRPr="00683C50">
          <w:rPr>
            <w:rFonts w:ascii="Corbel" w:hAnsi="Corbel" w:cs="FrankRuehl"/>
            <w:color w:val="0000FF"/>
            <w:sz w:val="28"/>
            <w:szCs w:val="28"/>
            <w:u w:val="single"/>
            <w:rtl/>
          </w:rPr>
          <w:t>"</w:t>
        </w:r>
        <w:r w:rsidRPr="00683C50">
          <w:rPr>
            <w:rFonts w:ascii="Corbel" w:hAnsi="Corbel" w:cs="FrankRuehl" w:hint="eastAsia"/>
            <w:color w:val="0000FF"/>
            <w:sz w:val="28"/>
            <w:szCs w:val="28"/>
            <w:u w:val="single"/>
            <w:rtl/>
          </w:rPr>
          <w:t>ג</w:t>
        </w:r>
        <w:r w:rsidRPr="00683C50">
          <w:rPr>
            <w:rFonts w:ascii="Corbel" w:hAnsi="Corbel" w:cs="FrankRuehl"/>
            <w:color w:val="0000FF"/>
            <w:sz w:val="28"/>
            <w:szCs w:val="28"/>
            <w:u w:val="single"/>
            <w:rtl/>
          </w:rPr>
          <w:t xml:space="preserve"> (</w:t>
        </w:r>
        <w:r w:rsidRPr="00683C50">
          <w:rPr>
            <w:rFonts w:ascii="Corbel" w:hAnsi="Corbel" w:cs="FrankRuehl" w:hint="eastAsia"/>
            <w:color w:val="0000FF"/>
            <w:sz w:val="28"/>
            <w:szCs w:val="28"/>
            <w:u w:val="single"/>
            <w:rtl/>
          </w:rPr>
          <w:t>מחוזי</w:t>
        </w:r>
        <w:r w:rsidRPr="00683C50">
          <w:rPr>
            <w:rFonts w:ascii="Corbel" w:hAnsi="Corbel" w:cs="FrankRuehl"/>
            <w:color w:val="0000FF"/>
            <w:sz w:val="28"/>
            <w:szCs w:val="28"/>
            <w:u w:val="single"/>
            <w:rtl/>
          </w:rPr>
          <w:t xml:space="preserve"> </w:t>
        </w:r>
        <w:r w:rsidRPr="00683C50">
          <w:rPr>
            <w:rFonts w:ascii="Corbel" w:hAnsi="Corbel" w:cs="FrankRuehl" w:hint="eastAsia"/>
            <w:color w:val="0000FF"/>
            <w:sz w:val="28"/>
            <w:szCs w:val="28"/>
            <w:u w:val="single"/>
            <w:rtl/>
          </w:rPr>
          <w:t>מרכז</w:t>
        </w:r>
        <w:r w:rsidRPr="00683C50">
          <w:rPr>
            <w:rFonts w:ascii="Corbel" w:hAnsi="Corbel" w:cs="FrankRuehl"/>
            <w:color w:val="0000FF"/>
            <w:sz w:val="28"/>
            <w:szCs w:val="28"/>
            <w:u w:val="single"/>
            <w:rtl/>
          </w:rPr>
          <w:t>) 20073-03-20</w:t>
        </w:r>
      </w:hyperlink>
      <w:r w:rsidR="00A058B8" w:rsidRPr="008D583F">
        <w:rPr>
          <w:rFonts w:ascii="Corbel" w:hAnsi="Corbel" w:cs="FrankRuehl"/>
          <w:sz w:val="28"/>
          <w:szCs w:val="28"/>
          <w:rtl/>
        </w:rPr>
        <w:t xml:space="preserve"> </w:t>
      </w:r>
      <w:r w:rsidR="00A058B8">
        <w:rPr>
          <w:rFonts w:ascii="Miriam" w:hAnsi="Miriam" w:cs="Miriam"/>
          <w:rtl/>
        </w:rPr>
        <w:t>אלמה נ' מדינת ישראל</w:t>
      </w:r>
      <w:r w:rsidR="00A058B8">
        <w:rPr>
          <w:rFonts w:ascii="Corbel" w:hAnsi="Corbel" w:cs="FrankRuehl"/>
          <w:sz w:val="28"/>
          <w:szCs w:val="28"/>
          <w:rtl/>
        </w:rPr>
        <w:t xml:space="preserve">  (23.11.2020) – נאשם נעדר עבר פלילי, הורשע בהתאם להודאתו בכך שעל רקע וויכוח עם המתלונן על רקע שתיית אלכוהול, איים אליו באמצעות סכין ולאחר מכן איים על אדם נוסף באמצעות הסכין. בית משפט קבע מתחם עונש הולם הנע בין 6 חודשי מאסר שיכול וירוצו בעבודות שירות ועד 18 חודשי מאסר לצד רכיבי ענישה נוספים. על הנאשם נגזרו 6 חודשי מאסר בפועל לצד רכיבי ענישה נוספים. בית המשפט המחוזי בהסכמת המאשימה ובהתאם לתסקיר חיובי עדכני, מצא לחרוג ממתחם הענישה משיקולי שיקום ותחת עונש המאסר בעבודת שירות, נידון לצו מבחן וצו של"צ יתר רכיבי הענישה ללא שינוי. </w:t>
      </w:r>
    </w:p>
    <w:p w14:paraId="12A08632" w14:textId="77777777" w:rsidR="00A058B8" w:rsidRDefault="00683C50" w:rsidP="00A058B8">
      <w:pPr>
        <w:spacing w:before="100" w:beforeAutospacing="1" w:after="120" w:line="360" w:lineRule="auto"/>
        <w:ind w:firstLine="720"/>
        <w:jc w:val="both"/>
        <w:rPr>
          <w:rFonts w:ascii="Corbel" w:hAnsi="Corbel" w:cs="FrankRuehl"/>
          <w:sz w:val="28"/>
          <w:szCs w:val="28"/>
        </w:rPr>
      </w:pPr>
      <w:hyperlink r:id="rId33" w:history="1">
        <w:r w:rsidRPr="00683C50">
          <w:rPr>
            <w:rFonts w:ascii="Corbel" w:hAnsi="Corbel" w:cs="FrankRuehl" w:hint="eastAsia"/>
            <w:color w:val="0000FF"/>
            <w:sz w:val="28"/>
            <w:szCs w:val="28"/>
            <w:u w:val="single"/>
            <w:rtl/>
          </w:rPr>
          <w:t>עפ</w:t>
        </w:r>
        <w:r w:rsidRPr="00683C50">
          <w:rPr>
            <w:rFonts w:ascii="Corbel" w:hAnsi="Corbel" w:cs="FrankRuehl"/>
            <w:color w:val="0000FF"/>
            <w:sz w:val="28"/>
            <w:szCs w:val="28"/>
            <w:u w:val="single"/>
            <w:rtl/>
          </w:rPr>
          <w:t>"</w:t>
        </w:r>
        <w:r w:rsidRPr="00683C50">
          <w:rPr>
            <w:rFonts w:ascii="Corbel" w:hAnsi="Corbel" w:cs="FrankRuehl" w:hint="eastAsia"/>
            <w:color w:val="0000FF"/>
            <w:sz w:val="28"/>
            <w:szCs w:val="28"/>
            <w:u w:val="single"/>
            <w:rtl/>
          </w:rPr>
          <w:t>ג</w:t>
        </w:r>
        <w:r w:rsidRPr="00683C50">
          <w:rPr>
            <w:rFonts w:ascii="Corbel" w:hAnsi="Corbel" w:cs="FrankRuehl"/>
            <w:color w:val="0000FF"/>
            <w:sz w:val="28"/>
            <w:szCs w:val="28"/>
            <w:u w:val="single"/>
            <w:rtl/>
          </w:rPr>
          <w:t xml:space="preserve"> (</w:t>
        </w:r>
        <w:r w:rsidRPr="00683C50">
          <w:rPr>
            <w:rFonts w:ascii="Corbel" w:hAnsi="Corbel" w:cs="FrankRuehl" w:hint="eastAsia"/>
            <w:color w:val="0000FF"/>
            <w:sz w:val="28"/>
            <w:szCs w:val="28"/>
            <w:u w:val="single"/>
            <w:rtl/>
          </w:rPr>
          <w:t>ת</w:t>
        </w:r>
        <w:r w:rsidRPr="00683C50">
          <w:rPr>
            <w:rFonts w:ascii="Corbel" w:hAnsi="Corbel" w:cs="FrankRuehl"/>
            <w:color w:val="0000FF"/>
            <w:sz w:val="28"/>
            <w:szCs w:val="28"/>
            <w:u w:val="single"/>
            <w:rtl/>
          </w:rPr>
          <w:t>"</w:t>
        </w:r>
        <w:r w:rsidRPr="00683C50">
          <w:rPr>
            <w:rFonts w:ascii="Corbel" w:hAnsi="Corbel" w:cs="FrankRuehl" w:hint="eastAsia"/>
            <w:color w:val="0000FF"/>
            <w:sz w:val="28"/>
            <w:szCs w:val="28"/>
            <w:u w:val="single"/>
            <w:rtl/>
          </w:rPr>
          <w:t>א</w:t>
        </w:r>
        <w:r w:rsidRPr="00683C50">
          <w:rPr>
            <w:rFonts w:ascii="Corbel" w:hAnsi="Corbel" w:cs="FrankRuehl"/>
            <w:color w:val="0000FF"/>
            <w:sz w:val="28"/>
            <w:szCs w:val="28"/>
            <w:u w:val="single"/>
            <w:rtl/>
          </w:rPr>
          <w:t>) 45530-03-16</w:t>
        </w:r>
      </w:hyperlink>
      <w:r w:rsidR="00A058B8">
        <w:rPr>
          <w:rFonts w:ascii="Corbel" w:hAnsi="Corbel" w:cs="FrankRuehl"/>
          <w:sz w:val="28"/>
          <w:szCs w:val="28"/>
          <w:rtl/>
        </w:rPr>
        <w:t xml:space="preserve"> </w:t>
      </w:r>
      <w:r w:rsidR="00A058B8">
        <w:rPr>
          <w:rFonts w:ascii="Corbel" w:hAnsi="Corbel" w:cs="Miriam"/>
          <w:b/>
          <w:rtl/>
        </w:rPr>
        <w:t>טספסיון נ' מדינת ישראל</w:t>
      </w:r>
      <w:r w:rsidR="00A058B8">
        <w:rPr>
          <w:rFonts w:ascii="Corbel" w:hAnsi="Corbel" w:cs="FrankRuehl"/>
          <w:sz w:val="28"/>
          <w:szCs w:val="28"/>
          <w:rtl/>
        </w:rPr>
        <w:t xml:space="preserve"> (4.5.2016) – הנאשם הודה והורשע בעבירה של תקיפה לשם גניבה בצוותא וגניבה בצוותא. הנאשם בצוותא עם אחר תקף את המתלונן בכוונה לגנוב את הטלפון הנייד. הנאשם שלף את הטלפון מכיסו של המתלונן, חבט בגבו מכת אגרוף, האחר חבט באגרופיו בפניו של המתלונן, באוזנו הימנית ובכל גופו, אז נמלטו הנאשם והאחר מן המקום שהטלפון בידיו של הנאשם. הנאשם נתפס סמוך לאחר האירוע שהוא נמלט מהשוטרים ובידיו הטלפון הגנוב. בית משפט השלום קבע כי מתחם העונש ההולם נע בין מאסר שיכול וירוצה בעבודות שירות ועד 18 חודשי מאסר לצד רכיבי ענישה נוספים. בהתאם לחוות דעת הממונה ולנוכח עמדת הנאשם שלא נמצא כשיר לריצוי עונש מאסר בדרך של עבודות שירות, בית המשפט גזר על הנאשם 6 חודשי מאסר בפועל לצד רכיבי ענישה נוספים. בית המשפט המחוזי לא התערב בגזר הדין וניתנה החלטה אופרטיבית ביחס למועד תחילת המעצר. </w:t>
      </w:r>
    </w:p>
    <w:p w14:paraId="3348DFA4" w14:textId="77777777" w:rsidR="00A058B8" w:rsidRDefault="00683C50" w:rsidP="00A058B8">
      <w:pPr>
        <w:spacing w:before="100" w:beforeAutospacing="1" w:after="120" w:line="360" w:lineRule="auto"/>
        <w:ind w:firstLine="720"/>
        <w:jc w:val="both"/>
        <w:rPr>
          <w:rFonts w:ascii="Corbel" w:hAnsi="Corbel" w:cs="FrankRuehl"/>
          <w:sz w:val="28"/>
          <w:szCs w:val="28"/>
          <w:rtl/>
        </w:rPr>
      </w:pPr>
      <w:hyperlink r:id="rId34" w:history="1">
        <w:r w:rsidRPr="00683C50">
          <w:rPr>
            <w:rFonts w:ascii="Corbel" w:hAnsi="Corbel" w:cs="FrankRuehl" w:hint="eastAsia"/>
            <w:color w:val="0000FF"/>
            <w:sz w:val="28"/>
            <w:szCs w:val="28"/>
            <w:u w:val="single"/>
            <w:rtl/>
          </w:rPr>
          <w:t>ע</w:t>
        </w:r>
        <w:r w:rsidRPr="00683C50">
          <w:rPr>
            <w:rFonts w:ascii="Corbel" w:hAnsi="Corbel" w:cs="FrankRuehl"/>
            <w:color w:val="0000FF"/>
            <w:sz w:val="28"/>
            <w:szCs w:val="28"/>
            <w:u w:val="single"/>
            <w:rtl/>
          </w:rPr>
          <w:t>"</w:t>
        </w:r>
        <w:r w:rsidRPr="00683C50">
          <w:rPr>
            <w:rFonts w:ascii="Corbel" w:hAnsi="Corbel" w:cs="FrankRuehl" w:hint="eastAsia"/>
            <w:color w:val="0000FF"/>
            <w:sz w:val="28"/>
            <w:szCs w:val="28"/>
            <w:u w:val="single"/>
            <w:rtl/>
          </w:rPr>
          <w:t>פ</w:t>
        </w:r>
        <w:r w:rsidRPr="00683C50">
          <w:rPr>
            <w:rFonts w:ascii="Corbel" w:hAnsi="Corbel" w:cs="FrankRuehl"/>
            <w:color w:val="0000FF"/>
            <w:sz w:val="28"/>
            <w:szCs w:val="28"/>
            <w:u w:val="single"/>
            <w:rtl/>
          </w:rPr>
          <w:t xml:space="preserve"> (</w:t>
        </w:r>
        <w:r w:rsidRPr="00683C50">
          <w:rPr>
            <w:rFonts w:ascii="Corbel" w:hAnsi="Corbel" w:cs="FrankRuehl" w:hint="eastAsia"/>
            <w:color w:val="0000FF"/>
            <w:sz w:val="28"/>
            <w:szCs w:val="28"/>
            <w:u w:val="single"/>
            <w:rtl/>
          </w:rPr>
          <w:t>מחוזי</w:t>
        </w:r>
        <w:r w:rsidRPr="00683C50">
          <w:rPr>
            <w:rFonts w:ascii="Corbel" w:hAnsi="Corbel" w:cs="FrankRuehl"/>
            <w:color w:val="0000FF"/>
            <w:sz w:val="28"/>
            <w:szCs w:val="28"/>
            <w:u w:val="single"/>
            <w:rtl/>
          </w:rPr>
          <w:t xml:space="preserve"> </w:t>
        </w:r>
        <w:r w:rsidRPr="00683C50">
          <w:rPr>
            <w:rFonts w:ascii="Corbel" w:hAnsi="Corbel" w:cs="FrankRuehl" w:hint="eastAsia"/>
            <w:color w:val="0000FF"/>
            <w:sz w:val="28"/>
            <w:szCs w:val="28"/>
            <w:u w:val="single"/>
            <w:rtl/>
          </w:rPr>
          <w:t>חי</w:t>
        </w:r>
        <w:r w:rsidRPr="00683C50">
          <w:rPr>
            <w:rFonts w:ascii="Corbel" w:hAnsi="Corbel" w:cs="FrankRuehl"/>
            <w:color w:val="0000FF"/>
            <w:sz w:val="28"/>
            <w:szCs w:val="28"/>
            <w:u w:val="single"/>
            <w:rtl/>
          </w:rPr>
          <w:t>') 23190-03-15</w:t>
        </w:r>
      </w:hyperlink>
      <w:r w:rsidR="00A058B8">
        <w:rPr>
          <w:rFonts w:ascii="Corbel" w:hAnsi="Corbel" w:cs="FrankRuehl"/>
          <w:sz w:val="28"/>
          <w:szCs w:val="28"/>
          <w:rtl/>
        </w:rPr>
        <w:t xml:space="preserve"> </w:t>
      </w:r>
      <w:r w:rsidR="00A058B8">
        <w:rPr>
          <w:rFonts w:ascii="Corbel" w:hAnsi="Corbel" w:cs="Miriam"/>
          <w:b/>
          <w:rtl/>
        </w:rPr>
        <w:t>אברהם נ' מדינת ישראל</w:t>
      </w:r>
      <w:r w:rsidR="00A058B8">
        <w:rPr>
          <w:rFonts w:ascii="Corbel" w:hAnsi="Corbel" w:cs="FrankRuehl"/>
          <w:sz w:val="28"/>
          <w:szCs w:val="28"/>
          <w:rtl/>
        </w:rPr>
        <w:t xml:space="preserve"> (28.5.2015) – הנאשם הורשע לאחר שמיעת ראיות בעבירה של דרישת נכס באיומים כאשר נכנס למונית המתלונן, שילם עבור הנסיעה מראש ובמהלך הנסיעה אמר למתלונן כי הוא שודד אותו ודרש את הכסף. המשטרה הוזעקה ועצרה את הנאשם. בית משפט השלום גזר עונשו ל-6 חודשי מאסר בפועל שירוצו בעבודות שירות, לצד רכיבי ענישה נוספים. ערעור לבית המשפט העליון נדחה. </w:t>
      </w:r>
    </w:p>
    <w:p w14:paraId="0DB86841" w14:textId="77777777" w:rsidR="00A058B8" w:rsidRDefault="00683C50" w:rsidP="00A058B8">
      <w:pPr>
        <w:spacing w:before="100" w:beforeAutospacing="1" w:after="120" w:line="360" w:lineRule="auto"/>
        <w:ind w:firstLine="720"/>
        <w:jc w:val="both"/>
        <w:rPr>
          <w:rFonts w:ascii="Corbel" w:hAnsi="Corbel" w:cs="FrankRuehl"/>
          <w:sz w:val="28"/>
          <w:szCs w:val="28"/>
          <w:rtl/>
        </w:rPr>
      </w:pPr>
      <w:hyperlink r:id="rId35" w:history="1">
        <w:r w:rsidRPr="00683C50">
          <w:rPr>
            <w:rFonts w:ascii="Corbel" w:hAnsi="Corbel" w:cs="FrankRuehl" w:hint="eastAsia"/>
            <w:color w:val="0000FF"/>
            <w:sz w:val="28"/>
            <w:szCs w:val="28"/>
            <w:u w:val="single"/>
            <w:rtl/>
          </w:rPr>
          <w:t>עפ</w:t>
        </w:r>
        <w:r w:rsidRPr="00683C50">
          <w:rPr>
            <w:rFonts w:ascii="Corbel" w:hAnsi="Corbel" w:cs="FrankRuehl"/>
            <w:color w:val="0000FF"/>
            <w:sz w:val="28"/>
            <w:szCs w:val="28"/>
            <w:u w:val="single"/>
            <w:rtl/>
          </w:rPr>
          <w:t>"</w:t>
        </w:r>
        <w:r w:rsidRPr="00683C50">
          <w:rPr>
            <w:rFonts w:ascii="Corbel" w:hAnsi="Corbel" w:cs="FrankRuehl" w:hint="eastAsia"/>
            <w:color w:val="0000FF"/>
            <w:sz w:val="28"/>
            <w:szCs w:val="28"/>
            <w:u w:val="single"/>
            <w:rtl/>
          </w:rPr>
          <w:t>ג</w:t>
        </w:r>
        <w:r w:rsidRPr="00683C50">
          <w:rPr>
            <w:rFonts w:ascii="Corbel" w:hAnsi="Corbel" w:cs="FrankRuehl"/>
            <w:color w:val="0000FF"/>
            <w:sz w:val="28"/>
            <w:szCs w:val="28"/>
            <w:u w:val="single"/>
            <w:rtl/>
          </w:rPr>
          <w:t xml:space="preserve"> (</w:t>
        </w:r>
        <w:r w:rsidRPr="00683C50">
          <w:rPr>
            <w:rFonts w:ascii="Corbel" w:hAnsi="Corbel" w:cs="FrankRuehl" w:hint="eastAsia"/>
            <w:color w:val="0000FF"/>
            <w:sz w:val="28"/>
            <w:szCs w:val="28"/>
            <w:u w:val="single"/>
            <w:rtl/>
          </w:rPr>
          <w:t>מחוזי</w:t>
        </w:r>
        <w:r w:rsidRPr="00683C50">
          <w:rPr>
            <w:rFonts w:ascii="Corbel" w:hAnsi="Corbel" w:cs="FrankRuehl"/>
            <w:color w:val="0000FF"/>
            <w:sz w:val="28"/>
            <w:szCs w:val="28"/>
            <w:u w:val="single"/>
            <w:rtl/>
          </w:rPr>
          <w:t xml:space="preserve"> </w:t>
        </w:r>
        <w:r w:rsidRPr="00683C50">
          <w:rPr>
            <w:rFonts w:ascii="Corbel" w:hAnsi="Corbel" w:cs="FrankRuehl" w:hint="eastAsia"/>
            <w:color w:val="0000FF"/>
            <w:sz w:val="28"/>
            <w:szCs w:val="28"/>
            <w:u w:val="single"/>
            <w:rtl/>
          </w:rPr>
          <w:t>חי</w:t>
        </w:r>
        <w:r w:rsidRPr="00683C50">
          <w:rPr>
            <w:rFonts w:ascii="Corbel" w:hAnsi="Corbel" w:cs="FrankRuehl"/>
            <w:color w:val="0000FF"/>
            <w:sz w:val="28"/>
            <w:szCs w:val="28"/>
            <w:u w:val="single"/>
            <w:rtl/>
          </w:rPr>
          <w:t>') 57516-06-14</w:t>
        </w:r>
      </w:hyperlink>
      <w:r w:rsidR="00A058B8">
        <w:rPr>
          <w:rFonts w:ascii="Corbel" w:hAnsi="Corbel" w:cs="FrankRuehl"/>
          <w:sz w:val="28"/>
          <w:szCs w:val="28"/>
          <w:rtl/>
        </w:rPr>
        <w:t xml:space="preserve"> </w:t>
      </w:r>
      <w:r w:rsidR="00A058B8">
        <w:rPr>
          <w:rFonts w:ascii="Corbel" w:hAnsi="Corbel" w:cs="Miriam"/>
          <w:b/>
          <w:rtl/>
        </w:rPr>
        <w:t>מדינת ישראל נ' דהן</w:t>
      </w:r>
      <w:r w:rsidR="00A058B8">
        <w:rPr>
          <w:rFonts w:ascii="Corbel" w:hAnsi="Corbel" w:cs="FrankRuehl"/>
          <w:sz w:val="28"/>
          <w:szCs w:val="28"/>
          <w:rtl/>
        </w:rPr>
        <w:t xml:space="preserve"> (22.1.2015) – הנאשם הורשע על פי הודאתו בעבירה של דרישת נכס באיומים בכך שדחף את המתלונן, סטר לו פעמיים, ודרש ממנו לשלם עבור אדם אחר (קרוב משפחה של הנאשם) סכום כספי לנוכח סברה כי המתלונן גרם נזק לרכב השייך לאותו אחר. נקבע מתחם ענישה הולם הנע בין מאסר מותנה ועד 6 חודשי מאסר בפועל. על הנאשם הושתו 17 ימי מאסר בפועל, לצד רכיבי ענישה נוספים. בית המשפט העליון החמיר בעונשו של הנאשם ודן אותו ל-6 חודשי מאסר בפועל לצד רכיבי ענישה נוספים.  </w:t>
      </w:r>
    </w:p>
    <w:p w14:paraId="768438A3" w14:textId="77777777" w:rsidR="00A058B8" w:rsidRDefault="00683C50" w:rsidP="00A058B8">
      <w:pPr>
        <w:spacing w:before="100" w:beforeAutospacing="1" w:after="120" w:line="360" w:lineRule="auto"/>
        <w:ind w:firstLine="720"/>
        <w:jc w:val="both"/>
        <w:rPr>
          <w:rFonts w:ascii="Corbel" w:hAnsi="Corbel" w:cs="FrankRuehl"/>
          <w:sz w:val="28"/>
          <w:szCs w:val="28"/>
          <w:rtl/>
        </w:rPr>
      </w:pPr>
      <w:hyperlink r:id="rId36" w:history="1">
        <w:r w:rsidRPr="00683C50">
          <w:rPr>
            <w:rFonts w:ascii="Corbel" w:hAnsi="Corbel" w:cs="FrankRuehl" w:hint="eastAsia"/>
            <w:color w:val="0000FF"/>
            <w:sz w:val="28"/>
            <w:szCs w:val="28"/>
            <w:u w:val="single"/>
            <w:rtl/>
          </w:rPr>
          <w:t>ת</w:t>
        </w:r>
        <w:r w:rsidRPr="00683C50">
          <w:rPr>
            <w:rFonts w:ascii="Corbel" w:hAnsi="Corbel" w:cs="FrankRuehl"/>
            <w:color w:val="0000FF"/>
            <w:sz w:val="28"/>
            <w:szCs w:val="28"/>
            <w:u w:val="single"/>
            <w:rtl/>
          </w:rPr>
          <w:t>"</w:t>
        </w:r>
        <w:r w:rsidRPr="00683C50">
          <w:rPr>
            <w:rFonts w:ascii="Corbel" w:hAnsi="Corbel" w:cs="FrankRuehl" w:hint="eastAsia"/>
            <w:color w:val="0000FF"/>
            <w:sz w:val="28"/>
            <w:szCs w:val="28"/>
            <w:u w:val="single"/>
            <w:rtl/>
          </w:rPr>
          <w:t>פ</w:t>
        </w:r>
        <w:r w:rsidRPr="00683C50">
          <w:rPr>
            <w:rFonts w:ascii="Corbel" w:hAnsi="Corbel" w:cs="FrankRuehl"/>
            <w:color w:val="0000FF"/>
            <w:sz w:val="28"/>
            <w:szCs w:val="28"/>
            <w:u w:val="single"/>
            <w:rtl/>
          </w:rPr>
          <w:t xml:space="preserve"> (</w:t>
        </w:r>
        <w:r w:rsidRPr="00683C50">
          <w:rPr>
            <w:rFonts w:ascii="Corbel" w:hAnsi="Corbel" w:cs="FrankRuehl" w:hint="eastAsia"/>
            <w:color w:val="0000FF"/>
            <w:sz w:val="28"/>
            <w:szCs w:val="28"/>
            <w:u w:val="single"/>
            <w:rtl/>
          </w:rPr>
          <w:t>ת</w:t>
        </w:r>
        <w:r w:rsidRPr="00683C50">
          <w:rPr>
            <w:rFonts w:ascii="Corbel" w:hAnsi="Corbel" w:cs="FrankRuehl"/>
            <w:color w:val="0000FF"/>
            <w:sz w:val="28"/>
            <w:szCs w:val="28"/>
            <w:u w:val="single"/>
            <w:rtl/>
          </w:rPr>
          <w:t>"</w:t>
        </w:r>
        <w:r w:rsidRPr="00683C50">
          <w:rPr>
            <w:rFonts w:ascii="Corbel" w:hAnsi="Corbel" w:cs="FrankRuehl" w:hint="eastAsia"/>
            <w:color w:val="0000FF"/>
            <w:sz w:val="28"/>
            <w:szCs w:val="28"/>
            <w:u w:val="single"/>
            <w:rtl/>
          </w:rPr>
          <w:t>א</w:t>
        </w:r>
        <w:r w:rsidRPr="00683C50">
          <w:rPr>
            <w:rFonts w:ascii="Corbel" w:hAnsi="Corbel" w:cs="FrankRuehl"/>
            <w:color w:val="0000FF"/>
            <w:sz w:val="28"/>
            <w:szCs w:val="28"/>
            <w:u w:val="single"/>
            <w:rtl/>
          </w:rPr>
          <w:t>) 44821-01-16</w:t>
        </w:r>
      </w:hyperlink>
      <w:r w:rsidR="00A058B8">
        <w:rPr>
          <w:rFonts w:ascii="Corbel" w:hAnsi="Corbel" w:cs="FrankRuehl"/>
          <w:sz w:val="28"/>
          <w:szCs w:val="28"/>
          <w:rtl/>
        </w:rPr>
        <w:t xml:space="preserve"> </w:t>
      </w:r>
      <w:r w:rsidR="00A058B8">
        <w:rPr>
          <w:rFonts w:ascii="Corbel" w:hAnsi="Corbel" w:cs="Miriam"/>
          <w:b/>
          <w:rtl/>
        </w:rPr>
        <w:t>מדינת ישראל נ' מוגרבי</w:t>
      </w:r>
      <w:r w:rsidR="00A058B8">
        <w:rPr>
          <w:rFonts w:ascii="Corbel" w:hAnsi="Corbel" w:cs="FrankRuehl"/>
          <w:sz w:val="28"/>
          <w:szCs w:val="28"/>
          <w:rtl/>
        </w:rPr>
        <w:t xml:space="preserve"> (3.3.2019) – הנאשם הודה והורשע בעבירות של תקיפה לשם גניבה (בצוותא) וגניבה. הנאשם פנה יחד עם אחר לנפגע, קטין בן 16 וביקש ממנו 20 ₪. כשהשיב הנפגע שאין לו כסף, תקף אותו הנאשם, לקח ממנו בכוח וגנב את הטלפון הנייד שהחזיק, חיפש בכיסיו ולקח ממנו בכוח וגנב 6 ₪ ושרשרת. בית המשפט קבע כי מתחם העונש ההולם נע בין 6 ל-18 חודשי מאסר לצד רכיבי ענישה נוספים וחרג ממתחם העונש ההולם מטעמי שיקום ובהתאם להמלצת שירות המבחן גזר על הנאשם מאסר מותנה ורכיבי ענישה נוספים. </w:t>
      </w:r>
    </w:p>
    <w:p w14:paraId="497DB9CE" w14:textId="77777777" w:rsidR="00A058B8" w:rsidRDefault="00683C50" w:rsidP="00A058B8">
      <w:pPr>
        <w:spacing w:before="100" w:beforeAutospacing="1" w:after="120" w:line="360" w:lineRule="auto"/>
        <w:ind w:firstLine="720"/>
        <w:jc w:val="both"/>
        <w:rPr>
          <w:rFonts w:ascii="Corbel" w:hAnsi="Corbel" w:cs="FrankRuehl"/>
          <w:sz w:val="28"/>
          <w:szCs w:val="28"/>
          <w:rtl/>
        </w:rPr>
      </w:pPr>
      <w:hyperlink r:id="rId37" w:history="1">
        <w:r w:rsidRPr="00683C50">
          <w:rPr>
            <w:rFonts w:ascii="Corbel" w:hAnsi="Corbel" w:cs="FrankRuehl" w:hint="eastAsia"/>
            <w:color w:val="0000FF"/>
            <w:sz w:val="28"/>
            <w:szCs w:val="28"/>
            <w:u w:val="single"/>
            <w:rtl/>
          </w:rPr>
          <w:t>ת</w:t>
        </w:r>
        <w:r w:rsidRPr="00683C50">
          <w:rPr>
            <w:rFonts w:ascii="Corbel" w:hAnsi="Corbel" w:cs="FrankRuehl"/>
            <w:color w:val="0000FF"/>
            <w:sz w:val="28"/>
            <w:szCs w:val="28"/>
            <w:u w:val="single"/>
            <w:rtl/>
          </w:rPr>
          <w:t>"</w:t>
        </w:r>
        <w:r w:rsidRPr="00683C50">
          <w:rPr>
            <w:rFonts w:ascii="Corbel" w:hAnsi="Corbel" w:cs="FrankRuehl" w:hint="eastAsia"/>
            <w:color w:val="0000FF"/>
            <w:sz w:val="28"/>
            <w:szCs w:val="28"/>
            <w:u w:val="single"/>
            <w:rtl/>
          </w:rPr>
          <w:t>פ</w:t>
        </w:r>
        <w:r w:rsidRPr="00683C50">
          <w:rPr>
            <w:rFonts w:ascii="Corbel" w:hAnsi="Corbel" w:cs="FrankRuehl"/>
            <w:color w:val="0000FF"/>
            <w:sz w:val="28"/>
            <w:szCs w:val="28"/>
            <w:u w:val="single"/>
            <w:rtl/>
          </w:rPr>
          <w:t xml:space="preserve"> (</w:t>
        </w:r>
        <w:r w:rsidRPr="00683C50">
          <w:rPr>
            <w:rFonts w:ascii="Corbel" w:hAnsi="Corbel" w:cs="FrankRuehl" w:hint="eastAsia"/>
            <w:color w:val="0000FF"/>
            <w:sz w:val="28"/>
            <w:szCs w:val="28"/>
            <w:u w:val="single"/>
            <w:rtl/>
          </w:rPr>
          <w:t>שלום</w:t>
        </w:r>
        <w:r w:rsidRPr="00683C50">
          <w:rPr>
            <w:rFonts w:ascii="Corbel" w:hAnsi="Corbel" w:cs="FrankRuehl"/>
            <w:color w:val="0000FF"/>
            <w:sz w:val="28"/>
            <w:szCs w:val="28"/>
            <w:u w:val="single"/>
            <w:rtl/>
          </w:rPr>
          <w:t xml:space="preserve"> </w:t>
        </w:r>
        <w:r w:rsidRPr="00683C50">
          <w:rPr>
            <w:rFonts w:ascii="Corbel" w:hAnsi="Corbel" w:cs="FrankRuehl" w:hint="eastAsia"/>
            <w:color w:val="0000FF"/>
            <w:sz w:val="28"/>
            <w:szCs w:val="28"/>
            <w:u w:val="single"/>
            <w:rtl/>
          </w:rPr>
          <w:t>ק</w:t>
        </w:r>
        <w:r w:rsidRPr="00683C50">
          <w:rPr>
            <w:rFonts w:ascii="Corbel" w:hAnsi="Corbel" w:cs="FrankRuehl"/>
            <w:color w:val="0000FF"/>
            <w:sz w:val="28"/>
            <w:szCs w:val="28"/>
            <w:u w:val="single"/>
            <w:rtl/>
          </w:rPr>
          <w:t>"</w:t>
        </w:r>
        <w:r w:rsidRPr="00683C50">
          <w:rPr>
            <w:rFonts w:ascii="Corbel" w:hAnsi="Corbel" w:cs="FrankRuehl" w:hint="eastAsia"/>
            <w:color w:val="0000FF"/>
            <w:sz w:val="28"/>
            <w:szCs w:val="28"/>
            <w:u w:val="single"/>
            <w:rtl/>
          </w:rPr>
          <w:t>ג</w:t>
        </w:r>
        <w:r w:rsidRPr="00683C50">
          <w:rPr>
            <w:rFonts w:ascii="Corbel" w:hAnsi="Corbel" w:cs="FrankRuehl"/>
            <w:color w:val="0000FF"/>
            <w:sz w:val="28"/>
            <w:szCs w:val="28"/>
            <w:u w:val="single"/>
            <w:rtl/>
          </w:rPr>
          <w:t>) 7858-05-16</w:t>
        </w:r>
      </w:hyperlink>
      <w:r w:rsidR="00A058B8">
        <w:rPr>
          <w:rFonts w:ascii="Corbel" w:hAnsi="Corbel" w:cs="FrankRuehl"/>
          <w:sz w:val="28"/>
          <w:szCs w:val="28"/>
          <w:rtl/>
        </w:rPr>
        <w:t xml:space="preserve"> </w:t>
      </w:r>
      <w:r w:rsidR="00A058B8">
        <w:rPr>
          <w:rFonts w:ascii="Corbel" w:hAnsi="Corbel" w:cs="Miriam"/>
          <w:b/>
          <w:rtl/>
        </w:rPr>
        <w:t>מדינת ישראל נ' מולו</w:t>
      </w:r>
      <w:r w:rsidR="00A058B8">
        <w:rPr>
          <w:rFonts w:ascii="Corbel" w:hAnsi="Corbel" w:cs="FrankRuehl"/>
          <w:sz w:val="28"/>
          <w:szCs w:val="28"/>
          <w:rtl/>
        </w:rPr>
        <w:t xml:space="preserve"> (13.7.2017) – הנאשם הודה והורשע על יסוד הודאתו בעבירות של דרישה באיומים של רכוש, תקיפה סתם וגניבה. הנאשם ואדם אחר פגשו בשני קטינים עמם אין לנאשם היכרות מוקדמת. הנאשם ניגש אליהם, איים עליהם בהתנהגותו, ביקש כל מה שבכיסם, פנה לאחד מהקטינים ואחז בנייד שהיה בידו, וכאשר הקטין התנגד הנאשם סטר בפניו, לקח את הנייד ממנו ואת תעודת הזהות שלו. האחר ניסה להניע הנאשם ממעשיו אך האחרון לא הפסיק. לאחר מכן הנאשם לקח את משקפי הראיה של הקטין השני והכניסם לכיסו, סטר לקטין השני בפניו ודרש את צמיד החרוזים שהיה על ידו. מתחם העונש ההולם שנקבע נע בין 6 ועד 18 חודשי מאסר בפועל ורכיבי ענישה נוספים. בית המשפט דחה את עתירת ההגנה להימנע מהרשעה אך חרג ממתחם העונש ההולם מטעמי שיקום והשית על הנאשם מאסרים מותנים, של"צ פיצוי וחתימה על התחייבות.</w:t>
      </w:r>
    </w:p>
    <w:p w14:paraId="774DDF96" w14:textId="77777777" w:rsidR="00A058B8" w:rsidRDefault="00A058B8" w:rsidP="00A058B8">
      <w:pPr>
        <w:numPr>
          <w:ilvl w:val="0"/>
          <w:numId w:val="1"/>
        </w:numPr>
        <w:spacing w:before="100" w:beforeAutospacing="1" w:after="120" w:line="360" w:lineRule="auto"/>
        <w:ind w:left="0" w:firstLine="0"/>
        <w:jc w:val="both"/>
        <w:rPr>
          <w:rFonts w:ascii="Corbel" w:hAnsi="Corbel" w:cs="FrankRuehl"/>
          <w:sz w:val="28"/>
          <w:szCs w:val="28"/>
          <w:rtl/>
        </w:rPr>
      </w:pPr>
      <w:r>
        <w:rPr>
          <w:rFonts w:ascii="Corbel" w:hAnsi="Corbel" w:cs="FrankRuehl"/>
          <w:sz w:val="28"/>
          <w:szCs w:val="28"/>
          <w:rtl/>
        </w:rPr>
        <w:t>נתתי דעתי לפסיקה אליה הפנתה לא מצאת להכלילה במתחם וזאת לנוכח שונות הנסיבות וחומרתן הרבה בהשוואה למקרה כאן. לדוגמה ב</w:t>
      </w:r>
      <w:hyperlink r:id="rId38" w:history="1">
        <w:r w:rsidR="00683C50" w:rsidRPr="00683C50">
          <w:rPr>
            <w:rFonts w:ascii="Corbel" w:hAnsi="Corbel" w:cs="FrankRuehl" w:hint="eastAsia"/>
            <w:color w:val="0000FF"/>
            <w:sz w:val="28"/>
            <w:szCs w:val="28"/>
            <w:u w:val="single"/>
            <w:rtl/>
          </w:rPr>
          <w:t>ע</w:t>
        </w:r>
        <w:r w:rsidR="00683C50" w:rsidRPr="00683C50">
          <w:rPr>
            <w:rFonts w:ascii="Corbel" w:hAnsi="Corbel" w:cs="FrankRuehl"/>
            <w:color w:val="0000FF"/>
            <w:sz w:val="28"/>
            <w:szCs w:val="28"/>
            <w:u w:val="single"/>
            <w:rtl/>
          </w:rPr>
          <w:t>"</w:t>
        </w:r>
        <w:r w:rsidR="00683C50" w:rsidRPr="00683C50">
          <w:rPr>
            <w:rFonts w:ascii="Corbel" w:hAnsi="Corbel" w:cs="FrankRuehl" w:hint="eastAsia"/>
            <w:color w:val="0000FF"/>
            <w:sz w:val="28"/>
            <w:szCs w:val="28"/>
            <w:u w:val="single"/>
            <w:rtl/>
          </w:rPr>
          <w:t>פ</w:t>
        </w:r>
        <w:r w:rsidR="00683C50" w:rsidRPr="00683C50">
          <w:rPr>
            <w:rFonts w:ascii="Corbel" w:hAnsi="Corbel" w:cs="FrankRuehl"/>
            <w:color w:val="0000FF"/>
            <w:sz w:val="28"/>
            <w:szCs w:val="28"/>
            <w:u w:val="single"/>
            <w:rtl/>
          </w:rPr>
          <w:t xml:space="preserve"> 8988/11</w:t>
        </w:r>
      </w:hyperlink>
      <w:r>
        <w:rPr>
          <w:rFonts w:ascii="Corbel" w:hAnsi="Corbel" w:cs="FrankRuehl"/>
          <w:sz w:val="28"/>
          <w:szCs w:val="28"/>
          <w:rtl/>
        </w:rPr>
        <w:t xml:space="preserve"> מוחמד ראפת נגד מדינת ישראל הנאשמים בעלי עבר פלילי הורשעו בבית המשפט המחוזי בעבירה של דרישת נכס בכוח ובאיומים, תקיפה הגורמת חבלה של ממש, היזק במזיד לרכוש וזאת בצוותא וביחד עם שניים אחרים כאשר תקפו את המתלונן בעל חנות ובנו הקטין תוך שימוש בסכין ונטלו סחורה. עזבו את המקום ושבו ואיימו על המתלונן בשנית. וכן ב</w:t>
      </w:r>
      <w:hyperlink r:id="rId39" w:history="1">
        <w:r w:rsidR="00683C50" w:rsidRPr="00683C50">
          <w:rPr>
            <w:rFonts w:ascii="Corbel" w:hAnsi="Corbel" w:cs="FrankRuehl" w:hint="eastAsia"/>
            <w:color w:val="0000FF"/>
            <w:sz w:val="28"/>
            <w:szCs w:val="28"/>
            <w:u w:val="single"/>
            <w:rtl/>
          </w:rPr>
          <w:t>ת</w:t>
        </w:r>
        <w:r w:rsidR="00683C50" w:rsidRPr="00683C50">
          <w:rPr>
            <w:rFonts w:ascii="Corbel" w:hAnsi="Corbel" w:cs="FrankRuehl"/>
            <w:color w:val="0000FF"/>
            <w:sz w:val="28"/>
            <w:szCs w:val="28"/>
            <w:u w:val="single"/>
            <w:rtl/>
          </w:rPr>
          <w:t>"</w:t>
        </w:r>
        <w:r w:rsidR="00683C50" w:rsidRPr="00683C50">
          <w:rPr>
            <w:rFonts w:ascii="Corbel" w:hAnsi="Corbel" w:cs="FrankRuehl" w:hint="eastAsia"/>
            <w:color w:val="0000FF"/>
            <w:sz w:val="28"/>
            <w:szCs w:val="28"/>
            <w:u w:val="single"/>
            <w:rtl/>
          </w:rPr>
          <w:t>פ</w:t>
        </w:r>
        <w:r w:rsidR="00683C50" w:rsidRPr="00683C50">
          <w:rPr>
            <w:rFonts w:ascii="Corbel" w:hAnsi="Corbel" w:cs="FrankRuehl"/>
            <w:color w:val="0000FF"/>
            <w:sz w:val="28"/>
            <w:szCs w:val="28"/>
            <w:u w:val="single"/>
            <w:rtl/>
          </w:rPr>
          <w:t xml:space="preserve"> 30138-10-15</w:t>
        </w:r>
      </w:hyperlink>
      <w:r>
        <w:rPr>
          <w:rFonts w:ascii="Corbel" w:hAnsi="Corbel" w:cs="FrankRuehl"/>
          <w:sz w:val="28"/>
          <w:szCs w:val="28"/>
          <w:rtl/>
        </w:rPr>
        <w:t xml:space="preserve"> מדינת ישראל נגד נגוסה – הנאשם בעל עבר פלילי מכביד, הורשע בעבירה של דרישת נכס באיומים. המתלונן, נהג מונית במקצועו הסיע במונית שלושה צעירים, הנאשם סירב לשלם בעבור השירות. לאחר שהמתלונן דחף את הנאשם מתוך המונית החוצה, אחז הנאשם בחפץ חד, איים עליו ודרש ממנו לתת לו כסף.  בית המשפט המחוזי קבע מתחם עונש הולם שנע בין 18-8 חודשי מאסר לצד רכיבי ענישה נוספים וגזר את עונשו של הנאשם אשר ריצה באותה העת עונש מאסר בתיק אחר - 12 חודשי מאסר ורכיבי ענישה נוספים. כאמור משני המקרים אשר נידונו בבית המשפט המחוזי על כך המשתמע מכך, אי אפשר להקיש לעניינו של הנאשם כאן.  </w:t>
      </w:r>
    </w:p>
    <w:p w14:paraId="01876FD6" w14:textId="77777777" w:rsidR="00A058B8" w:rsidRDefault="00A058B8" w:rsidP="00A058B8">
      <w:pPr>
        <w:numPr>
          <w:ilvl w:val="0"/>
          <w:numId w:val="1"/>
        </w:numPr>
        <w:spacing w:before="100" w:beforeAutospacing="1" w:after="120" w:line="360" w:lineRule="auto"/>
        <w:ind w:left="0" w:firstLine="0"/>
        <w:jc w:val="both"/>
        <w:rPr>
          <w:rFonts w:ascii="FrankRuehl" w:hAnsi="FrankRuehl" w:cs="FrankRuehl"/>
          <w:sz w:val="28"/>
          <w:szCs w:val="28"/>
        </w:rPr>
      </w:pPr>
      <w:r>
        <w:rPr>
          <w:rFonts w:ascii="FrankRuehl" w:hAnsi="FrankRuehl" w:cs="FrankRuehl"/>
          <w:sz w:val="28"/>
          <w:szCs w:val="28"/>
          <w:rtl/>
        </w:rPr>
        <w:t xml:space="preserve">מתחם העונש ההולם בעבירות של החזקת סם לצריכה עצמית נע בין מאסר מותנה ועד למספר חודשי מאסר שיכול וירוצו בדרך של עבודות שירות, ולמען הסדר הטוב, אפנה למספר פסקי דין מהם אפשר ללמוד על מדיניות הענישה הנוהגת, אדגיש כי חלק מהמקרים חמורים ועוסקים בהחזקת סם מסוג קוקאין. </w:t>
      </w:r>
      <w:hyperlink r:id="rId40" w:history="1">
        <w:r w:rsidR="00683C50" w:rsidRPr="00683C50">
          <w:rPr>
            <w:rFonts w:ascii="FrankRuehl" w:hAnsi="FrankRuehl" w:cs="FrankRuehl"/>
            <w:color w:val="0000FF"/>
            <w:sz w:val="28"/>
            <w:szCs w:val="28"/>
            <w:u w:val="single"/>
            <w:rtl/>
          </w:rPr>
          <w:t>ת.פ 1418-12-17</w:t>
        </w:r>
      </w:hyperlink>
      <w:r>
        <w:rPr>
          <w:rFonts w:ascii="FrankRuehl" w:hAnsi="FrankRuehl" w:cs="FrankRuehl"/>
          <w:sz w:val="28"/>
          <w:szCs w:val="28"/>
          <w:rtl/>
        </w:rPr>
        <w:t xml:space="preserve"> (מחוזי ת"א) </w:t>
      </w:r>
      <w:r>
        <w:rPr>
          <w:rFonts w:ascii="Miriam" w:hAnsi="Miriam" w:cs="Miriam"/>
          <w:rtl/>
        </w:rPr>
        <w:t>מדינת ישראל נ' פרץ ואחרים</w:t>
      </w:r>
      <w:r>
        <w:rPr>
          <w:rFonts w:ascii="FrankRuehl" w:hAnsi="FrankRuehl" w:cs="FrankRuehl"/>
          <w:sz w:val="28"/>
          <w:szCs w:val="28"/>
          <w:rtl/>
        </w:rPr>
        <w:t xml:space="preserve">; </w:t>
      </w:r>
      <w:hyperlink r:id="rId41" w:history="1">
        <w:r w:rsidR="00683C50" w:rsidRPr="00683C50">
          <w:rPr>
            <w:rFonts w:ascii="FrankRuehl" w:hAnsi="FrankRuehl" w:cs="FrankRuehl"/>
            <w:color w:val="0000FF"/>
            <w:sz w:val="28"/>
            <w:szCs w:val="28"/>
            <w:u w:val="single"/>
            <w:rtl/>
          </w:rPr>
          <w:t>ת.פ 52979-07-20</w:t>
        </w:r>
      </w:hyperlink>
      <w:r>
        <w:rPr>
          <w:rFonts w:ascii="FrankRuehl" w:hAnsi="FrankRuehl" w:cs="FrankRuehl"/>
          <w:sz w:val="28"/>
          <w:szCs w:val="28"/>
          <w:rtl/>
        </w:rPr>
        <w:t xml:space="preserve"> </w:t>
      </w:r>
      <w:r>
        <w:rPr>
          <w:rFonts w:ascii="Miriam" w:hAnsi="Miriam" w:cs="Miriam"/>
          <w:rtl/>
        </w:rPr>
        <w:t>מדינת ישראל נ' סירקו</w:t>
      </w:r>
      <w:r>
        <w:rPr>
          <w:rFonts w:ascii="FrankRuehl" w:hAnsi="FrankRuehl" w:cs="FrankRuehl"/>
          <w:sz w:val="28"/>
          <w:szCs w:val="28"/>
          <w:rtl/>
        </w:rPr>
        <w:t xml:space="preserve">; </w:t>
      </w:r>
      <w:hyperlink r:id="rId42" w:history="1">
        <w:r w:rsidR="00683C50" w:rsidRPr="00683C50">
          <w:rPr>
            <w:rFonts w:ascii="FrankRuehl" w:hAnsi="FrankRuehl" w:cs="FrankRuehl"/>
            <w:color w:val="0000FF"/>
            <w:sz w:val="28"/>
            <w:szCs w:val="28"/>
            <w:u w:val="single"/>
            <w:rtl/>
          </w:rPr>
          <w:t>ת.פ 20127-12-20</w:t>
        </w:r>
      </w:hyperlink>
      <w:r>
        <w:rPr>
          <w:rFonts w:ascii="FrankRuehl" w:hAnsi="FrankRuehl" w:cs="FrankRuehl"/>
          <w:sz w:val="28"/>
          <w:szCs w:val="28"/>
          <w:rtl/>
        </w:rPr>
        <w:t xml:space="preserve"> </w:t>
      </w:r>
      <w:r>
        <w:rPr>
          <w:rFonts w:ascii="Miriam" w:hAnsi="Miriam" w:cs="Miriam"/>
          <w:rtl/>
        </w:rPr>
        <w:t>מדינת ישראל נ' ערוסי</w:t>
      </w:r>
      <w:r>
        <w:rPr>
          <w:rFonts w:ascii="FrankRuehl" w:hAnsi="FrankRuehl" w:cs="FrankRuehl"/>
          <w:sz w:val="28"/>
          <w:szCs w:val="28"/>
          <w:rtl/>
        </w:rPr>
        <w:t xml:space="preserve">; </w:t>
      </w:r>
      <w:hyperlink r:id="rId43" w:history="1">
        <w:r w:rsidR="00683C50" w:rsidRPr="00683C50">
          <w:rPr>
            <w:rFonts w:ascii="FrankRuehl" w:hAnsi="FrankRuehl" w:cs="FrankRuehl"/>
            <w:color w:val="0000FF"/>
            <w:sz w:val="28"/>
            <w:szCs w:val="28"/>
            <w:u w:val="single"/>
            <w:rtl/>
          </w:rPr>
          <w:t>ת.פ 4001-11-12</w:t>
        </w:r>
      </w:hyperlink>
      <w:r>
        <w:rPr>
          <w:rFonts w:ascii="FrankRuehl" w:hAnsi="FrankRuehl" w:cs="FrankRuehl"/>
          <w:sz w:val="28"/>
          <w:szCs w:val="28"/>
          <w:rtl/>
        </w:rPr>
        <w:t xml:space="preserve"> </w:t>
      </w:r>
      <w:r>
        <w:rPr>
          <w:rFonts w:ascii="Miriam" w:hAnsi="Miriam" w:cs="Miriam"/>
          <w:rtl/>
        </w:rPr>
        <w:t>מדינת ישראל נ' צפירה</w:t>
      </w:r>
      <w:r>
        <w:rPr>
          <w:rFonts w:ascii="FrankRuehl" w:hAnsi="FrankRuehl" w:cs="FrankRuehl"/>
          <w:sz w:val="28"/>
          <w:szCs w:val="28"/>
          <w:rtl/>
        </w:rPr>
        <w:t xml:space="preserve">; </w:t>
      </w:r>
      <w:hyperlink r:id="rId44" w:history="1">
        <w:r w:rsidR="00683C50" w:rsidRPr="00683C50">
          <w:rPr>
            <w:rFonts w:ascii="FrankRuehl" w:hAnsi="FrankRuehl" w:cs="FrankRuehl"/>
            <w:color w:val="0000FF"/>
            <w:sz w:val="28"/>
            <w:szCs w:val="28"/>
            <w:u w:val="single"/>
            <w:rtl/>
          </w:rPr>
          <w:t>ת.פ 33796-03-11</w:t>
        </w:r>
      </w:hyperlink>
      <w:r>
        <w:rPr>
          <w:rFonts w:ascii="FrankRuehl" w:hAnsi="FrankRuehl" w:cs="FrankRuehl"/>
          <w:sz w:val="28"/>
          <w:szCs w:val="28"/>
          <w:rtl/>
        </w:rPr>
        <w:t xml:space="preserve"> </w:t>
      </w:r>
      <w:r>
        <w:rPr>
          <w:rFonts w:ascii="Miriam" w:hAnsi="Miriam" w:cs="Miriam"/>
          <w:rtl/>
        </w:rPr>
        <w:t>מדינת ישראל נ' בולקין</w:t>
      </w:r>
      <w:r>
        <w:rPr>
          <w:rFonts w:ascii="FrankRuehl" w:hAnsi="FrankRuehl" w:cs="FrankRuehl"/>
          <w:sz w:val="28"/>
          <w:szCs w:val="28"/>
          <w:rtl/>
        </w:rPr>
        <w:t xml:space="preserve">; </w:t>
      </w:r>
      <w:hyperlink r:id="rId45" w:history="1">
        <w:r w:rsidR="00683C50" w:rsidRPr="00683C50">
          <w:rPr>
            <w:rFonts w:ascii="FrankRuehl" w:hAnsi="FrankRuehl" w:cs="FrankRuehl"/>
            <w:color w:val="0000FF"/>
            <w:sz w:val="28"/>
            <w:szCs w:val="28"/>
            <w:u w:val="single"/>
            <w:rtl/>
          </w:rPr>
          <w:t>ת"פ (ת"א) 34094-12-13</w:t>
        </w:r>
      </w:hyperlink>
      <w:r>
        <w:rPr>
          <w:rFonts w:ascii="FrankRuehl" w:hAnsi="FrankRuehl" w:cs="FrankRuehl"/>
          <w:sz w:val="28"/>
          <w:szCs w:val="28"/>
          <w:rtl/>
        </w:rPr>
        <w:t xml:space="preserve"> </w:t>
      </w:r>
      <w:r>
        <w:rPr>
          <w:rFonts w:ascii="Miriam" w:hAnsi="Miriam" w:cs="Miriam"/>
          <w:rtl/>
        </w:rPr>
        <w:t>מדינת ישראל נ' הלל</w:t>
      </w:r>
      <w:r>
        <w:rPr>
          <w:rFonts w:ascii="FrankRuehl" w:hAnsi="FrankRuehl" w:cs="FrankRuehl"/>
          <w:sz w:val="28"/>
          <w:szCs w:val="28"/>
          <w:rtl/>
        </w:rPr>
        <w:t xml:space="preserve"> (7.10.2015); </w:t>
      </w:r>
      <w:hyperlink r:id="rId46" w:history="1">
        <w:r w:rsidR="00683C50" w:rsidRPr="00683C50">
          <w:rPr>
            <w:rFonts w:ascii="FrankRuehl" w:hAnsi="FrankRuehl" w:cs="FrankRuehl"/>
            <w:color w:val="0000FF"/>
            <w:sz w:val="28"/>
            <w:szCs w:val="28"/>
            <w:u w:val="single"/>
            <w:rtl/>
          </w:rPr>
          <w:t>ת"פ (רמ') 63092-12-13</w:t>
        </w:r>
      </w:hyperlink>
      <w:r>
        <w:rPr>
          <w:rFonts w:ascii="FrankRuehl" w:hAnsi="FrankRuehl" w:cs="FrankRuehl"/>
          <w:sz w:val="28"/>
          <w:szCs w:val="28"/>
          <w:rtl/>
        </w:rPr>
        <w:t xml:space="preserve"> </w:t>
      </w:r>
      <w:r>
        <w:rPr>
          <w:rFonts w:ascii="Miriam" w:hAnsi="Miriam" w:cs="Miriam"/>
          <w:rtl/>
        </w:rPr>
        <w:t>משטרת ישראל תביעות – שלוחת רמלה נ' ברמי</w:t>
      </w:r>
      <w:r>
        <w:rPr>
          <w:rFonts w:ascii="FrankRuehl" w:hAnsi="FrankRuehl" w:cs="FrankRuehl"/>
          <w:sz w:val="28"/>
          <w:szCs w:val="28"/>
          <w:rtl/>
        </w:rPr>
        <w:t xml:space="preserve"> (23.11.2014); </w:t>
      </w:r>
      <w:hyperlink r:id="rId47" w:history="1">
        <w:r w:rsidR="00683C50" w:rsidRPr="00683C50">
          <w:rPr>
            <w:rFonts w:ascii="FrankRuehl" w:hAnsi="FrankRuehl" w:cs="FrankRuehl"/>
            <w:color w:val="0000FF"/>
            <w:sz w:val="28"/>
            <w:szCs w:val="28"/>
            <w:u w:val="single"/>
            <w:rtl/>
          </w:rPr>
          <w:t>ת"פ (ת"א) 24100-09-13</w:t>
        </w:r>
      </w:hyperlink>
      <w:r>
        <w:rPr>
          <w:rFonts w:ascii="FrankRuehl" w:hAnsi="FrankRuehl" w:cs="FrankRuehl"/>
          <w:sz w:val="28"/>
          <w:szCs w:val="28"/>
          <w:rtl/>
        </w:rPr>
        <w:t xml:space="preserve"> </w:t>
      </w:r>
      <w:r>
        <w:rPr>
          <w:rFonts w:ascii="Miriam" w:hAnsi="Miriam" w:cs="Miriam"/>
          <w:rtl/>
        </w:rPr>
        <w:t>מדינת ישראל נ'</w:t>
      </w:r>
      <w:r>
        <w:rPr>
          <w:rFonts w:ascii="FrankRuehl" w:hAnsi="FrankRuehl" w:cs="FrankRuehl"/>
          <w:sz w:val="28"/>
          <w:szCs w:val="28"/>
          <w:rtl/>
        </w:rPr>
        <w:t xml:space="preserve"> </w:t>
      </w:r>
      <w:r>
        <w:rPr>
          <w:rFonts w:ascii="Miriam" w:hAnsi="Miriam" w:cs="Miriam"/>
          <w:rtl/>
        </w:rPr>
        <w:t>קונפורטי</w:t>
      </w:r>
      <w:r>
        <w:rPr>
          <w:rFonts w:ascii="FrankRuehl" w:hAnsi="FrankRuehl" w:cs="FrankRuehl"/>
          <w:sz w:val="28"/>
          <w:szCs w:val="28"/>
          <w:rtl/>
        </w:rPr>
        <w:t xml:space="preserve"> (2.4.2014); ת.פ (רמ') </w:t>
      </w:r>
      <w:hyperlink r:id="rId48" w:history="1">
        <w:r w:rsidR="00E760C1" w:rsidRPr="00E760C1">
          <w:rPr>
            <w:rStyle w:val="Hyperlink"/>
            <w:rFonts w:ascii="FrankRuehl" w:hAnsi="FrankRuehl" w:cs="FrankRuehl"/>
            <w:sz w:val="28"/>
            <w:szCs w:val="28"/>
            <w:rtl/>
          </w:rPr>
          <w:t xml:space="preserve">41272-03-16 </w:t>
        </w:r>
      </w:hyperlink>
      <w:r>
        <w:rPr>
          <w:rFonts w:ascii="FrankRuehl" w:hAnsi="FrankRuehl" w:cs="FrankRuehl"/>
          <w:sz w:val="28"/>
          <w:szCs w:val="28"/>
          <w:rtl/>
        </w:rPr>
        <w:t xml:space="preserve"> </w:t>
      </w:r>
      <w:r>
        <w:rPr>
          <w:rFonts w:ascii="Miriam" w:hAnsi="Miriam" w:cs="Miriam"/>
          <w:rtl/>
        </w:rPr>
        <w:t>משטרת ישראל – תביעות שלוחת רמלה נ' אבו</w:t>
      </w:r>
      <w:r>
        <w:rPr>
          <w:rFonts w:ascii="FrankRuehl" w:hAnsi="FrankRuehl" w:cs="FrankRuehl"/>
          <w:sz w:val="28"/>
          <w:szCs w:val="28"/>
          <w:rtl/>
        </w:rPr>
        <w:t xml:space="preserve"> </w:t>
      </w:r>
      <w:r>
        <w:rPr>
          <w:rFonts w:ascii="Miriam" w:hAnsi="Miriam" w:cs="Miriam"/>
          <w:rtl/>
        </w:rPr>
        <w:t>כאשף</w:t>
      </w:r>
      <w:r>
        <w:rPr>
          <w:rFonts w:ascii="FrankRuehl" w:hAnsi="FrankRuehl" w:cs="FrankRuehl"/>
          <w:sz w:val="28"/>
          <w:szCs w:val="28"/>
          <w:rtl/>
        </w:rPr>
        <w:t xml:space="preserve"> (9.9.2019); </w:t>
      </w:r>
      <w:hyperlink r:id="rId49" w:history="1">
        <w:r w:rsidR="00683C50" w:rsidRPr="00683C50">
          <w:rPr>
            <w:rFonts w:ascii="FrankRuehl" w:hAnsi="FrankRuehl" w:cs="FrankRuehl"/>
            <w:color w:val="0000FF"/>
            <w:sz w:val="28"/>
            <w:szCs w:val="28"/>
            <w:u w:val="single"/>
            <w:rtl/>
          </w:rPr>
          <w:t>ת"פ (ק"ג) 54499-11-15</w:t>
        </w:r>
      </w:hyperlink>
      <w:r>
        <w:rPr>
          <w:rFonts w:ascii="FrankRuehl" w:hAnsi="FrankRuehl" w:cs="FrankRuehl"/>
          <w:sz w:val="28"/>
          <w:szCs w:val="28"/>
          <w:rtl/>
        </w:rPr>
        <w:t xml:space="preserve"> </w:t>
      </w:r>
      <w:r>
        <w:rPr>
          <w:rFonts w:ascii="Miriam" w:hAnsi="Miriam" w:cs="Miriam"/>
          <w:rtl/>
        </w:rPr>
        <w:t>מדינת ישראל נ' חדאד</w:t>
      </w:r>
      <w:r>
        <w:rPr>
          <w:rFonts w:ascii="FrankRuehl" w:hAnsi="FrankRuehl" w:cs="FrankRuehl"/>
          <w:sz w:val="28"/>
          <w:szCs w:val="28"/>
          <w:rtl/>
        </w:rPr>
        <w:t xml:space="preserve"> (5.2.2019); </w:t>
      </w:r>
      <w:hyperlink r:id="rId50" w:history="1">
        <w:r w:rsidR="00683C50" w:rsidRPr="00683C50">
          <w:rPr>
            <w:rFonts w:ascii="FrankRuehl" w:hAnsi="FrankRuehl" w:cs="FrankRuehl"/>
            <w:color w:val="0000FF"/>
            <w:sz w:val="28"/>
            <w:szCs w:val="28"/>
            <w:u w:val="single"/>
            <w:rtl/>
          </w:rPr>
          <w:t>ת"פ (רח') 16619-01-18</w:t>
        </w:r>
      </w:hyperlink>
      <w:r>
        <w:rPr>
          <w:rFonts w:ascii="FrankRuehl" w:hAnsi="FrankRuehl" w:cs="FrankRuehl"/>
          <w:sz w:val="28"/>
          <w:szCs w:val="28"/>
          <w:rtl/>
        </w:rPr>
        <w:t xml:space="preserve"> </w:t>
      </w:r>
      <w:r>
        <w:rPr>
          <w:rFonts w:ascii="Miriam" w:hAnsi="Miriam" w:cs="Miriam"/>
          <w:rtl/>
        </w:rPr>
        <w:t>מדינת ישראל נ' פודומסקי</w:t>
      </w:r>
      <w:r>
        <w:rPr>
          <w:rFonts w:ascii="FrankRuehl" w:hAnsi="FrankRuehl" w:cs="FrankRuehl"/>
          <w:sz w:val="28"/>
          <w:szCs w:val="28"/>
          <w:rtl/>
        </w:rPr>
        <w:t xml:space="preserve"> (16.1.2019); </w:t>
      </w:r>
      <w:hyperlink r:id="rId51" w:history="1">
        <w:r w:rsidR="00683C50" w:rsidRPr="00683C50">
          <w:rPr>
            <w:rFonts w:ascii="FrankRuehl" w:hAnsi="FrankRuehl" w:cs="FrankRuehl"/>
            <w:color w:val="0000FF"/>
            <w:sz w:val="28"/>
            <w:szCs w:val="28"/>
            <w:u w:val="single"/>
            <w:rtl/>
          </w:rPr>
          <w:t>ת"פ (ת"א) 34094-12-13</w:t>
        </w:r>
      </w:hyperlink>
      <w:r>
        <w:rPr>
          <w:rFonts w:ascii="FrankRuehl" w:hAnsi="FrankRuehl" w:cs="FrankRuehl"/>
          <w:sz w:val="28"/>
          <w:szCs w:val="28"/>
          <w:rtl/>
        </w:rPr>
        <w:t xml:space="preserve"> </w:t>
      </w:r>
      <w:r>
        <w:rPr>
          <w:rFonts w:ascii="Miriam" w:hAnsi="Miriam" w:cs="Miriam"/>
          <w:rtl/>
        </w:rPr>
        <w:t>מדינת ישראל</w:t>
      </w:r>
      <w:r>
        <w:rPr>
          <w:rFonts w:ascii="FrankRuehl" w:hAnsi="FrankRuehl" w:cs="FrankRuehl"/>
          <w:sz w:val="28"/>
          <w:szCs w:val="28"/>
          <w:rtl/>
        </w:rPr>
        <w:t xml:space="preserve"> </w:t>
      </w:r>
      <w:r>
        <w:rPr>
          <w:rFonts w:ascii="Miriam" w:hAnsi="Miriam" w:cs="Miriam"/>
          <w:rtl/>
        </w:rPr>
        <w:t>נ' הלל</w:t>
      </w:r>
      <w:r>
        <w:rPr>
          <w:rFonts w:ascii="FrankRuehl" w:hAnsi="FrankRuehl" w:cs="FrankRuehl"/>
          <w:sz w:val="28"/>
          <w:szCs w:val="28"/>
          <w:rtl/>
        </w:rPr>
        <w:t xml:space="preserve"> (7.10.2015); </w:t>
      </w:r>
      <w:hyperlink r:id="rId52" w:history="1">
        <w:r w:rsidR="00683C50" w:rsidRPr="00683C50">
          <w:rPr>
            <w:rFonts w:ascii="FrankRuehl" w:hAnsi="FrankRuehl" w:cs="FrankRuehl"/>
            <w:color w:val="0000FF"/>
            <w:sz w:val="28"/>
            <w:szCs w:val="28"/>
            <w:u w:val="single"/>
            <w:rtl/>
          </w:rPr>
          <w:t>ת"פ (ק"ג) 25179-08-13</w:t>
        </w:r>
      </w:hyperlink>
      <w:r>
        <w:rPr>
          <w:rFonts w:ascii="FrankRuehl" w:hAnsi="FrankRuehl" w:cs="FrankRuehl"/>
          <w:sz w:val="28"/>
          <w:szCs w:val="28"/>
          <w:rtl/>
        </w:rPr>
        <w:t xml:space="preserve"> </w:t>
      </w:r>
      <w:r>
        <w:rPr>
          <w:rFonts w:ascii="Miriam" w:hAnsi="Miriam" w:cs="Miriam"/>
          <w:rtl/>
        </w:rPr>
        <w:t>מדינת ישראל נ' אוחיון</w:t>
      </w:r>
      <w:r>
        <w:rPr>
          <w:rFonts w:ascii="FrankRuehl" w:hAnsi="FrankRuehl" w:cs="FrankRuehl"/>
          <w:sz w:val="28"/>
          <w:szCs w:val="28"/>
          <w:rtl/>
        </w:rPr>
        <w:t xml:space="preserve"> (19.1.2014)). </w:t>
      </w:r>
    </w:p>
    <w:p w14:paraId="43DA1F69" w14:textId="77777777" w:rsidR="00A058B8" w:rsidRDefault="00A058B8" w:rsidP="00A058B8">
      <w:pPr>
        <w:numPr>
          <w:ilvl w:val="0"/>
          <w:numId w:val="1"/>
        </w:numPr>
        <w:spacing w:before="100" w:beforeAutospacing="1" w:after="120" w:line="360" w:lineRule="auto"/>
        <w:ind w:left="0" w:firstLine="2"/>
        <w:jc w:val="both"/>
        <w:rPr>
          <w:rFonts w:ascii="Corbel" w:hAnsi="Corbel" w:cs="Miriam"/>
          <w:b/>
        </w:rPr>
      </w:pPr>
      <w:r>
        <w:rPr>
          <w:rFonts w:ascii="Corbel" w:hAnsi="Corbel" w:cs="FrankRuehl"/>
          <w:sz w:val="28"/>
          <w:szCs w:val="28"/>
          <w:rtl/>
        </w:rPr>
        <w:t xml:space="preserve">לאור כל האמור, בהתחשב בנסיבות ביצוע העבירות, במידת הפגיעה בערכים המוגנים ובמדיניות הענישה הנהוגה, מצאתי לקבוע את מתחם העונש ההולם לכלל העבירות בין מאסר קצר שיכול וירוצה בעבודות שירות ועד לעשרה חודשי מאסר לצד רכיבי ענישה נוספים. </w:t>
      </w:r>
    </w:p>
    <w:p w14:paraId="21F3E19B" w14:textId="77777777" w:rsidR="00A058B8" w:rsidRDefault="00A058B8" w:rsidP="00A058B8">
      <w:pPr>
        <w:spacing w:before="100" w:beforeAutospacing="1" w:after="120" w:line="360" w:lineRule="auto"/>
        <w:jc w:val="both"/>
        <w:rPr>
          <w:rFonts w:ascii="Miriam" w:eastAsia="Calibri" w:hAnsi="Miriam" w:cs="Miriam"/>
        </w:rPr>
      </w:pPr>
      <w:r>
        <w:rPr>
          <w:rFonts w:ascii="Miriam" w:eastAsia="Calibri" w:hAnsi="Miriam" w:cs="Miriam"/>
          <w:rtl/>
        </w:rPr>
        <w:t>גזירת העונש המתאים לנאשם</w:t>
      </w:r>
    </w:p>
    <w:p w14:paraId="2422A9D0" w14:textId="77777777" w:rsidR="00A058B8" w:rsidRDefault="00A058B8" w:rsidP="00A058B8">
      <w:pPr>
        <w:numPr>
          <w:ilvl w:val="0"/>
          <w:numId w:val="1"/>
        </w:numPr>
        <w:spacing w:before="100" w:beforeAutospacing="1" w:after="120" w:line="360" w:lineRule="auto"/>
        <w:ind w:left="-2" w:firstLine="2"/>
        <w:jc w:val="both"/>
        <w:rPr>
          <w:rFonts w:ascii="Corbel" w:hAnsi="Corbel" w:cs="FrankRuehl"/>
          <w:sz w:val="28"/>
          <w:szCs w:val="28"/>
          <w:rtl/>
        </w:rPr>
      </w:pPr>
      <w:r>
        <w:rPr>
          <w:rFonts w:ascii="Corbel" w:hAnsi="Corbel" w:cs="FrankRuehl"/>
          <w:sz w:val="28"/>
          <w:szCs w:val="28"/>
          <w:rtl/>
        </w:rPr>
        <w:t>הצדדים לא טענו ואף לא מצאתי נסיבות לחומרה או לקולה המצדיקות חריגה ממתחם העונש ההולם. לפיכך, יש לקבוע עונשו של הנאשם בתוך המתחם תוך התחשבות בנסיבות שאינן קשורות בביצוע העבירה (</w:t>
      </w:r>
      <w:hyperlink r:id="rId53" w:history="1">
        <w:r w:rsidR="00733EE5" w:rsidRPr="00733EE5">
          <w:rPr>
            <w:rStyle w:val="Hyperlink"/>
            <w:rFonts w:ascii="Corbel" w:hAnsi="Corbel" w:cs="FrankRuehl" w:hint="eastAsia"/>
            <w:sz w:val="28"/>
            <w:szCs w:val="28"/>
            <w:rtl/>
          </w:rPr>
          <w:t>סעיף</w:t>
        </w:r>
        <w:r w:rsidR="00733EE5" w:rsidRPr="00733EE5">
          <w:rPr>
            <w:rStyle w:val="Hyperlink"/>
            <w:rFonts w:ascii="Corbel" w:hAnsi="Corbel" w:cs="FrankRuehl"/>
            <w:sz w:val="28"/>
            <w:szCs w:val="28"/>
            <w:rtl/>
          </w:rPr>
          <w:t xml:space="preserve"> 40</w:t>
        </w:r>
        <w:r w:rsidR="00733EE5" w:rsidRPr="00733EE5">
          <w:rPr>
            <w:rStyle w:val="Hyperlink"/>
            <w:rFonts w:ascii="Corbel" w:hAnsi="Corbel" w:cs="FrankRuehl" w:hint="eastAsia"/>
            <w:sz w:val="28"/>
            <w:szCs w:val="28"/>
            <w:rtl/>
          </w:rPr>
          <w:t>יא</w:t>
        </w:r>
        <w:r w:rsidR="00733EE5" w:rsidRPr="00733EE5">
          <w:rPr>
            <w:rStyle w:val="Hyperlink"/>
            <w:rFonts w:ascii="Corbel" w:hAnsi="Corbel" w:cs="FrankRuehl"/>
            <w:sz w:val="28"/>
            <w:szCs w:val="28"/>
            <w:rtl/>
          </w:rPr>
          <w:t>'</w:t>
        </w:r>
      </w:hyperlink>
      <w:r>
        <w:rPr>
          <w:rFonts w:ascii="Corbel" w:hAnsi="Corbel" w:cs="FrankRuehl"/>
          <w:sz w:val="28"/>
          <w:szCs w:val="28"/>
          <w:rtl/>
        </w:rPr>
        <w:t xml:space="preserve"> ל</w:t>
      </w:r>
      <w:hyperlink r:id="rId54" w:history="1">
        <w:r w:rsidR="00683C50" w:rsidRPr="00683C50">
          <w:rPr>
            <w:rFonts w:ascii="Corbel" w:hAnsi="Corbel" w:cs="FrankRuehl" w:hint="eastAsia"/>
            <w:color w:val="0000FF"/>
            <w:sz w:val="28"/>
            <w:szCs w:val="28"/>
            <w:u w:val="single"/>
            <w:rtl/>
          </w:rPr>
          <w:t>חוק</w:t>
        </w:r>
        <w:r w:rsidR="00683C50" w:rsidRPr="00683C50">
          <w:rPr>
            <w:rFonts w:ascii="Corbel" w:hAnsi="Corbel" w:cs="FrankRuehl"/>
            <w:color w:val="0000FF"/>
            <w:sz w:val="28"/>
            <w:szCs w:val="28"/>
            <w:u w:val="single"/>
            <w:rtl/>
          </w:rPr>
          <w:t xml:space="preserve"> </w:t>
        </w:r>
        <w:r w:rsidR="00683C50" w:rsidRPr="00683C50">
          <w:rPr>
            <w:rFonts w:ascii="Corbel" w:hAnsi="Corbel" w:cs="FrankRuehl" w:hint="eastAsia"/>
            <w:color w:val="0000FF"/>
            <w:sz w:val="28"/>
            <w:szCs w:val="28"/>
            <w:u w:val="single"/>
            <w:rtl/>
          </w:rPr>
          <w:t>העונשין</w:t>
        </w:r>
      </w:hyperlink>
      <w:r>
        <w:rPr>
          <w:rFonts w:ascii="Corbel" w:hAnsi="Corbel" w:cs="FrankRuehl"/>
          <w:sz w:val="28"/>
          <w:szCs w:val="28"/>
          <w:rtl/>
        </w:rPr>
        <w:t>).</w:t>
      </w:r>
    </w:p>
    <w:p w14:paraId="60D9545F" w14:textId="77777777" w:rsidR="00A058B8" w:rsidRDefault="00A058B8" w:rsidP="00A058B8">
      <w:pPr>
        <w:numPr>
          <w:ilvl w:val="0"/>
          <w:numId w:val="1"/>
        </w:numPr>
        <w:spacing w:before="100" w:beforeAutospacing="1" w:after="120" w:line="360" w:lineRule="auto"/>
        <w:ind w:left="-58" w:firstLine="8"/>
        <w:jc w:val="both"/>
        <w:rPr>
          <w:rFonts w:ascii="FrankRuehl" w:hAnsi="FrankRuehl" w:cs="FrankRuehl"/>
          <w:sz w:val="28"/>
          <w:szCs w:val="28"/>
          <w:rtl/>
        </w:rPr>
      </w:pPr>
      <w:r>
        <w:rPr>
          <w:rFonts w:ascii="FrankRuehl" w:hAnsi="FrankRuehl" w:cs="FrankRuehl"/>
          <w:sz w:val="28"/>
          <w:szCs w:val="28"/>
          <w:rtl/>
        </w:rPr>
        <w:t xml:space="preserve">הנאשם צעיר לימים, יליד 1996. נעדר עבר פלילי וזוהי לו הסתבכותו הראשונה בפליליים. מיום ביצוע העבירה לא נפתחו כנגדו תיקים נוספים. </w:t>
      </w:r>
      <w:r>
        <w:rPr>
          <w:rFonts w:ascii="FrankRuehl" w:hAnsi="FrankRuehl" w:cs="FrankRuehl" w:hint="cs"/>
          <w:sz w:val="28"/>
          <w:szCs w:val="28"/>
          <w:rtl/>
        </w:rPr>
        <w:t xml:space="preserve">כמו כן נתתי דעתי לשינוי במצבו המשפחתי של הנאשם כאשר סמוך למתן גזר הדין מסר כי הוא נמצא בזוגיות ובת הזוג נמצאת בחודשי הריון ראשונים. </w:t>
      </w:r>
    </w:p>
    <w:p w14:paraId="0C86A91D" w14:textId="77777777" w:rsidR="00A058B8" w:rsidRDefault="00A058B8" w:rsidP="00A058B8">
      <w:pPr>
        <w:numPr>
          <w:ilvl w:val="0"/>
          <w:numId w:val="1"/>
        </w:numPr>
        <w:spacing w:before="100" w:beforeAutospacing="1" w:after="120" w:line="360" w:lineRule="auto"/>
        <w:ind w:left="0" w:firstLine="8"/>
        <w:jc w:val="both"/>
        <w:rPr>
          <w:rFonts w:ascii="FrankRuehl" w:hAnsi="FrankRuehl" w:cs="FrankRuehl"/>
          <w:sz w:val="28"/>
          <w:szCs w:val="28"/>
        </w:rPr>
      </w:pPr>
      <w:r>
        <w:rPr>
          <w:rFonts w:ascii="FrankRuehl" w:hAnsi="FrankRuehl" w:cs="FrankRuehl"/>
          <w:sz w:val="28"/>
          <w:szCs w:val="28"/>
          <w:rtl/>
        </w:rPr>
        <w:t xml:space="preserve">עוד לזכותו עומדת הודאתו בכתב האישום בהזדמנות הראשון ולקיחת האחריות הבלתי מסויגת. הודייתו של הנאשם חסכה לא רק זמן שיפוטי ניכר אלא חשוב מכך היה בה לחסוך את שמיעת עדותו של קטין נפגע העבירה. מהתסקיר עולה כי הנאשם הביע צער וחרטה על מעשיו ניכר כי הבין ששגה באופן שהתנהל באירוע.  </w:t>
      </w:r>
    </w:p>
    <w:p w14:paraId="251286E4" w14:textId="77777777" w:rsidR="00A058B8" w:rsidRDefault="00A058B8" w:rsidP="00A058B8">
      <w:pPr>
        <w:numPr>
          <w:ilvl w:val="0"/>
          <w:numId w:val="1"/>
        </w:numPr>
        <w:spacing w:before="100" w:beforeAutospacing="1" w:after="120" w:line="360" w:lineRule="auto"/>
        <w:ind w:left="0" w:firstLine="6"/>
        <w:jc w:val="both"/>
        <w:rPr>
          <w:rFonts w:ascii="FrankRuehl" w:hAnsi="FrankRuehl" w:cs="FrankRuehl"/>
          <w:sz w:val="28"/>
          <w:szCs w:val="28"/>
        </w:rPr>
      </w:pPr>
      <w:r>
        <w:rPr>
          <w:rFonts w:ascii="FrankRuehl" w:hAnsi="FrankRuehl" w:cs="FrankRuehl"/>
          <w:sz w:val="28"/>
          <w:szCs w:val="28"/>
          <w:rtl/>
        </w:rPr>
        <w:t>מתסקירי שירות המבחן עולה תמונה מורכבת של צעיר אשר גדל בנסיבות חיים שאינן פשוטות, אשר גילה קושי ביציבות כבר מגיל צעיר. עם זאת מנהל אורח חיים תקין ונמנע ממעורבות בפלילים וכאמור זוהי לו הסתבכותו הראשונה והיחידה בפלילים. עוד יש לתת את הדעת כי שירות המבחן העריך את רמת הסיכון הנשקפת מהנאשם כנמוכה וכן בדיקות שתן לאיתור סמים שביצע הנאשם העידו על ניקון מסמים. בהתאם ליכולות אשר זוהו אצל הנאשם, התרשם שירות המבחן כי היה יכול להיתרם רבות משיקום והיה בכך להפחית סיכון. ואולם, הנאשם הביע מצוקה כלכלית ומשקיע את מיטב זמנו ב</w:t>
      </w:r>
      <w:r>
        <w:rPr>
          <w:rFonts w:ascii="FrankRuehl" w:hAnsi="FrankRuehl" w:cs="FrankRuehl" w:hint="cs"/>
          <w:sz w:val="28"/>
          <w:szCs w:val="28"/>
          <w:rtl/>
        </w:rPr>
        <w:t>פן</w:t>
      </w:r>
      <w:r>
        <w:rPr>
          <w:rFonts w:ascii="FrankRuehl" w:hAnsi="FrankRuehl" w:cs="FrankRuehl"/>
          <w:sz w:val="28"/>
          <w:szCs w:val="28"/>
          <w:rtl/>
        </w:rPr>
        <w:t xml:space="preserve"> התעסוקתי וניכר כי אינו פנוי רגשית ופיזית לעבור תהליך של טיפול ושיקום. אדגיש כי </w:t>
      </w:r>
      <w:r>
        <w:rPr>
          <w:rFonts w:ascii="FrankRuehl" w:eastAsia="Calibri" w:hAnsi="FrankRuehl" w:cs="FrankRuehl"/>
          <w:b/>
          <w:sz w:val="32"/>
          <w:szCs w:val="28"/>
          <w:rtl/>
        </w:rPr>
        <w:t xml:space="preserve">ככול שאפשר היה להצביע על צעדים משמעותיים וחיוביים בהיבט השיקומי, היה בכך כדי להצדיק גזירת דין ברף התחתון של מתחם העונש ההולם, אם לא למטה מכך. אך כאמור, הנאשם בחר שלא למצות את האפיקים הטיפוליים ועל כך אין לי אלה להצר. </w:t>
      </w:r>
      <w:r>
        <w:rPr>
          <w:rFonts w:ascii="FrankRuehl" w:hAnsi="FrankRuehl" w:cs="FrankRuehl"/>
          <w:sz w:val="28"/>
          <w:szCs w:val="28"/>
          <w:rtl/>
        </w:rPr>
        <w:t xml:space="preserve">   </w:t>
      </w:r>
    </w:p>
    <w:p w14:paraId="52CDABFF" w14:textId="77777777" w:rsidR="00A058B8" w:rsidRDefault="00A058B8" w:rsidP="00A058B8">
      <w:pPr>
        <w:numPr>
          <w:ilvl w:val="0"/>
          <w:numId w:val="1"/>
        </w:numPr>
        <w:spacing w:before="100" w:beforeAutospacing="1" w:after="120" w:line="360" w:lineRule="auto"/>
        <w:ind w:left="0" w:firstLine="6"/>
        <w:jc w:val="both"/>
        <w:rPr>
          <w:rFonts w:ascii="FrankRuehl" w:hAnsi="FrankRuehl" w:cs="FrankRuehl"/>
          <w:sz w:val="28"/>
          <w:szCs w:val="28"/>
        </w:rPr>
      </w:pPr>
      <w:r>
        <w:rPr>
          <w:rFonts w:ascii="FrankRuehl" w:hAnsi="FrankRuehl" w:cs="FrankRuehl"/>
          <w:sz w:val="28"/>
          <w:szCs w:val="28"/>
          <w:rtl/>
        </w:rPr>
        <w:t>כמו כן לקחתי בחשבון כי הנאשם היה עצור בגין תיק זה בין התאריכים 5.12.2019- 16.12.2019, לאחר מכן ובמשך כשנה וחצי שהה בתנאים מגבילים מתוכם כשנה במעצר בית לילי.</w:t>
      </w:r>
    </w:p>
    <w:p w14:paraId="374C474E" w14:textId="77777777" w:rsidR="00A058B8" w:rsidRDefault="00A058B8" w:rsidP="00A058B8">
      <w:pPr>
        <w:numPr>
          <w:ilvl w:val="0"/>
          <w:numId w:val="1"/>
        </w:numPr>
        <w:spacing w:before="100" w:beforeAutospacing="1" w:after="120" w:line="360" w:lineRule="auto"/>
        <w:ind w:left="0" w:firstLine="6"/>
        <w:jc w:val="both"/>
        <w:rPr>
          <w:rFonts w:ascii="FrankRuehl" w:hAnsi="FrankRuehl" w:cs="FrankRuehl"/>
          <w:sz w:val="28"/>
          <w:szCs w:val="28"/>
        </w:rPr>
      </w:pPr>
      <w:r>
        <w:rPr>
          <w:rFonts w:ascii="FrankRuehl" w:hAnsi="FrankRuehl" w:cs="FrankRuehl"/>
          <w:sz w:val="28"/>
          <w:szCs w:val="28"/>
          <w:rtl/>
        </w:rPr>
        <w:t>עוד לקחתי בחשבון את העובדה כי על האחר הושתו 5 חודשי עבודות שירות בגין מעשיו בתיק זה וזאת בהתאם להסכמות הצדדים כאשר נתתי דעתי גם ליתר הנסיבות שאינן קשורות בביצוע העבירה כפי שפורט בגזר הדין לרבות עברו הפלילי של האחר (</w:t>
      </w:r>
      <w:r>
        <w:rPr>
          <w:rFonts w:ascii="Miriam" w:hAnsi="Miriam" w:cs="Miriam"/>
          <w:rtl/>
        </w:rPr>
        <w:t>טעת/1</w:t>
      </w:r>
      <w:r>
        <w:rPr>
          <w:rFonts w:ascii="FrankRuehl" w:hAnsi="FrankRuehl" w:cs="FrankRuehl"/>
          <w:sz w:val="28"/>
          <w:szCs w:val="28"/>
          <w:rtl/>
        </w:rPr>
        <w:t xml:space="preserve">). </w:t>
      </w:r>
    </w:p>
    <w:p w14:paraId="045843DF" w14:textId="77777777" w:rsidR="00A058B8" w:rsidRDefault="00A058B8" w:rsidP="00A058B8">
      <w:pPr>
        <w:numPr>
          <w:ilvl w:val="0"/>
          <w:numId w:val="1"/>
        </w:numPr>
        <w:spacing w:before="100" w:beforeAutospacing="1" w:after="120" w:line="360" w:lineRule="auto"/>
        <w:ind w:left="0" w:firstLine="6"/>
        <w:jc w:val="both"/>
        <w:rPr>
          <w:rFonts w:ascii="FrankRuehl" w:hAnsi="FrankRuehl" w:cs="FrankRuehl"/>
          <w:sz w:val="28"/>
          <w:szCs w:val="28"/>
        </w:rPr>
      </w:pPr>
      <w:r>
        <w:rPr>
          <w:rFonts w:ascii="FrankRuehl" w:hAnsi="FrankRuehl" w:cs="FrankRuehl"/>
          <w:sz w:val="28"/>
          <w:szCs w:val="28"/>
          <w:rtl/>
        </w:rPr>
        <w:t xml:space="preserve">באשר לבקשת החילוט. אין מחלוקת כי הרכב שימש לביצוע העבירות, שכן הנאשם והאחר נסעו ברכב למקום בו ביצוע העבירות. עם זאת, בהחלטה אם לחלט חפץ, לפי </w:t>
      </w:r>
      <w:hyperlink r:id="rId55" w:history="1">
        <w:r w:rsidR="00733EE5" w:rsidRPr="00733EE5">
          <w:rPr>
            <w:rStyle w:val="Hyperlink"/>
            <w:rFonts w:ascii="FrankRuehl" w:hAnsi="FrankRuehl" w:cs="FrankRuehl"/>
            <w:sz w:val="28"/>
            <w:szCs w:val="28"/>
            <w:rtl/>
          </w:rPr>
          <w:t>סעיף 39(א)</w:t>
        </w:r>
      </w:hyperlink>
      <w:r w:rsidRPr="008D583F">
        <w:rPr>
          <w:rFonts w:ascii="FrankRuehl" w:hAnsi="FrankRuehl" w:cs="FrankRuehl"/>
          <w:sz w:val="28"/>
          <w:szCs w:val="28"/>
          <w:rtl/>
        </w:rPr>
        <w:t xml:space="preserve"> </w:t>
      </w:r>
      <w:r>
        <w:rPr>
          <w:rFonts w:ascii="FrankRuehl" w:hAnsi="FrankRuehl" w:cs="FrankRuehl"/>
          <w:sz w:val="28"/>
          <w:szCs w:val="28"/>
          <w:rtl/>
        </w:rPr>
        <w:t>לפקודה יש לאזן בין האינטרס הציבורי שבמניעת ביצוע עבירות באמצעות חפצים המאפשרים את ביצוען, ובין זכות הקניין, המעוגנת כיום ב</w:t>
      </w:r>
      <w:hyperlink r:id="rId56" w:history="1">
        <w:r w:rsidR="00683C50" w:rsidRPr="00683C50">
          <w:rPr>
            <w:rFonts w:ascii="FrankRuehl" w:hAnsi="FrankRuehl" w:cs="FrankRuehl"/>
            <w:color w:val="0000FF"/>
            <w:sz w:val="28"/>
            <w:szCs w:val="28"/>
            <w:u w:val="single"/>
            <w:rtl/>
          </w:rPr>
          <w:t>חוק יסוד: כבוד האדם וחירותו</w:t>
        </w:r>
      </w:hyperlink>
      <w:r w:rsidRPr="008D583F">
        <w:rPr>
          <w:rStyle w:val="Hyperlink"/>
          <w:rtl/>
        </w:rPr>
        <w:t xml:space="preserve">. </w:t>
      </w:r>
      <w:r>
        <w:rPr>
          <w:rFonts w:ascii="FrankRuehl" w:hAnsi="FrankRuehl" w:cs="FrankRuehl"/>
          <w:sz w:val="28"/>
          <w:szCs w:val="28"/>
          <w:rtl/>
        </w:rPr>
        <w:t xml:space="preserve">בהחלטת חילוט יש לקחת בחשבון, את "מהותה ועוצמתה של הזיקה בין החפץ לבין העבירה וחומרתה של העבירה ... באיזה מידה שימש הרכב באופן מהותי לביצוע העבירות שבוצעו" (ראו גם: </w:t>
      </w:r>
      <w:hyperlink r:id="rId57" w:history="1">
        <w:r w:rsidR="00683C50" w:rsidRPr="00683C50">
          <w:rPr>
            <w:rFonts w:ascii="FrankRuehl" w:hAnsi="FrankRuehl" w:cs="FrankRuehl"/>
            <w:color w:val="0000FF"/>
            <w:sz w:val="28"/>
            <w:szCs w:val="28"/>
            <w:u w:val="single"/>
            <w:rtl/>
          </w:rPr>
          <w:t>ע"פ 1000/15</w:t>
        </w:r>
      </w:hyperlink>
      <w:r>
        <w:rPr>
          <w:rFonts w:ascii="FrankRuehl" w:hAnsi="FrankRuehl" w:cs="FrankRuehl"/>
          <w:sz w:val="28"/>
          <w:szCs w:val="28"/>
          <w:rtl/>
        </w:rPr>
        <w:t xml:space="preserve"> </w:t>
      </w:r>
      <w:r>
        <w:rPr>
          <w:rFonts w:ascii="FrankRuehl" w:hAnsi="FrankRuehl" w:cs="FrankRuehl" w:hint="cs"/>
          <w:sz w:val="28"/>
          <w:szCs w:val="28"/>
          <w:rtl/>
        </w:rPr>
        <w:t xml:space="preserve">אלחווה נ' מדינת ישראל (3.7.15); </w:t>
      </w:r>
      <w:hyperlink r:id="rId58" w:history="1">
        <w:r w:rsidR="00683C50" w:rsidRPr="00683C50">
          <w:rPr>
            <w:rFonts w:ascii="FrankRuehl" w:hAnsi="FrankRuehl" w:cs="FrankRuehl"/>
            <w:color w:val="0000FF"/>
            <w:sz w:val="28"/>
            <w:szCs w:val="28"/>
            <w:u w:val="single"/>
            <w:rtl/>
          </w:rPr>
          <w:t>ע"פ 2963/13</w:t>
        </w:r>
      </w:hyperlink>
      <w:r>
        <w:rPr>
          <w:rFonts w:ascii="FrankRuehl" w:hAnsi="FrankRuehl" w:cs="FrankRuehl"/>
          <w:sz w:val="28"/>
          <w:szCs w:val="28"/>
          <w:rtl/>
        </w:rPr>
        <w:t xml:space="preserve"> </w:t>
      </w:r>
      <w:r>
        <w:rPr>
          <w:rFonts w:ascii="FrankRuehl" w:hAnsi="FrankRuehl" w:cs="FrankRuehl" w:hint="cs"/>
          <w:sz w:val="28"/>
          <w:szCs w:val="28"/>
          <w:rtl/>
        </w:rPr>
        <w:t xml:space="preserve">מדינת ישראל נ' פלוני (10.2.14)) כמו כן יש לשקול את חומרת העבירה ומכלול הענישה בנסיבות העניין.   </w:t>
      </w:r>
    </w:p>
    <w:p w14:paraId="49306EE5" w14:textId="77777777" w:rsidR="00A058B8" w:rsidRDefault="00A058B8" w:rsidP="00A058B8">
      <w:pPr>
        <w:numPr>
          <w:ilvl w:val="0"/>
          <w:numId w:val="1"/>
        </w:numPr>
        <w:spacing w:before="100" w:beforeAutospacing="1" w:after="120" w:line="360" w:lineRule="auto"/>
        <w:ind w:left="0" w:firstLine="8"/>
        <w:jc w:val="both"/>
        <w:rPr>
          <w:rFonts w:ascii="FrankRuehl" w:hAnsi="FrankRuehl" w:cs="FrankRuehl"/>
          <w:sz w:val="28"/>
          <w:szCs w:val="28"/>
        </w:rPr>
      </w:pPr>
      <w:r>
        <w:rPr>
          <w:rFonts w:ascii="FrankRuehl" w:hAnsi="FrankRuehl" w:cs="FrankRuehl"/>
          <w:sz w:val="28"/>
          <w:szCs w:val="28"/>
          <w:rtl/>
        </w:rPr>
        <w:t>לאחר שאיזנתי בין האינטרסים העומדים על הכף, הגעתי למסקנה כי אין מקום לחילוט הרכב, למרות ששימש לביצוע העבירות. הזיקה בין העבירות בהן הורשע הנאשם לבין הרכב אינה אינהרנטית לביצוען, האירוע בכללותו התבצע מחוץ לרכב, ואפשר היה לבצע את העבירות אף מבלי להזדקק ל</w:t>
      </w:r>
      <w:r>
        <w:rPr>
          <w:rFonts w:ascii="FrankRuehl" w:hAnsi="FrankRuehl" w:cs="FrankRuehl" w:hint="cs"/>
          <w:sz w:val="28"/>
          <w:szCs w:val="28"/>
          <w:rtl/>
        </w:rPr>
        <w:t xml:space="preserve">ו </w:t>
      </w:r>
      <w:r>
        <w:rPr>
          <w:rFonts w:ascii="FrankRuehl" w:hAnsi="FrankRuehl" w:cs="FrankRuehl"/>
          <w:sz w:val="28"/>
          <w:szCs w:val="28"/>
          <w:rtl/>
        </w:rPr>
        <w:t xml:space="preserve">ולמעשה השימוש ברכב אגבי. עוד עמדו לנגד עיני שיקולים נוספים ובהם חומרת העבירות, הנזק שנגרם לקטין, עונשו של האחר, פרק הזמן בו תפוס הרכב בחזקת המשטרה מבלי שביקשה למוכרו, ירידת הערך וכתוצאה מאלו הפגיעה בזכות הקניין של הנאשם בפרט בנסיבותיו האישיות והכלכליות. מכאן שמצאתי כי תהא בחילוט הרכב משום הכבדה ופגיעה בלתי מידתית בזכותו של הנאשם לקניין, לפי </w:t>
      </w:r>
      <w:hyperlink r:id="rId59" w:history="1">
        <w:r w:rsidR="00683C50" w:rsidRPr="00683C50">
          <w:rPr>
            <w:rFonts w:ascii="FrankRuehl" w:hAnsi="FrankRuehl" w:cs="FrankRuehl"/>
            <w:color w:val="0000FF"/>
            <w:sz w:val="28"/>
            <w:szCs w:val="28"/>
            <w:u w:val="single"/>
            <w:rtl/>
          </w:rPr>
          <w:t>חוק יסוד: כבוד האדם וחירותו</w:t>
        </w:r>
      </w:hyperlink>
      <w:r>
        <w:rPr>
          <w:rFonts w:ascii="FrankRuehl" w:hAnsi="FrankRuehl" w:cs="FrankRuehl"/>
          <w:sz w:val="28"/>
          <w:szCs w:val="28"/>
          <w:rtl/>
        </w:rPr>
        <w:t xml:space="preserve"> ועל כן הבקשה לחילוט הרכב – נדחית.</w:t>
      </w:r>
    </w:p>
    <w:p w14:paraId="621B1976" w14:textId="77777777" w:rsidR="00A058B8" w:rsidRPr="00916BD0" w:rsidRDefault="00A058B8" w:rsidP="00A058B8">
      <w:pPr>
        <w:spacing w:before="100" w:beforeAutospacing="1" w:after="120"/>
        <w:jc w:val="both"/>
        <w:rPr>
          <w:rFonts w:ascii="FrankRuehl" w:hAnsi="FrankRuehl" w:cs="FrankRuehl"/>
          <w:sz w:val="28"/>
          <w:szCs w:val="28"/>
        </w:rPr>
      </w:pPr>
      <w:r w:rsidRPr="00916BD0">
        <w:rPr>
          <w:rFonts w:ascii="Miriam" w:hAnsi="Miriam" w:cs="Miriam"/>
          <w:b/>
          <w:rtl/>
        </w:rPr>
        <w:t>סוף דבר</w:t>
      </w:r>
    </w:p>
    <w:p w14:paraId="44ACAEA4" w14:textId="77777777" w:rsidR="00A058B8" w:rsidRDefault="00A058B8" w:rsidP="00A058B8">
      <w:pPr>
        <w:spacing w:before="100" w:beforeAutospacing="1" w:after="120" w:line="360" w:lineRule="auto"/>
        <w:jc w:val="both"/>
        <w:rPr>
          <w:rFonts w:ascii="Corbel" w:hAnsi="Corbel" w:cs="FrankRuehl"/>
          <w:sz w:val="28"/>
          <w:szCs w:val="28"/>
          <w:rtl/>
        </w:rPr>
      </w:pPr>
      <w:r>
        <w:rPr>
          <w:rFonts w:ascii="Corbel" w:hAnsi="Corbel" w:cs="FrankRuehl"/>
          <w:sz w:val="28"/>
          <w:szCs w:val="28"/>
          <w:rtl/>
        </w:rPr>
        <w:t>לאור כל האמור אני גוזרת על הנאשם את העונשים שלהלן:</w:t>
      </w:r>
    </w:p>
    <w:p w14:paraId="2FB49D33" w14:textId="77777777" w:rsidR="00A058B8" w:rsidRDefault="00A058B8" w:rsidP="00A058B8">
      <w:pPr>
        <w:pStyle w:val="aa"/>
        <w:numPr>
          <w:ilvl w:val="0"/>
          <w:numId w:val="2"/>
        </w:numPr>
        <w:spacing w:line="360" w:lineRule="auto"/>
        <w:jc w:val="both"/>
        <w:rPr>
          <w:rFonts w:ascii="FrankRuehl" w:hAnsi="FrankRuehl" w:cs="FrankRuehl"/>
          <w:sz w:val="28"/>
          <w:szCs w:val="28"/>
        </w:rPr>
      </w:pPr>
      <w:r>
        <w:rPr>
          <w:rFonts w:ascii="FrankRuehl" w:hAnsi="FrankRuehl" w:cs="FrankRuehl" w:hint="cs"/>
          <w:sz w:val="28"/>
          <w:szCs w:val="28"/>
          <w:rtl/>
        </w:rPr>
        <w:t>שני</w:t>
      </w:r>
      <w:r>
        <w:rPr>
          <w:rFonts w:ascii="FrankRuehl" w:hAnsi="FrankRuehl" w:cs="FrankRuehl"/>
          <w:sz w:val="28"/>
          <w:szCs w:val="28"/>
          <w:rtl/>
        </w:rPr>
        <w:t xml:space="preserve"> חודשי מאסר אשר ירוצה בדרך של עבודות שירות בהתאם לחוות דעת הממונה על עבודות שירות מיום </w:t>
      </w:r>
      <w:r>
        <w:rPr>
          <w:rFonts w:ascii="FrankRuehl" w:hAnsi="FrankRuehl" w:cs="FrankRuehl" w:hint="cs"/>
          <w:sz w:val="28"/>
          <w:szCs w:val="28"/>
          <w:rtl/>
        </w:rPr>
        <w:t xml:space="preserve">6.12.21 </w:t>
      </w:r>
      <w:r>
        <w:rPr>
          <w:rFonts w:ascii="FrankRuehl" w:hAnsi="FrankRuehl" w:cs="FrankRuehl"/>
          <w:sz w:val="28"/>
          <w:szCs w:val="28"/>
          <w:rtl/>
        </w:rPr>
        <w:t xml:space="preserve">הנאשם יתייצב ביום </w:t>
      </w:r>
      <w:r>
        <w:rPr>
          <w:rFonts w:ascii="FrankRuehl" w:hAnsi="FrankRuehl" w:cs="FrankRuehl" w:hint="cs"/>
          <w:sz w:val="28"/>
          <w:szCs w:val="28"/>
          <w:rtl/>
        </w:rPr>
        <w:t xml:space="preserve">6.2.22 </w:t>
      </w:r>
      <w:r>
        <w:rPr>
          <w:rFonts w:ascii="FrankRuehl" w:hAnsi="FrankRuehl" w:cs="FrankRuehl"/>
          <w:sz w:val="28"/>
          <w:szCs w:val="28"/>
          <w:rtl/>
        </w:rPr>
        <w:t>בשעה 8:00 במשרדי הממונה במפקדת מחוז מרכז של שב"ס. הנאשם מוזהר כי עליו לעמוד בתנאי ההעסקה ובדרישות הממונה, לרבות בדבר איסור צריכת אלכוהול, וכי כל חריגה מהכללים עלולה להביא להפסקת עבודות השירות וריצוי יתרת עונש המאסר מאחורי סורג ובריח.</w:t>
      </w:r>
    </w:p>
    <w:p w14:paraId="3EFF7C47" w14:textId="77777777" w:rsidR="00A058B8" w:rsidRDefault="00A058B8" w:rsidP="00A058B8">
      <w:pPr>
        <w:pStyle w:val="aa"/>
        <w:spacing w:line="360" w:lineRule="auto"/>
        <w:ind w:left="1440"/>
        <w:jc w:val="both"/>
        <w:rPr>
          <w:rFonts w:ascii="FrankRuehl" w:hAnsi="FrankRuehl" w:cs="FrankRuehl"/>
          <w:sz w:val="28"/>
          <w:szCs w:val="28"/>
          <w:rtl/>
        </w:rPr>
      </w:pPr>
    </w:p>
    <w:p w14:paraId="6A4F85F5" w14:textId="77777777" w:rsidR="00A058B8" w:rsidRDefault="00A058B8" w:rsidP="00A058B8">
      <w:pPr>
        <w:pStyle w:val="aa"/>
        <w:numPr>
          <w:ilvl w:val="0"/>
          <w:numId w:val="2"/>
        </w:numPr>
        <w:spacing w:line="360" w:lineRule="auto"/>
        <w:jc w:val="both"/>
        <w:rPr>
          <w:rFonts w:ascii="FrankRuehl" w:hAnsi="FrankRuehl" w:cs="FrankRuehl"/>
          <w:sz w:val="28"/>
          <w:szCs w:val="28"/>
        </w:rPr>
      </w:pPr>
      <w:r>
        <w:rPr>
          <w:rFonts w:ascii="FrankRuehl" w:hAnsi="FrankRuehl" w:cs="FrankRuehl"/>
          <w:sz w:val="28"/>
          <w:szCs w:val="28"/>
          <w:rtl/>
        </w:rPr>
        <w:t>שלושה חודשי מאסר אותם לא ירצה הנאשם אלא אם יעבור בתוך שלוש שנים עבירות אלימות מסוג עוון לרבות איומים</w:t>
      </w:r>
      <w:r>
        <w:rPr>
          <w:rFonts w:ascii="FrankRuehl" w:hAnsi="FrankRuehl" w:cs="FrankRuehl" w:hint="cs"/>
          <w:sz w:val="28"/>
          <w:szCs w:val="28"/>
          <w:rtl/>
        </w:rPr>
        <w:t xml:space="preserve"> וכן עבירות סמים מסוג עוון</w:t>
      </w:r>
      <w:r>
        <w:rPr>
          <w:rFonts w:ascii="FrankRuehl" w:hAnsi="FrankRuehl" w:cs="FrankRuehl"/>
          <w:sz w:val="28"/>
          <w:szCs w:val="28"/>
          <w:rtl/>
        </w:rPr>
        <w:t xml:space="preserve">. </w:t>
      </w:r>
    </w:p>
    <w:p w14:paraId="07D303DD" w14:textId="77777777" w:rsidR="00A058B8" w:rsidRDefault="00A058B8" w:rsidP="00A058B8">
      <w:pPr>
        <w:pStyle w:val="aa"/>
        <w:spacing w:line="360" w:lineRule="auto"/>
        <w:ind w:left="1440"/>
        <w:jc w:val="both"/>
        <w:rPr>
          <w:rFonts w:ascii="FrankRuehl" w:hAnsi="FrankRuehl" w:cs="FrankRuehl"/>
          <w:sz w:val="28"/>
          <w:szCs w:val="28"/>
          <w:rtl/>
        </w:rPr>
      </w:pPr>
    </w:p>
    <w:p w14:paraId="4547F26D" w14:textId="77777777" w:rsidR="00A058B8" w:rsidRDefault="00A058B8" w:rsidP="00A058B8">
      <w:pPr>
        <w:pStyle w:val="aa"/>
        <w:numPr>
          <w:ilvl w:val="0"/>
          <w:numId w:val="2"/>
        </w:numPr>
        <w:spacing w:line="360" w:lineRule="auto"/>
        <w:jc w:val="both"/>
        <w:rPr>
          <w:rFonts w:ascii="FrankRuehl" w:hAnsi="FrankRuehl" w:cs="FrankRuehl"/>
          <w:sz w:val="28"/>
          <w:szCs w:val="28"/>
        </w:rPr>
      </w:pPr>
      <w:r>
        <w:rPr>
          <w:rFonts w:ascii="FrankRuehl" w:hAnsi="FrankRuehl" w:cs="FrankRuehl"/>
          <w:sz w:val="28"/>
          <w:szCs w:val="28"/>
          <w:rtl/>
        </w:rPr>
        <w:t xml:space="preserve">שישה חודשי מאסר אותם לא ירצה הנאשם אלא אם יעבור בתוך שלוש שנים עבירות אלימות </w:t>
      </w:r>
      <w:r>
        <w:rPr>
          <w:rFonts w:ascii="FrankRuehl" w:hAnsi="FrankRuehl" w:cs="FrankRuehl" w:hint="cs"/>
          <w:sz w:val="28"/>
          <w:szCs w:val="28"/>
          <w:rtl/>
        </w:rPr>
        <w:t>וסמים מסוג פשע</w:t>
      </w:r>
      <w:r>
        <w:rPr>
          <w:rFonts w:ascii="FrankRuehl" w:hAnsi="FrankRuehl" w:cs="FrankRuehl"/>
          <w:sz w:val="28"/>
          <w:szCs w:val="28"/>
          <w:rtl/>
        </w:rPr>
        <w:t>.</w:t>
      </w:r>
    </w:p>
    <w:p w14:paraId="742C21D3" w14:textId="77777777" w:rsidR="00A058B8" w:rsidRDefault="00A058B8" w:rsidP="00A058B8">
      <w:pPr>
        <w:pStyle w:val="aa"/>
        <w:spacing w:line="360" w:lineRule="auto"/>
        <w:ind w:left="1440"/>
        <w:jc w:val="both"/>
        <w:rPr>
          <w:rFonts w:ascii="FrankRuehl" w:hAnsi="FrankRuehl" w:cs="FrankRuehl"/>
          <w:sz w:val="28"/>
          <w:szCs w:val="28"/>
        </w:rPr>
      </w:pPr>
    </w:p>
    <w:p w14:paraId="5C1AA0E0" w14:textId="77777777" w:rsidR="00A058B8" w:rsidRDefault="00A058B8" w:rsidP="00A058B8">
      <w:pPr>
        <w:pStyle w:val="aa"/>
        <w:numPr>
          <w:ilvl w:val="0"/>
          <w:numId w:val="2"/>
        </w:numPr>
        <w:spacing w:line="360" w:lineRule="auto"/>
        <w:jc w:val="both"/>
        <w:rPr>
          <w:rFonts w:ascii="FrankRuehl" w:hAnsi="FrankRuehl" w:cs="FrankRuehl"/>
          <w:sz w:val="28"/>
          <w:szCs w:val="28"/>
        </w:rPr>
      </w:pPr>
      <w:r w:rsidRPr="008D583F">
        <w:rPr>
          <w:rFonts w:ascii="FrankRuehl" w:hAnsi="FrankRuehl" w:cs="FrankRuehl"/>
          <w:sz w:val="28"/>
          <w:szCs w:val="28"/>
          <w:rtl/>
        </w:rPr>
        <w:t xml:space="preserve">קנס בסך 1,000 ₪ </w:t>
      </w:r>
      <w:r w:rsidRPr="008D583F">
        <w:rPr>
          <w:rFonts w:ascii="FrankRuehl" w:hAnsi="FrankRuehl" w:cs="FrankRuehl" w:hint="cs"/>
          <w:sz w:val="28"/>
          <w:szCs w:val="28"/>
          <w:rtl/>
        </w:rPr>
        <w:t xml:space="preserve">או 5 ימי מאסר תמורתו, </w:t>
      </w:r>
      <w:r w:rsidRPr="008D583F">
        <w:rPr>
          <w:rFonts w:ascii="FrankRuehl" w:hAnsi="FrankRuehl" w:cs="FrankRuehl"/>
          <w:sz w:val="28"/>
          <w:szCs w:val="28"/>
          <w:rtl/>
        </w:rPr>
        <w:t xml:space="preserve">אשר ישולם  ב 5 תשלומים שווים ורצופים החל מיום </w:t>
      </w:r>
      <w:r>
        <w:rPr>
          <w:rFonts w:ascii="FrankRuehl" w:hAnsi="FrankRuehl" w:cs="FrankRuehl" w:hint="cs"/>
          <w:sz w:val="28"/>
          <w:szCs w:val="28"/>
          <w:rtl/>
        </w:rPr>
        <w:t>2.2.2022</w:t>
      </w:r>
      <w:r w:rsidRPr="008D583F">
        <w:rPr>
          <w:rFonts w:ascii="FrankRuehl" w:hAnsi="FrankRuehl" w:cs="FrankRuehl"/>
          <w:sz w:val="28"/>
          <w:szCs w:val="28"/>
          <w:rtl/>
        </w:rPr>
        <w:t xml:space="preserve"> ובכל </w:t>
      </w:r>
      <w:r>
        <w:rPr>
          <w:rFonts w:ascii="FrankRuehl" w:hAnsi="FrankRuehl" w:cs="FrankRuehl" w:hint="cs"/>
          <w:sz w:val="28"/>
          <w:szCs w:val="28"/>
          <w:rtl/>
        </w:rPr>
        <w:t xml:space="preserve">2 </w:t>
      </w:r>
      <w:r w:rsidRPr="008D583F">
        <w:rPr>
          <w:rFonts w:ascii="FrankRuehl" w:hAnsi="FrankRuehl" w:cs="FrankRuehl"/>
          <w:sz w:val="28"/>
          <w:szCs w:val="28"/>
          <w:rtl/>
        </w:rPr>
        <w:t xml:space="preserve">לחודש לאחריו. לא ישולם איזה מהתשלומים במועדו, תעמוד יתרת הקנס לפירעון מידי. </w:t>
      </w:r>
    </w:p>
    <w:p w14:paraId="049A89B8" w14:textId="77777777" w:rsidR="00A058B8" w:rsidRPr="008D583F" w:rsidRDefault="00A058B8" w:rsidP="00A058B8">
      <w:pPr>
        <w:pStyle w:val="aa"/>
        <w:spacing w:line="360" w:lineRule="auto"/>
        <w:ind w:left="1440"/>
        <w:jc w:val="both"/>
        <w:rPr>
          <w:rFonts w:ascii="FrankRuehl" w:hAnsi="FrankRuehl" w:cs="FrankRuehl"/>
          <w:sz w:val="28"/>
          <w:szCs w:val="28"/>
          <w:rtl/>
        </w:rPr>
      </w:pPr>
    </w:p>
    <w:p w14:paraId="37A2113D" w14:textId="77777777" w:rsidR="00A058B8" w:rsidRPr="008D583F" w:rsidRDefault="00A058B8" w:rsidP="00A058B8">
      <w:pPr>
        <w:pStyle w:val="aa"/>
        <w:numPr>
          <w:ilvl w:val="0"/>
          <w:numId w:val="2"/>
        </w:numPr>
        <w:spacing w:line="360" w:lineRule="auto"/>
        <w:jc w:val="both"/>
        <w:rPr>
          <w:rFonts w:ascii="FrankRuehl" w:hAnsi="FrankRuehl" w:cs="FrankRuehl"/>
          <w:sz w:val="28"/>
          <w:szCs w:val="28"/>
          <w:rtl/>
        </w:rPr>
      </w:pPr>
      <w:r w:rsidRPr="008D583F">
        <w:rPr>
          <w:rFonts w:ascii="FrankRuehl" w:hAnsi="FrankRuehl" w:cs="FrankRuehl"/>
          <w:sz w:val="28"/>
          <w:szCs w:val="28"/>
          <w:rtl/>
        </w:rPr>
        <w:t xml:space="preserve">פיצויים בסך 1,000 ₪ אשר ישולמו למתלונן (עד תביעה מס' 1). הפיצוי יופקד בקופת בית המשפט עד ליום </w:t>
      </w:r>
      <w:r>
        <w:rPr>
          <w:rFonts w:ascii="FrankRuehl" w:hAnsi="FrankRuehl" w:cs="FrankRuehl" w:hint="cs"/>
          <w:sz w:val="28"/>
          <w:szCs w:val="28"/>
          <w:rtl/>
        </w:rPr>
        <w:t xml:space="preserve">2.2.2022. </w:t>
      </w:r>
    </w:p>
    <w:p w14:paraId="5F7C303E" w14:textId="77777777" w:rsidR="00A058B8" w:rsidRDefault="00A058B8" w:rsidP="00A058B8">
      <w:pPr>
        <w:ind w:firstLine="720"/>
        <w:jc w:val="both"/>
        <w:rPr>
          <w:rFonts w:ascii="FrankRuehl" w:hAnsi="FrankRuehl" w:cs="FrankRuehl"/>
          <w:sz w:val="28"/>
          <w:szCs w:val="28"/>
          <w:rtl/>
        </w:rPr>
      </w:pPr>
    </w:p>
    <w:p w14:paraId="3A53A79F" w14:textId="77777777" w:rsidR="00A058B8" w:rsidRDefault="00A058B8" w:rsidP="00A058B8">
      <w:pPr>
        <w:ind w:firstLine="720"/>
        <w:jc w:val="both"/>
        <w:rPr>
          <w:rFonts w:ascii="FrankRuehl" w:hAnsi="FrankRuehl" w:cs="FrankRuehl"/>
          <w:sz w:val="28"/>
          <w:szCs w:val="28"/>
          <w:rtl/>
        </w:rPr>
      </w:pPr>
    </w:p>
    <w:p w14:paraId="36524439" w14:textId="77777777" w:rsidR="00A058B8" w:rsidRPr="005464F0" w:rsidRDefault="00A058B8" w:rsidP="00A058B8">
      <w:pPr>
        <w:spacing w:line="360" w:lineRule="auto"/>
        <w:ind w:left="720"/>
        <w:jc w:val="both"/>
        <w:rPr>
          <w:rFonts w:ascii="FrankRuehl" w:hAnsi="FrankRuehl" w:cs="FrankRuehl"/>
          <w:sz w:val="28"/>
          <w:szCs w:val="28"/>
        </w:rPr>
      </w:pPr>
      <w:r>
        <w:rPr>
          <w:rFonts w:ascii="FrankRuehl" w:hAnsi="FrankRuehl" w:cs="FrankRuehl" w:hint="cs"/>
          <w:sz w:val="28"/>
          <w:szCs w:val="28"/>
          <w:rtl/>
        </w:rPr>
        <w:t xml:space="preserve">לבקשת הנאשם, יש לקזז את הפיצויים ולאחר מכן את הקנס מסכום הפקדון שהופקד במסגרת </w:t>
      </w:r>
      <w:hyperlink r:id="rId60" w:history="1">
        <w:r w:rsidR="00683C50" w:rsidRPr="00683C50">
          <w:rPr>
            <w:rFonts w:ascii="FrankRuehl" w:hAnsi="FrankRuehl" w:cs="FrankRuehl"/>
            <w:color w:val="0000FF"/>
            <w:sz w:val="28"/>
            <w:szCs w:val="28"/>
            <w:u w:val="single"/>
            <w:rtl/>
          </w:rPr>
          <w:t>מ"ת 30754-12-19</w:t>
        </w:r>
      </w:hyperlink>
      <w:r>
        <w:rPr>
          <w:rFonts w:ascii="FrankRuehl" w:hAnsi="FrankRuehl" w:cs="FrankRuehl" w:hint="cs"/>
          <w:sz w:val="28"/>
          <w:szCs w:val="28"/>
          <w:rtl/>
        </w:rPr>
        <w:t xml:space="preserve"> </w:t>
      </w:r>
      <w:r w:rsidRPr="005464F0">
        <w:rPr>
          <w:rFonts w:ascii="FrankRuehl" w:hAnsi="FrankRuehl" w:cs="FrankRuehl" w:hint="cs"/>
          <w:sz w:val="28"/>
          <w:szCs w:val="28"/>
          <w:rtl/>
        </w:rPr>
        <w:t>בכפוף לכל דין. מובהר, כי רכיב זה</w:t>
      </w:r>
      <w:r w:rsidR="00683C50">
        <w:rPr>
          <w:rFonts w:ascii="FrankRuehl" w:hAnsi="FrankRuehl" w:cs="FrankRuehl" w:hint="cs"/>
          <w:sz w:val="28"/>
          <w:szCs w:val="28"/>
          <w:rtl/>
        </w:rPr>
        <w:t xml:space="preserve"> </w:t>
      </w:r>
      <w:r w:rsidRPr="005464F0">
        <w:rPr>
          <w:rFonts w:ascii="FrankRuehl" w:hAnsi="FrankRuehl" w:cs="FrankRuehl" w:hint="cs"/>
          <w:sz w:val="28"/>
          <w:szCs w:val="28"/>
          <w:rtl/>
        </w:rPr>
        <w:t xml:space="preserve"> בגזר הדין כפוף לכל מניעה חוקית לרבות עיקול. </w:t>
      </w:r>
    </w:p>
    <w:p w14:paraId="0D1000CC" w14:textId="77777777" w:rsidR="00A058B8" w:rsidRDefault="00A058B8" w:rsidP="00A058B8">
      <w:pPr>
        <w:ind w:left="1440"/>
        <w:jc w:val="both"/>
        <w:rPr>
          <w:rFonts w:ascii="FrankRuehl" w:hAnsi="FrankRuehl" w:cs="FrankRuehl"/>
          <w:sz w:val="28"/>
          <w:szCs w:val="28"/>
          <w:rtl/>
        </w:rPr>
      </w:pPr>
    </w:p>
    <w:p w14:paraId="39FB4D87" w14:textId="77777777" w:rsidR="00A058B8" w:rsidRDefault="00A058B8" w:rsidP="00A058B8">
      <w:pPr>
        <w:spacing w:line="360" w:lineRule="auto"/>
        <w:jc w:val="both"/>
        <w:rPr>
          <w:rFonts w:ascii="FrankRuehl" w:hAnsi="FrankRuehl" w:cs="FrankRuehl"/>
          <w:sz w:val="28"/>
          <w:szCs w:val="28"/>
          <w:rtl/>
        </w:rPr>
      </w:pPr>
    </w:p>
    <w:p w14:paraId="78DA0F74" w14:textId="77777777" w:rsidR="00A058B8" w:rsidRDefault="00A058B8" w:rsidP="00A058B8">
      <w:pPr>
        <w:spacing w:line="360" w:lineRule="auto"/>
        <w:jc w:val="both"/>
        <w:rPr>
          <w:rFonts w:ascii="FrankRuehl" w:hAnsi="FrankRuehl" w:cs="FrankRuehl"/>
          <w:sz w:val="28"/>
          <w:szCs w:val="28"/>
          <w:rtl/>
        </w:rPr>
      </w:pPr>
    </w:p>
    <w:p w14:paraId="608FC60E" w14:textId="77777777" w:rsidR="00A058B8" w:rsidRDefault="00A058B8" w:rsidP="00A058B8">
      <w:pPr>
        <w:spacing w:line="360" w:lineRule="auto"/>
        <w:jc w:val="both"/>
        <w:rPr>
          <w:rFonts w:ascii="FrankRuehl" w:hAnsi="FrankRuehl" w:cs="FrankRuehl"/>
          <w:sz w:val="28"/>
          <w:szCs w:val="28"/>
          <w:rtl/>
        </w:rPr>
      </w:pPr>
    </w:p>
    <w:p w14:paraId="06ADFD1A" w14:textId="77777777" w:rsidR="00A058B8" w:rsidRDefault="00A058B8" w:rsidP="00A058B8">
      <w:pPr>
        <w:spacing w:line="360" w:lineRule="auto"/>
        <w:jc w:val="both"/>
        <w:rPr>
          <w:rFonts w:ascii="FrankRuehl" w:hAnsi="FrankRuehl" w:cs="FrankRuehl"/>
          <w:sz w:val="28"/>
          <w:szCs w:val="28"/>
          <w:rtl/>
        </w:rPr>
      </w:pPr>
    </w:p>
    <w:p w14:paraId="5BD38524" w14:textId="77777777" w:rsidR="00A058B8" w:rsidRDefault="00A058B8" w:rsidP="00A058B8">
      <w:pPr>
        <w:spacing w:line="360" w:lineRule="auto"/>
        <w:jc w:val="both"/>
        <w:rPr>
          <w:rFonts w:ascii="FrankRuehl" w:hAnsi="FrankRuehl" w:cs="FrankRuehl"/>
          <w:sz w:val="28"/>
          <w:szCs w:val="28"/>
          <w:rtl/>
        </w:rPr>
      </w:pPr>
      <w:r>
        <w:rPr>
          <w:rFonts w:ascii="FrankRuehl" w:hAnsi="FrankRuehl" w:cs="FrankRuehl"/>
          <w:sz w:val="28"/>
          <w:szCs w:val="28"/>
          <w:rtl/>
        </w:rPr>
        <w:t xml:space="preserve">טיפול במוצגים בכפוף לכל דין. </w:t>
      </w:r>
    </w:p>
    <w:p w14:paraId="5CA7A6D8" w14:textId="77777777" w:rsidR="00A058B8" w:rsidRPr="008D583F" w:rsidRDefault="00A058B8" w:rsidP="00A058B8">
      <w:pPr>
        <w:spacing w:before="100" w:beforeAutospacing="1" w:after="120" w:line="360" w:lineRule="auto"/>
        <w:jc w:val="both"/>
        <w:rPr>
          <w:rFonts w:ascii="Corbel" w:hAnsi="Corbel" w:cs="FrankRuehl"/>
          <w:b/>
          <w:bCs/>
          <w:sz w:val="28"/>
          <w:szCs w:val="28"/>
          <w:highlight w:val="yellow"/>
          <w:rtl/>
        </w:rPr>
      </w:pPr>
      <w:r w:rsidRPr="008D583F">
        <w:rPr>
          <w:rFonts w:ascii="Corbel" w:hAnsi="Corbel" w:cs="FrankRuehl"/>
          <w:b/>
          <w:bCs/>
          <w:sz w:val="28"/>
          <w:szCs w:val="28"/>
          <w:rtl/>
        </w:rPr>
        <w:t xml:space="preserve">זכות ערעור לבית המשפט המחוזי תוך 45 ימים.  </w:t>
      </w:r>
    </w:p>
    <w:p w14:paraId="26B89479" w14:textId="77777777" w:rsidR="00A058B8" w:rsidRPr="008D583F" w:rsidRDefault="00683C50" w:rsidP="00A058B8">
      <w:pPr>
        <w:spacing w:before="100" w:beforeAutospacing="1" w:after="120" w:line="360" w:lineRule="auto"/>
        <w:jc w:val="both"/>
        <w:rPr>
          <w:rFonts w:ascii="Corbel" w:hAnsi="Corbel" w:cs="FrankRuehl"/>
          <w:b/>
          <w:bCs/>
          <w:sz w:val="28"/>
          <w:szCs w:val="28"/>
          <w:rtl/>
        </w:rPr>
      </w:pPr>
      <w:r w:rsidRPr="00683C50">
        <w:rPr>
          <w:rFonts w:ascii="Corbel" w:hAnsi="Corbel" w:cs="FrankRuehl"/>
          <w:b/>
          <w:bCs/>
          <w:color w:val="FFFFFF"/>
          <w:sz w:val="2"/>
          <w:szCs w:val="2"/>
          <w:rtl/>
        </w:rPr>
        <w:t>5129371</w:t>
      </w:r>
      <w:r w:rsidR="00A058B8" w:rsidRPr="008D583F">
        <w:rPr>
          <w:rFonts w:ascii="Corbel" w:hAnsi="Corbel" w:cs="FrankRuehl"/>
          <w:b/>
          <w:bCs/>
          <w:sz w:val="28"/>
          <w:szCs w:val="28"/>
          <w:rtl/>
        </w:rPr>
        <w:t>המזכירות תעביר עותק מגזר הדין לממונה על עבודות שירות.</w:t>
      </w:r>
    </w:p>
    <w:p w14:paraId="12249DEE" w14:textId="77777777" w:rsidR="00A058B8" w:rsidRPr="00683C50" w:rsidRDefault="00683C50" w:rsidP="00A058B8">
      <w:pPr>
        <w:rPr>
          <w:rFonts w:ascii="David" w:hAnsi="David"/>
          <w:color w:val="FFFFFF"/>
          <w:sz w:val="2"/>
          <w:szCs w:val="2"/>
          <w:rtl/>
        </w:rPr>
      </w:pPr>
      <w:r w:rsidRPr="00683C50">
        <w:rPr>
          <w:rFonts w:ascii="David" w:hAnsi="David"/>
          <w:color w:val="FFFFFF"/>
          <w:sz w:val="2"/>
          <w:szCs w:val="2"/>
          <w:rtl/>
        </w:rPr>
        <w:t>54678313</w:t>
      </w:r>
    </w:p>
    <w:p w14:paraId="21CB813D" w14:textId="77777777" w:rsidR="00A058B8" w:rsidRPr="002B7D23" w:rsidRDefault="00A058B8" w:rsidP="00A058B8">
      <w:pPr>
        <w:rPr>
          <w:rFonts w:ascii="David" w:hAnsi="David"/>
          <w:sz w:val="26"/>
          <w:szCs w:val="26"/>
          <w:rtl/>
        </w:rPr>
      </w:pPr>
    </w:p>
    <w:p w14:paraId="1729C978" w14:textId="77777777" w:rsidR="00A058B8" w:rsidRPr="002B7D23" w:rsidRDefault="00683C50" w:rsidP="00A058B8">
      <w:pPr>
        <w:rPr>
          <w:rFonts w:ascii="David" w:hAnsi="David"/>
          <w:sz w:val="26"/>
          <w:szCs w:val="26"/>
          <w:rtl/>
        </w:rPr>
      </w:pPr>
      <w:bookmarkStart w:id="7" w:name="Nitan"/>
      <w:r>
        <w:rPr>
          <w:rFonts w:ascii="David" w:hAnsi="David"/>
          <w:b/>
          <w:bCs/>
          <w:sz w:val="28"/>
          <w:szCs w:val="28"/>
          <w:rtl/>
        </w:rPr>
        <w:t xml:space="preserve">ניתן היום,  י"א טבת תשפ"ב, 15 דצמבר 2021, במעמד הצדדים. </w:t>
      </w:r>
      <w:bookmarkEnd w:id="7"/>
    </w:p>
    <w:p w14:paraId="3922BEEF" w14:textId="77777777" w:rsidR="00A058B8" w:rsidRPr="002B7D23" w:rsidRDefault="00A058B8" w:rsidP="00683C50">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0503B576" w14:textId="77777777" w:rsidR="00A058B8" w:rsidRPr="00733EE5" w:rsidRDefault="00733EE5" w:rsidP="00A058B8">
      <w:pPr>
        <w:jc w:val="center"/>
        <w:rPr>
          <w:rFonts w:ascii="David" w:hAnsi="David"/>
          <w:color w:val="FFFFFF"/>
          <w:sz w:val="2"/>
          <w:szCs w:val="2"/>
          <w:rtl/>
        </w:rPr>
      </w:pPr>
      <w:r w:rsidRPr="00733EE5">
        <w:rPr>
          <w:rFonts w:ascii="David" w:hAnsi="David"/>
          <w:color w:val="FFFFFF"/>
          <w:sz w:val="2"/>
          <w:szCs w:val="2"/>
          <w:rtl/>
        </w:rPr>
        <w:t>5129371</w:t>
      </w:r>
    </w:p>
    <w:p w14:paraId="7A553326" w14:textId="77777777" w:rsidR="007B1169" w:rsidRPr="00733EE5" w:rsidRDefault="00733EE5" w:rsidP="00683C50">
      <w:pPr>
        <w:keepNext/>
        <w:rPr>
          <w:rFonts w:ascii="David" w:hAnsi="David"/>
          <w:color w:val="FFFFFF"/>
          <w:sz w:val="2"/>
          <w:szCs w:val="2"/>
          <w:rtl/>
        </w:rPr>
      </w:pPr>
      <w:r w:rsidRPr="00733EE5">
        <w:rPr>
          <w:rFonts w:ascii="David" w:hAnsi="David"/>
          <w:color w:val="FFFFFF"/>
          <w:sz w:val="2"/>
          <w:szCs w:val="2"/>
          <w:rtl/>
        </w:rPr>
        <w:t>54678313</w:t>
      </w:r>
    </w:p>
    <w:p w14:paraId="31983D5B" w14:textId="77777777" w:rsidR="00683C50" w:rsidRDefault="00683C50" w:rsidP="00683C50">
      <w:pPr>
        <w:rPr>
          <w:rtl/>
        </w:rPr>
      </w:pPr>
    </w:p>
    <w:p w14:paraId="38768BF9" w14:textId="77777777" w:rsidR="00683C50" w:rsidRDefault="00683C50" w:rsidP="00683C50">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36E4A6F9" w14:textId="77777777" w:rsidR="00733EE5" w:rsidRPr="00733EE5" w:rsidRDefault="00733EE5" w:rsidP="00733EE5">
      <w:pPr>
        <w:keepNext/>
        <w:rPr>
          <w:rFonts w:ascii="David" w:hAnsi="David"/>
          <w:color w:val="000000"/>
          <w:sz w:val="22"/>
          <w:szCs w:val="22"/>
          <w:rtl/>
        </w:rPr>
      </w:pPr>
    </w:p>
    <w:p w14:paraId="7CE67E49" w14:textId="77777777" w:rsidR="00733EE5" w:rsidRPr="00733EE5" w:rsidRDefault="00733EE5" w:rsidP="00733EE5">
      <w:pPr>
        <w:keepNext/>
        <w:rPr>
          <w:rFonts w:ascii="David" w:hAnsi="David"/>
          <w:color w:val="000000"/>
          <w:sz w:val="22"/>
          <w:szCs w:val="22"/>
          <w:rtl/>
        </w:rPr>
      </w:pPr>
      <w:r w:rsidRPr="00733EE5">
        <w:rPr>
          <w:rFonts w:ascii="David" w:hAnsi="David"/>
          <w:color w:val="000000"/>
          <w:sz w:val="22"/>
          <w:szCs w:val="22"/>
          <w:rtl/>
        </w:rPr>
        <w:t>זהר דיבון סגל 54678313-/</w:t>
      </w:r>
    </w:p>
    <w:p w14:paraId="3187C2F0" w14:textId="77777777" w:rsidR="00683C50" w:rsidRPr="00683C50" w:rsidRDefault="00733EE5" w:rsidP="00733EE5">
      <w:pPr>
        <w:rPr>
          <w:color w:val="0000FF"/>
          <w:u w:val="single"/>
        </w:rPr>
      </w:pPr>
      <w:r w:rsidRPr="00733EE5">
        <w:rPr>
          <w:color w:val="000000"/>
          <w:u w:val="single"/>
          <w:rtl/>
        </w:rPr>
        <w:t>נוסח מסמך זה כפוף לשינויי ניסוח ועריכה</w:t>
      </w:r>
    </w:p>
    <w:sectPr w:rsidR="00683C50" w:rsidRPr="00683C50" w:rsidSect="00733EE5">
      <w:headerReference w:type="even" r:id="rId62"/>
      <w:headerReference w:type="default" r:id="rId63"/>
      <w:footerReference w:type="even" r:id="rId64"/>
      <w:footerReference w:type="default" r:id="rId65"/>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A0F61" w14:textId="77777777" w:rsidR="00555422" w:rsidRDefault="00555422" w:rsidP="0026773F">
      <w:r>
        <w:separator/>
      </w:r>
    </w:p>
  </w:endnote>
  <w:endnote w:type="continuationSeparator" w:id="0">
    <w:p w14:paraId="0B6DDB8F" w14:textId="77777777" w:rsidR="00555422" w:rsidRDefault="00555422" w:rsidP="00267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5AADE" w14:textId="77777777" w:rsidR="00733EE5" w:rsidRDefault="00733EE5" w:rsidP="00733EE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AA8BFE6" w14:textId="77777777" w:rsidR="00265FAC" w:rsidRPr="00733EE5" w:rsidRDefault="00733EE5" w:rsidP="00733EE5">
    <w:pPr>
      <w:pStyle w:val="a5"/>
      <w:pBdr>
        <w:top w:val="single" w:sz="4" w:space="1" w:color="auto"/>
        <w:between w:val="single" w:sz="4" w:space="0" w:color="auto"/>
      </w:pBdr>
      <w:spacing w:after="60"/>
      <w:jc w:val="center"/>
      <w:rPr>
        <w:rFonts w:ascii="FrankRuehl" w:hAnsi="FrankRuehl" w:cs="FrankRuehl"/>
        <w:color w:val="000000"/>
      </w:rPr>
    </w:pPr>
    <w:r w:rsidRPr="00733EE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62994" w14:textId="77777777" w:rsidR="00733EE5" w:rsidRDefault="00733EE5" w:rsidP="00733EE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327A6">
      <w:rPr>
        <w:rFonts w:ascii="FrankRuehl" w:hAnsi="FrankRuehl" w:cs="FrankRuehl"/>
        <w:noProof/>
        <w:rtl/>
      </w:rPr>
      <w:t>1</w:t>
    </w:r>
    <w:r>
      <w:rPr>
        <w:rFonts w:ascii="FrankRuehl" w:hAnsi="FrankRuehl" w:cs="FrankRuehl"/>
        <w:rtl/>
      </w:rPr>
      <w:fldChar w:fldCharType="end"/>
    </w:r>
  </w:p>
  <w:p w14:paraId="4335FDD7" w14:textId="77777777" w:rsidR="00265FAC" w:rsidRPr="00733EE5" w:rsidRDefault="00733EE5" w:rsidP="00733EE5">
    <w:pPr>
      <w:pStyle w:val="a5"/>
      <w:pBdr>
        <w:top w:val="single" w:sz="4" w:space="1" w:color="auto"/>
        <w:between w:val="single" w:sz="4" w:space="0" w:color="auto"/>
      </w:pBdr>
      <w:spacing w:after="60"/>
      <w:jc w:val="center"/>
      <w:rPr>
        <w:rFonts w:ascii="FrankRuehl" w:hAnsi="FrankRuehl" w:cs="FrankRuehl"/>
        <w:color w:val="000000"/>
      </w:rPr>
    </w:pPr>
    <w:r w:rsidRPr="00733EE5">
      <w:rPr>
        <w:rFonts w:ascii="FrankRuehl" w:hAnsi="FrankRuehl" w:cs="FrankRuehl"/>
        <w:color w:val="000000"/>
      </w:rPr>
      <w:pict w14:anchorId="73AB6B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2BC50D" w14:textId="77777777" w:rsidR="00555422" w:rsidRDefault="00555422" w:rsidP="0026773F">
      <w:r>
        <w:separator/>
      </w:r>
    </w:p>
  </w:footnote>
  <w:footnote w:type="continuationSeparator" w:id="0">
    <w:p w14:paraId="7546AC48" w14:textId="77777777" w:rsidR="00555422" w:rsidRDefault="00555422" w:rsidP="002677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0F40A" w14:textId="77777777" w:rsidR="00683C50" w:rsidRPr="00733EE5" w:rsidRDefault="00733EE5" w:rsidP="00733E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30746-12-19</w:t>
    </w:r>
    <w:r>
      <w:rPr>
        <w:rFonts w:ascii="David" w:hAnsi="David"/>
        <w:color w:val="000000"/>
        <w:sz w:val="22"/>
        <w:szCs w:val="22"/>
        <w:rtl/>
      </w:rPr>
      <w:tab/>
      <w:t xml:space="preserve"> מדינת ישראל נ' שמואל יאסו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CAACC" w14:textId="77777777" w:rsidR="00683C50" w:rsidRPr="00733EE5" w:rsidRDefault="00733EE5" w:rsidP="00733E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30746-12-19</w:t>
    </w:r>
    <w:r>
      <w:rPr>
        <w:rFonts w:ascii="David" w:hAnsi="David"/>
        <w:color w:val="000000"/>
        <w:sz w:val="22"/>
        <w:szCs w:val="22"/>
        <w:rtl/>
      </w:rPr>
      <w:tab/>
      <w:t xml:space="preserve"> מדינת ישראל נ' שמואל יאסו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4386C"/>
    <w:multiLevelType w:val="hybridMultilevel"/>
    <w:tmpl w:val="05D08014"/>
    <w:lvl w:ilvl="0" w:tplc="379A6DF4">
      <w:start w:val="1"/>
      <w:numFmt w:val="decimal"/>
      <w:lvlText w:val="%1."/>
      <w:lvlJc w:val="left"/>
      <w:pPr>
        <w:ind w:left="360" w:hanging="360"/>
      </w:pPr>
      <w:rPr>
        <w:rFonts w:ascii="Times New Roman" w:hAnsi="Times New Roman" w:cs="Times New Roman" w:hint="default"/>
        <w:sz w:val="24"/>
        <w:szCs w:val="24"/>
        <w:lang w:bidi="he-IL"/>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 w15:restartNumberingAfterBreak="0">
    <w:nsid w:val="647516A1"/>
    <w:multiLevelType w:val="hybridMultilevel"/>
    <w:tmpl w:val="911A3B40"/>
    <w:lvl w:ilvl="0" w:tplc="6180C530">
      <w:start w:val="1"/>
      <w:numFmt w:val="hebrew1"/>
      <w:lvlText w:val="%1."/>
      <w:lvlJc w:val="left"/>
      <w:pPr>
        <w:ind w:left="1440" w:hanging="720"/>
      </w:pPr>
      <w:rPr>
        <w:rFonts w:ascii="FrankRuehl" w:eastAsia="Times New Roman" w:hAnsi="FrankRuehl" w:cs="FrankRueh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845775309">
    <w:abstractNumId w:val="0"/>
  </w:num>
  <w:num w:numId="2" w16cid:durableId="12183971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058B8"/>
    <w:rsid w:val="001B5A3B"/>
    <w:rsid w:val="00265FAC"/>
    <w:rsid w:val="0026773F"/>
    <w:rsid w:val="00451831"/>
    <w:rsid w:val="00555422"/>
    <w:rsid w:val="00575179"/>
    <w:rsid w:val="00683C50"/>
    <w:rsid w:val="00733EE5"/>
    <w:rsid w:val="007B1169"/>
    <w:rsid w:val="00855932"/>
    <w:rsid w:val="00A058B8"/>
    <w:rsid w:val="00B04E4E"/>
    <w:rsid w:val="00BB478D"/>
    <w:rsid w:val="00D327A6"/>
    <w:rsid w:val="00D95B45"/>
    <w:rsid w:val="00E760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E4C880"/>
  <w15:chartTrackingRefBased/>
  <w15:docId w15:val="{464FC386-D3B1-4419-AC25-35E3BC7A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58B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058B8"/>
    <w:pPr>
      <w:tabs>
        <w:tab w:val="center" w:pos="4153"/>
        <w:tab w:val="right" w:pos="8306"/>
      </w:tabs>
    </w:pPr>
  </w:style>
  <w:style w:type="character" w:customStyle="1" w:styleId="a4">
    <w:name w:val="כותרת עליונה תו"/>
    <w:link w:val="a3"/>
    <w:rsid w:val="00A058B8"/>
    <w:rPr>
      <w:rFonts w:ascii="Times New Roman" w:eastAsia="Times New Roman" w:hAnsi="Times New Roman" w:cs="David"/>
      <w:sz w:val="24"/>
      <w:szCs w:val="24"/>
    </w:rPr>
  </w:style>
  <w:style w:type="paragraph" w:styleId="a5">
    <w:name w:val="footer"/>
    <w:basedOn w:val="a"/>
    <w:link w:val="a6"/>
    <w:rsid w:val="00A058B8"/>
    <w:pPr>
      <w:tabs>
        <w:tab w:val="center" w:pos="4153"/>
        <w:tab w:val="right" w:pos="8306"/>
      </w:tabs>
    </w:pPr>
  </w:style>
  <w:style w:type="character" w:customStyle="1" w:styleId="a6">
    <w:name w:val="כותרת תחתונה תו"/>
    <w:link w:val="a5"/>
    <w:rsid w:val="00A058B8"/>
    <w:rPr>
      <w:rFonts w:ascii="Times New Roman" w:eastAsia="Times New Roman" w:hAnsi="Times New Roman" w:cs="David"/>
      <w:sz w:val="24"/>
      <w:szCs w:val="24"/>
    </w:rPr>
  </w:style>
  <w:style w:type="table" w:styleId="a7">
    <w:name w:val="Table Grid"/>
    <w:basedOn w:val="a1"/>
    <w:rsid w:val="00A058B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058B8"/>
  </w:style>
  <w:style w:type="character" w:customStyle="1" w:styleId="a9">
    <w:name w:val="פיסקת רשימה תו"/>
    <w:link w:val="aa"/>
    <w:locked/>
    <w:rsid w:val="00A058B8"/>
    <w:rPr>
      <w:rFonts w:ascii="David" w:hAnsi="David" w:cs="David"/>
      <w:sz w:val="24"/>
      <w:szCs w:val="24"/>
    </w:rPr>
  </w:style>
  <w:style w:type="paragraph" w:styleId="aa">
    <w:name w:val="List Paragraph"/>
    <w:basedOn w:val="a"/>
    <w:link w:val="a9"/>
    <w:qFormat/>
    <w:rsid w:val="00A058B8"/>
    <w:pPr>
      <w:ind w:left="720"/>
      <w:contextualSpacing/>
    </w:pPr>
    <w:rPr>
      <w:rFonts w:ascii="David" w:eastAsia="Calibri" w:hAnsi="David"/>
    </w:rPr>
  </w:style>
  <w:style w:type="paragraph" w:customStyle="1" w:styleId="2">
    <w:name w:val="פיסקת רשימה2"/>
    <w:basedOn w:val="a"/>
    <w:rsid w:val="00A058B8"/>
    <w:pPr>
      <w:spacing w:after="160" w:line="360" w:lineRule="auto"/>
      <w:ind w:left="720" w:hanging="357"/>
      <w:contextualSpacing/>
      <w:jc w:val="both"/>
    </w:pPr>
    <w:rPr>
      <w:rFonts w:ascii="Calibri" w:eastAsia="Calibri" w:hAnsi="Calibri"/>
    </w:rPr>
  </w:style>
  <w:style w:type="character" w:styleId="Hyperlink">
    <w:name w:val="Hyperlink"/>
    <w:rsid w:val="00A058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84"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20112942" TargetMode="External"/><Relationship Id="rId42" Type="http://schemas.openxmlformats.org/officeDocument/2006/relationships/hyperlink" Target="http://www.nevo.co.il/case/27223943" TargetMode="External"/><Relationship Id="rId47" Type="http://schemas.openxmlformats.org/officeDocument/2006/relationships/hyperlink" Target="http://www.nevo.co.il/case/8280957" TargetMode="External"/><Relationship Id="rId50" Type="http://schemas.openxmlformats.org/officeDocument/2006/relationships/hyperlink" Target="http://www.nevo.co.il/case/23529655" TargetMode="External"/><Relationship Id="rId55" Type="http://schemas.openxmlformats.org/officeDocument/2006/relationships/hyperlink" Target="http://www.nevo.co.il/law/4216/39.a" TargetMode="External"/><Relationship Id="rId63"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384" TargetMode="External"/><Relationship Id="rId29" Type="http://schemas.openxmlformats.org/officeDocument/2006/relationships/hyperlink" Target="http://www.nevo.co.il/law/70301/379"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29.a" TargetMode="External"/><Relationship Id="rId32" Type="http://schemas.openxmlformats.org/officeDocument/2006/relationships/hyperlink" Target="http://www.nevo.co.il/case/26526832" TargetMode="External"/><Relationship Id="rId37" Type="http://schemas.openxmlformats.org/officeDocument/2006/relationships/hyperlink" Target="http://www.nevo.co.il/case/21731232" TargetMode="External"/><Relationship Id="rId40" Type="http://schemas.openxmlformats.org/officeDocument/2006/relationships/hyperlink" Target="http://www.nevo.co.il/case/23367950" TargetMode="External"/><Relationship Id="rId45" Type="http://schemas.openxmlformats.org/officeDocument/2006/relationships/hyperlink" Target="http://www.nevo.co.il/case/10529719" TargetMode="External"/><Relationship Id="rId53" Type="http://schemas.openxmlformats.org/officeDocument/2006/relationships/hyperlink" Target="http://www.nevo.co.il/law/70301/40ja" TargetMode="External"/><Relationship Id="rId58" Type="http://schemas.openxmlformats.org/officeDocument/2006/relationships/hyperlink" Target="http://www.nevo.co.il/case/11312605"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70320" TargetMode="External"/><Relationship Id="rId14" Type="http://schemas.openxmlformats.org/officeDocument/2006/relationships/hyperlink" Target="http://www.nevo.co.il/law/70301/382.a"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383" TargetMode="External"/><Relationship Id="rId30" Type="http://schemas.openxmlformats.org/officeDocument/2006/relationships/hyperlink" Target="http://www.nevo.co.il/law/70301/382.a" TargetMode="External"/><Relationship Id="rId35" Type="http://schemas.openxmlformats.org/officeDocument/2006/relationships/hyperlink" Target="http://www.nevo.co.il/case/18699720" TargetMode="External"/><Relationship Id="rId43" Type="http://schemas.openxmlformats.org/officeDocument/2006/relationships/hyperlink" Target="http://www.nevo.co.il/case/4019326" TargetMode="External"/><Relationship Id="rId48" Type="http://schemas.openxmlformats.org/officeDocument/2006/relationships/hyperlink" Target="http://www.nevo.co.il/case/21042415" TargetMode="External"/><Relationship Id="rId56" Type="http://schemas.openxmlformats.org/officeDocument/2006/relationships/hyperlink" Target="http://www.nevo.co.il/law/70320" TargetMode="External"/><Relationship Id="rId64"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hyperlink" Target="http://www.nevo.co.il/case/10529719" TargetMode="External"/><Relationship Id="rId3" Type="http://schemas.openxmlformats.org/officeDocument/2006/relationships/settings" Target="settings.xml"/><Relationship Id="rId12" Type="http://schemas.openxmlformats.org/officeDocument/2006/relationships/hyperlink" Target="http://www.nevo.co.il/law/70301/29.a" TargetMode="External"/><Relationship Id="rId17" Type="http://schemas.openxmlformats.org/officeDocument/2006/relationships/hyperlink" Target="http://www.nevo.co.il/law/70301/404"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1640551" TargetMode="External"/><Relationship Id="rId38" Type="http://schemas.openxmlformats.org/officeDocument/2006/relationships/hyperlink" Target="http://www.nevo.co.il/case/5610521" TargetMode="External"/><Relationship Id="rId46" Type="http://schemas.openxmlformats.org/officeDocument/2006/relationships/hyperlink" Target="http://www.nevo.co.il/case/11212337" TargetMode="External"/><Relationship Id="rId59" Type="http://schemas.openxmlformats.org/officeDocument/2006/relationships/hyperlink" Target="http://www.nevo.co.il/law/70320" TargetMode="External"/><Relationship Id="rId67" Type="http://schemas.openxmlformats.org/officeDocument/2006/relationships/theme" Target="theme/theme1.xml"/><Relationship Id="rId20" Type="http://schemas.openxmlformats.org/officeDocument/2006/relationships/hyperlink" Target="http://www.nevo.co.il/law/4216/7.a" TargetMode="External"/><Relationship Id="rId41" Type="http://schemas.openxmlformats.org/officeDocument/2006/relationships/hyperlink" Target="http://www.nevo.co.il/case/26869029" TargetMode="External"/><Relationship Id="rId54" Type="http://schemas.openxmlformats.org/officeDocument/2006/relationships/hyperlink" Target="http://www.nevo.co.il/law/70301"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83" TargetMode="External"/><Relationship Id="rId23" Type="http://schemas.openxmlformats.org/officeDocument/2006/relationships/hyperlink" Target="http://www.nevo.co.il/law/70301/404" TargetMode="External"/><Relationship Id="rId28" Type="http://schemas.openxmlformats.org/officeDocument/2006/relationships/hyperlink" Target="http://www.nevo.co.il/law/70301/29.a" TargetMode="External"/><Relationship Id="rId36" Type="http://schemas.openxmlformats.org/officeDocument/2006/relationships/hyperlink" Target="http://www.nevo.co.il/case/20903416" TargetMode="External"/><Relationship Id="rId49" Type="http://schemas.openxmlformats.org/officeDocument/2006/relationships/hyperlink" Target="http://www.nevo.co.il/case/20750425" TargetMode="External"/><Relationship Id="rId57" Type="http://schemas.openxmlformats.org/officeDocument/2006/relationships/hyperlink" Target="http://www.nevo.co.il/case/20138359" TargetMode="External"/><Relationship Id="rId10" Type="http://schemas.openxmlformats.org/officeDocument/2006/relationships/hyperlink" Target="http://www.nevo.co.il/law/4216/39.a" TargetMode="External"/><Relationship Id="rId31" Type="http://schemas.openxmlformats.org/officeDocument/2006/relationships/hyperlink" Target="http://www.nevo.co.il/case/25067043" TargetMode="External"/><Relationship Id="rId44" Type="http://schemas.openxmlformats.org/officeDocument/2006/relationships/hyperlink" Target="http://www.nevo.co.il/case/5396542" TargetMode="External"/><Relationship Id="rId52" Type="http://schemas.openxmlformats.org/officeDocument/2006/relationships/hyperlink" Target="http://www.nevo.co.il/case/7953296" TargetMode="External"/><Relationship Id="rId60" Type="http://schemas.openxmlformats.org/officeDocument/2006/relationships/hyperlink" Target="http://www.nevo.co.il/case/26266843"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379"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case/2063486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4746</Words>
  <Characters>23732</Characters>
  <Application>Microsoft Office Word</Application>
  <DocSecurity>0</DocSecurity>
  <Lines>197</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28422</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3276924</vt:i4>
      </vt:variant>
      <vt:variant>
        <vt:i4>159</vt:i4>
      </vt:variant>
      <vt:variant>
        <vt:i4>0</vt:i4>
      </vt:variant>
      <vt:variant>
        <vt:i4>5</vt:i4>
      </vt:variant>
      <vt:variant>
        <vt:lpwstr>http://www.nevo.co.il/case/26266843</vt:lpwstr>
      </vt:variant>
      <vt:variant>
        <vt:lpwstr/>
      </vt:variant>
      <vt:variant>
        <vt:i4>7864420</vt:i4>
      </vt:variant>
      <vt:variant>
        <vt:i4>156</vt:i4>
      </vt:variant>
      <vt:variant>
        <vt:i4>0</vt:i4>
      </vt:variant>
      <vt:variant>
        <vt:i4>5</vt:i4>
      </vt:variant>
      <vt:variant>
        <vt:lpwstr>http://www.nevo.co.il/law/70320</vt:lpwstr>
      </vt:variant>
      <vt:variant>
        <vt:lpwstr/>
      </vt:variant>
      <vt:variant>
        <vt:i4>3145842</vt:i4>
      </vt:variant>
      <vt:variant>
        <vt:i4>153</vt:i4>
      </vt:variant>
      <vt:variant>
        <vt:i4>0</vt:i4>
      </vt:variant>
      <vt:variant>
        <vt:i4>5</vt:i4>
      </vt:variant>
      <vt:variant>
        <vt:lpwstr>http://www.nevo.co.il/case/11312605</vt:lpwstr>
      </vt:variant>
      <vt:variant>
        <vt:lpwstr/>
      </vt:variant>
      <vt:variant>
        <vt:i4>4063348</vt:i4>
      </vt:variant>
      <vt:variant>
        <vt:i4>150</vt:i4>
      </vt:variant>
      <vt:variant>
        <vt:i4>0</vt:i4>
      </vt:variant>
      <vt:variant>
        <vt:i4>5</vt:i4>
      </vt:variant>
      <vt:variant>
        <vt:lpwstr>http://www.nevo.co.il/case/20138359</vt:lpwstr>
      </vt:variant>
      <vt:variant>
        <vt:lpwstr/>
      </vt:variant>
      <vt:variant>
        <vt:i4>7864420</vt:i4>
      </vt:variant>
      <vt:variant>
        <vt:i4>147</vt:i4>
      </vt:variant>
      <vt:variant>
        <vt:i4>0</vt:i4>
      </vt:variant>
      <vt:variant>
        <vt:i4>5</vt:i4>
      </vt:variant>
      <vt:variant>
        <vt:lpwstr>http://www.nevo.co.il/law/70320</vt:lpwstr>
      </vt:variant>
      <vt:variant>
        <vt:lpwstr/>
      </vt:variant>
      <vt:variant>
        <vt:i4>6488179</vt:i4>
      </vt:variant>
      <vt:variant>
        <vt:i4>144</vt:i4>
      </vt:variant>
      <vt:variant>
        <vt:i4>0</vt:i4>
      </vt:variant>
      <vt:variant>
        <vt:i4>5</vt:i4>
      </vt:variant>
      <vt:variant>
        <vt:lpwstr>http://www.nevo.co.il/law/4216/39.a</vt:lpwstr>
      </vt:variant>
      <vt:variant>
        <vt:lpwstr/>
      </vt:variant>
      <vt:variant>
        <vt:i4>7995492</vt:i4>
      </vt:variant>
      <vt:variant>
        <vt:i4>141</vt:i4>
      </vt:variant>
      <vt:variant>
        <vt:i4>0</vt:i4>
      </vt:variant>
      <vt:variant>
        <vt:i4>5</vt:i4>
      </vt:variant>
      <vt:variant>
        <vt:lpwstr>http://www.nevo.co.il/law/70301</vt:lpwstr>
      </vt:variant>
      <vt:variant>
        <vt:lpwstr/>
      </vt:variant>
      <vt:variant>
        <vt:i4>262155</vt:i4>
      </vt:variant>
      <vt:variant>
        <vt:i4>138</vt:i4>
      </vt:variant>
      <vt:variant>
        <vt:i4>0</vt:i4>
      </vt:variant>
      <vt:variant>
        <vt:i4>5</vt:i4>
      </vt:variant>
      <vt:variant>
        <vt:lpwstr>http://www.nevo.co.il/law/70301/40ja</vt:lpwstr>
      </vt:variant>
      <vt:variant>
        <vt:lpwstr/>
      </vt:variant>
      <vt:variant>
        <vt:i4>3539063</vt:i4>
      </vt:variant>
      <vt:variant>
        <vt:i4>135</vt:i4>
      </vt:variant>
      <vt:variant>
        <vt:i4>0</vt:i4>
      </vt:variant>
      <vt:variant>
        <vt:i4>5</vt:i4>
      </vt:variant>
      <vt:variant>
        <vt:lpwstr>http://www.nevo.co.il/case/7953296</vt:lpwstr>
      </vt:variant>
      <vt:variant>
        <vt:lpwstr/>
      </vt:variant>
      <vt:variant>
        <vt:i4>3932273</vt:i4>
      </vt:variant>
      <vt:variant>
        <vt:i4>132</vt:i4>
      </vt:variant>
      <vt:variant>
        <vt:i4>0</vt:i4>
      </vt:variant>
      <vt:variant>
        <vt:i4>5</vt:i4>
      </vt:variant>
      <vt:variant>
        <vt:lpwstr>http://www.nevo.co.il/case/10529719</vt:lpwstr>
      </vt:variant>
      <vt:variant>
        <vt:lpwstr/>
      </vt:variant>
      <vt:variant>
        <vt:i4>3866739</vt:i4>
      </vt:variant>
      <vt:variant>
        <vt:i4>129</vt:i4>
      </vt:variant>
      <vt:variant>
        <vt:i4>0</vt:i4>
      </vt:variant>
      <vt:variant>
        <vt:i4>5</vt:i4>
      </vt:variant>
      <vt:variant>
        <vt:lpwstr>http://www.nevo.co.il/case/23529655</vt:lpwstr>
      </vt:variant>
      <vt:variant>
        <vt:lpwstr/>
      </vt:variant>
      <vt:variant>
        <vt:i4>3604597</vt:i4>
      </vt:variant>
      <vt:variant>
        <vt:i4>126</vt:i4>
      </vt:variant>
      <vt:variant>
        <vt:i4>0</vt:i4>
      </vt:variant>
      <vt:variant>
        <vt:i4>5</vt:i4>
      </vt:variant>
      <vt:variant>
        <vt:lpwstr>http://www.nevo.co.il/case/20750425</vt:lpwstr>
      </vt:variant>
      <vt:variant>
        <vt:lpwstr/>
      </vt:variant>
      <vt:variant>
        <vt:i4>3211381</vt:i4>
      </vt:variant>
      <vt:variant>
        <vt:i4>123</vt:i4>
      </vt:variant>
      <vt:variant>
        <vt:i4>0</vt:i4>
      </vt:variant>
      <vt:variant>
        <vt:i4>5</vt:i4>
      </vt:variant>
      <vt:variant>
        <vt:lpwstr>http://www.nevo.co.il/case/21042415</vt:lpwstr>
      </vt:variant>
      <vt:variant>
        <vt:lpwstr/>
      </vt:variant>
      <vt:variant>
        <vt:i4>4063347</vt:i4>
      </vt:variant>
      <vt:variant>
        <vt:i4>120</vt:i4>
      </vt:variant>
      <vt:variant>
        <vt:i4>0</vt:i4>
      </vt:variant>
      <vt:variant>
        <vt:i4>5</vt:i4>
      </vt:variant>
      <vt:variant>
        <vt:lpwstr>http://www.nevo.co.il/case/8280957</vt:lpwstr>
      </vt:variant>
      <vt:variant>
        <vt:lpwstr/>
      </vt:variant>
      <vt:variant>
        <vt:i4>3276919</vt:i4>
      </vt:variant>
      <vt:variant>
        <vt:i4>117</vt:i4>
      </vt:variant>
      <vt:variant>
        <vt:i4>0</vt:i4>
      </vt:variant>
      <vt:variant>
        <vt:i4>5</vt:i4>
      </vt:variant>
      <vt:variant>
        <vt:lpwstr>http://www.nevo.co.il/case/11212337</vt:lpwstr>
      </vt:variant>
      <vt:variant>
        <vt:lpwstr/>
      </vt:variant>
      <vt:variant>
        <vt:i4>3932273</vt:i4>
      </vt:variant>
      <vt:variant>
        <vt:i4>114</vt:i4>
      </vt:variant>
      <vt:variant>
        <vt:i4>0</vt:i4>
      </vt:variant>
      <vt:variant>
        <vt:i4>5</vt:i4>
      </vt:variant>
      <vt:variant>
        <vt:lpwstr>http://www.nevo.co.il/case/10529719</vt:lpwstr>
      </vt:variant>
      <vt:variant>
        <vt:lpwstr/>
      </vt:variant>
      <vt:variant>
        <vt:i4>3866741</vt:i4>
      </vt:variant>
      <vt:variant>
        <vt:i4>111</vt:i4>
      </vt:variant>
      <vt:variant>
        <vt:i4>0</vt:i4>
      </vt:variant>
      <vt:variant>
        <vt:i4>5</vt:i4>
      </vt:variant>
      <vt:variant>
        <vt:lpwstr>http://www.nevo.co.il/case/5396542</vt:lpwstr>
      </vt:variant>
      <vt:variant>
        <vt:lpwstr/>
      </vt:variant>
      <vt:variant>
        <vt:i4>3145855</vt:i4>
      </vt:variant>
      <vt:variant>
        <vt:i4>108</vt:i4>
      </vt:variant>
      <vt:variant>
        <vt:i4>0</vt:i4>
      </vt:variant>
      <vt:variant>
        <vt:i4>5</vt:i4>
      </vt:variant>
      <vt:variant>
        <vt:lpwstr>http://www.nevo.co.il/case/4019326</vt:lpwstr>
      </vt:variant>
      <vt:variant>
        <vt:lpwstr/>
      </vt:variant>
      <vt:variant>
        <vt:i4>3604600</vt:i4>
      </vt:variant>
      <vt:variant>
        <vt:i4>105</vt:i4>
      </vt:variant>
      <vt:variant>
        <vt:i4>0</vt:i4>
      </vt:variant>
      <vt:variant>
        <vt:i4>5</vt:i4>
      </vt:variant>
      <vt:variant>
        <vt:lpwstr>http://www.nevo.co.il/case/27223943</vt:lpwstr>
      </vt:variant>
      <vt:variant>
        <vt:lpwstr/>
      </vt:variant>
      <vt:variant>
        <vt:i4>3211380</vt:i4>
      </vt:variant>
      <vt:variant>
        <vt:i4>102</vt:i4>
      </vt:variant>
      <vt:variant>
        <vt:i4>0</vt:i4>
      </vt:variant>
      <vt:variant>
        <vt:i4>5</vt:i4>
      </vt:variant>
      <vt:variant>
        <vt:lpwstr>http://www.nevo.co.il/case/26869029</vt:lpwstr>
      </vt:variant>
      <vt:variant>
        <vt:lpwstr/>
      </vt:variant>
      <vt:variant>
        <vt:i4>3342456</vt:i4>
      </vt:variant>
      <vt:variant>
        <vt:i4>99</vt:i4>
      </vt:variant>
      <vt:variant>
        <vt:i4>0</vt:i4>
      </vt:variant>
      <vt:variant>
        <vt:i4>5</vt:i4>
      </vt:variant>
      <vt:variant>
        <vt:lpwstr>http://www.nevo.co.il/case/23367950</vt:lpwstr>
      </vt:variant>
      <vt:variant>
        <vt:lpwstr/>
      </vt:variant>
      <vt:variant>
        <vt:i4>3539071</vt:i4>
      </vt:variant>
      <vt:variant>
        <vt:i4>96</vt:i4>
      </vt:variant>
      <vt:variant>
        <vt:i4>0</vt:i4>
      </vt:variant>
      <vt:variant>
        <vt:i4>5</vt:i4>
      </vt:variant>
      <vt:variant>
        <vt:lpwstr>http://www.nevo.co.il/case/20634869</vt:lpwstr>
      </vt:variant>
      <vt:variant>
        <vt:lpwstr/>
      </vt:variant>
      <vt:variant>
        <vt:i4>3145840</vt:i4>
      </vt:variant>
      <vt:variant>
        <vt:i4>93</vt:i4>
      </vt:variant>
      <vt:variant>
        <vt:i4>0</vt:i4>
      </vt:variant>
      <vt:variant>
        <vt:i4>5</vt:i4>
      </vt:variant>
      <vt:variant>
        <vt:lpwstr>http://www.nevo.co.il/case/5610521</vt:lpwstr>
      </vt:variant>
      <vt:variant>
        <vt:lpwstr/>
      </vt:variant>
      <vt:variant>
        <vt:i4>3604596</vt:i4>
      </vt:variant>
      <vt:variant>
        <vt:i4>90</vt:i4>
      </vt:variant>
      <vt:variant>
        <vt:i4>0</vt:i4>
      </vt:variant>
      <vt:variant>
        <vt:i4>5</vt:i4>
      </vt:variant>
      <vt:variant>
        <vt:lpwstr>http://www.nevo.co.il/case/21731232</vt:lpwstr>
      </vt:variant>
      <vt:variant>
        <vt:lpwstr/>
      </vt:variant>
      <vt:variant>
        <vt:i4>3735664</vt:i4>
      </vt:variant>
      <vt:variant>
        <vt:i4>87</vt:i4>
      </vt:variant>
      <vt:variant>
        <vt:i4>0</vt:i4>
      </vt:variant>
      <vt:variant>
        <vt:i4>5</vt:i4>
      </vt:variant>
      <vt:variant>
        <vt:lpwstr>http://www.nevo.co.il/case/20903416</vt:lpwstr>
      </vt:variant>
      <vt:variant>
        <vt:lpwstr/>
      </vt:variant>
      <vt:variant>
        <vt:i4>3932274</vt:i4>
      </vt:variant>
      <vt:variant>
        <vt:i4>84</vt:i4>
      </vt:variant>
      <vt:variant>
        <vt:i4>0</vt:i4>
      </vt:variant>
      <vt:variant>
        <vt:i4>5</vt:i4>
      </vt:variant>
      <vt:variant>
        <vt:lpwstr>http://www.nevo.co.il/case/18699720</vt:lpwstr>
      </vt:variant>
      <vt:variant>
        <vt:lpwstr/>
      </vt:variant>
      <vt:variant>
        <vt:i4>3473532</vt:i4>
      </vt:variant>
      <vt:variant>
        <vt:i4>81</vt:i4>
      </vt:variant>
      <vt:variant>
        <vt:i4>0</vt:i4>
      </vt:variant>
      <vt:variant>
        <vt:i4>5</vt:i4>
      </vt:variant>
      <vt:variant>
        <vt:lpwstr>http://www.nevo.co.il/case/20112942</vt:lpwstr>
      </vt:variant>
      <vt:variant>
        <vt:lpwstr/>
      </vt:variant>
      <vt:variant>
        <vt:i4>3211380</vt:i4>
      </vt:variant>
      <vt:variant>
        <vt:i4>78</vt:i4>
      </vt:variant>
      <vt:variant>
        <vt:i4>0</vt:i4>
      </vt:variant>
      <vt:variant>
        <vt:i4>5</vt:i4>
      </vt:variant>
      <vt:variant>
        <vt:lpwstr>http://www.nevo.co.il/case/21640551</vt:lpwstr>
      </vt:variant>
      <vt:variant>
        <vt:lpwstr/>
      </vt:variant>
      <vt:variant>
        <vt:i4>3276920</vt:i4>
      </vt:variant>
      <vt:variant>
        <vt:i4>75</vt:i4>
      </vt:variant>
      <vt:variant>
        <vt:i4>0</vt:i4>
      </vt:variant>
      <vt:variant>
        <vt:i4>5</vt:i4>
      </vt:variant>
      <vt:variant>
        <vt:lpwstr>http://www.nevo.co.il/case/26526832</vt:lpwstr>
      </vt:variant>
      <vt:variant>
        <vt:lpwstr/>
      </vt:variant>
      <vt:variant>
        <vt:i4>3211383</vt:i4>
      </vt:variant>
      <vt:variant>
        <vt:i4>72</vt:i4>
      </vt:variant>
      <vt:variant>
        <vt:i4>0</vt:i4>
      </vt:variant>
      <vt:variant>
        <vt:i4>5</vt:i4>
      </vt:variant>
      <vt:variant>
        <vt:lpwstr>http://www.nevo.co.il/case/25067043</vt:lpwstr>
      </vt:variant>
      <vt:variant>
        <vt:lpwstr/>
      </vt:variant>
      <vt:variant>
        <vt:i4>4390996</vt:i4>
      </vt:variant>
      <vt:variant>
        <vt:i4>69</vt:i4>
      </vt:variant>
      <vt:variant>
        <vt:i4>0</vt:i4>
      </vt:variant>
      <vt:variant>
        <vt:i4>5</vt:i4>
      </vt:variant>
      <vt:variant>
        <vt:lpwstr>http://www.nevo.co.il/law/70301/382.a</vt:lpwstr>
      </vt:variant>
      <vt:variant>
        <vt:lpwstr/>
      </vt:variant>
      <vt:variant>
        <vt:i4>6422630</vt:i4>
      </vt:variant>
      <vt:variant>
        <vt:i4>66</vt:i4>
      </vt:variant>
      <vt:variant>
        <vt:i4>0</vt:i4>
      </vt:variant>
      <vt:variant>
        <vt:i4>5</vt:i4>
      </vt:variant>
      <vt:variant>
        <vt:lpwstr>http://www.nevo.co.il/law/70301/379</vt:lpwstr>
      </vt:variant>
      <vt:variant>
        <vt:lpwstr/>
      </vt:variant>
      <vt:variant>
        <vt:i4>852041</vt:i4>
      </vt:variant>
      <vt:variant>
        <vt:i4>63</vt:i4>
      </vt:variant>
      <vt:variant>
        <vt:i4>0</vt:i4>
      </vt:variant>
      <vt:variant>
        <vt:i4>5</vt:i4>
      </vt:variant>
      <vt:variant>
        <vt:lpwstr>http://www.nevo.co.il/law/70301/29.a</vt:lpwstr>
      </vt:variant>
      <vt:variant>
        <vt:lpwstr/>
      </vt:variant>
      <vt:variant>
        <vt:i4>7143526</vt:i4>
      </vt:variant>
      <vt:variant>
        <vt:i4>60</vt:i4>
      </vt:variant>
      <vt:variant>
        <vt:i4>0</vt:i4>
      </vt:variant>
      <vt:variant>
        <vt:i4>5</vt:i4>
      </vt:variant>
      <vt:variant>
        <vt:lpwstr>http://www.nevo.co.il/law/70301/383</vt:lpwstr>
      </vt:variant>
      <vt:variant>
        <vt:lpwstr/>
      </vt:variant>
      <vt:variant>
        <vt:i4>7143526</vt:i4>
      </vt:variant>
      <vt:variant>
        <vt:i4>57</vt:i4>
      </vt:variant>
      <vt:variant>
        <vt:i4>0</vt:i4>
      </vt:variant>
      <vt:variant>
        <vt:i4>5</vt:i4>
      </vt:variant>
      <vt:variant>
        <vt:lpwstr>http://www.nevo.co.il/law/70301/384</vt:lpwstr>
      </vt:variant>
      <vt:variant>
        <vt:lpwstr/>
      </vt:variant>
      <vt:variant>
        <vt:i4>7995492</vt:i4>
      </vt:variant>
      <vt:variant>
        <vt:i4>54</vt:i4>
      </vt:variant>
      <vt:variant>
        <vt:i4>0</vt:i4>
      </vt:variant>
      <vt:variant>
        <vt:i4>5</vt:i4>
      </vt:variant>
      <vt:variant>
        <vt:lpwstr>http://www.nevo.co.il/law/70301</vt:lpwstr>
      </vt:variant>
      <vt:variant>
        <vt:lpwstr/>
      </vt:variant>
      <vt:variant>
        <vt:i4>852041</vt:i4>
      </vt:variant>
      <vt:variant>
        <vt:i4>51</vt:i4>
      </vt:variant>
      <vt:variant>
        <vt:i4>0</vt:i4>
      </vt:variant>
      <vt:variant>
        <vt:i4>5</vt:i4>
      </vt:variant>
      <vt:variant>
        <vt:lpwstr>http://www.nevo.co.il/law/70301/29.a</vt:lpwstr>
      </vt:variant>
      <vt:variant>
        <vt:lpwstr/>
      </vt:variant>
      <vt:variant>
        <vt:i4>6619233</vt:i4>
      </vt:variant>
      <vt:variant>
        <vt:i4>48</vt:i4>
      </vt:variant>
      <vt:variant>
        <vt:i4>0</vt:i4>
      </vt:variant>
      <vt:variant>
        <vt:i4>5</vt:i4>
      </vt:variant>
      <vt:variant>
        <vt:lpwstr>http://www.nevo.co.il/law/70301/404</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7864420</vt:i4>
      </vt:variant>
      <vt:variant>
        <vt:i4>36</vt:i4>
      </vt:variant>
      <vt:variant>
        <vt:i4>0</vt:i4>
      </vt:variant>
      <vt:variant>
        <vt:i4>5</vt:i4>
      </vt:variant>
      <vt:variant>
        <vt:lpwstr>http://www.nevo.co.il/law/70320</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6619233</vt:i4>
      </vt:variant>
      <vt:variant>
        <vt:i4>30</vt:i4>
      </vt:variant>
      <vt:variant>
        <vt:i4>0</vt:i4>
      </vt:variant>
      <vt:variant>
        <vt:i4>5</vt:i4>
      </vt:variant>
      <vt:variant>
        <vt:lpwstr>http://www.nevo.co.il/law/70301/404</vt:lpwstr>
      </vt:variant>
      <vt:variant>
        <vt:lpwstr/>
      </vt:variant>
      <vt:variant>
        <vt:i4>7143526</vt:i4>
      </vt:variant>
      <vt:variant>
        <vt:i4>27</vt:i4>
      </vt:variant>
      <vt:variant>
        <vt:i4>0</vt:i4>
      </vt:variant>
      <vt:variant>
        <vt:i4>5</vt:i4>
      </vt:variant>
      <vt:variant>
        <vt:lpwstr>http://www.nevo.co.il/law/70301/384</vt:lpwstr>
      </vt:variant>
      <vt:variant>
        <vt:lpwstr/>
      </vt:variant>
      <vt:variant>
        <vt:i4>7143526</vt:i4>
      </vt:variant>
      <vt:variant>
        <vt:i4>24</vt:i4>
      </vt:variant>
      <vt:variant>
        <vt:i4>0</vt:i4>
      </vt:variant>
      <vt:variant>
        <vt:i4>5</vt:i4>
      </vt:variant>
      <vt:variant>
        <vt:lpwstr>http://www.nevo.co.il/law/70301/383</vt:lpwstr>
      </vt:variant>
      <vt:variant>
        <vt:lpwstr/>
      </vt:variant>
      <vt:variant>
        <vt:i4>4390996</vt:i4>
      </vt:variant>
      <vt:variant>
        <vt:i4>21</vt:i4>
      </vt:variant>
      <vt:variant>
        <vt:i4>0</vt:i4>
      </vt:variant>
      <vt:variant>
        <vt:i4>5</vt:i4>
      </vt:variant>
      <vt:variant>
        <vt:lpwstr>http://www.nevo.co.il/law/70301/382.a</vt:lpwstr>
      </vt:variant>
      <vt:variant>
        <vt:lpwstr/>
      </vt:variant>
      <vt:variant>
        <vt:i4>6422630</vt:i4>
      </vt:variant>
      <vt:variant>
        <vt:i4>18</vt:i4>
      </vt:variant>
      <vt:variant>
        <vt:i4>0</vt:i4>
      </vt:variant>
      <vt:variant>
        <vt:i4>5</vt:i4>
      </vt:variant>
      <vt:variant>
        <vt:lpwstr>http://www.nevo.co.il/law/70301/379</vt:lpwstr>
      </vt:variant>
      <vt:variant>
        <vt:lpwstr/>
      </vt:variant>
      <vt:variant>
        <vt:i4>852041</vt:i4>
      </vt:variant>
      <vt:variant>
        <vt:i4>15</vt:i4>
      </vt:variant>
      <vt:variant>
        <vt:i4>0</vt:i4>
      </vt:variant>
      <vt:variant>
        <vt:i4>5</vt:i4>
      </vt:variant>
      <vt:variant>
        <vt:lpwstr>http://www.nevo.co.il/law/70301/29.a</vt:lpwstr>
      </vt:variant>
      <vt:variant>
        <vt:lpwstr/>
      </vt:variant>
      <vt:variant>
        <vt:i4>7995492</vt:i4>
      </vt:variant>
      <vt:variant>
        <vt:i4>12</vt:i4>
      </vt:variant>
      <vt:variant>
        <vt:i4>0</vt:i4>
      </vt:variant>
      <vt:variant>
        <vt:i4>5</vt:i4>
      </vt:variant>
      <vt:variant>
        <vt:lpwstr>http://www.nevo.co.il/law/70301</vt:lpwstr>
      </vt:variant>
      <vt:variant>
        <vt:lpwstr/>
      </vt:variant>
      <vt:variant>
        <vt:i4>6488179</vt:i4>
      </vt:variant>
      <vt:variant>
        <vt:i4>9</vt:i4>
      </vt:variant>
      <vt:variant>
        <vt:i4>0</vt:i4>
      </vt:variant>
      <vt:variant>
        <vt:i4>5</vt:i4>
      </vt:variant>
      <vt:variant>
        <vt:lpwstr>http://www.nevo.co.il/law/4216/39.a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2025-04-23T00:23:00Z</dcterms:created>
  <dcterms:modified xsi:type="dcterms:W3CDTF">2025-04-23T00:23:00Z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30746</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שמואל יאסו</vt:lpwstr>
  </property>
  <property fmtid="{D5CDD505-2E9C-101B-9397-08002B2CF9AE}" pid="10" name="JUDGE">
    <vt:lpwstr>זהר דיבון סגל</vt:lpwstr>
  </property>
  <property fmtid="{D5CDD505-2E9C-101B-9397-08002B2CF9AE}" pid="11" name="CITY">
    <vt:lpwstr>רח'</vt:lpwstr>
  </property>
  <property fmtid="{D5CDD505-2E9C-101B-9397-08002B2CF9AE}" pid="12" name="DATE">
    <vt:lpwstr>20211215</vt:lpwstr>
  </property>
  <property fmtid="{D5CDD505-2E9C-101B-9397-08002B2CF9AE}" pid="13" name="TYPE_N_DATE">
    <vt:lpwstr>38020211215</vt:lpwstr>
  </property>
  <property fmtid="{D5CDD505-2E9C-101B-9397-08002B2CF9AE}" pid="14" name="WORDNUMPAGES">
    <vt:lpwstr>14</vt:lpwstr>
  </property>
  <property fmtid="{D5CDD505-2E9C-101B-9397-08002B2CF9AE}" pid="15" name="TYPE_ABS_DATE">
    <vt:lpwstr>380020211215</vt:lpwstr>
  </property>
  <property fmtid="{D5CDD505-2E9C-101B-9397-08002B2CF9AE}" pid="16" name="LAWYER">
    <vt:lpwstr>הדר פרשר;אבו עאמר</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25067043;26526832;21640551;20112942;18699720;20903416;21731232;5610521;20634869;23367950;26869029;27223943;4019326;5396542;10529719:2;11212337;8280957;21042415;20750425;23529655;7953296;20138359;11312605;26266843</vt:lpwstr>
  </property>
  <property fmtid="{D5CDD505-2E9C-101B-9397-08002B2CF9AE}" pid="36" name="LAWLISTTMP1">
    <vt:lpwstr>4216/007.a;007.c;039.a</vt:lpwstr>
  </property>
  <property fmtid="{D5CDD505-2E9C-101B-9397-08002B2CF9AE}" pid="37" name="LAWLISTTMP2">
    <vt:lpwstr>70301/404;029.a:2;384;383;379;382.a;40ja</vt:lpwstr>
  </property>
  <property fmtid="{D5CDD505-2E9C-101B-9397-08002B2CF9AE}" pid="38" name="LAWLISTTMP3">
    <vt:lpwstr>70320:2</vt:lpwstr>
  </property>
</Properties>
</file>