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E17D3" w:rsidRPr="00A677CF" w14:paraId="515F177A" w14:textId="77777777" w:rsidTr="00215226">
        <w:trPr>
          <w:trHeight w:hRule="exact" w:val="418"/>
          <w:jc w:val="center"/>
        </w:trPr>
        <w:tc>
          <w:tcPr>
            <w:tcW w:w="8721" w:type="dxa"/>
            <w:gridSpan w:val="2"/>
          </w:tcPr>
          <w:p w14:paraId="432A85E2" w14:textId="77777777" w:rsidR="004E17D3" w:rsidRPr="00A677CF" w:rsidRDefault="004E17D3" w:rsidP="0096543D">
            <w:pPr>
              <w:pStyle w:val="a3"/>
              <w:jc w:val="center"/>
              <w:rPr>
                <w:rFonts w:ascii="Tahoma" w:hAnsi="Tahoma" w:cs="Tahoma"/>
                <w:color w:val="000080"/>
                <w:rtl/>
              </w:rPr>
            </w:pPr>
            <w:r w:rsidRPr="00A677CF">
              <w:rPr>
                <w:rFonts w:ascii="Tahoma" w:hAnsi="Tahoma" w:cs="Tahoma"/>
                <w:b/>
                <w:bCs/>
                <w:color w:val="000080"/>
                <w:rtl/>
              </w:rPr>
              <w:t>בית משפט השלום בראשון לציון</w:t>
            </w:r>
          </w:p>
        </w:tc>
      </w:tr>
      <w:tr w:rsidR="004E17D3" w:rsidRPr="00A677CF" w14:paraId="0006C80B" w14:textId="77777777" w:rsidTr="00215226">
        <w:trPr>
          <w:trHeight w:val="337"/>
          <w:jc w:val="center"/>
        </w:trPr>
        <w:tc>
          <w:tcPr>
            <w:tcW w:w="5054" w:type="dxa"/>
          </w:tcPr>
          <w:p w14:paraId="48147E22" w14:textId="77777777" w:rsidR="004E17D3" w:rsidRPr="00A677CF" w:rsidRDefault="004E17D3" w:rsidP="0096543D">
            <w:pPr>
              <w:rPr>
                <w:rFonts w:cs="FrankRuehl"/>
                <w:sz w:val="28"/>
                <w:szCs w:val="28"/>
                <w:rtl/>
              </w:rPr>
            </w:pPr>
            <w:r w:rsidRPr="00A677CF">
              <w:rPr>
                <w:rFonts w:cs="FrankRuehl"/>
                <w:sz w:val="28"/>
                <w:szCs w:val="28"/>
                <w:rtl/>
              </w:rPr>
              <w:t>ת"פ</w:t>
            </w:r>
            <w:r w:rsidRPr="00A677CF">
              <w:rPr>
                <w:rFonts w:cs="FrankRuehl" w:hint="cs"/>
                <w:sz w:val="28"/>
                <w:szCs w:val="28"/>
                <w:rtl/>
              </w:rPr>
              <w:t xml:space="preserve"> </w:t>
            </w:r>
            <w:hyperlink r:id="rId7" w:history="1">
              <w:r w:rsidR="005A1E94" w:rsidRPr="005A1E94">
                <w:rPr>
                  <w:rFonts w:cs="FrankRuehl"/>
                  <w:color w:val="0000FF"/>
                  <w:sz w:val="28"/>
                  <w:szCs w:val="28"/>
                  <w:u w:val="single"/>
                  <w:rtl/>
                </w:rPr>
                <w:t xml:space="preserve">32722-12-19 </w:t>
              </w:r>
            </w:hyperlink>
            <w:r w:rsidRPr="00A677CF">
              <w:rPr>
                <w:rFonts w:cs="FrankRuehl" w:hint="cs"/>
                <w:sz w:val="28"/>
                <w:szCs w:val="28"/>
                <w:rtl/>
              </w:rPr>
              <w:t xml:space="preserve"> </w:t>
            </w:r>
            <w:r w:rsidRPr="00A677CF">
              <w:rPr>
                <w:rFonts w:cs="FrankRuehl"/>
                <w:sz w:val="28"/>
                <w:szCs w:val="28"/>
                <w:rtl/>
              </w:rPr>
              <w:t>מדינת ישראל נ' בן נון</w:t>
            </w:r>
          </w:p>
          <w:p w14:paraId="5537BDE2" w14:textId="77777777" w:rsidR="004E17D3" w:rsidRPr="00A677CF" w:rsidRDefault="004E17D3" w:rsidP="0096543D">
            <w:pPr>
              <w:pStyle w:val="a3"/>
              <w:rPr>
                <w:rFonts w:cs="FrankRuehl"/>
                <w:sz w:val="28"/>
                <w:szCs w:val="28"/>
                <w:rtl/>
              </w:rPr>
            </w:pPr>
          </w:p>
        </w:tc>
        <w:tc>
          <w:tcPr>
            <w:tcW w:w="3667" w:type="dxa"/>
          </w:tcPr>
          <w:p w14:paraId="567C77A5" w14:textId="77777777" w:rsidR="004E17D3" w:rsidRPr="00A677CF" w:rsidRDefault="004E17D3" w:rsidP="0096543D">
            <w:pPr>
              <w:pStyle w:val="a3"/>
              <w:jc w:val="right"/>
              <w:rPr>
                <w:rFonts w:cs="FrankRuehl"/>
                <w:sz w:val="28"/>
                <w:szCs w:val="28"/>
                <w:rtl/>
              </w:rPr>
            </w:pPr>
          </w:p>
        </w:tc>
      </w:tr>
    </w:tbl>
    <w:p w14:paraId="1F34EBF8" w14:textId="77777777" w:rsidR="004E17D3" w:rsidRPr="00A677CF" w:rsidRDefault="004E17D3" w:rsidP="004E17D3">
      <w:pPr>
        <w:pStyle w:val="a3"/>
        <w:rPr>
          <w:rtl/>
        </w:rPr>
      </w:pPr>
      <w:r w:rsidRPr="00A677CF">
        <w:rPr>
          <w:rFonts w:hint="cs"/>
          <w:rtl/>
        </w:rPr>
        <w:t xml:space="preserve"> </w:t>
      </w:r>
    </w:p>
    <w:p w14:paraId="4C4D55BF" w14:textId="77777777" w:rsidR="004E17D3" w:rsidRPr="00A677CF" w:rsidRDefault="004E17D3" w:rsidP="004E17D3">
      <w:pPr>
        <w:rPr>
          <w:rtl/>
        </w:rPr>
      </w:pPr>
    </w:p>
    <w:p w14:paraId="4DDF60E5" w14:textId="77777777" w:rsidR="004E17D3" w:rsidRPr="00A677CF" w:rsidRDefault="004E17D3" w:rsidP="004E17D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E17D3" w:rsidRPr="00A677CF" w14:paraId="345E5760" w14:textId="77777777" w:rsidTr="004E17D3">
        <w:trPr>
          <w:trHeight w:val="295"/>
          <w:jc w:val="center"/>
        </w:trPr>
        <w:tc>
          <w:tcPr>
            <w:tcW w:w="923" w:type="dxa"/>
            <w:tcBorders>
              <w:top w:val="nil"/>
              <w:left w:val="nil"/>
              <w:bottom w:val="nil"/>
              <w:right w:val="nil"/>
            </w:tcBorders>
            <w:shd w:val="clear" w:color="auto" w:fill="auto"/>
          </w:tcPr>
          <w:p w14:paraId="0D95093C" w14:textId="77777777" w:rsidR="004E17D3" w:rsidRPr="00A677CF" w:rsidRDefault="004E17D3" w:rsidP="004E17D3">
            <w:pPr>
              <w:jc w:val="both"/>
              <w:rPr>
                <w:rFonts w:ascii="David" w:hAnsi="David"/>
                <w:sz w:val="26"/>
                <w:szCs w:val="26"/>
              </w:rPr>
            </w:pPr>
            <w:r w:rsidRPr="00A677CF">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299006AF" w14:textId="77777777" w:rsidR="004E17D3" w:rsidRPr="00A677CF" w:rsidRDefault="004E17D3" w:rsidP="0096543D">
            <w:pPr>
              <w:rPr>
                <w:rFonts w:ascii="David" w:hAnsi="David"/>
                <w:b/>
                <w:bCs/>
                <w:sz w:val="26"/>
                <w:szCs w:val="26"/>
                <w:rtl/>
              </w:rPr>
            </w:pPr>
            <w:r w:rsidRPr="00A677CF">
              <w:rPr>
                <w:rFonts w:ascii="David" w:hAnsi="David"/>
                <w:b/>
                <w:bCs/>
                <w:sz w:val="26"/>
                <w:szCs w:val="26"/>
                <w:rtl/>
              </w:rPr>
              <w:t>כבוד השופט, סגן הנשיאה  ארז נוריאלי</w:t>
            </w:r>
          </w:p>
          <w:p w14:paraId="155D30C8" w14:textId="77777777" w:rsidR="004E17D3" w:rsidRPr="00A677CF" w:rsidRDefault="004E17D3" w:rsidP="0096543D">
            <w:pPr>
              <w:rPr>
                <w:rFonts w:ascii="David" w:hAnsi="David"/>
                <w:sz w:val="26"/>
                <w:szCs w:val="26"/>
                <w:rtl/>
              </w:rPr>
            </w:pPr>
          </w:p>
          <w:p w14:paraId="33252DE4" w14:textId="77777777" w:rsidR="004E17D3" w:rsidRPr="00A677CF" w:rsidRDefault="004E17D3" w:rsidP="004E17D3">
            <w:pPr>
              <w:jc w:val="both"/>
              <w:rPr>
                <w:rFonts w:ascii="David" w:hAnsi="David"/>
                <w:sz w:val="26"/>
                <w:szCs w:val="26"/>
              </w:rPr>
            </w:pPr>
          </w:p>
        </w:tc>
      </w:tr>
      <w:tr w:rsidR="004E17D3" w:rsidRPr="00A677CF" w14:paraId="3F27E94F" w14:textId="77777777" w:rsidTr="004E17D3">
        <w:trPr>
          <w:trHeight w:val="355"/>
          <w:jc w:val="center"/>
        </w:trPr>
        <w:tc>
          <w:tcPr>
            <w:tcW w:w="923" w:type="dxa"/>
            <w:tcBorders>
              <w:top w:val="nil"/>
              <w:left w:val="nil"/>
              <w:bottom w:val="nil"/>
              <w:right w:val="nil"/>
            </w:tcBorders>
            <w:shd w:val="clear" w:color="auto" w:fill="auto"/>
          </w:tcPr>
          <w:p w14:paraId="224AC5A9" w14:textId="77777777" w:rsidR="004E17D3" w:rsidRPr="00A677CF" w:rsidRDefault="004E17D3" w:rsidP="004E17D3">
            <w:pPr>
              <w:jc w:val="both"/>
              <w:rPr>
                <w:rFonts w:ascii="David" w:hAnsi="David"/>
                <w:b/>
                <w:bCs/>
                <w:sz w:val="26"/>
                <w:szCs w:val="26"/>
              </w:rPr>
            </w:pPr>
            <w:bookmarkStart w:id="0" w:name="FirstAppellant"/>
            <w:bookmarkStart w:id="1" w:name="LastJudge"/>
            <w:bookmarkEnd w:id="1"/>
            <w:r w:rsidRPr="00A677CF">
              <w:rPr>
                <w:rFonts w:ascii="David" w:hAnsi="David"/>
                <w:b/>
                <w:bCs/>
                <w:sz w:val="26"/>
                <w:szCs w:val="26"/>
                <w:rtl/>
              </w:rPr>
              <w:t>בעניין:</w:t>
            </w:r>
          </w:p>
        </w:tc>
        <w:tc>
          <w:tcPr>
            <w:tcW w:w="4126" w:type="dxa"/>
            <w:tcBorders>
              <w:top w:val="nil"/>
              <w:left w:val="nil"/>
              <w:bottom w:val="nil"/>
              <w:right w:val="nil"/>
            </w:tcBorders>
            <w:shd w:val="clear" w:color="auto" w:fill="auto"/>
          </w:tcPr>
          <w:p w14:paraId="298D9852" w14:textId="77777777" w:rsidR="004E17D3" w:rsidRPr="00A677CF" w:rsidRDefault="004E17D3" w:rsidP="0096543D">
            <w:pPr>
              <w:rPr>
                <w:rFonts w:ascii="David" w:hAnsi="David"/>
                <w:b/>
                <w:bCs/>
                <w:sz w:val="26"/>
                <w:szCs w:val="26"/>
              </w:rPr>
            </w:pPr>
            <w:r w:rsidRPr="00A677CF">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381956E9" w14:textId="77777777" w:rsidR="004E17D3" w:rsidRPr="00A677CF" w:rsidRDefault="004E17D3" w:rsidP="004E17D3">
            <w:pPr>
              <w:jc w:val="both"/>
              <w:rPr>
                <w:rFonts w:ascii="David" w:hAnsi="David"/>
                <w:b/>
                <w:bCs/>
                <w:sz w:val="26"/>
                <w:szCs w:val="26"/>
              </w:rPr>
            </w:pPr>
          </w:p>
        </w:tc>
      </w:tr>
      <w:tr w:rsidR="004E17D3" w:rsidRPr="00A677CF" w14:paraId="43666DD2" w14:textId="77777777" w:rsidTr="004E17D3">
        <w:trPr>
          <w:trHeight w:val="355"/>
          <w:jc w:val="center"/>
        </w:trPr>
        <w:tc>
          <w:tcPr>
            <w:tcW w:w="923" w:type="dxa"/>
            <w:tcBorders>
              <w:top w:val="nil"/>
              <w:left w:val="nil"/>
              <w:bottom w:val="nil"/>
              <w:right w:val="nil"/>
            </w:tcBorders>
            <w:shd w:val="clear" w:color="auto" w:fill="auto"/>
          </w:tcPr>
          <w:p w14:paraId="792E4C2B" w14:textId="77777777" w:rsidR="004E17D3" w:rsidRPr="00A677CF" w:rsidRDefault="004E17D3" w:rsidP="004E17D3">
            <w:pPr>
              <w:jc w:val="both"/>
              <w:rPr>
                <w:rFonts w:ascii="David" w:hAnsi="David"/>
                <w:b/>
                <w:bCs/>
                <w:sz w:val="26"/>
                <w:szCs w:val="26"/>
                <w:rtl/>
              </w:rPr>
            </w:pPr>
            <w:bookmarkStart w:id="2" w:name="FirstLawyer"/>
            <w:bookmarkEnd w:id="0"/>
          </w:p>
        </w:tc>
        <w:tc>
          <w:tcPr>
            <w:tcW w:w="4126" w:type="dxa"/>
            <w:tcBorders>
              <w:top w:val="nil"/>
              <w:left w:val="nil"/>
              <w:bottom w:val="nil"/>
              <w:right w:val="nil"/>
            </w:tcBorders>
            <w:shd w:val="clear" w:color="auto" w:fill="auto"/>
          </w:tcPr>
          <w:p w14:paraId="002D10FA" w14:textId="77777777" w:rsidR="004E17D3" w:rsidRPr="00A677CF" w:rsidRDefault="004E17D3" w:rsidP="004E17D3">
            <w:pPr>
              <w:jc w:val="both"/>
              <w:rPr>
                <w:rFonts w:ascii="David" w:hAnsi="David"/>
                <w:sz w:val="26"/>
                <w:szCs w:val="26"/>
                <w:rtl/>
              </w:rPr>
            </w:pPr>
            <w:r w:rsidRPr="00A677CF">
              <w:rPr>
                <w:rFonts w:ascii="David" w:hAnsi="David" w:hint="cs"/>
                <w:sz w:val="26"/>
                <w:szCs w:val="26"/>
                <w:rtl/>
              </w:rPr>
              <w:t xml:space="preserve">ע"י ב"כ, עו"ד אלירן אשכנזי </w:t>
            </w:r>
          </w:p>
        </w:tc>
        <w:tc>
          <w:tcPr>
            <w:tcW w:w="3771" w:type="dxa"/>
            <w:tcBorders>
              <w:top w:val="nil"/>
              <w:left w:val="nil"/>
              <w:bottom w:val="nil"/>
              <w:right w:val="nil"/>
            </w:tcBorders>
            <w:shd w:val="clear" w:color="auto" w:fill="auto"/>
          </w:tcPr>
          <w:p w14:paraId="5BF0E3F7" w14:textId="77777777" w:rsidR="004E17D3" w:rsidRPr="00A677CF" w:rsidRDefault="004E17D3" w:rsidP="004E17D3">
            <w:pPr>
              <w:jc w:val="right"/>
              <w:rPr>
                <w:rFonts w:ascii="David" w:hAnsi="David"/>
                <w:b/>
                <w:bCs/>
                <w:sz w:val="26"/>
                <w:szCs w:val="26"/>
                <w:rtl/>
              </w:rPr>
            </w:pPr>
            <w:r w:rsidRPr="00A677CF">
              <w:rPr>
                <w:rFonts w:ascii="David" w:hAnsi="David"/>
                <w:b/>
                <w:bCs/>
                <w:sz w:val="26"/>
                <w:szCs w:val="26"/>
                <w:rtl/>
              </w:rPr>
              <w:t>המאשימה</w:t>
            </w:r>
          </w:p>
        </w:tc>
      </w:tr>
      <w:bookmarkEnd w:id="2"/>
      <w:tr w:rsidR="004E17D3" w:rsidRPr="00A677CF" w14:paraId="3DB1F25C" w14:textId="77777777" w:rsidTr="004E17D3">
        <w:trPr>
          <w:trHeight w:val="355"/>
          <w:jc w:val="center"/>
        </w:trPr>
        <w:tc>
          <w:tcPr>
            <w:tcW w:w="923" w:type="dxa"/>
            <w:tcBorders>
              <w:top w:val="nil"/>
              <w:left w:val="nil"/>
              <w:bottom w:val="nil"/>
              <w:right w:val="nil"/>
            </w:tcBorders>
            <w:shd w:val="clear" w:color="auto" w:fill="auto"/>
          </w:tcPr>
          <w:p w14:paraId="4B8FF984" w14:textId="77777777" w:rsidR="004E17D3" w:rsidRPr="00A677CF" w:rsidRDefault="004E17D3" w:rsidP="004E17D3">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D6409D4" w14:textId="77777777" w:rsidR="004E17D3" w:rsidRPr="00A677CF" w:rsidRDefault="004E17D3" w:rsidP="004E17D3">
            <w:pPr>
              <w:jc w:val="center"/>
              <w:rPr>
                <w:rFonts w:ascii="David" w:hAnsi="David"/>
                <w:b/>
                <w:bCs/>
                <w:sz w:val="26"/>
                <w:szCs w:val="26"/>
                <w:rtl/>
              </w:rPr>
            </w:pPr>
          </w:p>
          <w:p w14:paraId="31D9F1CB" w14:textId="77777777" w:rsidR="004E17D3" w:rsidRPr="00A677CF" w:rsidRDefault="004E17D3" w:rsidP="004E17D3">
            <w:pPr>
              <w:jc w:val="center"/>
              <w:rPr>
                <w:rFonts w:ascii="David" w:hAnsi="David"/>
                <w:b/>
                <w:bCs/>
                <w:sz w:val="26"/>
                <w:szCs w:val="26"/>
                <w:rtl/>
              </w:rPr>
            </w:pPr>
            <w:r w:rsidRPr="00A677CF">
              <w:rPr>
                <w:rFonts w:ascii="David" w:hAnsi="David"/>
                <w:b/>
                <w:bCs/>
                <w:sz w:val="26"/>
                <w:szCs w:val="26"/>
                <w:rtl/>
              </w:rPr>
              <w:t>נגד</w:t>
            </w:r>
          </w:p>
          <w:p w14:paraId="111DC241" w14:textId="77777777" w:rsidR="004E17D3" w:rsidRPr="00A677CF" w:rsidRDefault="004E17D3" w:rsidP="004E17D3">
            <w:pPr>
              <w:jc w:val="both"/>
              <w:rPr>
                <w:rFonts w:ascii="David" w:hAnsi="David"/>
                <w:sz w:val="26"/>
                <w:szCs w:val="26"/>
              </w:rPr>
            </w:pPr>
          </w:p>
        </w:tc>
      </w:tr>
      <w:tr w:rsidR="004E17D3" w:rsidRPr="00A677CF" w14:paraId="2D82D803" w14:textId="77777777" w:rsidTr="004E17D3">
        <w:trPr>
          <w:trHeight w:val="355"/>
          <w:jc w:val="center"/>
        </w:trPr>
        <w:tc>
          <w:tcPr>
            <w:tcW w:w="923" w:type="dxa"/>
            <w:tcBorders>
              <w:top w:val="nil"/>
              <w:left w:val="nil"/>
              <w:bottom w:val="nil"/>
              <w:right w:val="nil"/>
            </w:tcBorders>
            <w:shd w:val="clear" w:color="auto" w:fill="auto"/>
          </w:tcPr>
          <w:p w14:paraId="6EAB767B" w14:textId="77777777" w:rsidR="004E17D3" w:rsidRPr="00A677CF" w:rsidRDefault="004E17D3" w:rsidP="0096543D">
            <w:pPr>
              <w:rPr>
                <w:rFonts w:ascii="David" w:hAnsi="David"/>
                <w:b/>
                <w:bCs/>
                <w:sz w:val="26"/>
                <w:szCs w:val="26"/>
                <w:rtl/>
              </w:rPr>
            </w:pPr>
          </w:p>
        </w:tc>
        <w:tc>
          <w:tcPr>
            <w:tcW w:w="4126" w:type="dxa"/>
            <w:tcBorders>
              <w:top w:val="nil"/>
              <w:left w:val="nil"/>
              <w:bottom w:val="nil"/>
              <w:right w:val="nil"/>
            </w:tcBorders>
            <w:shd w:val="clear" w:color="auto" w:fill="auto"/>
          </w:tcPr>
          <w:p w14:paraId="42ED3C54" w14:textId="77777777" w:rsidR="004E17D3" w:rsidRPr="00A677CF" w:rsidRDefault="004E17D3" w:rsidP="0096543D">
            <w:pPr>
              <w:rPr>
                <w:rFonts w:ascii="David" w:hAnsi="David"/>
                <w:b/>
                <w:bCs/>
                <w:sz w:val="26"/>
                <w:szCs w:val="26"/>
                <w:rtl/>
              </w:rPr>
            </w:pPr>
            <w:r w:rsidRPr="00A677CF">
              <w:rPr>
                <w:rFonts w:ascii="David" w:hAnsi="David"/>
                <w:b/>
                <w:bCs/>
                <w:sz w:val="26"/>
                <w:szCs w:val="26"/>
                <w:rtl/>
              </w:rPr>
              <w:t>גיא בן נון</w:t>
            </w:r>
          </w:p>
        </w:tc>
        <w:tc>
          <w:tcPr>
            <w:tcW w:w="3771" w:type="dxa"/>
            <w:tcBorders>
              <w:top w:val="nil"/>
              <w:left w:val="nil"/>
              <w:bottom w:val="nil"/>
              <w:right w:val="nil"/>
            </w:tcBorders>
            <w:shd w:val="clear" w:color="auto" w:fill="auto"/>
          </w:tcPr>
          <w:p w14:paraId="22302EDF" w14:textId="77777777" w:rsidR="004E17D3" w:rsidRPr="00A677CF" w:rsidRDefault="004E17D3" w:rsidP="004E17D3">
            <w:pPr>
              <w:jc w:val="right"/>
              <w:rPr>
                <w:rFonts w:ascii="David" w:hAnsi="David"/>
                <w:sz w:val="26"/>
                <w:szCs w:val="26"/>
              </w:rPr>
            </w:pPr>
          </w:p>
        </w:tc>
      </w:tr>
      <w:tr w:rsidR="004E17D3" w:rsidRPr="00A677CF" w14:paraId="29499E18" w14:textId="77777777" w:rsidTr="004E17D3">
        <w:trPr>
          <w:trHeight w:val="355"/>
          <w:jc w:val="center"/>
        </w:trPr>
        <w:tc>
          <w:tcPr>
            <w:tcW w:w="923" w:type="dxa"/>
            <w:tcBorders>
              <w:top w:val="nil"/>
              <w:left w:val="nil"/>
              <w:bottom w:val="nil"/>
              <w:right w:val="nil"/>
            </w:tcBorders>
            <w:shd w:val="clear" w:color="auto" w:fill="auto"/>
          </w:tcPr>
          <w:p w14:paraId="0FA5AB02" w14:textId="77777777" w:rsidR="004E17D3" w:rsidRPr="00A677CF" w:rsidRDefault="004E17D3" w:rsidP="004E17D3">
            <w:pPr>
              <w:jc w:val="both"/>
              <w:rPr>
                <w:rFonts w:ascii="David" w:hAnsi="David"/>
                <w:sz w:val="26"/>
                <w:szCs w:val="26"/>
                <w:rtl/>
              </w:rPr>
            </w:pPr>
          </w:p>
        </w:tc>
        <w:tc>
          <w:tcPr>
            <w:tcW w:w="4126" w:type="dxa"/>
            <w:tcBorders>
              <w:top w:val="nil"/>
              <w:left w:val="nil"/>
              <w:bottom w:val="nil"/>
              <w:right w:val="nil"/>
            </w:tcBorders>
            <w:shd w:val="clear" w:color="auto" w:fill="auto"/>
          </w:tcPr>
          <w:p w14:paraId="619E1CE1" w14:textId="77777777" w:rsidR="004E17D3" w:rsidRPr="00A677CF" w:rsidRDefault="004E17D3" w:rsidP="004E17D3">
            <w:pPr>
              <w:jc w:val="both"/>
              <w:rPr>
                <w:rFonts w:ascii="David" w:hAnsi="David"/>
                <w:sz w:val="26"/>
                <w:szCs w:val="26"/>
                <w:rtl/>
              </w:rPr>
            </w:pPr>
            <w:r w:rsidRPr="00A677CF">
              <w:rPr>
                <w:rFonts w:ascii="David" w:hAnsi="David" w:hint="cs"/>
                <w:sz w:val="26"/>
                <w:szCs w:val="26"/>
                <w:rtl/>
              </w:rPr>
              <w:t xml:space="preserve">ע"י ב"כ, עו"ד גיא פרידמן </w:t>
            </w:r>
          </w:p>
        </w:tc>
        <w:tc>
          <w:tcPr>
            <w:tcW w:w="3771" w:type="dxa"/>
            <w:tcBorders>
              <w:top w:val="nil"/>
              <w:left w:val="nil"/>
              <w:bottom w:val="nil"/>
              <w:right w:val="nil"/>
            </w:tcBorders>
            <w:shd w:val="clear" w:color="auto" w:fill="auto"/>
          </w:tcPr>
          <w:p w14:paraId="09C6C393" w14:textId="77777777" w:rsidR="004E17D3" w:rsidRPr="00A677CF" w:rsidRDefault="004E17D3" w:rsidP="004E17D3">
            <w:pPr>
              <w:jc w:val="right"/>
              <w:rPr>
                <w:rFonts w:ascii="David" w:hAnsi="David"/>
                <w:b/>
                <w:bCs/>
                <w:sz w:val="26"/>
                <w:szCs w:val="26"/>
              </w:rPr>
            </w:pPr>
            <w:r w:rsidRPr="00A677CF">
              <w:rPr>
                <w:rFonts w:ascii="David" w:hAnsi="David"/>
                <w:b/>
                <w:bCs/>
                <w:sz w:val="26"/>
                <w:szCs w:val="26"/>
                <w:rtl/>
              </w:rPr>
              <w:t>הנאשם</w:t>
            </w:r>
          </w:p>
        </w:tc>
      </w:tr>
    </w:tbl>
    <w:p w14:paraId="0842C155" w14:textId="77777777" w:rsidR="00215226" w:rsidRDefault="00215226" w:rsidP="00A677CF">
      <w:pPr>
        <w:rPr>
          <w:sz w:val="26"/>
          <w:szCs w:val="26"/>
          <w:rtl/>
        </w:rPr>
      </w:pPr>
    </w:p>
    <w:p w14:paraId="03FF9FB7" w14:textId="77777777" w:rsidR="00215226" w:rsidRPr="00215226" w:rsidRDefault="00215226" w:rsidP="00215226">
      <w:pPr>
        <w:spacing w:after="120" w:line="240" w:lineRule="exact"/>
        <w:ind w:left="283" w:hanging="283"/>
        <w:jc w:val="both"/>
        <w:rPr>
          <w:rFonts w:ascii="FrankRuehl" w:hAnsi="FrankRuehl" w:cs="FrankRuehl"/>
          <w:rtl/>
        </w:rPr>
      </w:pPr>
    </w:p>
    <w:p w14:paraId="009EEE0D" w14:textId="77777777" w:rsidR="005A1E94" w:rsidRPr="005A1E94" w:rsidRDefault="005A1E94" w:rsidP="005A1E94">
      <w:pPr>
        <w:spacing w:before="120" w:after="120" w:line="240" w:lineRule="exact"/>
        <w:ind w:left="283" w:hanging="283"/>
        <w:jc w:val="both"/>
        <w:rPr>
          <w:rFonts w:ascii="FrankRuehl" w:hAnsi="FrankRuehl" w:cs="FrankRuehl"/>
          <w:rtl/>
        </w:rPr>
      </w:pPr>
    </w:p>
    <w:p w14:paraId="6C1F0F88" w14:textId="77777777" w:rsidR="009C0914" w:rsidRDefault="009C0914" w:rsidP="009C0914">
      <w:pPr>
        <w:rPr>
          <w:sz w:val="26"/>
          <w:szCs w:val="26"/>
          <w:rtl/>
        </w:rPr>
      </w:pPr>
      <w:bookmarkStart w:id="3" w:name="LawTable"/>
      <w:bookmarkEnd w:id="3"/>
    </w:p>
    <w:p w14:paraId="7EA3D80E" w14:textId="77777777" w:rsidR="009C0914" w:rsidRPr="009C0914" w:rsidRDefault="009C0914" w:rsidP="009C0914">
      <w:pPr>
        <w:spacing w:before="120" w:after="120" w:line="240" w:lineRule="exact"/>
        <w:ind w:left="283" w:hanging="283"/>
        <w:jc w:val="both"/>
        <w:rPr>
          <w:rFonts w:ascii="FrankRuehl" w:hAnsi="FrankRuehl" w:cs="FrankRuehl"/>
          <w:rtl/>
        </w:rPr>
      </w:pPr>
    </w:p>
    <w:p w14:paraId="6EA47C02" w14:textId="77777777" w:rsidR="009C0914" w:rsidRPr="009C0914" w:rsidRDefault="009C0914" w:rsidP="009C0914">
      <w:pPr>
        <w:spacing w:before="120" w:after="120" w:line="240" w:lineRule="exact"/>
        <w:ind w:left="283" w:hanging="283"/>
        <w:jc w:val="both"/>
        <w:rPr>
          <w:rFonts w:ascii="FrankRuehl" w:hAnsi="FrankRuehl" w:cs="FrankRuehl"/>
          <w:rtl/>
        </w:rPr>
      </w:pPr>
    </w:p>
    <w:p w14:paraId="37363A5C" w14:textId="77777777" w:rsidR="009C0914" w:rsidRPr="009C0914" w:rsidRDefault="009C0914" w:rsidP="009C0914">
      <w:pPr>
        <w:spacing w:before="120" w:after="120" w:line="240" w:lineRule="exact"/>
        <w:ind w:left="283" w:hanging="283"/>
        <w:jc w:val="both"/>
        <w:rPr>
          <w:rFonts w:ascii="FrankRuehl" w:hAnsi="FrankRuehl" w:cs="FrankRuehl"/>
          <w:rtl/>
        </w:rPr>
      </w:pPr>
      <w:r w:rsidRPr="009C0914">
        <w:rPr>
          <w:rFonts w:ascii="FrankRuehl" w:hAnsi="FrankRuehl" w:cs="FrankRuehl"/>
          <w:rtl/>
        </w:rPr>
        <w:t xml:space="preserve">חקיקה שאוזכרה: </w:t>
      </w:r>
    </w:p>
    <w:p w14:paraId="3669A8F9" w14:textId="77777777" w:rsidR="009C0914" w:rsidRPr="009C0914" w:rsidRDefault="009C0914" w:rsidP="009C0914">
      <w:pPr>
        <w:spacing w:before="120" w:after="120" w:line="240" w:lineRule="exact"/>
        <w:ind w:left="283" w:hanging="283"/>
        <w:jc w:val="both"/>
        <w:rPr>
          <w:rFonts w:ascii="FrankRuehl" w:hAnsi="FrankRuehl" w:cs="FrankRuehl"/>
          <w:rtl/>
        </w:rPr>
      </w:pPr>
      <w:hyperlink r:id="rId8" w:history="1">
        <w:r w:rsidRPr="009C0914">
          <w:rPr>
            <w:rFonts w:ascii="FrankRuehl" w:hAnsi="FrankRuehl" w:cs="FrankRuehl"/>
            <w:color w:val="0000FF"/>
            <w:rtl/>
          </w:rPr>
          <w:t>פקודת הסמים המסוכנים [נוסח חדש], תשל"ג-1973</w:t>
        </w:r>
      </w:hyperlink>
      <w:r w:rsidRPr="009C0914">
        <w:rPr>
          <w:rFonts w:ascii="FrankRuehl" w:hAnsi="FrankRuehl" w:cs="FrankRuehl"/>
          <w:rtl/>
        </w:rPr>
        <w:t xml:space="preserve">: סע'  </w:t>
      </w:r>
      <w:hyperlink r:id="rId9" w:history="1">
        <w:r w:rsidRPr="009C0914">
          <w:rPr>
            <w:rFonts w:ascii="FrankRuehl" w:hAnsi="FrankRuehl" w:cs="FrankRuehl"/>
            <w:color w:val="0000FF"/>
            <w:rtl/>
          </w:rPr>
          <w:t>6</w:t>
        </w:r>
      </w:hyperlink>
      <w:r w:rsidRPr="009C0914">
        <w:rPr>
          <w:rFonts w:ascii="FrankRuehl" w:hAnsi="FrankRuehl" w:cs="FrankRuehl"/>
          <w:rtl/>
        </w:rPr>
        <w:t xml:space="preserve">, </w:t>
      </w:r>
      <w:hyperlink r:id="rId10" w:history="1">
        <w:r w:rsidRPr="009C0914">
          <w:rPr>
            <w:rFonts w:ascii="FrankRuehl" w:hAnsi="FrankRuehl" w:cs="FrankRuehl"/>
            <w:color w:val="0000FF"/>
            <w:rtl/>
          </w:rPr>
          <w:t>7(ג)</w:t>
        </w:r>
      </w:hyperlink>
      <w:r w:rsidRPr="009C0914">
        <w:rPr>
          <w:rFonts w:ascii="FrankRuehl" w:hAnsi="FrankRuehl" w:cs="FrankRuehl"/>
          <w:rtl/>
        </w:rPr>
        <w:t xml:space="preserve">, </w:t>
      </w:r>
      <w:hyperlink r:id="rId11" w:history="1">
        <w:r w:rsidRPr="009C0914">
          <w:rPr>
            <w:rFonts w:ascii="FrankRuehl" w:hAnsi="FrankRuehl" w:cs="FrankRuehl"/>
            <w:color w:val="0000FF"/>
            <w:rtl/>
          </w:rPr>
          <w:t>32</w:t>
        </w:r>
      </w:hyperlink>
    </w:p>
    <w:p w14:paraId="0E843239" w14:textId="77777777" w:rsidR="009C0914" w:rsidRPr="009C0914" w:rsidRDefault="009C0914" w:rsidP="009C0914">
      <w:pPr>
        <w:spacing w:before="120" w:after="120" w:line="240" w:lineRule="exact"/>
        <w:ind w:left="283" w:hanging="283"/>
        <w:jc w:val="both"/>
        <w:rPr>
          <w:rFonts w:ascii="FrankRuehl" w:hAnsi="FrankRuehl" w:cs="FrankRuehl"/>
          <w:rtl/>
        </w:rPr>
      </w:pPr>
      <w:hyperlink r:id="rId12" w:history="1">
        <w:r w:rsidRPr="009C0914">
          <w:rPr>
            <w:rFonts w:ascii="FrankRuehl" w:hAnsi="FrankRuehl" w:cs="FrankRuehl"/>
            <w:color w:val="0000FF"/>
            <w:rtl/>
          </w:rPr>
          <w:t>חוק העונשין, תשל"ז-1977</w:t>
        </w:r>
      </w:hyperlink>
      <w:r w:rsidRPr="009C0914">
        <w:rPr>
          <w:rFonts w:ascii="FrankRuehl" w:hAnsi="FrankRuehl" w:cs="FrankRuehl"/>
          <w:rtl/>
        </w:rPr>
        <w:t xml:space="preserve">: סע'  </w:t>
      </w:r>
      <w:hyperlink r:id="rId13" w:history="1">
        <w:r w:rsidRPr="009C0914">
          <w:rPr>
            <w:rFonts w:ascii="FrankRuehl" w:hAnsi="FrankRuehl" w:cs="FrankRuehl"/>
            <w:color w:val="0000FF"/>
            <w:rtl/>
          </w:rPr>
          <w:t>40ב</w:t>
        </w:r>
      </w:hyperlink>
      <w:r w:rsidRPr="009C0914">
        <w:rPr>
          <w:rFonts w:ascii="FrankRuehl" w:hAnsi="FrankRuehl" w:cs="FrankRuehl"/>
          <w:rtl/>
        </w:rPr>
        <w:t xml:space="preserve">, </w:t>
      </w:r>
      <w:hyperlink r:id="rId14" w:history="1">
        <w:r w:rsidRPr="009C0914">
          <w:rPr>
            <w:rFonts w:ascii="FrankRuehl" w:hAnsi="FrankRuehl" w:cs="FrankRuehl"/>
            <w:color w:val="0000FF"/>
            <w:rtl/>
          </w:rPr>
          <w:t>400</w:t>
        </w:r>
      </w:hyperlink>
      <w:r w:rsidRPr="009C0914">
        <w:rPr>
          <w:rFonts w:ascii="FrankRuehl" w:hAnsi="FrankRuehl" w:cs="FrankRuehl"/>
          <w:rtl/>
        </w:rPr>
        <w:t xml:space="preserve">, </w:t>
      </w:r>
      <w:hyperlink r:id="rId15" w:history="1">
        <w:r w:rsidRPr="009C0914">
          <w:rPr>
            <w:rFonts w:ascii="FrankRuehl" w:hAnsi="FrankRuehl" w:cs="FrankRuehl"/>
            <w:color w:val="0000FF"/>
            <w:rtl/>
          </w:rPr>
          <w:t>40יא').</w:t>
        </w:r>
      </w:hyperlink>
      <w:r w:rsidRPr="009C0914">
        <w:rPr>
          <w:rFonts w:ascii="FrankRuehl" w:hAnsi="FrankRuehl" w:cs="FrankRuehl"/>
          <w:rtl/>
        </w:rPr>
        <w:t xml:space="preserve">, </w:t>
      </w:r>
      <w:hyperlink r:id="rId16" w:history="1">
        <w:r w:rsidRPr="009C0914">
          <w:rPr>
            <w:rFonts w:ascii="FrankRuehl" w:hAnsi="FrankRuehl" w:cs="FrankRuehl"/>
            <w:color w:val="0000FF"/>
            <w:rtl/>
          </w:rPr>
          <w:t>40יג')</w:t>
        </w:r>
      </w:hyperlink>
    </w:p>
    <w:p w14:paraId="00877F6A" w14:textId="77777777" w:rsidR="009C0914" w:rsidRPr="009C0914" w:rsidRDefault="009C0914" w:rsidP="009C0914">
      <w:pPr>
        <w:rPr>
          <w:sz w:val="26"/>
          <w:szCs w:val="26"/>
          <w:rtl/>
        </w:rPr>
      </w:pPr>
      <w:bookmarkStart w:id="4" w:name="LawTable_End"/>
      <w:bookmarkEnd w:id="4"/>
    </w:p>
    <w:p w14:paraId="692FBCA7" w14:textId="77777777" w:rsidR="004E17D3" w:rsidRPr="005A1E94" w:rsidRDefault="004E17D3" w:rsidP="005A1E94">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E17D3" w14:paraId="17A7DEAC" w14:textId="77777777" w:rsidTr="004E17D3">
        <w:trPr>
          <w:trHeight w:val="355"/>
          <w:jc w:val="center"/>
        </w:trPr>
        <w:tc>
          <w:tcPr>
            <w:tcW w:w="8820" w:type="dxa"/>
            <w:tcBorders>
              <w:top w:val="nil"/>
              <w:left w:val="nil"/>
              <w:bottom w:val="nil"/>
              <w:right w:val="nil"/>
            </w:tcBorders>
            <w:shd w:val="clear" w:color="auto" w:fill="auto"/>
          </w:tcPr>
          <w:p w14:paraId="676546E1" w14:textId="77777777" w:rsidR="00A677CF" w:rsidRPr="00A677CF" w:rsidRDefault="00A677CF" w:rsidP="00A677CF">
            <w:pPr>
              <w:jc w:val="center"/>
              <w:rPr>
                <w:rFonts w:ascii="David" w:hAnsi="David"/>
                <w:b/>
                <w:bCs/>
                <w:sz w:val="32"/>
                <w:szCs w:val="32"/>
                <w:u w:val="single"/>
                <w:rtl/>
              </w:rPr>
            </w:pPr>
            <w:bookmarkStart w:id="5" w:name="PsakDin" w:colFirst="0" w:colLast="0"/>
            <w:r w:rsidRPr="00A677CF">
              <w:rPr>
                <w:rFonts w:ascii="David" w:hAnsi="David"/>
                <w:b/>
                <w:bCs/>
                <w:sz w:val="32"/>
                <w:szCs w:val="32"/>
                <w:u w:val="single"/>
                <w:rtl/>
              </w:rPr>
              <w:t>גזר דין</w:t>
            </w:r>
          </w:p>
          <w:p w14:paraId="335D26D7" w14:textId="77777777" w:rsidR="004E17D3" w:rsidRPr="00A677CF" w:rsidRDefault="004E17D3" w:rsidP="00A677CF">
            <w:pPr>
              <w:jc w:val="center"/>
              <w:rPr>
                <w:rFonts w:ascii="David" w:hAnsi="David"/>
                <w:bCs/>
                <w:sz w:val="32"/>
                <w:szCs w:val="32"/>
                <w:u w:val="single"/>
                <w:rtl/>
              </w:rPr>
            </w:pPr>
          </w:p>
        </w:tc>
      </w:tr>
      <w:bookmarkEnd w:id="5"/>
    </w:tbl>
    <w:p w14:paraId="1E163AC9" w14:textId="77777777" w:rsidR="004E17D3" w:rsidRPr="002B7D23" w:rsidRDefault="004E17D3" w:rsidP="004E17D3">
      <w:pPr>
        <w:rPr>
          <w:rFonts w:ascii="David" w:hAnsi="David"/>
          <w:sz w:val="26"/>
          <w:szCs w:val="26"/>
          <w:rtl/>
        </w:rPr>
      </w:pPr>
    </w:p>
    <w:p w14:paraId="55DA03BD" w14:textId="77777777" w:rsidR="004E17D3" w:rsidRDefault="004E17D3" w:rsidP="004E17D3">
      <w:pPr>
        <w:numPr>
          <w:ilvl w:val="0"/>
          <w:numId w:val="1"/>
        </w:numPr>
        <w:spacing w:line="480" w:lineRule="auto"/>
        <w:contextualSpacing/>
        <w:jc w:val="both"/>
        <w:rPr>
          <w:rFonts w:ascii="Arial" w:hAnsi="Arial"/>
        </w:rPr>
      </w:pPr>
      <w:bookmarkStart w:id="6" w:name="ABSTRACT_START"/>
      <w:bookmarkEnd w:id="6"/>
      <w:r>
        <w:rPr>
          <w:rFonts w:ascii="Arial" w:hAnsi="Arial"/>
          <w:rtl/>
        </w:rPr>
        <w:t xml:space="preserve">הנאשם הודה והורשע במסגרת הסדר טיעון בביצוע עבירות של </w:t>
      </w:r>
      <w:r>
        <w:rPr>
          <w:rFonts w:ascii="Arial" w:hAnsi="Arial"/>
          <w:b/>
          <w:bCs/>
          <w:rtl/>
        </w:rPr>
        <w:t>גידול, ייצור והכנת סמים  מסוכנים</w:t>
      </w:r>
      <w:r>
        <w:rPr>
          <w:rFonts w:ascii="Arial" w:hAnsi="Arial"/>
          <w:rtl/>
        </w:rPr>
        <w:t xml:space="preserve">, עבירה לפי </w:t>
      </w:r>
      <w:hyperlink r:id="rId17" w:history="1">
        <w:r w:rsidR="00215226" w:rsidRPr="00215226">
          <w:rPr>
            <w:rStyle w:val="Hyperlink"/>
            <w:rFonts w:ascii="Arial" w:hAnsi="Arial"/>
            <w:rtl/>
          </w:rPr>
          <w:t>סעיף 6</w:t>
        </w:r>
      </w:hyperlink>
      <w:r>
        <w:rPr>
          <w:rFonts w:ascii="Arial" w:hAnsi="Arial"/>
          <w:rtl/>
        </w:rPr>
        <w:t xml:space="preserve"> ל</w:t>
      </w:r>
      <w:hyperlink r:id="rId18" w:history="1">
        <w:r w:rsidR="00A677CF" w:rsidRPr="00A677CF">
          <w:rPr>
            <w:rFonts w:ascii="Arial" w:hAnsi="Arial"/>
            <w:color w:val="0000FF"/>
            <w:u w:val="single"/>
            <w:rtl/>
          </w:rPr>
          <w:t>פקודת הסמים המסוכנים</w:t>
        </w:r>
      </w:hyperlink>
      <w:r>
        <w:rPr>
          <w:rFonts w:ascii="Arial" w:hAnsi="Arial"/>
          <w:rtl/>
        </w:rPr>
        <w:t xml:space="preserve"> (נוסח חדש) תשל"ג – 1973 (להלן: "</w:t>
      </w:r>
      <w:r>
        <w:rPr>
          <w:rFonts w:ascii="Arial" w:hAnsi="Arial"/>
          <w:b/>
          <w:bCs/>
          <w:rtl/>
        </w:rPr>
        <w:t>הפקודה</w:t>
      </w:r>
      <w:r>
        <w:rPr>
          <w:rFonts w:ascii="Arial" w:hAnsi="Arial"/>
          <w:rtl/>
        </w:rPr>
        <w:t xml:space="preserve">"), עבירת </w:t>
      </w:r>
      <w:r>
        <w:rPr>
          <w:rFonts w:ascii="Arial" w:hAnsi="Arial"/>
          <w:b/>
          <w:bCs/>
          <w:rtl/>
        </w:rPr>
        <w:t>החזקת סם מסוכן שלא לצריכה עצמית</w:t>
      </w:r>
      <w:r>
        <w:rPr>
          <w:rFonts w:ascii="Arial" w:hAnsi="Arial"/>
          <w:rtl/>
        </w:rPr>
        <w:t xml:space="preserve">, עבירה לפי </w:t>
      </w:r>
      <w:hyperlink r:id="rId19" w:history="1">
        <w:r w:rsidR="00215226" w:rsidRPr="00215226">
          <w:rPr>
            <w:rStyle w:val="Hyperlink"/>
            <w:rFonts w:ascii="Arial" w:hAnsi="Arial"/>
            <w:rtl/>
          </w:rPr>
          <w:t>סעיף 7(ג)</w:t>
        </w:r>
      </w:hyperlink>
      <w:r>
        <w:rPr>
          <w:rFonts w:ascii="Arial" w:hAnsi="Arial"/>
          <w:rtl/>
        </w:rPr>
        <w:t xml:space="preserve"> רישא לפקודה, </w:t>
      </w:r>
      <w:r>
        <w:rPr>
          <w:rFonts w:ascii="Arial" w:hAnsi="Arial"/>
          <w:b/>
          <w:bCs/>
          <w:rtl/>
        </w:rPr>
        <w:t>וגניבת חשמל</w:t>
      </w:r>
      <w:r>
        <w:rPr>
          <w:rFonts w:ascii="Arial" w:hAnsi="Arial"/>
          <w:rtl/>
        </w:rPr>
        <w:t xml:space="preserve">, עבירה לפי </w:t>
      </w:r>
      <w:hyperlink r:id="rId20" w:history="1">
        <w:r w:rsidR="00215226" w:rsidRPr="00215226">
          <w:rPr>
            <w:rStyle w:val="Hyperlink"/>
            <w:rFonts w:ascii="Arial" w:hAnsi="Arial"/>
            <w:rtl/>
          </w:rPr>
          <w:t>סעיף 400</w:t>
        </w:r>
      </w:hyperlink>
      <w:r>
        <w:rPr>
          <w:rFonts w:ascii="Arial" w:hAnsi="Arial"/>
          <w:rtl/>
        </w:rPr>
        <w:t xml:space="preserve"> ל</w:t>
      </w:r>
      <w:hyperlink r:id="rId21" w:history="1">
        <w:r w:rsidR="00A677CF" w:rsidRPr="00A677CF">
          <w:rPr>
            <w:rFonts w:ascii="Arial" w:hAnsi="Arial"/>
            <w:color w:val="0000FF"/>
            <w:u w:val="single"/>
            <w:rtl/>
          </w:rPr>
          <w:t>חוק העונשין</w:t>
        </w:r>
      </w:hyperlink>
      <w:r>
        <w:rPr>
          <w:rFonts w:ascii="Arial" w:hAnsi="Arial"/>
          <w:rtl/>
        </w:rPr>
        <w:t xml:space="preserve">, התשל"ז – 1977. </w:t>
      </w:r>
      <w:bookmarkStart w:id="7" w:name="ABSTRACT_END"/>
      <w:bookmarkEnd w:id="7"/>
    </w:p>
    <w:p w14:paraId="27CE57E2" w14:textId="77777777" w:rsidR="004E17D3" w:rsidRDefault="004E17D3" w:rsidP="004E17D3">
      <w:pPr>
        <w:numPr>
          <w:ilvl w:val="0"/>
          <w:numId w:val="1"/>
        </w:numPr>
        <w:spacing w:line="480" w:lineRule="auto"/>
        <w:contextualSpacing/>
        <w:jc w:val="both"/>
        <w:rPr>
          <w:rFonts w:ascii="Arial" w:hAnsi="Arial"/>
        </w:rPr>
      </w:pPr>
      <w:r>
        <w:rPr>
          <w:rFonts w:ascii="Arial" w:hAnsi="Arial"/>
          <w:rtl/>
        </w:rPr>
        <w:t>על פי עובדות כתב האישום, כארבעה חודשים עובר ליום 4.12.19, הקים הנאשם במבנה בחצר בית אמו, ברחוב נחמיה 50 בראשון לציון (להלן: "</w:t>
      </w:r>
      <w:r>
        <w:rPr>
          <w:rFonts w:ascii="Arial" w:hAnsi="Arial"/>
          <w:b/>
          <w:bCs/>
          <w:rtl/>
        </w:rPr>
        <w:t>הבית</w:t>
      </w:r>
      <w:r>
        <w:rPr>
          <w:rFonts w:ascii="Arial" w:hAnsi="Arial"/>
          <w:rtl/>
        </w:rPr>
        <w:t xml:space="preserve">") מעבדה לגידול </w:t>
      </w:r>
      <w:r>
        <w:rPr>
          <w:rFonts w:ascii="Arial" w:hAnsi="Arial" w:hint="cs"/>
          <w:rtl/>
        </w:rPr>
        <w:t xml:space="preserve">קנביס </w:t>
      </w:r>
      <w:r>
        <w:rPr>
          <w:rFonts w:ascii="Arial" w:hAnsi="Arial"/>
          <w:rtl/>
        </w:rPr>
        <w:t>(להלן: "</w:t>
      </w:r>
      <w:r>
        <w:rPr>
          <w:rFonts w:ascii="Arial" w:hAnsi="Arial"/>
          <w:b/>
          <w:bCs/>
          <w:rtl/>
        </w:rPr>
        <w:t>המעבדה</w:t>
      </w:r>
      <w:r>
        <w:rPr>
          <w:rFonts w:ascii="Arial" w:hAnsi="Arial"/>
          <w:rtl/>
        </w:rPr>
        <w:t>"). לשם כך רכש שתילי קנב</w:t>
      </w:r>
      <w:r>
        <w:rPr>
          <w:rFonts w:ascii="Arial" w:hAnsi="Arial" w:hint="cs"/>
          <w:rtl/>
        </w:rPr>
        <w:t>י</w:t>
      </w:r>
      <w:r>
        <w:rPr>
          <w:rFonts w:ascii="Arial" w:hAnsi="Arial"/>
          <w:rtl/>
        </w:rPr>
        <w:t xml:space="preserve">ס, חומרי דישון, אדניות, מזגנים, מאווררים, </w:t>
      </w:r>
      <w:r>
        <w:rPr>
          <w:rFonts w:ascii="Arial" w:hAnsi="Arial"/>
          <w:rtl/>
        </w:rPr>
        <w:lastRenderedPageBreak/>
        <w:t>שנאים, מנורות, פילטרים ואמצעים נוספים לגידול הסם. במהלך התקופה הרלוונטית, הפיק הנאשם במעבדה סם מסוכן מסוג קנבוס, וביום 4.12.19 החזיק הנאשם במעבדה 60 שתילים של סם מסוכן מסוג קנב</w:t>
      </w:r>
      <w:r>
        <w:rPr>
          <w:rFonts w:ascii="Arial" w:hAnsi="Arial" w:hint="cs"/>
          <w:rtl/>
        </w:rPr>
        <w:t>י</w:t>
      </w:r>
      <w:r>
        <w:rPr>
          <w:rFonts w:ascii="Arial" w:hAnsi="Arial"/>
          <w:rtl/>
        </w:rPr>
        <w:t xml:space="preserve">ס, בכמות כוללת של 30.18 ק"ג, בשווי מיליוני ₪. </w:t>
      </w:r>
    </w:p>
    <w:p w14:paraId="320E33FF" w14:textId="77777777" w:rsidR="004E17D3" w:rsidRDefault="004E17D3" w:rsidP="004E17D3">
      <w:pPr>
        <w:numPr>
          <w:ilvl w:val="0"/>
          <w:numId w:val="1"/>
        </w:numPr>
        <w:spacing w:line="480" w:lineRule="auto"/>
        <w:contextualSpacing/>
        <w:jc w:val="both"/>
        <w:rPr>
          <w:rFonts w:ascii="Arial" w:hAnsi="Arial"/>
        </w:rPr>
      </w:pPr>
      <w:r>
        <w:rPr>
          <w:rFonts w:ascii="Arial" w:hAnsi="Arial"/>
          <w:rtl/>
        </w:rPr>
        <w:t xml:space="preserve">באותן נסיבות ביצע הנאשם מעקף במפסק החשמל וסילוף הנתיך, על מנת למנוע קריאה מלאה של החשמל וקריסתו בעומס גבוה. באופן זה גנב הנאשם חשמל בסך כולל של 22,344 ₪. </w:t>
      </w:r>
    </w:p>
    <w:p w14:paraId="65ED8EA2" w14:textId="77777777" w:rsidR="004E17D3" w:rsidRDefault="004E17D3" w:rsidP="004E17D3">
      <w:pPr>
        <w:numPr>
          <w:ilvl w:val="0"/>
          <w:numId w:val="1"/>
        </w:numPr>
        <w:spacing w:line="480" w:lineRule="auto"/>
        <w:contextualSpacing/>
        <w:jc w:val="both"/>
        <w:rPr>
          <w:rFonts w:ascii="Arial" w:hAnsi="Arial"/>
        </w:rPr>
      </w:pPr>
      <w:r>
        <w:rPr>
          <w:rFonts w:ascii="Arial" w:hAnsi="Arial"/>
          <w:rtl/>
        </w:rPr>
        <w:t xml:space="preserve">בדיון מיום 24.6.20 הגיעו הצדדים להסדר לפיו יודה הנאשם בכתב האישום ויישלח לקבלת תסקיר שירות המבחן. עוד הוסכם, כי הצדדים יעתרו במשותף למתחם ענישה הנע בין 15 – 30 חודשי מאסר. בכפוף לתסקיר חיובי, תעתור המאשימה ל – 15 חודשי מאסר, קנס ומאסר מותנה. </w:t>
      </w:r>
    </w:p>
    <w:p w14:paraId="6585C440" w14:textId="77777777" w:rsidR="004E17D3" w:rsidRDefault="004E17D3" w:rsidP="004E17D3">
      <w:pPr>
        <w:spacing w:line="480" w:lineRule="auto"/>
        <w:jc w:val="both"/>
        <w:rPr>
          <w:rFonts w:ascii="Arial" w:hAnsi="Arial"/>
        </w:rPr>
      </w:pPr>
    </w:p>
    <w:p w14:paraId="57C6BE90" w14:textId="77777777" w:rsidR="004E17D3" w:rsidRDefault="004E17D3" w:rsidP="004E17D3">
      <w:pPr>
        <w:spacing w:line="480" w:lineRule="auto"/>
        <w:jc w:val="both"/>
        <w:rPr>
          <w:rFonts w:ascii="Arial" w:hAnsi="Arial"/>
          <w:b/>
          <w:bCs/>
          <w:u w:val="single"/>
          <w:rtl/>
        </w:rPr>
      </w:pPr>
      <w:r>
        <w:rPr>
          <w:rFonts w:ascii="Arial" w:hAnsi="Arial"/>
          <w:b/>
          <w:bCs/>
          <w:u w:val="single"/>
          <w:rtl/>
        </w:rPr>
        <w:t>תסקיר שירות המבחן:</w:t>
      </w:r>
    </w:p>
    <w:p w14:paraId="7E89890E" w14:textId="77777777" w:rsidR="004E17D3" w:rsidRDefault="004E17D3" w:rsidP="004E17D3">
      <w:pPr>
        <w:numPr>
          <w:ilvl w:val="0"/>
          <w:numId w:val="1"/>
        </w:numPr>
        <w:spacing w:line="480" w:lineRule="auto"/>
        <w:contextualSpacing/>
        <w:jc w:val="both"/>
        <w:rPr>
          <w:rFonts w:ascii="Arial" w:hAnsi="Arial"/>
        </w:rPr>
      </w:pPr>
      <w:r>
        <w:rPr>
          <w:rFonts w:ascii="Arial" w:hAnsi="Arial"/>
          <w:rtl/>
        </w:rPr>
        <w:t xml:space="preserve">בעניינו של הנאשם הוגש תסקיר שירות המבחן, שהתקבל ביום 11.1.21. על פי התסקיר, הנאשם כבן 50, גרוש ואב ל – 3 ילדים בוגרים. הנאשם עובד מזה כשנה בחנות פלאפל כשכיר וגר עם אמו. בעברו, עסק הנאשם בניהול גן אירועים מספר שנים, אך לאחר שעסקו נסגר, נקלע לחובות כספיים והתמודד עם משבר אשר גרם לו לקשיים רגשיים, נפשיים וכלכליים. הנאשם מסר, כי בתקופה זו החל לצרוך סם מסוג קנבוס אשר הביא להקלה במצבו הנפשי. לדברי הנאשם, בשנת 2017 נפצע בתאונת דרכים, אירוע נוסף שהביא לדבריו, להתדרדרות במצבו הנפשי וגרם לקשיים לחזרתו לעבודה. </w:t>
      </w:r>
    </w:p>
    <w:p w14:paraId="7D5BC9C1" w14:textId="77777777" w:rsidR="004E17D3" w:rsidRDefault="004E17D3" w:rsidP="004E17D3">
      <w:pPr>
        <w:spacing w:line="480" w:lineRule="auto"/>
        <w:ind w:left="720"/>
        <w:contextualSpacing/>
        <w:jc w:val="both"/>
        <w:rPr>
          <w:rFonts w:ascii="Arial" w:hAnsi="Arial"/>
          <w:rtl/>
        </w:rPr>
      </w:pPr>
      <w:r>
        <w:rPr>
          <w:rFonts w:ascii="Arial" w:hAnsi="Arial"/>
          <w:rtl/>
        </w:rPr>
        <w:t xml:space="preserve">לנאשם הרשעה אחת משנת 2016, בגין עבירה של אי הגשת דו"ח במועד לאחר דרישה, בגינה נידון ל – 6 חודשי מאסר בעבודות שירות, מאסר מותנה וקנס. </w:t>
      </w:r>
    </w:p>
    <w:p w14:paraId="4557F211" w14:textId="77777777" w:rsidR="004E17D3" w:rsidRDefault="004E17D3" w:rsidP="004E17D3">
      <w:pPr>
        <w:spacing w:line="480" w:lineRule="auto"/>
        <w:ind w:left="720"/>
        <w:contextualSpacing/>
        <w:jc w:val="both"/>
        <w:rPr>
          <w:rFonts w:ascii="Arial" w:hAnsi="Arial"/>
        </w:rPr>
      </w:pPr>
      <w:r>
        <w:rPr>
          <w:rFonts w:ascii="Arial" w:hAnsi="Arial"/>
          <w:rtl/>
        </w:rPr>
        <w:t xml:space="preserve">לנאשם 39 עבירות תעבורה, בהן נהיגה בזמן פסילה, נהיגה תחת השפעת סמים, שימוש בטלפון, מהירות ואי ציות לתמרור. שירות המבחן התרשם מדפוס נהיגה מסוכן ובעייתי. </w:t>
      </w:r>
    </w:p>
    <w:p w14:paraId="59EE40E1" w14:textId="77777777" w:rsidR="004E17D3" w:rsidRDefault="004E17D3" w:rsidP="004E17D3">
      <w:pPr>
        <w:numPr>
          <w:ilvl w:val="0"/>
          <w:numId w:val="1"/>
        </w:numPr>
        <w:spacing w:line="480" w:lineRule="auto"/>
        <w:contextualSpacing/>
        <w:jc w:val="both"/>
        <w:rPr>
          <w:rFonts w:ascii="Arial" w:hAnsi="Arial"/>
        </w:rPr>
      </w:pPr>
      <w:r>
        <w:rPr>
          <w:rFonts w:ascii="Arial" w:hAnsi="Arial"/>
          <w:rtl/>
        </w:rPr>
        <w:t xml:space="preserve">בהתייחסותו לעבירה הנוכחית, נטל הנאשם אחריות חלקית, תיאר כי ביצע את העבירות על רקע משבר כלכלי והתדרדרות במצבו הנפשי. הנאשם מסר כי החליט לגדל את הסמים לצורך שימוש עצמי בלבד, שלל כוונה לעסוק בסחר ולדבריו היה חסר מודעות לכך שעובר </w:t>
      </w:r>
      <w:r>
        <w:rPr>
          <w:rFonts w:ascii="Arial" w:hAnsi="Arial"/>
          <w:rtl/>
        </w:rPr>
        <w:lastRenderedPageBreak/>
        <w:t xml:space="preserve">הוא על החוק. הנאשם התקשה להבין את השלכות מעשיו. אמנם, </w:t>
      </w:r>
      <w:r>
        <w:rPr>
          <w:rFonts w:ascii="Arial" w:hAnsi="Arial" w:hint="cs"/>
          <w:rtl/>
        </w:rPr>
        <w:t xml:space="preserve">הוא </w:t>
      </w:r>
      <w:r>
        <w:rPr>
          <w:rFonts w:ascii="Arial" w:hAnsi="Arial"/>
          <w:rtl/>
        </w:rPr>
        <w:t xml:space="preserve">הביע חרטה מילולית, אך ניכרו קשייו לבחון את התנהגותו השולית. שירות המבחן התרשם כי הנאשם מרוכז בצרכיו האישיים ובמחירים הצפויים לו כתוצאה מהעבירות. לנאשם דפוסי חשיבה נוקשים. עוד התרשם שירות המבחן, כי הנאשם מחזיק בעמדות מקילות בנוגע לצריכת סמים. הנאשם מסר כי אינו משתמש בסמים מזה כשנה, ושולל נזקקות טיפולית בתחום זה. בדיקות שתן שמסר נמצאו נקיות משרידי סם. שירות המבחן העריך כי הנאשם אינו מאופיין באישיות עבריינית והתנהגותו הבעייתית קשורה למשבר שפקד אותו בעקבות סגירת עסקו, לצד קושי בקבלת החלטות מושכלות ולהתמודדות עם מצבי דחק. לאור כל האמור, נמנע שירות המבחן מהמלצה שיקומית בעניינו, והמליץ על ענישה מוחשית ומחדדת גבולות החוק.   </w:t>
      </w:r>
    </w:p>
    <w:p w14:paraId="243BD540" w14:textId="77777777" w:rsidR="004E17D3" w:rsidRDefault="004E17D3" w:rsidP="004E17D3">
      <w:pPr>
        <w:spacing w:line="480" w:lineRule="auto"/>
        <w:jc w:val="both"/>
        <w:rPr>
          <w:rFonts w:ascii="Arial" w:hAnsi="Arial"/>
          <w:b/>
          <w:bCs/>
          <w:u w:val="single"/>
        </w:rPr>
      </w:pPr>
    </w:p>
    <w:p w14:paraId="2670C61A" w14:textId="77777777" w:rsidR="004E17D3" w:rsidRDefault="004E17D3" w:rsidP="004E17D3">
      <w:pPr>
        <w:spacing w:line="480" w:lineRule="auto"/>
        <w:jc w:val="both"/>
        <w:rPr>
          <w:rFonts w:ascii="Arial" w:hAnsi="Arial"/>
          <w:b/>
          <w:bCs/>
          <w:u w:val="single"/>
          <w:rtl/>
        </w:rPr>
      </w:pPr>
      <w:r>
        <w:rPr>
          <w:rFonts w:ascii="Arial" w:hAnsi="Arial"/>
          <w:b/>
          <w:bCs/>
          <w:u w:val="single"/>
          <w:rtl/>
        </w:rPr>
        <w:t>טענות הצדדים:</w:t>
      </w:r>
    </w:p>
    <w:p w14:paraId="4F6CA2B8" w14:textId="77777777" w:rsidR="004E17D3" w:rsidRDefault="004E17D3" w:rsidP="004E17D3">
      <w:pPr>
        <w:numPr>
          <w:ilvl w:val="0"/>
          <w:numId w:val="1"/>
        </w:numPr>
        <w:spacing w:line="480" w:lineRule="auto"/>
        <w:contextualSpacing/>
        <w:jc w:val="both"/>
        <w:rPr>
          <w:rFonts w:ascii="Arial" w:hAnsi="Arial"/>
        </w:rPr>
      </w:pPr>
      <w:r>
        <w:rPr>
          <w:rFonts w:ascii="Arial" w:hAnsi="Arial"/>
          <w:rtl/>
        </w:rPr>
        <w:t xml:space="preserve">ב"כ המאשימה טען כי הערכים המוגנים שנפגעו כתוצאה ממעשיו של הנאשם הינם הגנה על בריאות הציבור ושלומו, ונטען כי הפגיעות הינן ישירות ועקיפות. הודגשו נסיבות ביצוע העבירה, הפקת 60 שתילים, במשל 30 ק"ג, השווה ערך לסכום של מיליוני ₪. ב"כ המאשימה עתר ליתן משקל משמעותי בגזירת עונשו של הנאשם בשל התכנון שקדם לביצוע העבירות, ההשקעה הכספית המשמעותית, גידול סם משך ארבעה חודשים וגניבת החשמל בשווי משמעותי. לדבריו, כמויות הסם שנתפסו הן בכמויות מסחריות, המצביעות על פוטנציאל הנזק ממעשיו. ב"כ המאשימה טען כי אין בעניינו של הנאשם שיקולי שיקום, ולא נדרש הליך טיפולי. הודגשה המלצת שירות המבחן לענישה מוחשית ומשמעותית. לאור האמור, עתר לקביעת מתחם ענישה הנע בין 15 – 36 חודשי מאסר, כאשר עתר להטלת עונש של 18 חודשי מאסר בפועל, מאסר מותנה, קנס אשר ישקף את האמור </w:t>
      </w:r>
      <w:hyperlink r:id="rId22" w:history="1">
        <w:r w:rsidR="00215226" w:rsidRPr="00215226">
          <w:rPr>
            <w:rStyle w:val="Hyperlink"/>
            <w:rFonts w:ascii="Arial" w:hAnsi="Arial"/>
            <w:rtl/>
          </w:rPr>
          <w:t>בסעיף 32</w:t>
        </w:r>
      </w:hyperlink>
      <w:r>
        <w:rPr>
          <w:rFonts w:ascii="Arial" w:hAnsi="Arial"/>
          <w:rtl/>
        </w:rPr>
        <w:t xml:space="preserve"> לפקודה ואת שווי החשמל שנגנב. עוד עתר לחילוט ציוד המעבדה ששימש לייצור הסמים. </w:t>
      </w:r>
    </w:p>
    <w:p w14:paraId="15AB4D6E" w14:textId="77777777" w:rsidR="004E17D3" w:rsidRDefault="004E17D3" w:rsidP="004E17D3">
      <w:pPr>
        <w:numPr>
          <w:ilvl w:val="0"/>
          <w:numId w:val="1"/>
        </w:numPr>
        <w:spacing w:line="480" w:lineRule="auto"/>
        <w:contextualSpacing/>
        <w:jc w:val="both"/>
        <w:rPr>
          <w:rFonts w:ascii="Arial" w:hAnsi="Arial"/>
        </w:rPr>
      </w:pPr>
      <w:r>
        <w:rPr>
          <w:rFonts w:ascii="Arial" w:hAnsi="Arial"/>
          <w:rtl/>
        </w:rPr>
        <w:t xml:space="preserve">ב"כ הנאשם הדגיש את נסיבות חייו של הנאשם, תאונת הדרכים אותה עבר, סגירת עסקו וההשלכות בשל כך על חייו. הודגשו היות  הנאשם גרוש ואב לשלושה ילדים, חוסר הקשר עם אביו והעובדה כי סועד את אמו בת ה – 84. ב"כ הנאשם טען כי התרשמות שירות המבחן לפיה הנאשם לא הרחיב על נסיבות חייו אינה מאיינת את סיכויי הנאשם לשיקום. ב"כ הנאשם טען כי לנאשם סיכויי שיקום טובים, לאור היותו שומר על רצף תעסוקתי, העובדה כי מסר בדיקות השתן שנמצאו נקיות משרידי סם, וכן העובדה כי לא נפתחו כנגדו תיקים חדשים בעבירות סמים. נטען כי עברו הפלילי של הנאשם מינורי, וכי למעשה בגיל 50 מעד מעידה ראשונה. על כן, ביקש ב"כ הנאשם לחרוג מן הסדר הטיעון אליו הגיעו הצדדים ולשקול המרת העונש למאסר בעבודות שירות. לדבריו, שליחתו של הנאשם למאסר בפועל תמיט אסון על הנאשם ועל משפחתו, על אמו המבוגרת ועל יתר המשפחה התלויה בו. </w:t>
      </w:r>
    </w:p>
    <w:p w14:paraId="67C62D9B" w14:textId="77777777" w:rsidR="004E17D3" w:rsidRDefault="004E17D3" w:rsidP="004E17D3">
      <w:pPr>
        <w:numPr>
          <w:ilvl w:val="0"/>
          <w:numId w:val="1"/>
        </w:numPr>
        <w:spacing w:line="480" w:lineRule="auto"/>
        <w:contextualSpacing/>
        <w:jc w:val="both"/>
        <w:rPr>
          <w:rFonts w:ascii="Arial" w:hAnsi="Arial"/>
        </w:rPr>
      </w:pPr>
      <w:r>
        <w:rPr>
          <w:rFonts w:ascii="Arial" w:hAnsi="Arial"/>
          <w:rtl/>
        </w:rPr>
        <w:t xml:space="preserve">הנאשם מסר כי הוא מביע חרטה על מעשיו. לדבריו, ההליך השיקומי לא מוצה עקב מגיפת הקורונה ומותה של אחותו  בטרם עת ממחלת הסרטן. עוד מסר, כי החל לעבוד באופן מסודר ושילם את רוב חובותיו, וכי הוא מצוי בתחילתו של הליך שיקום ומעוניין להמשיכו. </w:t>
      </w:r>
    </w:p>
    <w:p w14:paraId="38D07970" w14:textId="77777777" w:rsidR="004E17D3" w:rsidRDefault="004E17D3" w:rsidP="004E17D3">
      <w:pPr>
        <w:numPr>
          <w:ilvl w:val="0"/>
          <w:numId w:val="1"/>
        </w:numPr>
        <w:spacing w:line="480" w:lineRule="auto"/>
        <w:contextualSpacing/>
        <w:jc w:val="both"/>
        <w:rPr>
          <w:rFonts w:ascii="Arial" w:hAnsi="Arial"/>
        </w:rPr>
      </w:pPr>
      <w:r>
        <w:rPr>
          <w:rFonts w:ascii="Arial" w:hAnsi="Arial"/>
          <w:rtl/>
        </w:rPr>
        <w:t xml:space="preserve">לטובת הנאשם העיד יחזקאל בן זימרה, סגן מנהל הרשות למניעת אלימות סמים ואלכוהול בעיריית ראשון לציון, אשר מכיר את הנאשם, לדבריו, זה 30 שנה. העד מסר כי הנאשם הנו איש חסד, התורם לקהילה מזמנו ומכספו. </w:t>
      </w:r>
    </w:p>
    <w:p w14:paraId="30CF8745" w14:textId="77777777" w:rsidR="004E17D3" w:rsidRDefault="004E17D3" w:rsidP="004E17D3">
      <w:pPr>
        <w:numPr>
          <w:ilvl w:val="0"/>
          <w:numId w:val="1"/>
        </w:numPr>
        <w:spacing w:line="480" w:lineRule="auto"/>
        <w:contextualSpacing/>
        <w:jc w:val="both"/>
        <w:rPr>
          <w:rFonts w:ascii="Arial" w:hAnsi="Arial"/>
        </w:rPr>
      </w:pPr>
      <w:r>
        <w:rPr>
          <w:rFonts w:ascii="Arial" w:hAnsi="Arial"/>
          <w:rtl/>
        </w:rPr>
        <w:t xml:space="preserve">העידה ישראלה קסטוריאנו, אשר שימשה כערבה מפקחת על הנאשם, ועבדה עמו בעבר. בדבריה מסרה כי הנאשם טעה, אך נטל אחריות על מעשיו ועל חייו, התחיל לשלם חובותיו, והפסיק לשתות ולעשן. עוד מסרה כי הנאשם עוזר ותורם לקהילה, ומטפל במסירות באמו. </w:t>
      </w:r>
    </w:p>
    <w:p w14:paraId="248523C8" w14:textId="77777777" w:rsidR="004E17D3" w:rsidRDefault="004E17D3" w:rsidP="004E17D3">
      <w:pPr>
        <w:spacing w:line="480" w:lineRule="auto"/>
        <w:ind w:left="360"/>
        <w:jc w:val="both"/>
        <w:rPr>
          <w:rFonts w:ascii="David" w:hAnsi="David"/>
          <w:b/>
          <w:bCs/>
          <w:u w:val="single"/>
          <w:rtl/>
        </w:rPr>
      </w:pPr>
    </w:p>
    <w:p w14:paraId="22BA6E99" w14:textId="77777777" w:rsidR="004E17D3" w:rsidRDefault="004E17D3" w:rsidP="004E17D3">
      <w:pPr>
        <w:spacing w:line="480" w:lineRule="auto"/>
        <w:ind w:left="360"/>
        <w:jc w:val="both"/>
        <w:rPr>
          <w:rFonts w:ascii="Arial" w:hAnsi="Arial"/>
          <w:rtl/>
        </w:rPr>
      </w:pPr>
      <w:r>
        <w:rPr>
          <w:rFonts w:ascii="David" w:hAnsi="David"/>
          <w:b/>
          <w:bCs/>
          <w:u w:val="single"/>
          <w:rtl/>
        </w:rPr>
        <w:t>דיון והכרעה:</w:t>
      </w:r>
    </w:p>
    <w:p w14:paraId="6531AD3C" w14:textId="77777777" w:rsidR="004E17D3" w:rsidRDefault="004E17D3" w:rsidP="004E17D3">
      <w:pPr>
        <w:numPr>
          <w:ilvl w:val="0"/>
          <w:numId w:val="1"/>
        </w:numPr>
        <w:spacing w:line="480" w:lineRule="auto"/>
        <w:contextualSpacing/>
        <w:jc w:val="both"/>
        <w:rPr>
          <w:rFonts w:ascii="Arial" w:hAnsi="Arial"/>
        </w:rPr>
      </w:pPr>
      <w:r>
        <w:rPr>
          <w:rFonts w:ascii="David" w:hAnsi="David"/>
          <w:rtl/>
        </w:rPr>
        <w:t xml:space="preserve">לאחר ששמעתי את טיעוני הצדדים, אני סבור כי יש לגזור על הנאשם מאסר בפועל ממשי, לצד רכיבי ענישה נוספים. </w:t>
      </w:r>
    </w:p>
    <w:p w14:paraId="3DCFC5D7" w14:textId="77777777" w:rsidR="004E17D3" w:rsidRDefault="004E17D3" w:rsidP="004E17D3">
      <w:pPr>
        <w:numPr>
          <w:ilvl w:val="0"/>
          <w:numId w:val="1"/>
        </w:numPr>
        <w:spacing w:line="480" w:lineRule="auto"/>
        <w:contextualSpacing/>
        <w:jc w:val="both"/>
        <w:rPr>
          <w:rFonts w:ascii="Arial" w:hAnsi="Arial"/>
        </w:rPr>
      </w:pPr>
      <w:r>
        <w:rPr>
          <w:rFonts w:ascii="David" w:hAnsi="David"/>
          <w:rtl/>
        </w:rPr>
        <w:t xml:space="preserve">במקרה דנן כתב האישום מתאר אירוע אחד ולכן יש לקבוע בגינו מתחם עונש הולם אחד. </w:t>
      </w:r>
    </w:p>
    <w:p w14:paraId="66E5AA49" w14:textId="77777777" w:rsidR="004E17D3" w:rsidRDefault="004E17D3" w:rsidP="004E17D3">
      <w:pPr>
        <w:spacing w:line="480" w:lineRule="auto"/>
        <w:jc w:val="both"/>
        <w:rPr>
          <w:rFonts w:ascii="David" w:hAnsi="David"/>
        </w:rPr>
      </w:pPr>
    </w:p>
    <w:p w14:paraId="13C2A2EA" w14:textId="77777777" w:rsidR="004E17D3" w:rsidRDefault="004E17D3" w:rsidP="004E17D3">
      <w:pPr>
        <w:spacing w:line="480" w:lineRule="auto"/>
        <w:jc w:val="both"/>
        <w:rPr>
          <w:rFonts w:ascii="Arial" w:hAnsi="Arial"/>
          <w:b/>
          <w:bCs/>
          <w:u w:val="single"/>
          <w:rtl/>
        </w:rPr>
      </w:pPr>
      <w:r>
        <w:rPr>
          <w:rFonts w:ascii="David" w:hAnsi="David"/>
          <w:b/>
          <w:bCs/>
          <w:u w:val="single"/>
          <w:rtl/>
        </w:rPr>
        <w:t>קביעת מתחם העונש ההולם</w:t>
      </w:r>
    </w:p>
    <w:p w14:paraId="2CF0B02B" w14:textId="77777777" w:rsidR="004E17D3" w:rsidRDefault="004E17D3" w:rsidP="004E17D3">
      <w:pPr>
        <w:numPr>
          <w:ilvl w:val="0"/>
          <w:numId w:val="1"/>
        </w:numPr>
        <w:spacing w:line="480" w:lineRule="auto"/>
        <w:contextualSpacing/>
        <w:jc w:val="both"/>
        <w:rPr>
          <w:rFonts w:ascii="Arial" w:hAnsi="Arial"/>
        </w:rPr>
      </w:pPr>
      <w:r>
        <w:rPr>
          <w:rFonts w:ascii="David" w:hAnsi="David"/>
          <w:rtl/>
        </w:rPr>
        <w:t xml:space="preserve">עקרון ההלימה הוא העיקרון המנחה בהתאם </w:t>
      </w:r>
      <w:hyperlink r:id="rId23" w:history="1">
        <w:r w:rsidR="00215226" w:rsidRPr="00215226">
          <w:rPr>
            <w:rStyle w:val="Hyperlink"/>
            <w:rFonts w:ascii="David" w:hAnsi="David"/>
            <w:rtl/>
          </w:rPr>
          <w:t>לסעיף 40ב</w:t>
        </w:r>
      </w:hyperlink>
      <w:r>
        <w:rPr>
          <w:rFonts w:ascii="David" w:hAnsi="David"/>
          <w:rtl/>
        </w:rPr>
        <w:t xml:space="preserve"> לחוק. בקביעת מתחם העונש ההולם, יש להתחשב בערך החברתי שנפגע, כתוצאה מביצוע העבירה בה הורשע הנאשם, במידת הפגיעה באותם ערכים, במדיניות הענישה הנוהגת ובנסיבות הקשורות בביצוע העבירה. </w:t>
      </w:r>
    </w:p>
    <w:p w14:paraId="28A32E33" w14:textId="77777777" w:rsidR="004E17D3" w:rsidRDefault="004E17D3" w:rsidP="004E17D3">
      <w:pPr>
        <w:numPr>
          <w:ilvl w:val="0"/>
          <w:numId w:val="1"/>
        </w:numPr>
        <w:spacing w:line="480" w:lineRule="auto"/>
        <w:contextualSpacing/>
        <w:jc w:val="both"/>
        <w:rPr>
          <w:rFonts w:ascii="Arial" w:hAnsi="Arial"/>
        </w:rPr>
      </w:pPr>
      <w:r>
        <w:rPr>
          <w:rFonts w:ascii="David" w:hAnsi="David"/>
          <w:rtl/>
        </w:rPr>
        <w:t>במקרה שלפניי, הערך החברתי אשר נפגע בעקבות מעשיו של הנאשם, הינו זכות הציבור להגנה על בריאותו והמלחמה בנגע הסמים.</w:t>
      </w:r>
      <w:r>
        <w:rPr>
          <w:rFonts w:ascii="Arial" w:hAnsi="Arial"/>
          <w:rtl/>
        </w:rPr>
        <w:t xml:space="preserve"> בתי המשפט בכל הערכאות שבו ועמדו על חשיבות המאבק בעבירות סמים, ועל הנזק הרב הנגרם מנגע הסם. יפים לעניין זה דברים שנאמרו ב</w:t>
      </w:r>
      <w:hyperlink r:id="rId24" w:history="1">
        <w:r w:rsidR="00A677CF" w:rsidRPr="00A677CF">
          <w:rPr>
            <w:rFonts w:ascii="Arial" w:hAnsi="Arial"/>
            <w:color w:val="0000FF"/>
            <w:u w:val="single"/>
            <w:rtl/>
          </w:rPr>
          <w:t>ע"פ 4484/05</w:t>
        </w:r>
      </w:hyperlink>
      <w:r>
        <w:rPr>
          <w:rFonts w:ascii="Arial" w:hAnsi="Arial"/>
          <w:rtl/>
        </w:rPr>
        <w:t xml:space="preserve"> </w:t>
      </w:r>
      <w:r>
        <w:rPr>
          <w:rFonts w:ascii="Arial" w:hAnsi="Arial"/>
          <w:b/>
          <w:bCs/>
          <w:rtl/>
        </w:rPr>
        <w:t xml:space="preserve">גונן שגב נ' מד"י </w:t>
      </w:r>
      <w:r>
        <w:rPr>
          <w:rFonts w:ascii="Arial" w:hAnsi="Arial"/>
          <w:rtl/>
        </w:rPr>
        <w:t>(לא פורסם) (8.8.06):</w:t>
      </w:r>
    </w:p>
    <w:p w14:paraId="1730266F" w14:textId="77777777" w:rsidR="004E17D3" w:rsidRDefault="004E17D3" w:rsidP="004E17D3">
      <w:pPr>
        <w:spacing w:line="480" w:lineRule="auto"/>
        <w:ind w:left="720"/>
        <w:contextualSpacing/>
        <w:jc w:val="both"/>
        <w:rPr>
          <w:rFonts w:ascii="Arial" w:hAnsi="Arial"/>
          <w:rtl/>
        </w:rPr>
      </w:pPr>
      <w:r>
        <w:rPr>
          <w:rFonts w:ascii="Arial" w:hAnsi="Arial"/>
          <w:rtl/>
        </w:rPr>
        <w:t>"</w:t>
      </w:r>
      <w:r>
        <w:rPr>
          <w:rFonts w:ascii="Arial" w:hAnsi="Arial"/>
          <w:b/>
          <w:bCs/>
          <w:rtl/>
        </w:rPr>
        <w:t>נגע הסמים מכלה בישראל כל חלקה טובה. כמות המילים שהושמעו באשר לצורך להילחם בנגע זה היא אין סופית. אין לך בית משפט בכל ערכאה שהיא, שלא חוזר על האמירות שעניינן המלחמה שהוקדשה לביעור התופעה, ענישה מחמירה ככלי מרכזי במלחמה זו, והצורך להכות בכל אחת מחוליות הפצת הסם בין אם מדובר בבלדר, ובין אם מדובר במי שמעמדו בהיררכיה באותה פעולה ספציפית שעליה נסוב הדיון, גבוה יותר</w:t>
      </w:r>
      <w:r>
        <w:rPr>
          <w:rFonts w:ascii="Arial" w:hAnsi="Arial"/>
          <w:rtl/>
        </w:rPr>
        <w:t>".</w:t>
      </w:r>
    </w:p>
    <w:p w14:paraId="2D3F23E0" w14:textId="77777777" w:rsidR="004E17D3" w:rsidRDefault="004E17D3" w:rsidP="004E17D3">
      <w:pPr>
        <w:numPr>
          <w:ilvl w:val="0"/>
          <w:numId w:val="1"/>
        </w:numPr>
        <w:spacing w:line="480" w:lineRule="auto"/>
        <w:contextualSpacing/>
        <w:jc w:val="both"/>
        <w:rPr>
          <w:rFonts w:ascii="Arial" w:hAnsi="Arial"/>
        </w:rPr>
      </w:pPr>
      <w:r>
        <w:rPr>
          <w:rFonts w:ascii="Arial" w:hAnsi="Arial"/>
          <w:rtl/>
        </w:rPr>
        <w:t>ב</w:t>
      </w:r>
      <w:hyperlink r:id="rId25" w:history="1">
        <w:r w:rsidR="00A677CF" w:rsidRPr="00A677CF">
          <w:rPr>
            <w:rFonts w:ascii="Arial" w:hAnsi="Arial"/>
            <w:color w:val="0000FF"/>
            <w:u w:val="single"/>
            <w:rtl/>
          </w:rPr>
          <w:t>ע"פ 972/11</w:t>
        </w:r>
      </w:hyperlink>
      <w:r>
        <w:rPr>
          <w:rFonts w:ascii="Arial" w:hAnsi="Arial"/>
          <w:rtl/>
        </w:rPr>
        <w:t xml:space="preserve"> </w:t>
      </w:r>
      <w:r>
        <w:rPr>
          <w:rFonts w:ascii="Arial" w:hAnsi="Arial"/>
          <w:b/>
          <w:bCs/>
          <w:rtl/>
        </w:rPr>
        <w:t>מדינת ישראל נ' יניב יונה</w:t>
      </w:r>
      <w:r>
        <w:rPr>
          <w:rFonts w:ascii="Arial" w:hAnsi="Arial"/>
          <w:rtl/>
        </w:rPr>
        <w:t xml:space="preserve"> [פורסם בנבו] (4.7.12) נקבע: </w:t>
      </w:r>
    </w:p>
    <w:p w14:paraId="6A502103" w14:textId="77777777" w:rsidR="004E17D3" w:rsidRDefault="004E17D3" w:rsidP="004E17D3">
      <w:pPr>
        <w:spacing w:line="480" w:lineRule="auto"/>
        <w:ind w:left="720"/>
        <w:contextualSpacing/>
        <w:jc w:val="both"/>
        <w:rPr>
          <w:rFonts w:ascii="Arial" w:hAnsi="Arial"/>
          <w:rtl/>
        </w:rPr>
      </w:pPr>
      <w:r>
        <w:rPr>
          <w:rFonts w:ascii="Arial" w:hAnsi="Arial"/>
          <w:rtl/>
        </w:rPr>
        <w:t>"</w:t>
      </w:r>
      <w:r>
        <w:rPr>
          <w:rFonts w:ascii="Arial" w:hAnsi="Arial"/>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למאבק בנגע הסמים יש שותפים רבים... אף בית המשפט נוטל חלק חשוב במאבק, באמצעות הטלת עונש מרתיע על מי שהורשע בעבירות סמים... צו השעה הוא להחמיר בענישה בעבירות סמים</w:t>
      </w:r>
      <w:r>
        <w:rPr>
          <w:rFonts w:ascii="Arial" w:hAnsi="Arial"/>
          <w:rtl/>
        </w:rPr>
        <w:t>".</w:t>
      </w:r>
    </w:p>
    <w:p w14:paraId="1F0F6BB9" w14:textId="77777777" w:rsidR="004E17D3" w:rsidRDefault="004E17D3" w:rsidP="004E17D3">
      <w:pPr>
        <w:numPr>
          <w:ilvl w:val="0"/>
          <w:numId w:val="1"/>
        </w:numPr>
        <w:spacing w:line="480" w:lineRule="auto"/>
        <w:contextualSpacing/>
        <w:jc w:val="both"/>
        <w:rPr>
          <w:rFonts w:ascii="Arial" w:hAnsi="Arial"/>
          <w:rtl/>
        </w:rPr>
      </w:pPr>
      <w:r>
        <w:rPr>
          <w:rFonts w:ascii="Arial" w:hAnsi="Arial"/>
          <w:rtl/>
        </w:rPr>
        <w:t>כידוע בין מגדלי הסמים נמנים אנשים נורמטיביים העושים זאת לצורך הפקת רווחים כלכליים או אישיים. יפים לעניינו דברי בית המשפט ב</w:t>
      </w:r>
      <w:hyperlink r:id="rId26" w:history="1">
        <w:r w:rsidR="00A677CF" w:rsidRPr="00A677CF">
          <w:rPr>
            <w:rFonts w:ascii="Arial" w:hAnsi="Arial"/>
            <w:color w:val="0000FF"/>
            <w:u w:val="single"/>
            <w:rtl/>
          </w:rPr>
          <w:t>עפ"ג 42358-10-14</w:t>
        </w:r>
      </w:hyperlink>
      <w:r>
        <w:rPr>
          <w:rFonts w:ascii="Arial" w:hAnsi="Arial"/>
          <w:rtl/>
        </w:rPr>
        <w:t xml:space="preserve"> (מח-ת"א) </w:t>
      </w:r>
      <w:r>
        <w:rPr>
          <w:rFonts w:ascii="Arial" w:hAnsi="Arial"/>
          <w:b/>
          <w:bCs/>
          <w:rtl/>
        </w:rPr>
        <w:t>אדי עמר נ' מדינת ישראל</w:t>
      </w:r>
      <w:r>
        <w:rPr>
          <w:rFonts w:ascii="Arial" w:hAnsi="Arial"/>
          <w:rtl/>
        </w:rPr>
        <w:t>, בעניינו של מגדל סם שעבר הליך שיקומי, ובית המשפט לא נעתר להמלצת שירות המבחן וגזר עליו מאסר בפועל: "</w:t>
      </w:r>
      <w:r>
        <w:rPr>
          <w:rFonts w:ascii="Arial" w:hAnsi="Arial"/>
          <w:b/>
          <w:bCs/>
          <w:rtl/>
        </w:rPr>
        <w:t>עבירה זו הפכה להיות נפוצה, ומצדנו נוסיף, גם נפיצה שהרי גלום בה פוטנציאל סיכון רב ביותר. גידול הסמים כנראה הוא קל ופשוט יחסית ושמא עובדה זו מעודדת אנשים רבים לעסוק בגידול הסם.. המבקש שבפנינו פעל כמקצוען.. אין מדובר בעיסוק מקרי ואקראי, אלא בעיסוק שיטתי ומתמשך שהמבקש השקיע בו זמן רב</w:t>
      </w:r>
      <w:r>
        <w:rPr>
          <w:rFonts w:ascii="Arial" w:hAnsi="Arial"/>
          <w:rtl/>
        </w:rPr>
        <w:t xml:space="preserve">" (ר'בנושא זה </w:t>
      </w:r>
      <w:hyperlink r:id="rId27" w:history="1">
        <w:r w:rsidR="00A677CF" w:rsidRPr="00A677CF">
          <w:rPr>
            <w:rFonts w:ascii="Arial" w:hAnsi="Arial"/>
            <w:color w:val="0000FF"/>
            <w:u w:val="single"/>
            <w:rtl/>
          </w:rPr>
          <w:t>ת"פ (שלום כ"ס) 19981-06-16</w:t>
        </w:r>
      </w:hyperlink>
      <w:r>
        <w:rPr>
          <w:rFonts w:ascii="Arial" w:hAnsi="Arial"/>
          <w:rtl/>
        </w:rPr>
        <w:t xml:space="preserve"> </w:t>
      </w:r>
      <w:r>
        <w:rPr>
          <w:rFonts w:ascii="Arial" w:hAnsi="Arial"/>
          <w:b/>
          <w:bCs/>
          <w:rtl/>
        </w:rPr>
        <w:t>מדינת ישראל נ' מאמון עבד אל קאדר</w:t>
      </w:r>
      <w:r>
        <w:rPr>
          <w:rFonts w:ascii="Arial" w:hAnsi="Arial"/>
          <w:rtl/>
        </w:rPr>
        <w:t xml:space="preserve"> (פורסם בנבו, 15.01.2018)). </w:t>
      </w:r>
    </w:p>
    <w:p w14:paraId="2DA466CF" w14:textId="77777777" w:rsidR="004E17D3" w:rsidRDefault="004E17D3" w:rsidP="004E17D3">
      <w:pPr>
        <w:numPr>
          <w:ilvl w:val="0"/>
          <w:numId w:val="1"/>
        </w:numPr>
        <w:spacing w:line="480" w:lineRule="auto"/>
        <w:contextualSpacing/>
        <w:jc w:val="both"/>
        <w:rPr>
          <w:rFonts w:ascii="Arial" w:hAnsi="Arial"/>
        </w:rPr>
      </w:pPr>
      <w:r>
        <w:rPr>
          <w:rFonts w:ascii="David" w:hAnsi="David"/>
          <w:rtl/>
        </w:rPr>
        <w:t>בחינת מידת הפגיעה בערך המוגן מובילה למסקנה כי מדובר בפגיעה שהנזק הצפוי היה ממשי, רחב ועמוק. וזאת, נוכח כמות הסם הגדולה</w:t>
      </w:r>
      <w:r>
        <w:rPr>
          <w:rFonts w:ascii="David" w:hAnsi="David" w:hint="cs"/>
          <w:rtl/>
        </w:rPr>
        <w:t xml:space="preserve"> ואופן ביצוע העבירה</w:t>
      </w:r>
      <w:r>
        <w:rPr>
          <w:rFonts w:ascii="David" w:hAnsi="David"/>
          <w:rtl/>
        </w:rPr>
        <w:t xml:space="preserve">. עוד </w:t>
      </w:r>
      <w:r>
        <w:rPr>
          <w:rFonts w:ascii="Arial" w:hAnsi="Arial"/>
          <w:rtl/>
        </w:rPr>
        <w:t>יש לתת את הדעת, לתכנון הרב שהשקיע הנאשם, ולמשאבים שהקצה לשם כך: רכישת שתילי קנבוס , חומרי דישון, אדניות, מזגנים, מאווררים, שנאים, מנורות, פילטרים ואמצעים נוספים לגידול הסם. עוד יש לתת את הדעת על גניבת החשמל בשווי המשמעותי.</w:t>
      </w:r>
    </w:p>
    <w:p w14:paraId="1708DB6F" w14:textId="77777777" w:rsidR="004E17D3" w:rsidRDefault="004E17D3" w:rsidP="004E17D3">
      <w:pPr>
        <w:numPr>
          <w:ilvl w:val="0"/>
          <w:numId w:val="1"/>
        </w:numPr>
        <w:spacing w:line="480" w:lineRule="auto"/>
        <w:contextualSpacing/>
        <w:jc w:val="both"/>
        <w:rPr>
          <w:rFonts w:ascii="Arial" w:hAnsi="Arial"/>
        </w:rPr>
      </w:pPr>
      <w:r>
        <w:rPr>
          <w:rFonts w:ascii="Arial" w:hAnsi="Arial"/>
          <w:rtl/>
        </w:rPr>
        <w:t>הערך החברתי המוגן בעבירות של נטילת חשמל בגניבה הוא ההגנה על תשתיות המיועדות לשימוש הציבור וההגנה על שוויון בין הצרכנים.</w:t>
      </w:r>
    </w:p>
    <w:p w14:paraId="49D6E8B2" w14:textId="77777777" w:rsidR="004E17D3" w:rsidRDefault="004E17D3" w:rsidP="004E17D3">
      <w:pPr>
        <w:numPr>
          <w:ilvl w:val="0"/>
          <w:numId w:val="1"/>
        </w:numPr>
        <w:spacing w:line="480" w:lineRule="auto"/>
        <w:contextualSpacing/>
        <w:jc w:val="both"/>
        <w:rPr>
          <w:rFonts w:ascii="Arial" w:hAnsi="Arial"/>
          <w:rtl/>
        </w:rPr>
      </w:pPr>
      <w:r>
        <w:rPr>
          <w:rFonts w:ascii="Arial" w:hAnsi="Arial"/>
          <w:rtl/>
        </w:rPr>
        <w:t xml:space="preserve">במקרה שלפנינו, בחינת מידת הפגיעה בערך המוגן מובילה למסקנה כי הפגיעה הינה ממשית. הנאשם, בעזות מצח, ביצע מעקף במפסק החשמל וסילוף הנתיך, על מנת למנוע קריאה מלאה של החשמל וקריסתו בעומס גבוה. השווי המוערך של גניבתו עומד על כ – 22,344 ₪. </w:t>
      </w:r>
    </w:p>
    <w:p w14:paraId="54A9D76B" w14:textId="77777777" w:rsidR="004E17D3" w:rsidRDefault="004E17D3" w:rsidP="004E17D3">
      <w:pPr>
        <w:numPr>
          <w:ilvl w:val="0"/>
          <w:numId w:val="1"/>
        </w:numPr>
        <w:spacing w:line="480" w:lineRule="auto"/>
        <w:contextualSpacing/>
        <w:jc w:val="both"/>
        <w:rPr>
          <w:rFonts w:ascii="Arial" w:hAnsi="Arial"/>
        </w:rPr>
      </w:pPr>
      <w:r>
        <w:rPr>
          <w:rFonts w:ascii="David" w:hAnsi="David"/>
          <w:rtl/>
        </w:rPr>
        <w:t>בחינת מדיניות הענישה הנוהגת מעלה כי במקרים דומים הוטלו על נאשמים עונשים כמפורט להלן:</w:t>
      </w:r>
    </w:p>
    <w:p w14:paraId="12BA0D26" w14:textId="77777777" w:rsidR="004E17D3" w:rsidRDefault="00A677CF" w:rsidP="004E17D3">
      <w:pPr>
        <w:numPr>
          <w:ilvl w:val="1"/>
          <w:numId w:val="1"/>
        </w:numPr>
        <w:spacing w:line="480" w:lineRule="auto"/>
        <w:contextualSpacing/>
        <w:jc w:val="both"/>
        <w:rPr>
          <w:rFonts w:ascii="Arial" w:hAnsi="Arial"/>
        </w:rPr>
      </w:pPr>
      <w:hyperlink r:id="rId28" w:history="1">
        <w:r w:rsidRPr="00A677CF">
          <w:rPr>
            <w:rFonts w:ascii="David" w:hAnsi="David"/>
            <w:color w:val="0000FF"/>
            <w:u w:val="single"/>
            <w:rtl/>
          </w:rPr>
          <w:t>עפ"ג (מחוזי ת"א) 46738-09-14</w:t>
        </w:r>
      </w:hyperlink>
      <w:r w:rsidR="004E17D3">
        <w:rPr>
          <w:rFonts w:ascii="David" w:hAnsi="David"/>
          <w:rtl/>
        </w:rPr>
        <w:t xml:space="preserve"> </w:t>
      </w:r>
      <w:r w:rsidR="004E17D3">
        <w:rPr>
          <w:rFonts w:ascii="David" w:hAnsi="David"/>
          <w:b/>
          <w:bCs/>
          <w:rtl/>
        </w:rPr>
        <w:t>מד"י נ' צקבאשווילי ואח'</w:t>
      </w:r>
      <w:r w:rsidR="004E17D3">
        <w:rPr>
          <w:rFonts w:ascii="David" w:hAnsi="David"/>
          <w:rtl/>
        </w:rPr>
        <w:t xml:space="preserve">: המשיבים הורשעו על פי הודייתם בעבירות של קשירת קשר לפשע, גידול סם מסוכן, החזקת סם שלא לצריכה עצמית והחזקת כלים להכנת סם שלא לצריכה עצמית. המשיבים גידלו סם מסוג קנאבוס במשקל כולל של כ-18 ק"ג נטו. המשיבים בעלי עבר פלילי שאינו מכביד. נקבע כי מתחם העונש ההולם לנאשם 1 נע בין 11 ל-24 חודשים בעוד זה של נאשם 2 נע בין 10 ל-22 חודשים (לאור ההבחנה לגבי חלקם בקשירת הקשר). בית משפט קמא השית על נאשם 1, מאסר בפועל בן 14 חודשים ועל נאשם 2, מאסר בפועל בן 12 חודשים. בבית המשפט המחוזי נקבע כי אין להפריד בין הנאשמים וכי על מתחם העונש ההולם לנוע בין 18 ל-36 חודשי מאסר בפועל, והעמיד את עונשם של כל אחד מהמשיבים על 24 חודשי מאסר בפועל. </w:t>
      </w:r>
    </w:p>
    <w:p w14:paraId="06972627" w14:textId="77777777" w:rsidR="004E17D3" w:rsidRDefault="00A677CF" w:rsidP="004E17D3">
      <w:pPr>
        <w:numPr>
          <w:ilvl w:val="1"/>
          <w:numId w:val="1"/>
        </w:numPr>
        <w:spacing w:line="480" w:lineRule="auto"/>
        <w:contextualSpacing/>
        <w:jc w:val="both"/>
        <w:rPr>
          <w:rFonts w:ascii="Arial" w:hAnsi="Arial"/>
          <w:rtl/>
        </w:rPr>
      </w:pPr>
      <w:hyperlink r:id="rId29" w:history="1">
        <w:r w:rsidRPr="00A677CF">
          <w:rPr>
            <w:rFonts w:ascii="David" w:hAnsi="David"/>
            <w:color w:val="0000FF"/>
            <w:u w:val="single"/>
            <w:rtl/>
          </w:rPr>
          <w:t>ע"פ (מחוזי חיפה) 20712-03-13</w:t>
        </w:r>
      </w:hyperlink>
      <w:r w:rsidR="004E17D3">
        <w:rPr>
          <w:rFonts w:ascii="David" w:hAnsi="David"/>
          <w:rtl/>
        </w:rPr>
        <w:t xml:space="preserve"> </w:t>
      </w:r>
      <w:r w:rsidR="004E17D3">
        <w:rPr>
          <w:rFonts w:ascii="David" w:hAnsi="David"/>
          <w:b/>
          <w:bCs/>
          <w:rtl/>
        </w:rPr>
        <w:t>בן רחמים נ' מד"י</w:t>
      </w:r>
      <w:r w:rsidR="004E17D3">
        <w:rPr>
          <w:rFonts w:ascii="David" w:hAnsi="David"/>
          <w:rtl/>
        </w:rPr>
        <w:t>: הנאשם הורשע על פי הודייתו בעבירות של גידול סם מסוכן, שימוש בסם מסוכן והחזקה ושימוש בסם מסוכן שלא לצריכה עצמית. הנאשם נעדר עבר פלילי. הנאשם גידל 196 שתילי קנבוס במשקל כולל של 20.5 ק"ג וכן החזיק בכמות נוספת של סם במשקל 184 גרם נטו. בימ"ש השלום קבע כי מתחם העונש ההולם נע בין 5 ל-20 חודשי מאסר בפועל והשית על הנאשם 11 חודשי מאסר בפועל. ערעור וערעור שכנגד שהוגשו לבית המשפט המחוזי נדחו תוך שנקבע כי יש ממש בטענה כי עונש המאסר בפועל שנגזר על הנאשם מקל עמו בנסיבות העניין. עוד נקבע כי העובדה כי על הנאשם הוטל קנס בסך 20,000 ₪ אף שהמאשימה כלל לא עתרה להשתת קנס מאזן במידה מסוימת את עונש המאסר המקל.</w:t>
      </w:r>
    </w:p>
    <w:p w14:paraId="6F9F543F" w14:textId="77777777" w:rsidR="004E17D3" w:rsidRDefault="00A677CF" w:rsidP="004E17D3">
      <w:pPr>
        <w:numPr>
          <w:ilvl w:val="1"/>
          <w:numId w:val="1"/>
        </w:numPr>
        <w:spacing w:line="480" w:lineRule="auto"/>
        <w:contextualSpacing/>
        <w:jc w:val="both"/>
        <w:rPr>
          <w:rFonts w:ascii="Arial" w:hAnsi="Arial"/>
        </w:rPr>
      </w:pPr>
      <w:hyperlink r:id="rId30" w:history="1">
        <w:r w:rsidRPr="00A677CF">
          <w:rPr>
            <w:rFonts w:ascii="Arial" w:hAnsi="Arial"/>
            <w:color w:val="0000FF"/>
            <w:u w:val="single"/>
            <w:rtl/>
          </w:rPr>
          <w:t>עפ"ג (מחוזי מרכז) 47123-03-15</w:t>
        </w:r>
      </w:hyperlink>
      <w:r w:rsidR="004E17D3">
        <w:rPr>
          <w:rFonts w:ascii="Arial" w:hAnsi="Arial"/>
          <w:rtl/>
        </w:rPr>
        <w:t xml:space="preserve"> </w:t>
      </w:r>
      <w:r w:rsidR="004E17D3">
        <w:rPr>
          <w:rFonts w:ascii="Arial" w:hAnsi="Arial"/>
          <w:b/>
          <w:bCs/>
          <w:rtl/>
        </w:rPr>
        <w:t>קרביץ ואח' נ' מד"י</w:t>
      </w:r>
      <w:r w:rsidR="004E17D3">
        <w:rPr>
          <w:rFonts w:ascii="Arial" w:hAnsi="Arial"/>
          <w:rtl/>
        </w:rPr>
        <w:t xml:space="preserve">: הנאשמים הורשעו בבית משפט השלום על פי הודייתם בכך שגידלו במעבדה בדירה שכורה 65 שתילי קנבוס בשלבי גידול שונים במשקל כולל של 24.7 ק"ג. הנאשמים נעדרי עבר פלילי. בימ"ש קמא קבע כי מתחם העונש ההולם נע בין 6 חודשי מאסר שיכול וירוצו בעבודות שירות לבין 24 חודשי מאסר בפועל והשית על כל אחד מהנאשמים 12 חודשי מאסר בפועל. ערעור שהגישו הנאשמים לבית המשפט המחוזי נדחה למעט תקופת הפסילה, אשר קוצרה מ-10 חודשים ל-6 חודשים. </w:t>
      </w:r>
    </w:p>
    <w:p w14:paraId="4E6FE9ED" w14:textId="77777777" w:rsidR="004E17D3" w:rsidRDefault="00A677CF" w:rsidP="004E17D3">
      <w:pPr>
        <w:numPr>
          <w:ilvl w:val="1"/>
          <w:numId w:val="1"/>
        </w:numPr>
        <w:spacing w:line="480" w:lineRule="auto"/>
        <w:contextualSpacing/>
        <w:jc w:val="both"/>
        <w:rPr>
          <w:rFonts w:ascii="Arial" w:hAnsi="Arial"/>
          <w:rtl/>
        </w:rPr>
      </w:pPr>
      <w:hyperlink r:id="rId31" w:history="1">
        <w:r w:rsidRPr="00A677CF">
          <w:rPr>
            <w:rFonts w:ascii="Arial" w:hAnsi="Arial"/>
            <w:color w:val="0000FF"/>
            <w:u w:val="single"/>
            <w:rtl/>
          </w:rPr>
          <w:t>עפ"ג (מחוזי מרכז) 8650-04-15</w:t>
        </w:r>
      </w:hyperlink>
      <w:r w:rsidR="004E17D3">
        <w:rPr>
          <w:rFonts w:ascii="Arial" w:hAnsi="Arial"/>
          <w:rtl/>
        </w:rPr>
        <w:t xml:space="preserve"> </w:t>
      </w:r>
      <w:r w:rsidR="004E17D3">
        <w:rPr>
          <w:rFonts w:ascii="Arial" w:hAnsi="Arial"/>
          <w:b/>
          <w:bCs/>
          <w:rtl/>
        </w:rPr>
        <w:t>שוורץ נ' מד"י</w:t>
      </w:r>
      <w:r w:rsidR="004E17D3">
        <w:rPr>
          <w:rFonts w:ascii="Arial" w:hAnsi="Arial"/>
          <w:rtl/>
        </w:rPr>
        <w:t>: הנאשם הורשע על פי הודייתו בכך שגידל בביתו 146 שתילי מריחואנה במשקל של 2.69 ק"ג נטו. בימ"ש קמא קבע כי מתחם העונש ההולם נע בין 6 ל-24 חודשי מאסר בפועל והשית על הנאשם 9 חודשי מאסר בפועל לצד ענישה נלווית. ערעור שהגיש הנאשם לבית המשפט המחוזי נדחה חרף קיומו של הליך טיפולי בו היה מצוי הנאשם, תוך שנקבע כי "</w:t>
      </w:r>
      <w:r w:rsidR="004E17D3">
        <w:rPr>
          <w:rFonts w:ascii="Arial" w:hAnsi="Arial"/>
          <w:b/>
          <w:bCs/>
          <w:rtl/>
        </w:rPr>
        <w:t>אף אנו, כבית משפט קמא, סבורים כי חומרת המעשה אינה נבחנת במשקל הסם בלבד אלא גם במספר השתילים המלמד על הפוטנציאל שהיה טמון במעשה, גם אם לא הגיע לכלל מימוש סופי, ועל כוונת העושה</w:t>
      </w:r>
      <w:r w:rsidR="004E17D3">
        <w:rPr>
          <w:rFonts w:ascii="Arial" w:hAnsi="Arial"/>
          <w:rtl/>
        </w:rPr>
        <w:t xml:space="preserve">".   </w:t>
      </w:r>
    </w:p>
    <w:p w14:paraId="366DF873" w14:textId="77777777" w:rsidR="004E17D3" w:rsidRDefault="00A677CF" w:rsidP="004E17D3">
      <w:pPr>
        <w:numPr>
          <w:ilvl w:val="1"/>
          <w:numId w:val="1"/>
        </w:numPr>
        <w:spacing w:line="480" w:lineRule="auto"/>
        <w:contextualSpacing/>
        <w:jc w:val="both"/>
        <w:rPr>
          <w:rFonts w:ascii="Arial" w:hAnsi="Arial"/>
          <w:rtl/>
        </w:rPr>
      </w:pPr>
      <w:hyperlink r:id="rId32" w:history="1">
        <w:r w:rsidRPr="00A677CF">
          <w:rPr>
            <w:rFonts w:ascii="Arial" w:hAnsi="Arial"/>
            <w:color w:val="0000FF"/>
            <w:u w:val="single"/>
            <w:rtl/>
          </w:rPr>
          <w:t>עפ"ג (מחוזי מרכז) 18383-07-16</w:t>
        </w:r>
      </w:hyperlink>
      <w:r w:rsidR="004E17D3">
        <w:rPr>
          <w:rFonts w:ascii="Arial" w:hAnsi="Arial"/>
          <w:rtl/>
        </w:rPr>
        <w:t xml:space="preserve"> </w:t>
      </w:r>
      <w:r w:rsidR="004E17D3">
        <w:rPr>
          <w:rFonts w:ascii="Arial" w:hAnsi="Arial"/>
          <w:b/>
          <w:bCs/>
          <w:rtl/>
        </w:rPr>
        <w:t>פריי נ' מד"י</w:t>
      </w:r>
      <w:r w:rsidR="004E17D3">
        <w:rPr>
          <w:rFonts w:ascii="Arial" w:hAnsi="Arial"/>
          <w:rtl/>
        </w:rPr>
        <w:t>: הנאשם הורשע על פי הודייתו בכך שגידל במעבדה במרתף ששכר 120 שתילי קנבוס במשקל של כ-9 ק"ג. הנאשם נעדר הרשעות קודמות ולחובתו גמר דין ללא הרשעה בעבירת איומים. הנאשם טען כי גידל את הסמים על רקע שימוש אישי כבד בסמים על מנת להקל בכאבים מהם סבל בשל בעיותיו הרפואיות תוך שביסס טענתו זו במסמכים רפואיים ואף עבר הליך טיפולי משמעותי באופן רציף ועקבי ביחידה העירונית להתמכרויות. בית המשפט קבע כי מתחם העונש ההולם נע בין 6 חודשי מאסר לריצוי בדרך של עבודות שירות לבין 24 חודשי מאסר בפועל והשית על הנאשם 10 חודשי מאסר בפועל לצד ענישה נלווית. ערעור שהגיש הנאשם לבית המשפט המחוזי נדחה.</w:t>
      </w:r>
    </w:p>
    <w:p w14:paraId="33E114F7" w14:textId="77777777" w:rsidR="004E17D3" w:rsidRDefault="004E17D3" w:rsidP="004E17D3">
      <w:pPr>
        <w:numPr>
          <w:ilvl w:val="0"/>
          <w:numId w:val="1"/>
        </w:numPr>
        <w:spacing w:line="480" w:lineRule="auto"/>
        <w:jc w:val="both"/>
        <w:rPr>
          <w:rFonts w:ascii="Arial" w:hAnsi="Arial"/>
        </w:rPr>
      </w:pPr>
      <w:r>
        <w:rPr>
          <w:rFonts w:ascii="Arial" w:hAnsi="Arial"/>
          <w:rtl/>
        </w:rPr>
        <w:t xml:space="preserve">בחינת מדיניות הענישה הנוהגת בפסיקה בגין עבירות של גניבת חשמל מעלה כי במקרים דומים, בהם הורשעו נאשמים בעבירה של נטילת חשמל בגניבה, הוטלו עונשים במתחם שבין עונש מאסר על תנאי למספר חודשי מאסר בפועל (מרביתם לריצוי בעבודות שירות), לצד רכיבי ענישה נוספים, כקנס והתחייבות. (ר' למשל: </w:t>
      </w:r>
      <w:hyperlink r:id="rId33" w:history="1">
        <w:r w:rsidR="00A677CF" w:rsidRPr="00A677CF">
          <w:rPr>
            <w:rFonts w:ascii="Arial" w:hAnsi="Arial"/>
            <w:color w:val="0000FF"/>
            <w:u w:val="single"/>
            <w:rtl/>
          </w:rPr>
          <w:t>ת"פ (שלום אשד') 33639-02-12</w:t>
        </w:r>
      </w:hyperlink>
      <w:r>
        <w:rPr>
          <w:rFonts w:ascii="Arial" w:hAnsi="Arial"/>
          <w:rtl/>
        </w:rPr>
        <w:t xml:space="preserve"> </w:t>
      </w:r>
      <w:r>
        <w:rPr>
          <w:rFonts w:ascii="Arial" w:hAnsi="Arial"/>
          <w:b/>
          <w:bCs/>
          <w:rtl/>
        </w:rPr>
        <w:t>מדינת ישראל נ' מרדכי רחמים גויטע</w:t>
      </w:r>
      <w:r>
        <w:rPr>
          <w:rFonts w:ascii="Arial" w:hAnsi="Arial"/>
          <w:rtl/>
        </w:rPr>
        <w:t xml:space="preserve"> (פורסם בנבו, 18.02.2013) ת"פ (שלום נצ') </w:t>
      </w:r>
      <w:hyperlink r:id="rId34" w:history="1">
        <w:r w:rsidR="005A1E94" w:rsidRPr="005A1E94">
          <w:rPr>
            <w:rFonts w:ascii="Arial" w:hAnsi="Arial"/>
            <w:color w:val="0000FF"/>
            <w:u w:val="single"/>
            <w:rtl/>
          </w:rPr>
          <w:t xml:space="preserve">2738-06 </w:t>
        </w:r>
      </w:hyperlink>
      <w:r>
        <w:rPr>
          <w:rFonts w:ascii="Arial" w:hAnsi="Arial"/>
          <w:rtl/>
        </w:rPr>
        <w:t xml:space="preserve"> </w:t>
      </w:r>
      <w:r>
        <w:rPr>
          <w:rFonts w:ascii="Arial" w:hAnsi="Arial"/>
          <w:b/>
          <w:bCs/>
          <w:rtl/>
        </w:rPr>
        <w:t>מ.י. משטרת נצרת - תביעות מרחב עמקים נ' מרואן נדאף</w:t>
      </w:r>
      <w:r>
        <w:rPr>
          <w:rFonts w:ascii="Arial" w:hAnsi="Arial"/>
          <w:rtl/>
        </w:rPr>
        <w:t xml:space="preserve"> (פורסם בנבו, 28.05.2008) </w:t>
      </w:r>
      <w:hyperlink r:id="rId35" w:history="1">
        <w:r w:rsidR="00A677CF" w:rsidRPr="00A677CF">
          <w:rPr>
            <w:rFonts w:ascii="Arial" w:hAnsi="Arial"/>
            <w:color w:val="0000FF"/>
            <w:u w:val="single"/>
            <w:rtl/>
          </w:rPr>
          <w:t>ת"פ (שלום עכו) 33784-08-10</w:t>
        </w:r>
      </w:hyperlink>
      <w:r>
        <w:rPr>
          <w:rFonts w:ascii="Arial" w:hAnsi="Arial"/>
          <w:rtl/>
        </w:rPr>
        <w:t xml:space="preserve"> </w:t>
      </w:r>
      <w:r>
        <w:rPr>
          <w:rFonts w:ascii="Arial" w:hAnsi="Arial"/>
          <w:b/>
          <w:bCs/>
          <w:rtl/>
        </w:rPr>
        <w:t>מדינת ישראל נ' בסאם נאסר</w:t>
      </w:r>
      <w:r>
        <w:rPr>
          <w:rFonts w:ascii="Arial" w:hAnsi="Arial"/>
          <w:rtl/>
        </w:rPr>
        <w:t xml:space="preserve"> (פורסם בנבו, 13.07.2011) ת"פ (שלום פ"ת) </w:t>
      </w:r>
      <w:hyperlink r:id="rId36" w:history="1">
        <w:r w:rsidR="005A1E94" w:rsidRPr="005A1E94">
          <w:rPr>
            <w:rFonts w:ascii="Arial" w:hAnsi="Arial"/>
            <w:color w:val="0000FF"/>
            <w:u w:val="single"/>
            <w:rtl/>
          </w:rPr>
          <w:t xml:space="preserve">3176-08 </w:t>
        </w:r>
      </w:hyperlink>
      <w:r>
        <w:rPr>
          <w:rFonts w:ascii="Arial" w:hAnsi="Arial"/>
          <w:rtl/>
        </w:rPr>
        <w:t xml:space="preserve"> </w:t>
      </w:r>
      <w:r>
        <w:rPr>
          <w:rFonts w:ascii="Arial" w:hAnsi="Arial"/>
          <w:b/>
          <w:bCs/>
          <w:rtl/>
        </w:rPr>
        <w:t>מ.י. שלוחת תביעות תחנת פתח תקוה נ' סולימאן א עייד</w:t>
      </w:r>
      <w:r>
        <w:rPr>
          <w:rFonts w:ascii="Arial" w:hAnsi="Arial"/>
          <w:rtl/>
        </w:rPr>
        <w:t xml:space="preserve"> (פורסם בנבו, 11.01.2009)).</w:t>
      </w:r>
    </w:p>
    <w:p w14:paraId="5CEE229E" w14:textId="77777777" w:rsidR="004E17D3" w:rsidRDefault="004E17D3" w:rsidP="004E17D3">
      <w:pPr>
        <w:numPr>
          <w:ilvl w:val="0"/>
          <w:numId w:val="1"/>
        </w:numPr>
        <w:spacing w:line="480" w:lineRule="auto"/>
        <w:contextualSpacing/>
        <w:jc w:val="both"/>
        <w:rPr>
          <w:rFonts w:ascii="Arial" w:hAnsi="Arial"/>
        </w:rPr>
      </w:pPr>
      <w:r>
        <w:rPr>
          <w:rFonts w:ascii="David" w:hAnsi="David"/>
          <w:rtl/>
        </w:rPr>
        <w:t>לאחר שנדרשתי למכלול השיקולים הרלוונטיים ובהתאם לתיקון 113 ל</w:t>
      </w:r>
      <w:hyperlink r:id="rId37" w:history="1">
        <w:r w:rsidR="00A677CF" w:rsidRPr="00A677CF">
          <w:rPr>
            <w:rFonts w:ascii="David" w:hAnsi="David"/>
            <w:color w:val="0000FF"/>
            <w:u w:val="single"/>
            <w:rtl/>
          </w:rPr>
          <w:t>חוק העונשין</w:t>
        </w:r>
      </w:hyperlink>
      <w:r>
        <w:rPr>
          <w:rFonts w:ascii="David" w:hAnsi="David"/>
          <w:rtl/>
        </w:rPr>
        <w:t xml:space="preserve"> (</w:t>
      </w:r>
      <w:hyperlink r:id="rId38" w:history="1">
        <w:r w:rsidR="00215226" w:rsidRPr="00215226">
          <w:rPr>
            <w:rStyle w:val="Hyperlink"/>
            <w:rFonts w:ascii="David" w:hAnsi="David"/>
            <w:rtl/>
          </w:rPr>
          <w:t>סעיף 40יג')</w:t>
        </w:r>
      </w:hyperlink>
      <w:r>
        <w:rPr>
          <w:rFonts w:ascii="David" w:hAnsi="David"/>
          <w:rtl/>
        </w:rPr>
        <w:t xml:space="preserve">, אני קובע כי מתחם העונש ההולם לעבירות בהן הודה והורשע הנאשם, נע בין </w:t>
      </w:r>
      <w:r>
        <w:rPr>
          <w:rFonts w:ascii="David" w:hAnsi="David" w:hint="cs"/>
          <w:rtl/>
        </w:rPr>
        <w:t>9</w:t>
      </w:r>
      <w:r>
        <w:rPr>
          <w:rFonts w:ascii="David" w:hAnsi="David"/>
          <w:rtl/>
        </w:rPr>
        <w:t xml:space="preserve"> חודשי מאסר בפועל ועד </w:t>
      </w:r>
      <w:r w:rsidRPr="00DF31F6">
        <w:rPr>
          <w:rFonts w:ascii="David" w:hAnsi="David"/>
          <w:rtl/>
        </w:rPr>
        <w:t>30</w:t>
      </w:r>
      <w:r>
        <w:rPr>
          <w:rFonts w:ascii="David" w:hAnsi="David"/>
          <w:rtl/>
        </w:rPr>
        <w:t xml:space="preserve"> חודשי מאסר בפועל, לצד רכיבי ענישה נוספים.</w:t>
      </w:r>
    </w:p>
    <w:p w14:paraId="36B2EDE7" w14:textId="77777777" w:rsidR="004E17D3" w:rsidRDefault="004E17D3" w:rsidP="004E17D3">
      <w:pPr>
        <w:numPr>
          <w:ilvl w:val="0"/>
          <w:numId w:val="1"/>
        </w:numPr>
        <w:spacing w:line="480" w:lineRule="auto"/>
        <w:contextualSpacing/>
        <w:jc w:val="both"/>
        <w:rPr>
          <w:rFonts w:ascii="Arial" w:hAnsi="Arial"/>
        </w:rPr>
      </w:pPr>
      <w:r>
        <w:rPr>
          <w:rFonts w:ascii="David" w:hAnsi="David"/>
          <w:rtl/>
        </w:rPr>
        <w:t>במקרה דנן, לא קיימים שיקולים אשר מצדיקים סטייה מהמתחם לחומרה או לקולא</w:t>
      </w:r>
      <w:r>
        <w:rPr>
          <w:rFonts w:ascii="David" w:hAnsi="David" w:hint="cs"/>
          <w:rtl/>
        </w:rPr>
        <w:t xml:space="preserve"> ובפרט נוכח תסקיר שירות המבחן שאינו חיובי ואינו כולל המלצה שיקומית</w:t>
      </w:r>
      <w:r>
        <w:rPr>
          <w:rFonts w:ascii="David" w:hAnsi="David"/>
          <w:rtl/>
        </w:rPr>
        <w:t>.</w:t>
      </w:r>
    </w:p>
    <w:p w14:paraId="095D7CFB" w14:textId="77777777" w:rsidR="004E17D3" w:rsidRDefault="004E17D3" w:rsidP="004E17D3">
      <w:pPr>
        <w:spacing w:line="480" w:lineRule="auto"/>
        <w:jc w:val="both"/>
        <w:rPr>
          <w:rFonts w:ascii="David" w:hAnsi="David"/>
          <w:b/>
          <w:bCs/>
          <w:u w:val="single"/>
          <w:rtl/>
        </w:rPr>
      </w:pPr>
    </w:p>
    <w:p w14:paraId="6290564A" w14:textId="77777777" w:rsidR="004E17D3" w:rsidRDefault="004E17D3" w:rsidP="004E17D3">
      <w:pPr>
        <w:spacing w:line="480" w:lineRule="auto"/>
        <w:jc w:val="both"/>
        <w:rPr>
          <w:rFonts w:ascii="David" w:hAnsi="David"/>
          <w:b/>
          <w:bCs/>
          <w:u w:val="single"/>
          <w:rtl/>
        </w:rPr>
      </w:pPr>
      <w:r>
        <w:rPr>
          <w:rFonts w:ascii="David" w:hAnsi="David"/>
          <w:b/>
          <w:bCs/>
          <w:u w:val="single"/>
          <w:rtl/>
        </w:rPr>
        <w:t>גזירת העונש המתאים לנאשם</w:t>
      </w:r>
    </w:p>
    <w:p w14:paraId="564B3C0F" w14:textId="77777777" w:rsidR="004E17D3" w:rsidRDefault="004E17D3" w:rsidP="004E17D3">
      <w:pPr>
        <w:numPr>
          <w:ilvl w:val="0"/>
          <w:numId w:val="1"/>
        </w:numPr>
        <w:spacing w:line="480" w:lineRule="auto"/>
        <w:contextualSpacing/>
        <w:jc w:val="both"/>
        <w:rPr>
          <w:rFonts w:ascii="Arial" w:hAnsi="Arial"/>
          <w:rtl/>
        </w:rPr>
      </w:pPr>
      <w:r>
        <w:rPr>
          <w:rFonts w:ascii="David" w:hAnsi="David"/>
          <w:rtl/>
        </w:rPr>
        <w:t>בגזירת העונש המתאים לנאשם, בגדרי מתחם העונש ההולם, יש להתחשב בנסיבות שאינן קשורות בביצוע העבירה (</w:t>
      </w:r>
      <w:hyperlink r:id="rId39" w:history="1">
        <w:r w:rsidR="00215226" w:rsidRPr="00215226">
          <w:rPr>
            <w:rStyle w:val="Hyperlink"/>
            <w:rFonts w:ascii="David" w:hAnsi="David"/>
            <w:rtl/>
          </w:rPr>
          <w:t>סעיף 40יא').</w:t>
        </w:r>
      </w:hyperlink>
      <w:r>
        <w:rPr>
          <w:rFonts w:ascii="David" w:hAnsi="David"/>
          <w:rtl/>
        </w:rPr>
        <w:t xml:space="preserve"> </w:t>
      </w:r>
    </w:p>
    <w:p w14:paraId="1F4BE9DC" w14:textId="77777777" w:rsidR="004E17D3" w:rsidRDefault="004E17D3" w:rsidP="004E17D3">
      <w:pPr>
        <w:numPr>
          <w:ilvl w:val="0"/>
          <w:numId w:val="1"/>
        </w:numPr>
        <w:spacing w:line="480" w:lineRule="auto"/>
        <w:contextualSpacing/>
        <w:jc w:val="both"/>
        <w:rPr>
          <w:rFonts w:ascii="Arial" w:hAnsi="Arial"/>
        </w:rPr>
      </w:pPr>
      <w:r>
        <w:rPr>
          <w:rFonts w:ascii="David" w:hAnsi="David"/>
          <w:rtl/>
        </w:rPr>
        <w:t>פוטנציאל הנזק שצפוי היה להיגרם הינו משמעותי, לאור הכמות הסם הגדולה שנתפסה, כמות השתילים הרבה ומשקל הסם, וכן הציוד הרב שהושקע בהכנת מעבדת הסמים ומשך הזמן שהוקדש לביצוע העבירה.</w:t>
      </w:r>
    </w:p>
    <w:p w14:paraId="3E5771AB" w14:textId="77777777" w:rsidR="004E17D3" w:rsidRDefault="004E17D3" w:rsidP="004E17D3">
      <w:pPr>
        <w:numPr>
          <w:ilvl w:val="0"/>
          <w:numId w:val="1"/>
        </w:numPr>
        <w:spacing w:line="480" w:lineRule="auto"/>
        <w:contextualSpacing/>
        <w:jc w:val="both"/>
        <w:rPr>
          <w:rFonts w:ascii="Arial" w:hAnsi="Arial"/>
        </w:rPr>
      </w:pPr>
      <w:r>
        <w:rPr>
          <w:rFonts w:ascii="David" w:hAnsi="David"/>
          <w:rtl/>
        </w:rPr>
        <w:t xml:space="preserve">התחשבתי בפגיעה של העונש בנאשם, אשר מסר כי החל לעבוד בעבודה קבועה, העובדה כי סועד את אמו המבוגרת ומתגורר עמה והיותו אב לשלושה. עוד התחשבתי בעובדה כי לצורך ביצוע העבירה גנב הנאשם חשמל בהיקף נרחב ומשמעותי. </w:t>
      </w:r>
    </w:p>
    <w:p w14:paraId="3BB0714E" w14:textId="77777777" w:rsidR="004E17D3" w:rsidRDefault="004E17D3" w:rsidP="004E17D3">
      <w:pPr>
        <w:numPr>
          <w:ilvl w:val="0"/>
          <w:numId w:val="1"/>
        </w:numPr>
        <w:spacing w:line="480" w:lineRule="auto"/>
        <w:contextualSpacing/>
        <w:jc w:val="both"/>
        <w:rPr>
          <w:rFonts w:ascii="Arial" w:hAnsi="Arial"/>
        </w:rPr>
      </w:pPr>
      <w:r>
        <w:rPr>
          <w:rFonts w:ascii="David" w:hAnsi="David"/>
          <w:rtl/>
        </w:rPr>
        <w:t xml:space="preserve">בנוסף, התחשבתי בעובדה שהנאשם ללא עבר פלילי משמעותי, אך קיימים לחובתו 4 תיקי מב"ד, כאשר בגין אחד מהם הוגש כתב אישום וניתנה הכרעת דין בגין עבירת איומים והעלבת עובד ציבור, אשר אינה חלוטה. גזר הדין קבוע ליום 6.6.21. </w:t>
      </w:r>
    </w:p>
    <w:p w14:paraId="7AF7A269" w14:textId="77777777" w:rsidR="004E17D3" w:rsidRPr="00DF31F6" w:rsidRDefault="004E17D3" w:rsidP="004E17D3">
      <w:pPr>
        <w:numPr>
          <w:ilvl w:val="0"/>
          <w:numId w:val="1"/>
        </w:numPr>
        <w:spacing w:line="480" w:lineRule="auto"/>
        <w:contextualSpacing/>
        <w:jc w:val="both"/>
        <w:rPr>
          <w:rFonts w:ascii="Arial" w:hAnsi="Arial"/>
        </w:rPr>
      </w:pPr>
      <w:r>
        <w:rPr>
          <w:rFonts w:ascii="Arial" w:hAnsi="Arial"/>
          <w:rtl/>
        </w:rPr>
        <w:t xml:space="preserve">לנאשם 4 תיקי מב"ד נוספים שעניינן העסקת תושב זר שלא כדין (29.10.20 – ללא הגשת כתב אישום), ועבירות איומים והעלבת עובד ציבור. בהתייחסותו לעבירות אלה נטל הנאשם אחריות חלקית בלבד והתייחס לכך בצמצום. </w:t>
      </w:r>
      <w:r>
        <w:rPr>
          <w:rFonts w:ascii="David" w:hAnsi="David"/>
          <w:rtl/>
        </w:rPr>
        <w:t xml:space="preserve"> </w:t>
      </w:r>
    </w:p>
    <w:p w14:paraId="091E97A0" w14:textId="77777777" w:rsidR="004E17D3" w:rsidRDefault="004E17D3" w:rsidP="004E17D3">
      <w:pPr>
        <w:spacing w:line="480" w:lineRule="auto"/>
        <w:ind w:left="720"/>
        <w:contextualSpacing/>
        <w:jc w:val="both"/>
        <w:rPr>
          <w:rFonts w:ascii="Arial" w:hAnsi="Arial"/>
        </w:rPr>
      </w:pPr>
      <w:r>
        <w:rPr>
          <w:rFonts w:ascii="David" w:hAnsi="David"/>
          <w:rtl/>
        </w:rPr>
        <w:t xml:space="preserve">הנאשם נטל אחריות למעשיו, הודה בהזדמנות הראשונה וחסך זמן שיפוטי. </w:t>
      </w:r>
      <w:r>
        <w:rPr>
          <w:rFonts w:ascii="Arial" w:hAnsi="Arial"/>
          <w:rtl/>
        </w:rPr>
        <w:t xml:space="preserve">מאידך, וכפי העולה מתסקיר שירות המבחן, הנאשם </w:t>
      </w:r>
      <w:r>
        <w:rPr>
          <w:rFonts w:ascii="Arial" w:hAnsi="Arial" w:hint="cs"/>
          <w:rtl/>
        </w:rPr>
        <w:t xml:space="preserve">אינו </w:t>
      </w:r>
      <w:r>
        <w:rPr>
          <w:rFonts w:ascii="Arial" w:hAnsi="Arial"/>
          <w:rtl/>
        </w:rPr>
        <w:t>מפנים חומרת מעשיו</w:t>
      </w:r>
      <w:r>
        <w:rPr>
          <w:rFonts w:ascii="Arial" w:hAnsi="Arial" w:hint="cs"/>
          <w:rtl/>
        </w:rPr>
        <w:t xml:space="preserve"> ולפיכך לא מצאתי כי יש מקום לקבלת חוות דעת של הממונה על עבודות השירות.</w:t>
      </w:r>
      <w:r>
        <w:rPr>
          <w:rFonts w:ascii="Arial" w:hAnsi="Arial"/>
          <w:rtl/>
        </w:rPr>
        <w:t xml:space="preserve"> </w:t>
      </w:r>
    </w:p>
    <w:p w14:paraId="75AB83CD" w14:textId="77777777" w:rsidR="004E17D3" w:rsidRDefault="004E17D3" w:rsidP="004E17D3">
      <w:pPr>
        <w:spacing w:line="480" w:lineRule="auto"/>
        <w:jc w:val="both"/>
        <w:rPr>
          <w:rFonts w:ascii="David" w:hAnsi="David"/>
          <w:b/>
          <w:bCs/>
          <w:u w:val="single"/>
          <w:rtl/>
        </w:rPr>
      </w:pPr>
    </w:p>
    <w:p w14:paraId="4FEC55E5" w14:textId="77777777" w:rsidR="004E17D3" w:rsidRDefault="004E17D3" w:rsidP="004E17D3">
      <w:pPr>
        <w:spacing w:line="480" w:lineRule="auto"/>
        <w:jc w:val="both"/>
        <w:rPr>
          <w:rFonts w:ascii="David" w:hAnsi="David"/>
          <w:b/>
          <w:bCs/>
          <w:u w:val="single"/>
          <w:rtl/>
        </w:rPr>
      </w:pPr>
      <w:r>
        <w:rPr>
          <w:rFonts w:ascii="David" w:hAnsi="David"/>
          <w:b/>
          <w:bCs/>
          <w:u w:val="single"/>
          <w:rtl/>
        </w:rPr>
        <w:t>סוף דבר</w:t>
      </w:r>
    </w:p>
    <w:p w14:paraId="38A806F0" w14:textId="77777777" w:rsidR="004E17D3" w:rsidRDefault="004E17D3" w:rsidP="004E17D3">
      <w:pPr>
        <w:numPr>
          <w:ilvl w:val="0"/>
          <w:numId w:val="2"/>
        </w:numPr>
        <w:spacing w:line="480" w:lineRule="auto"/>
        <w:contextualSpacing/>
        <w:jc w:val="both"/>
        <w:rPr>
          <w:rFonts w:ascii="David" w:hAnsi="David"/>
          <w:rtl/>
        </w:rPr>
      </w:pPr>
      <w:r>
        <w:rPr>
          <w:rFonts w:ascii="David" w:hAnsi="David"/>
          <w:rtl/>
        </w:rPr>
        <w:t>אשר על כן הנני גוזר על הנאשם את העונשים הבאים:</w:t>
      </w:r>
    </w:p>
    <w:p w14:paraId="211EE960" w14:textId="77777777" w:rsidR="004E17D3" w:rsidRDefault="004E17D3" w:rsidP="004E17D3">
      <w:pPr>
        <w:numPr>
          <w:ilvl w:val="1"/>
          <w:numId w:val="2"/>
        </w:numPr>
        <w:spacing w:after="160" w:line="480" w:lineRule="auto"/>
        <w:contextualSpacing/>
        <w:jc w:val="both"/>
        <w:rPr>
          <w:rFonts w:ascii="David" w:hAnsi="David"/>
          <w:rtl/>
        </w:rPr>
      </w:pPr>
      <w:r>
        <w:rPr>
          <w:rFonts w:ascii="David" w:hAnsi="David" w:hint="cs"/>
          <w:b/>
          <w:bCs/>
          <w:rtl/>
        </w:rPr>
        <w:t>17</w:t>
      </w:r>
      <w:r>
        <w:rPr>
          <w:rFonts w:ascii="David" w:hAnsi="David"/>
          <w:b/>
          <w:bCs/>
          <w:rtl/>
        </w:rPr>
        <w:t xml:space="preserve"> חודשי מאסר בפועל</w:t>
      </w:r>
      <w:r>
        <w:rPr>
          <w:rFonts w:ascii="David" w:hAnsi="David"/>
          <w:rtl/>
        </w:rPr>
        <w:t xml:space="preserve">, בניכוי ימי מעצרו, בהתאם לרישומי שב"ס. הנאשם יתייצב לריצוי עונשו בתוך 45 יום מהיום, והערבויות שהופקדו בהליך מ.ת. ישמשו להבטחת התייצבותו. </w:t>
      </w:r>
    </w:p>
    <w:p w14:paraId="39EBC697" w14:textId="77777777" w:rsidR="004E17D3" w:rsidRDefault="004E17D3" w:rsidP="004E17D3">
      <w:pPr>
        <w:numPr>
          <w:ilvl w:val="1"/>
          <w:numId w:val="2"/>
        </w:numPr>
        <w:spacing w:after="160" w:line="480" w:lineRule="auto"/>
        <w:contextualSpacing/>
        <w:jc w:val="both"/>
        <w:rPr>
          <w:rFonts w:ascii="David" w:hAnsi="David"/>
          <w:rtl/>
        </w:rPr>
      </w:pPr>
      <w:r>
        <w:rPr>
          <w:rFonts w:ascii="David" w:hAnsi="David" w:hint="cs"/>
          <w:b/>
          <w:bCs/>
          <w:rtl/>
        </w:rPr>
        <w:t>9</w:t>
      </w:r>
      <w:r>
        <w:rPr>
          <w:rFonts w:ascii="David" w:hAnsi="David"/>
          <w:b/>
          <w:bCs/>
          <w:rtl/>
        </w:rPr>
        <w:t xml:space="preserve"> חודשי מאסר על תנאי,</w:t>
      </w:r>
      <w:r>
        <w:rPr>
          <w:rFonts w:ascii="David" w:hAnsi="David"/>
          <w:rtl/>
        </w:rPr>
        <w:t xml:space="preserve"> והתנאי הוא כי לא יעבור במשך 3 שנים מיום שחרורו כל עבירת סמים מסוג פשע. </w:t>
      </w:r>
    </w:p>
    <w:p w14:paraId="252E69F8" w14:textId="77777777" w:rsidR="004E17D3" w:rsidRDefault="004E17D3" w:rsidP="004E17D3">
      <w:pPr>
        <w:numPr>
          <w:ilvl w:val="1"/>
          <w:numId w:val="2"/>
        </w:numPr>
        <w:spacing w:after="160" w:line="480" w:lineRule="auto"/>
        <w:contextualSpacing/>
        <w:jc w:val="both"/>
        <w:rPr>
          <w:rFonts w:ascii="David" w:hAnsi="David"/>
        </w:rPr>
      </w:pPr>
      <w:r>
        <w:rPr>
          <w:rFonts w:ascii="David" w:hAnsi="David"/>
          <w:b/>
          <w:bCs/>
          <w:rtl/>
        </w:rPr>
        <w:t>6 חודשי מאסר על תנאי</w:t>
      </w:r>
      <w:r>
        <w:rPr>
          <w:rFonts w:ascii="David" w:hAnsi="David"/>
          <w:rtl/>
        </w:rPr>
        <w:t>, והתנאי הוא כי לא יעבור במשך 3 שנים מיום שחרורו כל עבירת סמים מסוג עוון</w:t>
      </w:r>
      <w:r>
        <w:rPr>
          <w:rFonts w:ascii="David" w:hAnsi="David" w:hint="cs"/>
          <w:rtl/>
        </w:rPr>
        <w:t xml:space="preserve"> או עבירה של גניבת חשמל</w:t>
      </w:r>
      <w:r>
        <w:rPr>
          <w:rFonts w:ascii="David" w:hAnsi="David"/>
          <w:rtl/>
        </w:rPr>
        <w:t xml:space="preserve">. </w:t>
      </w:r>
    </w:p>
    <w:p w14:paraId="00A42424" w14:textId="77777777" w:rsidR="004E17D3" w:rsidRDefault="004E17D3" w:rsidP="004E17D3">
      <w:pPr>
        <w:numPr>
          <w:ilvl w:val="1"/>
          <w:numId w:val="2"/>
        </w:numPr>
        <w:spacing w:after="160" w:line="480" w:lineRule="auto"/>
        <w:contextualSpacing/>
        <w:jc w:val="both"/>
        <w:rPr>
          <w:rFonts w:ascii="David" w:hAnsi="David"/>
          <w:rtl/>
        </w:rPr>
      </w:pPr>
      <w:r>
        <w:rPr>
          <w:rFonts w:ascii="David" w:hAnsi="David"/>
          <w:b/>
          <w:bCs/>
          <w:rtl/>
        </w:rPr>
        <w:t xml:space="preserve">קנס </w:t>
      </w:r>
      <w:r>
        <w:rPr>
          <w:rFonts w:ascii="David" w:hAnsi="David" w:hint="cs"/>
          <w:b/>
          <w:bCs/>
          <w:rtl/>
        </w:rPr>
        <w:t xml:space="preserve">כספי </w:t>
      </w:r>
      <w:r>
        <w:rPr>
          <w:rFonts w:ascii="David" w:hAnsi="David"/>
          <w:b/>
          <w:bCs/>
          <w:rtl/>
        </w:rPr>
        <w:t xml:space="preserve">בסך </w:t>
      </w:r>
      <w:r>
        <w:rPr>
          <w:rFonts w:ascii="David" w:hAnsi="David" w:hint="cs"/>
          <w:b/>
          <w:bCs/>
          <w:rtl/>
        </w:rPr>
        <w:t>25,000</w:t>
      </w:r>
      <w:r>
        <w:rPr>
          <w:rFonts w:ascii="David" w:hAnsi="David"/>
          <w:b/>
          <w:bCs/>
          <w:rtl/>
        </w:rPr>
        <w:t xml:space="preserve"> ₪. </w:t>
      </w:r>
      <w:r>
        <w:rPr>
          <w:rFonts w:ascii="David" w:hAnsi="David"/>
          <w:rtl/>
        </w:rPr>
        <w:t>הקנס ישולם ב</w:t>
      </w:r>
      <w:r>
        <w:rPr>
          <w:rFonts w:ascii="David" w:hAnsi="David" w:hint="cs"/>
          <w:rtl/>
        </w:rPr>
        <w:t xml:space="preserve">-25 </w:t>
      </w:r>
      <w:r>
        <w:rPr>
          <w:rFonts w:ascii="David" w:hAnsi="David"/>
          <w:rtl/>
        </w:rPr>
        <w:t xml:space="preserve">תשלומים שווים, חודשיים ורצופים, החל מיום </w:t>
      </w:r>
      <w:r>
        <w:rPr>
          <w:rFonts w:ascii="David" w:hAnsi="David" w:hint="cs"/>
          <w:rtl/>
        </w:rPr>
        <w:t>10</w:t>
      </w:r>
      <w:r>
        <w:rPr>
          <w:rFonts w:ascii="David" w:hAnsi="David"/>
          <w:rtl/>
        </w:rPr>
        <w:t xml:space="preserve">.7.21. לא ישולם תשלום מועדו, יעמוד כל הקנס לפירעון מידי ויישא הפרשי ריבית והצמדה </w:t>
      </w:r>
      <w:r>
        <w:rPr>
          <w:rFonts w:ascii="David" w:hAnsi="David" w:hint="cs"/>
          <w:rtl/>
        </w:rPr>
        <w:t>החל מהיום</w:t>
      </w:r>
      <w:r>
        <w:rPr>
          <w:rFonts w:ascii="David" w:hAnsi="David"/>
          <w:rtl/>
        </w:rPr>
        <w:t xml:space="preserve">. </w:t>
      </w:r>
    </w:p>
    <w:p w14:paraId="340B32C6" w14:textId="77777777" w:rsidR="004E17D3" w:rsidRDefault="004E17D3" w:rsidP="004E17D3">
      <w:pPr>
        <w:numPr>
          <w:ilvl w:val="1"/>
          <w:numId w:val="2"/>
        </w:numPr>
        <w:spacing w:after="160" w:line="480" w:lineRule="auto"/>
        <w:contextualSpacing/>
        <w:jc w:val="both"/>
        <w:rPr>
          <w:rFonts w:ascii="David" w:hAnsi="David"/>
          <w:rtl/>
        </w:rPr>
      </w:pPr>
      <w:r>
        <w:rPr>
          <w:rFonts w:ascii="David" w:hAnsi="David" w:hint="cs"/>
          <w:rtl/>
        </w:rPr>
        <w:t xml:space="preserve">על אף שהצדדים לא עתרו במסגרת ההסדר להשתת עונש פסילה, אני גוזר על הנאשם </w:t>
      </w:r>
      <w:r>
        <w:rPr>
          <w:rFonts w:ascii="David" w:hAnsi="David" w:hint="cs"/>
          <w:b/>
          <w:bCs/>
          <w:rtl/>
        </w:rPr>
        <w:t>9</w:t>
      </w:r>
      <w:r>
        <w:rPr>
          <w:rFonts w:ascii="David" w:hAnsi="David"/>
          <w:b/>
          <w:bCs/>
          <w:rtl/>
        </w:rPr>
        <w:t xml:space="preserve"> חודשי פסילה</w:t>
      </w:r>
      <w:r>
        <w:rPr>
          <w:rFonts w:ascii="David" w:hAnsi="David"/>
          <w:rtl/>
        </w:rPr>
        <w:t xml:space="preserve"> על תנאי מלקבל או להחזיק רישיון נהיגה, וזאת למשך שנתיים מ</w:t>
      </w:r>
      <w:r>
        <w:rPr>
          <w:rFonts w:ascii="David" w:hAnsi="David" w:hint="cs"/>
          <w:rtl/>
        </w:rPr>
        <w:t>היום</w:t>
      </w:r>
      <w:r>
        <w:rPr>
          <w:rFonts w:ascii="David" w:hAnsi="David"/>
          <w:rtl/>
        </w:rPr>
        <w:t xml:space="preserve">. התנאי הוא כי לא יעבור הנאשם </w:t>
      </w:r>
      <w:r>
        <w:rPr>
          <w:rFonts w:ascii="David" w:hAnsi="David" w:hint="cs"/>
          <w:rtl/>
        </w:rPr>
        <w:t xml:space="preserve">עבירה של נהיגה בשכרות תחת השפעת סמים. </w:t>
      </w:r>
    </w:p>
    <w:p w14:paraId="2CA7AA87" w14:textId="77777777" w:rsidR="004E17D3" w:rsidRDefault="004E17D3" w:rsidP="004E17D3">
      <w:pPr>
        <w:numPr>
          <w:ilvl w:val="1"/>
          <w:numId w:val="2"/>
        </w:numPr>
        <w:spacing w:after="160" w:line="480" w:lineRule="auto"/>
        <w:contextualSpacing/>
        <w:jc w:val="both"/>
        <w:rPr>
          <w:rFonts w:ascii="David" w:hAnsi="David"/>
        </w:rPr>
      </w:pPr>
      <w:r>
        <w:rPr>
          <w:rFonts w:ascii="David" w:hAnsi="David"/>
          <w:rtl/>
        </w:rPr>
        <w:t>מורה על השמדת הסם</w:t>
      </w:r>
      <w:r>
        <w:rPr>
          <w:rFonts w:ascii="David" w:hAnsi="David" w:hint="cs"/>
          <w:rtl/>
        </w:rPr>
        <w:t xml:space="preserve"> וחילוט </w:t>
      </w:r>
      <w:r>
        <w:rPr>
          <w:rFonts w:ascii="David" w:hAnsi="David"/>
          <w:rtl/>
        </w:rPr>
        <w:t>הכלים והציוד</w:t>
      </w:r>
      <w:r>
        <w:rPr>
          <w:rFonts w:ascii="David" w:hAnsi="David" w:hint="cs"/>
          <w:rtl/>
        </w:rPr>
        <w:t xml:space="preserve"> וזאת בהסכמת ב"כ הנאשם. </w:t>
      </w:r>
      <w:r>
        <w:rPr>
          <w:rFonts w:ascii="David" w:hAnsi="David"/>
          <w:rtl/>
        </w:rPr>
        <w:t xml:space="preserve"> </w:t>
      </w:r>
    </w:p>
    <w:p w14:paraId="3745BECB" w14:textId="77777777" w:rsidR="004E17D3" w:rsidRDefault="004E17D3" w:rsidP="004E17D3">
      <w:pPr>
        <w:spacing w:line="480" w:lineRule="auto"/>
        <w:ind w:left="1440"/>
        <w:contextualSpacing/>
        <w:jc w:val="both"/>
        <w:rPr>
          <w:rFonts w:ascii="Arial" w:hAnsi="Arial"/>
        </w:rPr>
      </w:pPr>
    </w:p>
    <w:p w14:paraId="09B5475B" w14:textId="77777777" w:rsidR="004E17D3" w:rsidRDefault="004E17D3" w:rsidP="004E17D3">
      <w:pPr>
        <w:spacing w:line="480" w:lineRule="auto"/>
        <w:contextualSpacing/>
        <w:jc w:val="both"/>
        <w:rPr>
          <w:rFonts w:ascii="Arial" w:hAnsi="Arial"/>
        </w:rPr>
      </w:pPr>
      <w:r>
        <w:rPr>
          <w:rFonts w:ascii="Arial" w:hAnsi="Arial"/>
          <w:rtl/>
        </w:rPr>
        <w:t xml:space="preserve">זכות ערעור לבית המשפט המחוזי מרכז תוך 45 יום. </w:t>
      </w:r>
    </w:p>
    <w:p w14:paraId="0A7F2283" w14:textId="77777777" w:rsidR="004E17D3" w:rsidRPr="00A677CF" w:rsidRDefault="00A677CF" w:rsidP="004E17D3">
      <w:pPr>
        <w:rPr>
          <w:rFonts w:ascii="David" w:hAnsi="David"/>
          <w:color w:val="FFFFFF"/>
          <w:sz w:val="2"/>
          <w:szCs w:val="2"/>
          <w:rtl/>
        </w:rPr>
      </w:pPr>
      <w:r w:rsidRPr="00A677CF">
        <w:rPr>
          <w:rFonts w:ascii="David" w:hAnsi="David"/>
          <w:color w:val="FFFFFF"/>
          <w:sz w:val="2"/>
          <w:szCs w:val="2"/>
          <w:rtl/>
        </w:rPr>
        <w:t>5129371</w:t>
      </w:r>
    </w:p>
    <w:p w14:paraId="4A5BB4C3" w14:textId="77777777" w:rsidR="004E17D3" w:rsidRPr="00A677CF" w:rsidRDefault="00A677CF" w:rsidP="004E17D3">
      <w:pPr>
        <w:rPr>
          <w:rFonts w:ascii="David" w:hAnsi="David"/>
          <w:color w:val="FFFFFF"/>
          <w:sz w:val="2"/>
          <w:szCs w:val="2"/>
          <w:rtl/>
        </w:rPr>
      </w:pPr>
      <w:r w:rsidRPr="00A677CF">
        <w:rPr>
          <w:rFonts w:ascii="David" w:hAnsi="David"/>
          <w:color w:val="FFFFFF"/>
          <w:sz w:val="2"/>
          <w:szCs w:val="2"/>
          <w:rtl/>
        </w:rPr>
        <w:t>54678313</w:t>
      </w:r>
    </w:p>
    <w:p w14:paraId="3B326705" w14:textId="77777777" w:rsidR="004E17D3" w:rsidRPr="002B7D23" w:rsidRDefault="004E17D3" w:rsidP="004E17D3">
      <w:pPr>
        <w:rPr>
          <w:rFonts w:ascii="David" w:hAnsi="David"/>
          <w:sz w:val="26"/>
          <w:szCs w:val="26"/>
          <w:rtl/>
        </w:rPr>
      </w:pPr>
    </w:p>
    <w:p w14:paraId="17A6FDEA" w14:textId="77777777" w:rsidR="004E17D3" w:rsidRPr="002B7D23" w:rsidRDefault="00A677CF" w:rsidP="004E17D3">
      <w:pPr>
        <w:rPr>
          <w:rFonts w:ascii="David" w:hAnsi="David"/>
          <w:sz w:val="26"/>
          <w:szCs w:val="26"/>
          <w:rtl/>
        </w:rPr>
      </w:pPr>
      <w:bookmarkStart w:id="8" w:name="Nitan"/>
      <w:r>
        <w:rPr>
          <w:rFonts w:ascii="David" w:hAnsi="David"/>
          <w:sz w:val="26"/>
          <w:szCs w:val="26"/>
          <w:rtl/>
        </w:rPr>
        <w:t xml:space="preserve">ניתן היום,  ט"ו סיוון תשפ"א, 26 מאי 2021, בנוכחות הצדדים. </w:t>
      </w:r>
      <w:bookmarkEnd w:id="8"/>
    </w:p>
    <w:p w14:paraId="7C67BE57" w14:textId="77777777" w:rsidR="00A677CF" w:rsidRDefault="00A677CF" w:rsidP="00A677CF">
      <w:pPr>
        <w:rPr>
          <w:rtl/>
        </w:rPr>
      </w:pPr>
    </w:p>
    <w:p w14:paraId="32FE029F" w14:textId="77777777" w:rsidR="00A677CF" w:rsidRDefault="00A677CF" w:rsidP="00A677CF">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55B760B5" w14:textId="77777777" w:rsidR="00215226" w:rsidRPr="00215226" w:rsidRDefault="00215226" w:rsidP="00215226">
      <w:pPr>
        <w:keepNext/>
        <w:rPr>
          <w:rFonts w:ascii="David" w:hAnsi="David"/>
          <w:color w:val="000000"/>
          <w:sz w:val="22"/>
          <w:szCs w:val="22"/>
          <w:rtl/>
        </w:rPr>
      </w:pPr>
    </w:p>
    <w:p w14:paraId="7705DC83" w14:textId="77777777" w:rsidR="00215226" w:rsidRPr="00215226" w:rsidRDefault="00215226" w:rsidP="00215226">
      <w:pPr>
        <w:keepNext/>
        <w:rPr>
          <w:rFonts w:ascii="David" w:hAnsi="David"/>
          <w:color w:val="000000"/>
          <w:sz w:val="22"/>
          <w:szCs w:val="22"/>
          <w:rtl/>
        </w:rPr>
      </w:pPr>
      <w:r w:rsidRPr="00215226">
        <w:rPr>
          <w:rFonts w:ascii="David" w:hAnsi="David"/>
          <w:color w:val="000000"/>
          <w:sz w:val="22"/>
          <w:szCs w:val="22"/>
          <w:rtl/>
        </w:rPr>
        <w:t>ארז נוריאלי 54678313-/</w:t>
      </w:r>
    </w:p>
    <w:p w14:paraId="36E988D9" w14:textId="77777777" w:rsidR="00A677CF" w:rsidRPr="00A677CF" w:rsidRDefault="00215226" w:rsidP="00215226">
      <w:pPr>
        <w:rPr>
          <w:color w:val="0000FF"/>
          <w:u w:val="single"/>
        </w:rPr>
      </w:pPr>
      <w:r w:rsidRPr="00215226">
        <w:rPr>
          <w:color w:val="000000"/>
          <w:u w:val="single"/>
          <w:rtl/>
        </w:rPr>
        <w:t>נוסח מסמך זה כפוף לשינויי ניסוח ועריכה</w:t>
      </w:r>
    </w:p>
    <w:sectPr w:rsidR="00A677CF" w:rsidRPr="00A677CF" w:rsidSect="00215226">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A89C8" w14:textId="77777777" w:rsidR="0038406C" w:rsidRDefault="0038406C" w:rsidP="00A465EE">
      <w:r>
        <w:separator/>
      </w:r>
    </w:p>
  </w:endnote>
  <w:endnote w:type="continuationSeparator" w:id="0">
    <w:p w14:paraId="6A3FA75B" w14:textId="77777777" w:rsidR="0038406C" w:rsidRDefault="0038406C" w:rsidP="00A46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B91B7" w14:textId="77777777" w:rsidR="00215226" w:rsidRDefault="00215226" w:rsidP="0021522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C31EE73" w14:textId="77777777" w:rsidR="0096543D" w:rsidRPr="00215226" w:rsidRDefault="00215226" w:rsidP="00215226">
    <w:pPr>
      <w:pStyle w:val="a5"/>
      <w:pBdr>
        <w:top w:val="single" w:sz="4" w:space="1" w:color="auto"/>
        <w:between w:val="single" w:sz="4" w:space="0" w:color="auto"/>
      </w:pBdr>
      <w:spacing w:after="60"/>
      <w:jc w:val="center"/>
      <w:rPr>
        <w:rFonts w:ascii="FrankRuehl" w:hAnsi="FrankRuehl" w:cs="FrankRuehl"/>
        <w:color w:val="000000"/>
      </w:rPr>
    </w:pPr>
    <w:r w:rsidRPr="0021522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D3F5D" w14:textId="77777777" w:rsidR="00215226" w:rsidRDefault="00215226" w:rsidP="0021522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14C93">
      <w:rPr>
        <w:rFonts w:ascii="FrankRuehl" w:hAnsi="FrankRuehl" w:cs="FrankRuehl"/>
        <w:noProof/>
        <w:rtl/>
      </w:rPr>
      <w:t>1</w:t>
    </w:r>
    <w:r>
      <w:rPr>
        <w:rFonts w:ascii="FrankRuehl" w:hAnsi="FrankRuehl" w:cs="FrankRuehl"/>
        <w:rtl/>
      </w:rPr>
      <w:fldChar w:fldCharType="end"/>
    </w:r>
  </w:p>
  <w:p w14:paraId="6774AF05" w14:textId="77777777" w:rsidR="0096543D" w:rsidRPr="00215226" w:rsidRDefault="00215226" w:rsidP="00215226">
    <w:pPr>
      <w:pStyle w:val="a5"/>
      <w:pBdr>
        <w:top w:val="single" w:sz="4" w:space="1" w:color="auto"/>
        <w:between w:val="single" w:sz="4" w:space="0" w:color="auto"/>
      </w:pBdr>
      <w:spacing w:after="60"/>
      <w:jc w:val="center"/>
      <w:rPr>
        <w:rFonts w:ascii="FrankRuehl" w:hAnsi="FrankRuehl" w:cs="FrankRuehl"/>
        <w:color w:val="000000"/>
      </w:rPr>
    </w:pPr>
    <w:r w:rsidRPr="00215226">
      <w:rPr>
        <w:rFonts w:ascii="FrankRuehl" w:hAnsi="FrankRuehl" w:cs="FrankRuehl"/>
        <w:color w:val="000000"/>
      </w:rPr>
      <w:pict w14:anchorId="33BBA1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45359" w14:textId="77777777" w:rsidR="0038406C" w:rsidRDefault="0038406C" w:rsidP="00A465EE">
      <w:r>
        <w:separator/>
      </w:r>
    </w:p>
  </w:footnote>
  <w:footnote w:type="continuationSeparator" w:id="0">
    <w:p w14:paraId="61C28847" w14:textId="77777777" w:rsidR="0038406C" w:rsidRDefault="0038406C" w:rsidP="00A46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2BDE8" w14:textId="77777777" w:rsidR="00A677CF" w:rsidRPr="00215226" w:rsidRDefault="00215226" w:rsidP="002152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32722-12-19</w:t>
    </w:r>
    <w:r>
      <w:rPr>
        <w:rFonts w:ascii="David" w:hAnsi="David"/>
        <w:color w:val="000000"/>
        <w:sz w:val="22"/>
        <w:szCs w:val="22"/>
        <w:rtl/>
      </w:rPr>
      <w:tab/>
      <w:t xml:space="preserve"> מדינת ישראל נ' גיא בן נון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34840" w14:textId="77777777" w:rsidR="00A677CF" w:rsidRPr="00215226" w:rsidRDefault="00215226" w:rsidP="002152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32722-12-19</w:t>
    </w:r>
    <w:r>
      <w:rPr>
        <w:rFonts w:ascii="David" w:hAnsi="David"/>
        <w:color w:val="000000"/>
        <w:sz w:val="22"/>
        <w:szCs w:val="22"/>
        <w:rtl/>
      </w:rPr>
      <w:tab/>
      <w:t xml:space="preserve"> מדינת ישראל נ' גיא בן נון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3058FC"/>
    <w:multiLevelType w:val="hybridMultilevel"/>
    <w:tmpl w:val="2AD6BAC6"/>
    <w:lvl w:ilvl="0" w:tplc="CBEE2306">
      <w:start w:val="1"/>
      <w:numFmt w:val="decimal"/>
      <w:lvlText w:val="%1."/>
      <w:lvlJc w:val="left"/>
      <w:pPr>
        <w:ind w:left="360" w:hanging="360"/>
      </w:pPr>
      <w:rPr>
        <w:rFonts w:cs="Times New Roman"/>
        <w:b w:val="0"/>
        <w:bCs w:val="0"/>
      </w:rPr>
    </w:lvl>
    <w:lvl w:ilvl="1" w:tplc="04090013">
      <w:start w:val="1"/>
      <w:numFmt w:val="hebrew1"/>
      <w:lvlText w:val="%2."/>
      <w:lvlJc w:val="center"/>
      <w:pPr>
        <w:ind w:left="785"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 w15:restartNumberingAfterBreak="0">
    <w:nsid w:val="7D4C24B2"/>
    <w:multiLevelType w:val="hybridMultilevel"/>
    <w:tmpl w:val="5726CE6C"/>
    <w:lvl w:ilvl="0" w:tplc="360AA48A">
      <w:start w:val="1"/>
      <w:numFmt w:val="decimal"/>
      <w:lvlText w:val="%1."/>
      <w:lvlJc w:val="left"/>
      <w:pPr>
        <w:ind w:left="720" w:hanging="360"/>
      </w:pPr>
      <w:rPr>
        <w:rFonts w:cs="Times New Roman"/>
        <w:b w:val="0"/>
        <w:bCs w:val="0"/>
      </w:rPr>
    </w:lvl>
    <w:lvl w:ilvl="1" w:tplc="04090013">
      <w:start w:val="1"/>
      <w:numFmt w:val="hebrew1"/>
      <w:lvlText w:val="%2."/>
      <w:lvlJc w:val="center"/>
      <w:pPr>
        <w:ind w:left="1440" w:hanging="360"/>
      </w:p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5059004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04696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E17D3"/>
    <w:rsid w:val="00061DAC"/>
    <w:rsid w:val="000F7104"/>
    <w:rsid w:val="001B5A3B"/>
    <w:rsid w:val="00214C93"/>
    <w:rsid w:val="00215226"/>
    <w:rsid w:val="002F3828"/>
    <w:rsid w:val="0038406C"/>
    <w:rsid w:val="004E17D3"/>
    <w:rsid w:val="004E74B3"/>
    <w:rsid w:val="004F071C"/>
    <w:rsid w:val="005A1E94"/>
    <w:rsid w:val="006D534E"/>
    <w:rsid w:val="0096543D"/>
    <w:rsid w:val="009C0914"/>
    <w:rsid w:val="00A465EE"/>
    <w:rsid w:val="00A677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201A6E"/>
  <w15:chartTrackingRefBased/>
  <w15:docId w15:val="{10A8AEAE-E5DB-4529-8758-888B587DA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E17D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E17D3"/>
    <w:pPr>
      <w:tabs>
        <w:tab w:val="center" w:pos="4153"/>
        <w:tab w:val="right" w:pos="8306"/>
      </w:tabs>
    </w:pPr>
  </w:style>
  <w:style w:type="character" w:customStyle="1" w:styleId="a4">
    <w:name w:val="כותרת עליונה תו"/>
    <w:link w:val="a3"/>
    <w:rsid w:val="004E17D3"/>
    <w:rPr>
      <w:rFonts w:ascii="Times New Roman" w:eastAsia="Times New Roman" w:hAnsi="Times New Roman" w:cs="David"/>
      <w:sz w:val="24"/>
      <w:szCs w:val="24"/>
    </w:rPr>
  </w:style>
  <w:style w:type="paragraph" w:styleId="a5">
    <w:name w:val="footer"/>
    <w:basedOn w:val="a"/>
    <w:link w:val="a6"/>
    <w:rsid w:val="004E17D3"/>
    <w:pPr>
      <w:tabs>
        <w:tab w:val="center" w:pos="4153"/>
        <w:tab w:val="right" w:pos="8306"/>
      </w:tabs>
    </w:pPr>
  </w:style>
  <w:style w:type="character" w:customStyle="1" w:styleId="a6">
    <w:name w:val="כותרת תחתונה תו"/>
    <w:link w:val="a5"/>
    <w:rsid w:val="004E17D3"/>
    <w:rPr>
      <w:rFonts w:ascii="Times New Roman" w:eastAsia="Times New Roman" w:hAnsi="Times New Roman" w:cs="David"/>
      <w:sz w:val="24"/>
      <w:szCs w:val="24"/>
    </w:rPr>
  </w:style>
  <w:style w:type="table" w:styleId="a7">
    <w:name w:val="Table Grid"/>
    <w:basedOn w:val="a1"/>
    <w:rsid w:val="004E17D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E17D3"/>
  </w:style>
  <w:style w:type="character" w:styleId="Hyperlink">
    <w:name w:val="Hyperlink"/>
    <w:rsid w:val="00A677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b" TargetMode="External"/><Relationship Id="rId18" Type="http://schemas.openxmlformats.org/officeDocument/2006/relationships/hyperlink" Target="http://www.nevo.co.il/law/4216" TargetMode="External"/><Relationship Id="rId26" Type="http://schemas.openxmlformats.org/officeDocument/2006/relationships/hyperlink" Target="http://www.nevo.co.il/case/18119161" TargetMode="External"/><Relationship Id="rId39" Type="http://schemas.openxmlformats.org/officeDocument/2006/relationships/hyperlink" Target="http://www.nevo.co.il/law/70301/40ja"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305992" TargetMode="External"/><Relationship Id="rId42" Type="http://schemas.openxmlformats.org/officeDocument/2006/relationships/header" Target="header2.xml"/><Relationship Id="rId7" Type="http://schemas.openxmlformats.org/officeDocument/2006/relationships/hyperlink" Target="http://www.nevo.co.il/case/26269316"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case/678209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32" TargetMode="External"/><Relationship Id="rId24" Type="http://schemas.openxmlformats.org/officeDocument/2006/relationships/hyperlink" Target="http://www.nevo.co.il/case/5753269" TargetMode="External"/><Relationship Id="rId32" Type="http://schemas.openxmlformats.org/officeDocument/2006/relationships/hyperlink" Target="http://www.nevo.co.il/case/21975006" TargetMode="External"/><Relationship Id="rId37" Type="http://schemas.openxmlformats.org/officeDocument/2006/relationships/hyperlink" Target="http://www.nevo.co.il/law/70301"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law/70301/40b" TargetMode="External"/><Relationship Id="rId28" Type="http://schemas.openxmlformats.org/officeDocument/2006/relationships/hyperlink" Target="http://www.nevo.co.il/case/18045843" TargetMode="External"/><Relationship Id="rId36" Type="http://schemas.openxmlformats.org/officeDocument/2006/relationships/hyperlink" Target="http://www.nevo.co.il/case/2317901"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7.c" TargetMode="External"/><Relationship Id="rId31" Type="http://schemas.openxmlformats.org/officeDocument/2006/relationships/hyperlink" Target="http://www.nevo.co.il/case/20159091"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law/70301/400" TargetMode="External"/><Relationship Id="rId22" Type="http://schemas.openxmlformats.org/officeDocument/2006/relationships/hyperlink" Target="http://www.nevo.co.il/law/4216/32" TargetMode="External"/><Relationship Id="rId27" Type="http://schemas.openxmlformats.org/officeDocument/2006/relationships/hyperlink" Target="http://www.nevo.co.il/case/21860386" TargetMode="External"/><Relationship Id="rId30" Type="http://schemas.openxmlformats.org/officeDocument/2006/relationships/hyperlink" Target="http://www.nevo.co.il/case/20137650" TargetMode="External"/><Relationship Id="rId35" Type="http://schemas.openxmlformats.org/officeDocument/2006/relationships/hyperlink" Target="http://www.nevo.co.il/case/5396389" TargetMode="External"/><Relationship Id="rId43" Type="http://schemas.openxmlformats.org/officeDocument/2006/relationships/footer" Target="footer1.xml"/><Relationship Id="rId8"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6" TargetMode="External"/><Relationship Id="rId25" Type="http://schemas.openxmlformats.org/officeDocument/2006/relationships/hyperlink" Target="http://www.nevo.co.il/case/5738608" TargetMode="External"/><Relationship Id="rId33" Type="http://schemas.openxmlformats.org/officeDocument/2006/relationships/hyperlink" Target="http://www.nevo.co.il/case/4921087" TargetMode="External"/><Relationship Id="rId38" Type="http://schemas.openxmlformats.org/officeDocument/2006/relationships/hyperlink" Target="http://www.nevo.co.il/law/70301/40jc" TargetMode="External"/><Relationship Id="rId46" Type="http://schemas.openxmlformats.org/officeDocument/2006/relationships/theme" Target="theme/theme1.xml"/><Relationship Id="rId20" Type="http://schemas.openxmlformats.org/officeDocument/2006/relationships/hyperlink" Target="http://www.nevo.co.il/law/70301/400"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2737</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16391</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262155</vt:i4>
      </vt:variant>
      <vt:variant>
        <vt:i4>96</vt:i4>
      </vt:variant>
      <vt:variant>
        <vt:i4>0</vt:i4>
      </vt:variant>
      <vt:variant>
        <vt:i4>5</vt:i4>
      </vt:variant>
      <vt:variant>
        <vt:lpwstr>http://www.nevo.co.il/law/70301/40ja</vt:lpwstr>
      </vt:variant>
      <vt:variant>
        <vt:lpwstr/>
      </vt:variant>
      <vt:variant>
        <vt:i4>393227</vt:i4>
      </vt:variant>
      <vt:variant>
        <vt:i4>93</vt:i4>
      </vt:variant>
      <vt:variant>
        <vt:i4>0</vt:i4>
      </vt:variant>
      <vt:variant>
        <vt:i4>5</vt:i4>
      </vt:variant>
      <vt:variant>
        <vt:lpwstr>http://www.nevo.co.il/law/70301/40jc</vt:lpwstr>
      </vt:variant>
      <vt:variant>
        <vt:lpwstr/>
      </vt:variant>
      <vt:variant>
        <vt:i4>7995492</vt:i4>
      </vt:variant>
      <vt:variant>
        <vt:i4>90</vt:i4>
      </vt:variant>
      <vt:variant>
        <vt:i4>0</vt:i4>
      </vt:variant>
      <vt:variant>
        <vt:i4>5</vt:i4>
      </vt:variant>
      <vt:variant>
        <vt:lpwstr>http://www.nevo.co.il/law/70301</vt:lpwstr>
      </vt:variant>
      <vt:variant>
        <vt:lpwstr/>
      </vt:variant>
      <vt:variant>
        <vt:i4>3866736</vt:i4>
      </vt:variant>
      <vt:variant>
        <vt:i4>87</vt:i4>
      </vt:variant>
      <vt:variant>
        <vt:i4>0</vt:i4>
      </vt:variant>
      <vt:variant>
        <vt:i4>5</vt:i4>
      </vt:variant>
      <vt:variant>
        <vt:lpwstr>http://www.nevo.co.il/case/2317901</vt:lpwstr>
      </vt:variant>
      <vt:variant>
        <vt:lpwstr/>
      </vt:variant>
      <vt:variant>
        <vt:i4>3539065</vt:i4>
      </vt:variant>
      <vt:variant>
        <vt:i4>84</vt:i4>
      </vt:variant>
      <vt:variant>
        <vt:i4>0</vt:i4>
      </vt:variant>
      <vt:variant>
        <vt:i4>5</vt:i4>
      </vt:variant>
      <vt:variant>
        <vt:lpwstr>http://www.nevo.co.il/case/5396389</vt:lpwstr>
      </vt:variant>
      <vt:variant>
        <vt:lpwstr/>
      </vt:variant>
      <vt:variant>
        <vt:i4>3735675</vt:i4>
      </vt:variant>
      <vt:variant>
        <vt:i4>81</vt:i4>
      </vt:variant>
      <vt:variant>
        <vt:i4>0</vt:i4>
      </vt:variant>
      <vt:variant>
        <vt:i4>5</vt:i4>
      </vt:variant>
      <vt:variant>
        <vt:lpwstr>http://www.nevo.co.il/case/2305992</vt:lpwstr>
      </vt:variant>
      <vt:variant>
        <vt:lpwstr/>
      </vt:variant>
      <vt:variant>
        <vt:i4>3211380</vt:i4>
      </vt:variant>
      <vt:variant>
        <vt:i4>78</vt:i4>
      </vt:variant>
      <vt:variant>
        <vt:i4>0</vt:i4>
      </vt:variant>
      <vt:variant>
        <vt:i4>5</vt:i4>
      </vt:variant>
      <vt:variant>
        <vt:lpwstr>http://www.nevo.co.il/case/4921087</vt:lpwstr>
      </vt:variant>
      <vt:variant>
        <vt:lpwstr/>
      </vt:variant>
      <vt:variant>
        <vt:i4>4063346</vt:i4>
      </vt:variant>
      <vt:variant>
        <vt:i4>75</vt:i4>
      </vt:variant>
      <vt:variant>
        <vt:i4>0</vt:i4>
      </vt:variant>
      <vt:variant>
        <vt:i4>5</vt:i4>
      </vt:variant>
      <vt:variant>
        <vt:lpwstr>http://www.nevo.co.il/case/21975006</vt:lpwstr>
      </vt:variant>
      <vt:variant>
        <vt:lpwstr/>
      </vt:variant>
      <vt:variant>
        <vt:i4>3342449</vt:i4>
      </vt:variant>
      <vt:variant>
        <vt:i4>72</vt:i4>
      </vt:variant>
      <vt:variant>
        <vt:i4>0</vt:i4>
      </vt:variant>
      <vt:variant>
        <vt:i4>5</vt:i4>
      </vt:variant>
      <vt:variant>
        <vt:lpwstr>http://www.nevo.co.il/case/20159091</vt:lpwstr>
      </vt:variant>
      <vt:variant>
        <vt:lpwstr/>
      </vt:variant>
      <vt:variant>
        <vt:i4>3211377</vt:i4>
      </vt:variant>
      <vt:variant>
        <vt:i4>69</vt:i4>
      </vt:variant>
      <vt:variant>
        <vt:i4>0</vt:i4>
      </vt:variant>
      <vt:variant>
        <vt:i4>5</vt:i4>
      </vt:variant>
      <vt:variant>
        <vt:lpwstr>http://www.nevo.co.il/case/20137650</vt:lpwstr>
      </vt:variant>
      <vt:variant>
        <vt:lpwstr/>
      </vt:variant>
      <vt:variant>
        <vt:i4>3932280</vt:i4>
      </vt:variant>
      <vt:variant>
        <vt:i4>66</vt:i4>
      </vt:variant>
      <vt:variant>
        <vt:i4>0</vt:i4>
      </vt:variant>
      <vt:variant>
        <vt:i4>5</vt:i4>
      </vt:variant>
      <vt:variant>
        <vt:lpwstr>http://www.nevo.co.il/case/6782092</vt:lpwstr>
      </vt:variant>
      <vt:variant>
        <vt:lpwstr/>
      </vt:variant>
      <vt:variant>
        <vt:i4>3145840</vt:i4>
      </vt:variant>
      <vt:variant>
        <vt:i4>63</vt:i4>
      </vt:variant>
      <vt:variant>
        <vt:i4>0</vt:i4>
      </vt:variant>
      <vt:variant>
        <vt:i4>5</vt:i4>
      </vt:variant>
      <vt:variant>
        <vt:lpwstr>http://www.nevo.co.il/case/18045843</vt:lpwstr>
      </vt:variant>
      <vt:variant>
        <vt:lpwstr/>
      </vt:variant>
      <vt:variant>
        <vt:i4>3276912</vt:i4>
      </vt:variant>
      <vt:variant>
        <vt:i4>60</vt:i4>
      </vt:variant>
      <vt:variant>
        <vt:i4>0</vt:i4>
      </vt:variant>
      <vt:variant>
        <vt:i4>5</vt:i4>
      </vt:variant>
      <vt:variant>
        <vt:lpwstr>http://www.nevo.co.il/case/21860386</vt:lpwstr>
      </vt:variant>
      <vt:variant>
        <vt:lpwstr/>
      </vt:variant>
      <vt:variant>
        <vt:i4>4128892</vt:i4>
      </vt:variant>
      <vt:variant>
        <vt:i4>57</vt:i4>
      </vt:variant>
      <vt:variant>
        <vt:i4>0</vt:i4>
      </vt:variant>
      <vt:variant>
        <vt:i4>5</vt:i4>
      </vt:variant>
      <vt:variant>
        <vt:lpwstr>http://www.nevo.co.il/case/18119161</vt:lpwstr>
      </vt:variant>
      <vt:variant>
        <vt:lpwstr/>
      </vt:variant>
      <vt:variant>
        <vt:i4>3670139</vt:i4>
      </vt:variant>
      <vt:variant>
        <vt:i4>54</vt:i4>
      </vt:variant>
      <vt:variant>
        <vt:i4>0</vt:i4>
      </vt:variant>
      <vt:variant>
        <vt:i4>5</vt:i4>
      </vt:variant>
      <vt:variant>
        <vt:lpwstr>http://www.nevo.co.il/case/5738608</vt:lpwstr>
      </vt:variant>
      <vt:variant>
        <vt:lpwstr/>
      </vt:variant>
      <vt:variant>
        <vt:i4>3866742</vt:i4>
      </vt:variant>
      <vt:variant>
        <vt:i4>51</vt:i4>
      </vt:variant>
      <vt:variant>
        <vt:i4>0</vt:i4>
      </vt:variant>
      <vt:variant>
        <vt:i4>5</vt:i4>
      </vt:variant>
      <vt:variant>
        <vt:lpwstr>http://www.nevo.co.il/case/5753269</vt:lpwstr>
      </vt:variant>
      <vt:variant>
        <vt:lpwstr/>
      </vt:variant>
      <vt:variant>
        <vt:i4>6619233</vt:i4>
      </vt:variant>
      <vt:variant>
        <vt:i4>48</vt:i4>
      </vt:variant>
      <vt:variant>
        <vt:i4>0</vt:i4>
      </vt:variant>
      <vt:variant>
        <vt:i4>5</vt:i4>
      </vt:variant>
      <vt:variant>
        <vt:lpwstr>http://www.nevo.co.il/law/70301/40b</vt:lpwstr>
      </vt:variant>
      <vt:variant>
        <vt:lpwstr/>
      </vt:variant>
      <vt:variant>
        <vt:i4>5046346</vt:i4>
      </vt:variant>
      <vt:variant>
        <vt:i4>45</vt:i4>
      </vt:variant>
      <vt:variant>
        <vt:i4>0</vt:i4>
      </vt:variant>
      <vt:variant>
        <vt:i4>5</vt:i4>
      </vt:variant>
      <vt:variant>
        <vt:lpwstr>http://www.nevo.co.il/law/4216/32</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http://www.nevo.co.il/law/70301/400</vt:lpwstr>
      </vt:variant>
      <vt:variant>
        <vt:lpwstr/>
      </vt:variant>
      <vt:variant>
        <vt:i4>2752612</vt:i4>
      </vt:variant>
      <vt:variant>
        <vt:i4>36</vt:i4>
      </vt:variant>
      <vt:variant>
        <vt:i4>0</vt:i4>
      </vt:variant>
      <vt:variant>
        <vt:i4>5</vt:i4>
      </vt:variant>
      <vt:variant>
        <vt:lpwstr>http://www.nevo.co.il/law/4216/7.c</vt:lpwstr>
      </vt:variant>
      <vt:variant>
        <vt:lpwstr/>
      </vt:variant>
      <vt:variant>
        <vt:i4>8257637</vt:i4>
      </vt:variant>
      <vt:variant>
        <vt:i4>33</vt:i4>
      </vt:variant>
      <vt:variant>
        <vt:i4>0</vt:i4>
      </vt:variant>
      <vt:variant>
        <vt:i4>5</vt:i4>
      </vt:variant>
      <vt:variant>
        <vt:lpwstr>http://www.nevo.co.il/law/4216</vt:lpwstr>
      </vt:variant>
      <vt:variant>
        <vt:lpwstr/>
      </vt:variant>
      <vt:variant>
        <vt:i4>4718666</vt:i4>
      </vt:variant>
      <vt:variant>
        <vt:i4>30</vt:i4>
      </vt:variant>
      <vt:variant>
        <vt:i4>0</vt:i4>
      </vt:variant>
      <vt:variant>
        <vt:i4>5</vt:i4>
      </vt:variant>
      <vt:variant>
        <vt:lpwstr>http://www.nevo.co.il/law/4216/6</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http://www.nevo.co.il/law/70301/400</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5046346</vt:i4>
      </vt:variant>
      <vt:variant>
        <vt:i4>12</vt:i4>
      </vt:variant>
      <vt:variant>
        <vt:i4>0</vt:i4>
      </vt:variant>
      <vt:variant>
        <vt:i4>5</vt:i4>
      </vt:variant>
      <vt:variant>
        <vt:lpwstr>http://www.nevo.co.il/law/4216/32</vt:lpwstr>
      </vt:variant>
      <vt:variant>
        <vt:lpwstr/>
      </vt:variant>
      <vt:variant>
        <vt:i4>2752612</vt:i4>
      </vt:variant>
      <vt:variant>
        <vt:i4>9</vt:i4>
      </vt:variant>
      <vt:variant>
        <vt:i4>0</vt:i4>
      </vt:variant>
      <vt:variant>
        <vt:i4>5</vt:i4>
      </vt:variant>
      <vt:variant>
        <vt:lpwstr>http://www.nevo.co.il/law/4216/7.c</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3670135</vt:i4>
      </vt:variant>
      <vt:variant>
        <vt:i4>0</vt:i4>
      </vt:variant>
      <vt:variant>
        <vt:i4>0</vt:i4>
      </vt:variant>
      <vt:variant>
        <vt:i4>5</vt:i4>
      </vt:variant>
      <vt:variant>
        <vt:lpwstr>http://www.nevo.co.il/case/26269316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2025-04-23T00:23:00Z</dcterms:created>
  <dcterms:modified xsi:type="dcterms:W3CDTF">2025-04-23T00:23:00Z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32722</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גיא בן נון</vt:lpwstr>
  </property>
  <property fmtid="{D5CDD505-2E9C-101B-9397-08002B2CF9AE}" pid="10" name="LAWYER">
    <vt:lpwstr>אלירן אשכנזי;גיא פרידמן</vt:lpwstr>
  </property>
  <property fmtid="{D5CDD505-2E9C-101B-9397-08002B2CF9AE}" pid="11" name="JUDGE">
    <vt:lpwstr>ארז נוריאלי</vt:lpwstr>
  </property>
  <property fmtid="{D5CDD505-2E9C-101B-9397-08002B2CF9AE}" pid="12" name="CITY">
    <vt:lpwstr>ראשל"צ</vt:lpwstr>
  </property>
  <property fmtid="{D5CDD505-2E9C-101B-9397-08002B2CF9AE}" pid="13" name="DATE">
    <vt:lpwstr>20210526</vt:lpwstr>
  </property>
  <property fmtid="{D5CDD505-2E9C-101B-9397-08002B2CF9AE}" pid="14" name="TYPE_N_DATE">
    <vt:lpwstr>38020210526</vt:lpwstr>
  </property>
  <property fmtid="{D5CDD505-2E9C-101B-9397-08002B2CF9AE}" pid="15" name="WORDNUMPAGES">
    <vt:lpwstr>10</vt:lpwstr>
  </property>
  <property fmtid="{D5CDD505-2E9C-101B-9397-08002B2CF9AE}" pid="16" name="TYPE_ABS_DATE">
    <vt:lpwstr>380020210526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26269316;5753269;5738608;18119161;21860386;18045843;6782092;20137650;20159091;21975006;4921087;2305992;5396389;2317901</vt:lpwstr>
  </property>
  <property fmtid="{D5CDD505-2E9C-101B-9397-08002B2CF9AE}" pid="36" name="LAWLISTTMP1">
    <vt:lpwstr>4216/006;007.c;032</vt:lpwstr>
  </property>
  <property fmtid="{D5CDD505-2E9C-101B-9397-08002B2CF9AE}" pid="37" name="LAWLISTTMP2">
    <vt:lpwstr>70301/400;040b;40jc;40ja</vt:lpwstr>
  </property>
</Properties>
</file>