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8"/>
        <w:gridCol w:w="544"/>
        <w:gridCol w:w="3029"/>
        <w:gridCol w:w="297"/>
      </w:tblGrid>
      <w:tr w:rsidR="00F5321D" w:rsidRPr="007876AF" w14:paraId="2F9A7869" w14:textId="77777777" w:rsidTr="005823E7">
        <w:trPr>
          <w:gridAfter w:val="1"/>
          <w:wAfter w:w="297" w:type="dxa"/>
          <w:trHeight w:hRule="exact" w:val="418"/>
          <w:jc w:val="center"/>
        </w:trPr>
        <w:tc>
          <w:tcPr>
            <w:tcW w:w="8523" w:type="dxa"/>
            <w:gridSpan w:val="4"/>
          </w:tcPr>
          <w:p w14:paraId="1F37829D" w14:textId="77777777" w:rsidR="00F5321D" w:rsidRPr="007876AF" w:rsidRDefault="00F5321D" w:rsidP="006674AB">
            <w:pPr>
              <w:pStyle w:val="a3"/>
              <w:jc w:val="center"/>
              <w:rPr>
                <w:rFonts w:ascii="Tahoma" w:hAnsi="Tahoma"/>
                <w:color w:val="000080"/>
                <w:sz w:val="32"/>
                <w:szCs w:val="32"/>
                <w:rtl/>
              </w:rPr>
            </w:pPr>
            <w:bookmarkStart w:id="0" w:name="LastJudge"/>
            <w:r w:rsidRPr="007876AF">
              <w:rPr>
                <w:rFonts w:ascii="Tahoma" w:hAnsi="Tahoma"/>
                <w:b/>
                <w:bCs/>
                <w:color w:val="000080"/>
                <w:sz w:val="32"/>
                <w:szCs w:val="32"/>
                <w:rtl/>
              </w:rPr>
              <w:t>בית משפט השלום בתל אביב - יפו</w:t>
            </w:r>
          </w:p>
        </w:tc>
      </w:tr>
      <w:tr w:rsidR="00F5321D" w:rsidRPr="007876AF" w14:paraId="46B124B4" w14:textId="77777777" w:rsidTr="005823E7">
        <w:trPr>
          <w:gridAfter w:val="1"/>
          <w:wAfter w:w="297" w:type="dxa"/>
          <w:trHeight w:val="337"/>
          <w:jc w:val="center"/>
        </w:trPr>
        <w:tc>
          <w:tcPr>
            <w:tcW w:w="4950" w:type="dxa"/>
            <w:gridSpan w:val="2"/>
          </w:tcPr>
          <w:p w14:paraId="540A1089" w14:textId="77777777" w:rsidR="00F5321D" w:rsidRPr="007876AF" w:rsidRDefault="00F5321D" w:rsidP="006674AB">
            <w:pPr>
              <w:rPr>
                <w:sz w:val="26"/>
                <w:szCs w:val="26"/>
                <w:rtl/>
              </w:rPr>
            </w:pPr>
            <w:r w:rsidRPr="007876AF">
              <w:rPr>
                <w:sz w:val="26"/>
                <w:szCs w:val="26"/>
                <w:rtl/>
              </w:rPr>
              <w:t>ת"פ</w:t>
            </w:r>
            <w:r w:rsidRPr="007876AF">
              <w:rPr>
                <w:rFonts w:hint="cs"/>
                <w:sz w:val="26"/>
                <w:szCs w:val="26"/>
                <w:rtl/>
              </w:rPr>
              <w:t xml:space="preserve"> </w:t>
            </w:r>
            <w:r w:rsidRPr="007876AF">
              <w:rPr>
                <w:sz w:val="26"/>
                <w:szCs w:val="26"/>
                <w:rtl/>
              </w:rPr>
              <w:t>3603-12-19</w:t>
            </w:r>
            <w:r w:rsidRPr="007876AF">
              <w:rPr>
                <w:rFonts w:hint="cs"/>
                <w:sz w:val="26"/>
                <w:szCs w:val="26"/>
                <w:rtl/>
              </w:rPr>
              <w:t xml:space="preserve"> </w:t>
            </w:r>
            <w:r w:rsidRPr="007876AF">
              <w:rPr>
                <w:b/>
                <w:bCs/>
                <w:sz w:val="26"/>
                <w:szCs w:val="26"/>
                <w:rtl/>
              </w:rPr>
              <w:t>מדינת ישראל נ' שוורצברג</w:t>
            </w:r>
          </w:p>
        </w:tc>
        <w:tc>
          <w:tcPr>
            <w:tcW w:w="3573" w:type="dxa"/>
            <w:gridSpan w:val="2"/>
          </w:tcPr>
          <w:p w14:paraId="2129410C" w14:textId="77777777" w:rsidR="00F5321D" w:rsidRPr="007876AF" w:rsidRDefault="00F5321D" w:rsidP="006674AB">
            <w:pPr>
              <w:pStyle w:val="a3"/>
              <w:jc w:val="right"/>
              <w:rPr>
                <w:rFonts w:cs="FrankRuehl"/>
                <w:sz w:val="28"/>
                <w:szCs w:val="28"/>
                <w:rtl/>
              </w:rPr>
            </w:pPr>
          </w:p>
        </w:tc>
      </w:tr>
      <w:tr w:rsidR="00F5321D" w:rsidRPr="007876AF" w14:paraId="3CD8E112" w14:textId="77777777" w:rsidTr="00582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14D9E1D6" w14:textId="77777777" w:rsidR="00F5321D" w:rsidRPr="007876AF" w:rsidRDefault="00F5321D" w:rsidP="00F5321D">
            <w:pPr>
              <w:spacing w:line="360" w:lineRule="auto"/>
              <w:jc w:val="both"/>
              <w:rPr>
                <w:sz w:val="26"/>
                <w:szCs w:val="26"/>
                <w:rtl/>
              </w:rPr>
            </w:pPr>
            <w:r w:rsidRPr="007876AF">
              <w:rPr>
                <w:rFonts w:hint="cs"/>
                <w:rtl/>
              </w:rPr>
              <w:t xml:space="preserve"> </w:t>
            </w:r>
            <w:r w:rsidRPr="007876AF">
              <w:rPr>
                <w:rFonts w:ascii="Arial" w:hAnsi="Arial" w:hint="cs"/>
                <w:b/>
                <w:bCs/>
                <w:sz w:val="26"/>
                <w:szCs w:val="26"/>
                <w:rtl/>
              </w:rPr>
              <w:t>ל</w:t>
            </w:r>
            <w:r w:rsidRPr="007876AF">
              <w:rPr>
                <w:rFonts w:ascii="Arial" w:hAnsi="Arial"/>
                <w:b/>
                <w:bCs/>
                <w:sz w:val="26"/>
                <w:szCs w:val="26"/>
                <w:rtl/>
              </w:rPr>
              <w:t xml:space="preserve">פני </w:t>
            </w:r>
            <w:r w:rsidRPr="007876AF">
              <w:rPr>
                <w:rFonts w:ascii="Arial" w:hAnsi="Arial" w:hint="cs"/>
                <w:b/>
                <w:bCs/>
                <w:sz w:val="26"/>
                <w:szCs w:val="26"/>
                <w:rtl/>
              </w:rPr>
              <w:t>כבוד ה</w:t>
            </w:r>
            <w:r w:rsidRPr="007876AF">
              <w:rPr>
                <w:rFonts w:ascii="Arial" w:hAnsi="Arial"/>
                <w:b/>
                <w:bCs/>
                <w:sz w:val="26"/>
                <w:szCs w:val="26"/>
                <w:rtl/>
              </w:rPr>
              <w:t>שופט</w:t>
            </w:r>
            <w:r w:rsidRPr="007876AF">
              <w:rPr>
                <w:rFonts w:ascii="Arial" w:hAnsi="Arial" w:hint="cs"/>
                <w:b/>
                <w:bCs/>
                <w:sz w:val="26"/>
                <w:szCs w:val="26"/>
                <w:rtl/>
              </w:rPr>
              <w:t xml:space="preserve"> </w:t>
            </w:r>
            <w:r w:rsidRPr="007876AF">
              <w:rPr>
                <w:rFonts w:ascii="Arial" w:hAnsi="Arial"/>
                <w:b/>
                <w:bCs/>
                <w:sz w:val="26"/>
                <w:szCs w:val="26"/>
                <w:rtl/>
              </w:rPr>
              <w:t>שאול אבינור</w:t>
            </w:r>
          </w:p>
          <w:p w14:paraId="05B99D6C" w14:textId="77777777" w:rsidR="00F5321D" w:rsidRPr="007876AF" w:rsidRDefault="00F5321D" w:rsidP="00F5321D">
            <w:pPr>
              <w:spacing w:line="360" w:lineRule="auto"/>
              <w:jc w:val="both"/>
              <w:rPr>
                <w:rFonts w:ascii="Arial" w:hAnsi="Arial"/>
                <w:b/>
                <w:bCs/>
                <w:sz w:val="26"/>
                <w:szCs w:val="26"/>
              </w:rPr>
            </w:pPr>
          </w:p>
        </w:tc>
      </w:tr>
      <w:tr w:rsidR="00F5321D" w:rsidRPr="007876AF" w14:paraId="4242CEC9" w14:textId="77777777" w:rsidTr="00582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673F4927" w14:textId="77777777" w:rsidR="00F5321D" w:rsidRPr="007876AF" w:rsidRDefault="00F5321D" w:rsidP="00F5321D">
            <w:pPr>
              <w:spacing w:line="360" w:lineRule="auto"/>
              <w:jc w:val="both"/>
              <w:rPr>
                <w:rFonts w:ascii="Arial" w:hAnsi="Arial"/>
                <w:b/>
                <w:bCs/>
                <w:sz w:val="26"/>
                <w:szCs w:val="26"/>
              </w:rPr>
            </w:pPr>
            <w:bookmarkStart w:id="1" w:name="FirstAppellant"/>
            <w:bookmarkStart w:id="2" w:name="FirstLawyer"/>
            <w:r w:rsidRPr="007876AF">
              <w:rPr>
                <w:rFonts w:ascii="Arial" w:hAnsi="Arial" w:hint="cs"/>
                <w:b/>
                <w:bCs/>
                <w:sz w:val="26"/>
                <w:szCs w:val="26"/>
                <w:rtl/>
              </w:rPr>
              <w:t>ה</w:t>
            </w:r>
            <w:r w:rsidRPr="007876AF">
              <w:rPr>
                <w:rFonts w:ascii="Arial" w:hAnsi="Arial"/>
                <w:b/>
                <w:bCs/>
                <w:sz w:val="26"/>
                <w:szCs w:val="26"/>
                <w:rtl/>
              </w:rPr>
              <w:t>מאשימה</w:t>
            </w:r>
            <w:r w:rsidRPr="007876AF">
              <w:rPr>
                <w:rFonts w:ascii="Arial" w:hAnsi="Arial" w:hint="cs"/>
                <w:b/>
                <w:bCs/>
                <w:sz w:val="26"/>
                <w:szCs w:val="26"/>
                <w:rtl/>
              </w:rPr>
              <w:t>:</w:t>
            </w:r>
          </w:p>
        </w:tc>
        <w:tc>
          <w:tcPr>
            <w:tcW w:w="4162" w:type="dxa"/>
            <w:gridSpan w:val="2"/>
            <w:tcBorders>
              <w:top w:val="nil"/>
              <w:left w:val="nil"/>
              <w:bottom w:val="nil"/>
              <w:right w:val="nil"/>
            </w:tcBorders>
            <w:shd w:val="clear" w:color="auto" w:fill="auto"/>
          </w:tcPr>
          <w:p w14:paraId="01E6404D" w14:textId="77777777" w:rsidR="00F5321D" w:rsidRPr="007876AF" w:rsidRDefault="00F5321D" w:rsidP="00F5321D">
            <w:pPr>
              <w:spacing w:line="360" w:lineRule="auto"/>
              <w:rPr>
                <w:b/>
                <w:bCs/>
                <w:sz w:val="26"/>
                <w:szCs w:val="26"/>
                <w:rtl/>
              </w:rPr>
            </w:pPr>
            <w:r w:rsidRPr="007876AF">
              <w:rPr>
                <w:rFonts w:ascii="Arial" w:hAnsi="Arial"/>
                <w:b/>
                <w:bCs/>
                <w:sz w:val="26"/>
                <w:szCs w:val="26"/>
                <w:rtl/>
              </w:rPr>
              <w:t>מדינת ישראל</w:t>
            </w:r>
          </w:p>
          <w:p w14:paraId="793D895C" w14:textId="77777777" w:rsidR="00F5321D" w:rsidRPr="007876AF" w:rsidRDefault="00F5321D" w:rsidP="00F5321D">
            <w:pPr>
              <w:spacing w:line="360" w:lineRule="auto"/>
              <w:rPr>
                <w:sz w:val="26"/>
                <w:szCs w:val="26"/>
              </w:rPr>
            </w:pPr>
            <w:r w:rsidRPr="007876AF">
              <w:rPr>
                <w:rFonts w:hint="cs"/>
                <w:rtl/>
              </w:rPr>
              <w:t>ע"י ב"כ עו"ד סיימונס</w:t>
            </w:r>
          </w:p>
        </w:tc>
        <w:tc>
          <w:tcPr>
            <w:tcW w:w="3326" w:type="dxa"/>
            <w:gridSpan w:val="2"/>
            <w:tcBorders>
              <w:top w:val="nil"/>
              <w:left w:val="nil"/>
              <w:bottom w:val="nil"/>
              <w:right w:val="nil"/>
            </w:tcBorders>
            <w:shd w:val="clear" w:color="auto" w:fill="auto"/>
          </w:tcPr>
          <w:p w14:paraId="48CB81E3" w14:textId="77777777" w:rsidR="00F5321D" w:rsidRPr="007876AF" w:rsidRDefault="00F5321D" w:rsidP="00F5321D">
            <w:pPr>
              <w:spacing w:line="360" w:lineRule="auto"/>
              <w:jc w:val="both"/>
              <w:rPr>
                <w:rFonts w:ascii="Arial" w:hAnsi="Arial"/>
                <w:b/>
                <w:bCs/>
                <w:sz w:val="26"/>
                <w:szCs w:val="26"/>
              </w:rPr>
            </w:pPr>
          </w:p>
        </w:tc>
      </w:tr>
      <w:bookmarkEnd w:id="1"/>
      <w:bookmarkEnd w:id="2"/>
      <w:tr w:rsidR="00F5321D" w:rsidRPr="007876AF" w14:paraId="42223CD0" w14:textId="77777777" w:rsidTr="00582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1803CF63" w14:textId="77777777" w:rsidR="00F5321D" w:rsidRPr="007876AF" w:rsidRDefault="00F5321D" w:rsidP="00F5321D">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6537BEB0" w14:textId="77777777" w:rsidR="00F5321D" w:rsidRPr="007876AF" w:rsidRDefault="00F5321D" w:rsidP="00F5321D">
            <w:pPr>
              <w:spacing w:line="360" w:lineRule="auto"/>
              <w:jc w:val="center"/>
              <w:rPr>
                <w:rFonts w:ascii="Arial" w:hAnsi="Arial"/>
                <w:b/>
                <w:bCs/>
                <w:sz w:val="26"/>
                <w:szCs w:val="26"/>
                <w:rtl/>
              </w:rPr>
            </w:pPr>
          </w:p>
          <w:p w14:paraId="269B48D8" w14:textId="77777777" w:rsidR="00F5321D" w:rsidRPr="007876AF" w:rsidRDefault="00F5321D" w:rsidP="00F5321D">
            <w:pPr>
              <w:spacing w:line="360" w:lineRule="auto"/>
              <w:jc w:val="center"/>
              <w:rPr>
                <w:rFonts w:ascii="Arial" w:hAnsi="Arial"/>
                <w:b/>
                <w:bCs/>
                <w:sz w:val="26"/>
                <w:szCs w:val="26"/>
                <w:rtl/>
              </w:rPr>
            </w:pPr>
          </w:p>
          <w:p w14:paraId="2E465751" w14:textId="77777777" w:rsidR="00F5321D" w:rsidRPr="007876AF" w:rsidRDefault="00F5321D" w:rsidP="00F5321D">
            <w:pPr>
              <w:spacing w:line="360" w:lineRule="auto"/>
              <w:jc w:val="center"/>
              <w:rPr>
                <w:rFonts w:ascii="Arial" w:hAnsi="Arial"/>
                <w:b/>
                <w:bCs/>
                <w:sz w:val="26"/>
                <w:szCs w:val="26"/>
                <w:rtl/>
              </w:rPr>
            </w:pPr>
            <w:r w:rsidRPr="007876AF">
              <w:rPr>
                <w:rFonts w:ascii="Arial" w:hAnsi="Arial"/>
                <w:b/>
                <w:bCs/>
                <w:sz w:val="26"/>
                <w:szCs w:val="26"/>
                <w:rtl/>
              </w:rPr>
              <w:t>נגד</w:t>
            </w:r>
          </w:p>
          <w:p w14:paraId="5B9097E4" w14:textId="77777777" w:rsidR="00F5321D" w:rsidRPr="007876AF" w:rsidRDefault="00F5321D" w:rsidP="00F5321D">
            <w:pPr>
              <w:spacing w:line="360" w:lineRule="auto"/>
              <w:jc w:val="both"/>
              <w:rPr>
                <w:rFonts w:ascii="Arial" w:hAnsi="Arial"/>
                <w:b/>
                <w:bCs/>
                <w:sz w:val="26"/>
                <w:szCs w:val="26"/>
                <w:rtl/>
              </w:rPr>
            </w:pPr>
          </w:p>
          <w:p w14:paraId="551FDB05" w14:textId="77777777" w:rsidR="00F5321D" w:rsidRPr="007876AF" w:rsidRDefault="00F5321D" w:rsidP="00F5321D">
            <w:pPr>
              <w:spacing w:line="360" w:lineRule="auto"/>
              <w:jc w:val="both"/>
              <w:rPr>
                <w:rFonts w:ascii="Arial" w:hAnsi="Arial"/>
                <w:b/>
                <w:bCs/>
                <w:sz w:val="26"/>
                <w:szCs w:val="26"/>
              </w:rPr>
            </w:pPr>
          </w:p>
        </w:tc>
      </w:tr>
      <w:tr w:rsidR="00F5321D" w:rsidRPr="007876AF" w14:paraId="0A7E263E" w14:textId="77777777" w:rsidTr="00582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3683C3EA" w14:textId="77777777" w:rsidR="00F5321D" w:rsidRPr="007876AF" w:rsidRDefault="00F5321D" w:rsidP="00F5321D">
            <w:pPr>
              <w:spacing w:line="360" w:lineRule="auto"/>
              <w:rPr>
                <w:rFonts w:ascii="Arial" w:hAnsi="Arial"/>
                <w:b/>
                <w:bCs/>
                <w:sz w:val="26"/>
                <w:szCs w:val="26"/>
                <w:rtl/>
              </w:rPr>
            </w:pPr>
            <w:r w:rsidRPr="007876AF">
              <w:rPr>
                <w:rFonts w:ascii="Arial" w:hAnsi="Arial" w:hint="cs"/>
                <w:b/>
                <w:bCs/>
                <w:sz w:val="26"/>
                <w:szCs w:val="26"/>
                <w:rtl/>
              </w:rPr>
              <w:t>ה</w:t>
            </w:r>
            <w:r w:rsidRPr="007876AF">
              <w:rPr>
                <w:rFonts w:ascii="Arial" w:hAnsi="Arial"/>
                <w:b/>
                <w:bCs/>
                <w:sz w:val="26"/>
                <w:szCs w:val="26"/>
                <w:rtl/>
              </w:rPr>
              <w:t>נאשם</w:t>
            </w:r>
            <w:r w:rsidRPr="007876AF">
              <w:rPr>
                <w:rFonts w:ascii="Arial" w:hAnsi="Arial" w:hint="cs"/>
                <w:b/>
                <w:bCs/>
                <w:sz w:val="26"/>
                <w:szCs w:val="26"/>
                <w:rtl/>
              </w:rPr>
              <w:t>:</w:t>
            </w:r>
          </w:p>
        </w:tc>
        <w:tc>
          <w:tcPr>
            <w:tcW w:w="4162" w:type="dxa"/>
            <w:gridSpan w:val="2"/>
            <w:tcBorders>
              <w:top w:val="nil"/>
              <w:left w:val="nil"/>
              <w:bottom w:val="nil"/>
              <w:right w:val="nil"/>
            </w:tcBorders>
            <w:shd w:val="clear" w:color="auto" w:fill="auto"/>
          </w:tcPr>
          <w:p w14:paraId="77FFC55E" w14:textId="77777777" w:rsidR="00F5321D" w:rsidRPr="007876AF" w:rsidRDefault="00F5321D" w:rsidP="00F5321D">
            <w:pPr>
              <w:spacing w:line="360" w:lineRule="auto"/>
              <w:rPr>
                <w:b/>
                <w:bCs/>
                <w:sz w:val="26"/>
                <w:szCs w:val="26"/>
                <w:rtl/>
              </w:rPr>
            </w:pPr>
            <w:r w:rsidRPr="007876AF">
              <w:rPr>
                <w:rFonts w:ascii="Arial" w:hAnsi="Arial"/>
                <w:b/>
                <w:bCs/>
                <w:sz w:val="26"/>
                <w:szCs w:val="26"/>
                <w:rtl/>
              </w:rPr>
              <w:t>בראל שוורצברג</w:t>
            </w:r>
          </w:p>
          <w:p w14:paraId="2A438D6D" w14:textId="77777777" w:rsidR="00F5321D" w:rsidRPr="007876AF" w:rsidRDefault="00F5321D" w:rsidP="00F5321D">
            <w:pPr>
              <w:spacing w:line="360" w:lineRule="auto"/>
              <w:rPr>
                <w:sz w:val="26"/>
                <w:szCs w:val="26"/>
                <w:rtl/>
              </w:rPr>
            </w:pPr>
            <w:r w:rsidRPr="007876AF">
              <w:rPr>
                <w:rFonts w:hint="cs"/>
                <w:rtl/>
              </w:rPr>
              <w:t>ע"י ב"כ עו"ד בן יהודה</w:t>
            </w:r>
          </w:p>
        </w:tc>
        <w:tc>
          <w:tcPr>
            <w:tcW w:w="3326" w:type="dxa"/>
            <w:gridSpan w:val="2"/>
            <w:tcBorders>
              <w:top w:val="nil"/>
              <w:left w:val="nil"/>
              <w:bottom w:val="nil"/>
              <w:right w:val="nil"/>
            </w:tcBorders>
            <w:shd w:val="clear" w:color="auto" w:fill="auto"/>
          </w:tcPr>
          <w:p w14:paraId="7C95662F" w14:textId="77777777" w:rsidR="00F5321D" w:rsidRPr="007876AF" w:rsidRDefault="00F5321D" w:rsidP="00F5321D">
            <w:pPr>
              <w:spacing w:line="360" w:lineRule="auto"/>
              <w:jc w:val="right"/>
              <w:rPr>
                <w:rFonts w:ascii="Arial" w:hAnsi="Arial"/>
                <w:b/>
                <w:bCs/>
                <w:sz w:val="26"/>
                <w:szCs w:val="26"/>
              </w:rPr>
            </w:pPr>
          </w:p>
        </w:tc>
      </w:tr>
    </w:tbl>
    <w:p w14:paraId="248DD418" w14:textId="77777777" w:rsidR="005823E7" w:rsidRDefault="005823E7" w:rsidP="00F5321D">
      <w:pPr>
        <w:spacing w:line="360" w:lineRule="auto"/>
        <w:rPr>
          <w:rtl/>
        </w:rPr>
      </w:pPr>
    </w:p>
    <w:p w14:paraId="700E5FB4" w14:textId="77777777" w:rsidR="005823E7" w:rsidRPr="005823E7" w:rsidRDefault="005823E7" w:rsidP="005823E7">
      <w:pPr>
        <w:spacing w:after="120" w:line="240" w:lineRule="exact"/>
        <w:ind w:left="283" w:hanging="283"/>
        <w:jc w:val="both"/>
        <w:rPr>
          <w:rFonts w:ascii="FrankRuehl" w:hAnsi="FrankRuehl" w:cs="FrankRuehl"/>
          <w:rtl/>
        </w:rPr>
      </w:pPr>
    </w:p>
    <w:p w14:paraId="727A6510" w14:textId="77777777" w:rsidR="00130677" w:rsidRPr="00130677" w:rsidRDefault="00130677" w:rsidP="00130677">
      <w:pPr>
        <w:spacing w:before="120" w:after="120" w:line="240" w:lineRule="exact"/>
        <w:ind w:left="283" w:hanging="283"/>
        <w:jc w:val="both"/>
        <w:rPr>
          <w:rFonts w:ascii="FrankRuehl" w:hAnsi="FrankRuehl" w:cs="FrankRuehl"/>
          <w:rtl/>
        </w:rPr>
      </w:pPr>
    </w:p>
    <w:p w14:paraId="5C840D93" w14:textId="77777777" w:rsidR="003C7066" w:rsidRDefault="003C7066" w:rsidP="003C7066">
      <w:pPr>
        <w:spacing w:line="360" w:lineRule="auto"/>
        <w:rPr>
          <w:rtl/>
        </w:rPr>
      </w:pPr>
      <w:bookmarkStart w:id="3" w:name="LawTable"/>
      <w:bookmarkEnd w:id="3"/>
    </w:p>
    <w:p w14:paraId="5109967F" w14:textId="77777777" w:rsidR="003C7066" w:rsidRPr="003C7066" w:rsidRDefault="003C7066" w:rsidP="003C7066">
      <w:pPr>
        <w:spacing w:before="120" w:after="120" w:line="240" w:lineRule="exact"/>
        <w:ind w:left="283" w:hanging="283"/>
        <w:jc w:val="both"/>
        <w:rPr>
          <w:rFonts w:ascii="FrankRuehl" w:hAnsi="FrankRuehl" w:cs="FrankRuehl"/>
          <w:rtl/>
        </w:rPr>
      </w:pPr>
    </w:p>
    <w:p w14:paraId="77DF54A9" w14:textId="77777777" w:rsidR="003C7066" w:rsidRPr="003C7066" w:rsidRDefault="003C7066" w:rsidP="003C7066">
      <w:pPr>
        <w:spacing w:before="120" w:after="120" w:line="240" w:lineRule="exact"/>
        <w:ind w:left="283" w:hanging="283"/>
        <w:jc w:val="both"/>
        <w:rPr>
          <w:rFonts w:ascii="FrankRuehl" w:hAnsi="FrankRuehl" w:cs="FrankRuehl"/>
          <w:rtl/>
        </w:rPr>
      </w:pPr>
    </w:p>
    <w:p w14:paraId="4DBFBF05" w14:textId="77777777" w:rsidR="003C7066" w:rsidRPr="003C7066" w:rsidRDefault="003C7066" w:rsidP="003C7066">
      <w:pPr>
        <w:spacing w:before="120" w:after="120" w:line="240" w:lineRule="exact"/>
        <w:ind w:left="283" w:hanging="283"/>
        <w:jc w:val="both"/>
        <w:rPr>
          <w:rFonts w:ascii="FrankRuehl" w:hAnsi="FrankRuehl" w:cs="FrankRuehl"/>
          <w:rtl/>
        </w:rPr>
      </w:pPr>
      <w:r w:rsidRPr="003C7066">
        <w:rPr>
          <w:rFonts w:ascii="FrankRuehl" w:hAnsi="FrankRuehl" w:cs="FrankRuehl"/>
          <w:rtl/>
        </w:rPr>
        <w:t xml:space="preserve">חקיקה שאוזכרה: </w:t>
      </w:r>
    </w:p>
    <w:p w14:paraId="501004BF" w14:textId="77777777" w:rsidR="003C7066" w:rsidRPr="003C7066" w:rsidRDefault="003C7066" w:rsidP="003C7066">
      <w:pPr>
        <w:spacing w:before="120" w:after="120" w:line="240" w:lineRule="exact"/>
        <w:ind w:left="283" w:hanging="283"/>
        <w:jc w:val="both"/>
        <w:rPr>
          <w:rFonts w:ascii="FrankRuehl" w:hAnsi="FrankRuehl" w:cs="FrankRuehl"/>
          <w:rtl/>
        </w:rPr>
      </w:pPr>
      <w:hyperlink r:id="rId7" w:history="1">
        <w:r w:rsidRPr="003C7066">
          <w:rPr>
            <w:rFonts w:ascii="FrankRuehl" w:hAnsi="FrankRuehl" w:cs="FrankRuehl"/>
            <w:color w:val="0000FF"/>
            <w:rtl/>
          </w:rPr>
          <w:t>פקודת הסמים המסוכנים [נוסח חדש], תשל"ג-1973</w:t>
        </w:r>
      </w:hyperlink>
      <w:r w:rsidRPr="003C7066">
        <w:rPr>
          <w:rFonts w:ascii="FrankRuehl" w:hAnsi="FrankRuehl" w:cs="FrankRuehl"/>
          <w:rtl/>
        </w:rPr>
        <w:t xml:space="preserve">: סע'  </w:t>
      </w:r>
      <w:hyperlink r:id="rId8" w:history="1">
        <w:r w:rsidRPr="003C7066">
          <w:rPr>
            <w:rFonts w:ascii="FrankRuehl" w:hAnsi="FrankRuehl" w:cs="FrankRuehl"/>
            <w:color w:val="0000FF"/>
            <w:rtl/>
          </w:rPr>
          <w:t>7(א)</w:t>
        </w:r>
      </w:hyperlink>
      <w:r w:rsidRPr="003C7066">
        <w:rPr>
          <w:rFonts w:ascii="FrankRuehl" w:hAnsi="FrankRuehl" w:cs="FrankRuehl"/>
          <w:rtl/>
        </w:rPr>
        <w:t xml:space="preserve">, </w:t>
      </w:r>
      <w:hyperlink r:id="rId9" w:history="1">
        <w:r w:rsidRPr="003C7066">
          <w:rPr>
            <w:rFonts w:ascii="FrankRuehl" w:hAnsi="FrankRuehl" w:cs="FrankRuehl"/>
            <w:color w:val="0000FF"/>
            <w:rtl/>
          </w:rPr>
          <w:t>7(ג)</w:t>
        </w:r>
      </w:hyperlink>
      <w:r w:rsidRPr="003C7066">
        <w:rPr>
          <w:rFonts w:ascii="FrankRuehl" w:hAnsi="FrankRuehl" w:cs="FrankRuehl"/>
          <w:rtl/>
        </w:rPr>
        <w:t xml:space="preserve">, </w:t>
      </w:r>
      <w:hyperlink r:id="rId10" w:history="1">
        <w:r w:rsidRPr="003C7066">
          <w:rPr>
            <w:rFonts w:ascii="FrankRuehl" w:hAnsi="FrankRuehl" w:cs="FrankRuehl"/>
            <w:color w:val="0000FF"/>
            <w:rtl/>
          </w:rPr>
          <w:t>13</w:t>
        </w:r>
      </w:hyperlink>
      <w:r w:rsidRPr="003C7066">
        <w:rPr>
          <w:rFonts w:ascii="FrankRuehl" w:hAnsi="FrankRuehl" w:cs="FrankRuehl"/>
          <w:rtl/>
        </w:rPr>
        <w:t xml:space="preserve">, </w:t>
      </w:r>
      <w:hyperlink r:id="rId11" w:history="1">
        <w:r w:rsidRPr="003C7066">
          <w:rPr>
            <w:rFonts w:ascii="FrankRuehl" w:hAnsi="FrankRuehl" w:cs="FrankRuehl"/>
            <w:color w:val="0000FF"/>
            <w:rtl/>
          </w:rPr>
          <w:t>19א</w:t>
        </w:r>
      </w:hyperlink>
    </w:p>
    <w:p w14:paraId="1192FCBD" w14:textId="77777777" w:rsidR="003C7066" w:rsidRPr="003C7066" w:rsidRDefault="003C7066" w:rsidP="003C7066">
      <w:pPr>
        <w:spacing w:before="120" w:after="120" w:line="240" w:lineRule="exact"/>
        <w:ind w:left="283" w:hanging="283"/>
        <w:jc w:val="both"/>
        <w:rPr>
          <w:rFonts w:ascii="FrankRuehl" w:hAnsi="FrankRuehl" w:cs="FrankRuehl"/>
          <w:rtl/>
        </w:rPr>
      </w:pPr>
      <w:hyperlink r:id="rId12" w:history="1">
        <w:r w:rsidRPr="003C7066">
          <w:rPr>
            <w:rFonts w:ascii="FrankRuehl" w:hAnsi="FrankRuehl" w:cs="FrankRuehl"/>
            <w:color w:val="0000FF"/>
            <w:rtl/>
          </w:rPr>
          <w:t>חוק העונשין, תשל"ז-1977</w:t>
        </w:r>
      </w:hyperlink>
      <w:r w:rsidRPr="003C7066">
        <w:rPr>
          <w:rFonts w:ascii="FrankRuehl" w:hAnsi="FrankRuehl" w:cs="FrankRuehl"/>
          <w:rtl/>
        </w:rPr>
        <w:t xml:space="preserve">: סע'  </w:t>
      </w:r>
      <w:hyperlink r:id="rId13" w:history="1">
        <w:r w:rsidRPr="003C7066">
          <w:rPr>
            <w:rFonts w:ascii="FrankRuehl" w:hAnsi="FrankRuehl" w:cs="FrankRuehl"/>
            <w:color w:val="0000FF"/>
            <w:rtl/>
          </w:rPr>
          <w:t>40ד</w:t>
        </w:r>
      </w:hyperlink>
      <w:r w:rsidRPr="003C7066">
        <w:rPr>
          <w:rFonts w:ascii="FrankRuehl" w:hAnsi="FrankRuehl" w:cs="FrankRuehl"/>
          <w:rtl/>
        </w:rPr>
        <w:t xml:space="preserve">, </w:t>
      </w:r>
      <w:hyperlink r:id="rId14" w:history="1">
        <w:r w:rsidRPr="003C7066">
          <w:rPr>
            <w:rFonts w:ascii="FrankRuehl" w:hAnsi="FrankRuehl" w:cs="FrankRuehl"/>
            <w:color w:val="0000FF"/>
            <w:rtl/>
          </w:rPr>
          <w:t>40יא</w:t>
        </w:r>
      </w:hyperlink>
    </w:p>
    <w:p w14:paraId="4EF6A0F9" w14:textId="77777777" w:rsidR="003C7066" w:rsidRPr="003C7066" w:rsidRDefault="003C7066" w:rsidP="003C7066">
      <w:pPr>
        <w:spacing w:line="360" w:lineRule="auto"/>
        <w:rPr>
          <w:rtl/>
        </w:rPr>
      </w:pPr>
      <w:bookmarkStart w:id="4" w:name="LawTable_End"/>
      <w:bookmarkEnd w:id="4"/>
    </w:p>
    <w:p w14:paraId="668A40C7" w14:textId="77777777" w:rsidR="00F5321D" w:rsidRPr="00130677" w:rsidRDefault="00F5321D" w:rsidP="00130677">
      <w:pPr>
        <w:spacing w:line="360" w:lineRule="auto"/>
      </w:pPr>
    </w:p>
    <w:p w14:paraId="60E407B4" w14:textId="77777777" w:rsidR="005823E7" w:rsidRPr="007876AF" w:rsidRDefault="005823E7" w:rsidP="007876AF">
      <w:pPr>
        <w:spacing w:after="120" w:line="360" w:lineRule="auto"/>
        <w:jc w:val="center"/>
        <w:rPr>
          <w:rFonts w:ascii="Arial" w:hAnsi="Arial"/>
          <w:b/>
          <w:bCs/>
          <w:sz w:val="36"/>
          <w:szCs w:val="36"/>
          <w:u w:val="single"/>
          <w:rtl/>
        </w:rPr>
      </w:pPr>
      <w:bookmarkStart w:id="5" w:name="PsakDin" w:colFirst="0" w:colLast="0"/>
      <w:bookmarkEnd w:id="0"/>
      <w:r w:rsidRPr="007876AF">
        <w:rPr>
          <w:rFonts w:ascii="Arial" w:hAnsi="Arial"/>
          <w:b/>
          <w:bCs/>
          <w:sz w:val="36"/>
          <w:szCs w:val="36"/>
          <w:u w:val="single"/>
          <w:rtl/>
        </w:rPr>
        <w:t>גזר דין</w:t>
      </w:r>
    </w:p>
    <w:p w14:paraId="2708766F" w14:textId="77777777" w:rsidR="005823E7" w:rsidRPr="007876AF" w:rsidRDefault="005823E7" w:rsidP="007876AF">
      <w:pPr>
        <w:spacing w:after="120" w:line="360" w:lineRule="auto"/>
        <w:jc w:val="center"/>
        <w:rPr>
          <w:rFonts w:ascii="Arial" w:hAnsi="Arial"/>
          <w:bCs/>
          <w:sz w:val="36"/>
          <w:szCs w:val="36"/>
          <w:u w:val="single"/>
          <w:rtl/>
        </w:rPr>
      </w:pPr>
    </w:p>
    <w:bookmarkEnd w:id="5"/>
    <w:p w14:paraId="0AB44556" w14:textId="77777777" w:rsidR="00F5321D" w:rsidRDefault="00F5321D" w:rsidP="00F5321D">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40D4B2E2" w14:textId="77777777" w:rsidR="00F5321D" w:rsidRDefault="00F5321D" w:rsidP="00F5321D">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David" w:eastAsia="David" w:hAnsi="David"/>
          <w:rtl/>
        </w:rPr>
        <w:t xml:space="preserve">הנאשם הורשע – על יסוד הודאתו בעובדות כתב האישום המתוקן, שניתנה במסגרת הסדר טיעון – בעבירות של </w:t>
      </w:r>
      <w:r>
        <w:rPr>
          <w:rFonts w:ascii="David" w:eastAsia="David" w:hAnsi="David"/>
          <w:b/>
          <w:bCs/>
          <w:rtl/>
        </w:rPr>
        <w:t>סחר בסמים מסוכנים</w:t>
      </w:r>
      <w:r>
        <w:rPr>
          <w:rFonts w:ascii="David" w:eastAsia="David" w:hAnsi="David"/>
          <w:rtl/>
        </w:rPr>
        <w:t xml:space="preserve">, לפי הוראות </w:t>
      </w:r>
      <w:hyperlink r:id="rId15" w:history="1">
        <w:r w:rsidR="005823E7" w:rsidRPr="005823E7">
          <w:rPr>
            <w:rStyle w:val="Hyperlink"/>
            <w:rFonts w:ascii="David" w:eastAsia="David" w:hAnsi="David"/>
            <w:rtl/>
          </w:rPr>
          <w:t>סעיף 13</w:t>
        </w:r>
      </w:hyperlink>
      <w:r>
        <w:rPr>
          <w:rFonts w:ascii="David" w:eastAsia="David" w:hAnsi="David"/>
          <w:rtl/>
        </w:rPr>
        <w:t xml:space="preserve"> וסעיף </w:t>
      </w:r>
      <w:hyperlink r:id="rId16" w:history="1">
        <w:r w:rsidR="005823E7" w:rsidRPr="005823E7">
          <w:rPr>
            <w:rStyle w:val="Hyperlink"/>
            <w:rFonts w:ascii="David" w:eastAsia="David" w:hAnsi="David"/>
            <w:rtl/>
          </w:rPr>
          <w:t>19א</w:t>
        </w:r>
      </w:hyperlink>
      <w:r>
        <w:rPr>
          <w:rFonts w:ascii="David" w:eastAsia="David" w:hAnsi="David"/>
          <w:rtl/>
        </w:rPr>
        <w:t xml:space="preserve"> ל</w:t>
      </w:r>
      <w:hyperlink r:id="rId17" w:history="1">
        <w:r w:rsidR="007876AF" w:rsidRPr="007876AF">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 ו</w:t>
      </w:r>
      <w:r>
        <w:rPr>
          <w:rFonts w:ascii="David" w:eastAsia="David" w:hAnsi="David"/>
          <w:b/>
          <w:bCs/>
          <w:rtl/>
        </w:rPr>
        <w:t>החזקת סמים מסוכנים שלא לצריכה עצמית</w:t>
      </w:r>
      <w:r>
        <w:rPr>
          <w:rFonts w:ascii="David" w:eastAsia="David" w:hAnsi="David"/>
          <w:rtl/>
        </w:rPr>
        <w:t xml:space="preserve">, לפי הוראות </w:t>
      </w:r>
      <w:hyperlink r:id="rId18" w:history="1">
        <w:r w:rsidR="005823E7" w:rsidRPr="005823E7">
          <w:rPr>
            <w:rStyle w:val="Hyperlink"/>
            <w:rFonts w:ascii="David" w:eastAsia="David" w:hAnsi="David"/>
            <w:rtl/>
          </w:rPr>
          <w:t>סעיף 7(א)</w:t>
        </w:r>
      </w:hyperlink>
      <w:r>
        <w:rPr>
          <w:rFonts w:ascii="David" w:eastAsia="David" w:hAnsi="David"/>
          <w:rtl/>
        </w:rPr>
        <w:t xml:space="preserve"> </w:t>
      </w:r>
      <w:hyperlink r:id="rId19" w:history="1">
        <w:r w:rsidR="005823E7" w:rsidRPr="005823E7">
          <w:rPr>
            <w:rStyle w:val="Hyperlink"/>
            <w:rFonts w:ascii="David" w:eastAsia="David" w:hAnsi="David"/>
            <w:rtl/>
          </w:rPr>
          <w:t>וסעיף 7(ג)</w:t>
        </w:r>
      </w:hyperlink>
      <w:r>
        <w:rPr>
          <w:rFonts w:ascii="David" w:eastAsia="David" w:hAnsi="David"/>
          <w:rtl/>
        </w:rPr>
        <w:t xml:space="preserve"> רישא לפקודת הסמים המסוכנים.</w:t>
      </w:r>
    </w:p>
    <w:p w14:paraId="3ADF5C3F"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bookmarkStart w:id="7" w:name="ABSTRACT_END"/>
      <w:bookmarkEnd w:id="7"/>
      <w:r w:rsidRPr="00842FC1">
        <w:rPr>
          <w:rFonts w:ascii="David" w:eastAsia="David" w:hAnsi="David"/>
          <w:rtl/>
        </w:rPr>
        <w:t xml:space="preserve">על פי הנטען בעובדות כתב האישום המתוקן, ביום 29.07.2019 הגיע הנאשם לרחוב ברקאי בתל-אביב. זאת, כשהוא רכוב על קטנוע שבבעלותו ובהיותו שליח שנשלח על ידי </w:t>
      </w:r>
      <w:r w:rsidRPr="00842FC1">
        <w:rPr>
          <w:rFonts w:ascii="David" w:eastAsia="David" w:hAnsi="David"/>
          <w:rtl/>
        </w:rPr>
        <w:lastRenderedPageBreak/>
        <w:t xml:space="preserve">אחר </w:t>
      </w:r>
      <w:r w:rsidRPr="00842FC1">
        <w:rPr>
          <w:rFonts w:ascii="David" w:eastAsia="David" w:hAnsi="David" w:hint="cs"/>
          <w:rtl/>
        </w:rPr>
        <w:t xml:space="preserve">אשר </w:t>
      </w:r>
      <w:r w:rsidRPr="00842FC1">
        <w:rPr>
          <w:rFonts w:ascii="David" w:eastAsia="David" w:hAnsi="David"/>
          <w:rtl/>
        </w:rPr>
        <w:t>זהותו אינה ידועה למאשימה. במקום מכר הנאשם למר מחאמיד סמים מסוכנים מסוג קנבוס במשקל של 5.07 גרם נטו בתמורה לסכום כסף שאינו ידוע למאשימה.</w:t>
      </w:r>
      <w:r>
        <w:rPr>
          <w:rFonts w:ascii="David" w:eastAsia="David" w:hAnsi="David" w:hint="cs"/>
          <w:rtl/>
        </w:rPr>
        <w:t xml:space="preserve"> </w:t>
      </w:r>
      <w:r w:rsidRPr="00842FC1">
        <w:rPr>
          <w:rFonts w:ascii="David" w:eastAsia="David" w:hAnsi="David"/>
          <w:rtl/>
        </w:rPr>
        <w:t>עוד נטען, כי באותן הנסיבות החזיק הנאשם בידו הימנית שקית שהכילה סמים מסוכנים מסוג קנבוס במשקל של 5.06 גרם נטו וכן החזיק בקטנוע סמים מסוכנים מסוג קנבוס במשקל כולל של 11.38 גרם נטו, המחולקים לשתי שקיות ובתפזורת.</w:t>
      </w:r>
    </w:p>
    <w:p w14:paraId="25E2B60E" w14:textId="77777777" w:rsidR="00F5321D" w:rsidRPr="00842FC1" w:rsidRDefault="00F5321D" w:rsidP="00F5321D">
      <w:pPr>
        <w:numPr>
          <w:ilvl w:val="0"/>
          <w:numId w:val="1"/>
        </w:numPr>
        <w:tabs>
          <w:tab w:val="num" w:pos="720"/>
        </w:tabs>
        <w:spacing w:after="120" w:line="360" w:lineRule="auto"/>
        <w:ind w:left="720"/>
        <w:jc w:val="both"/>
        <w:rPr>
          <w:rFonts w:ascii="David" w:eastAsia="David" w:hAnsi="David"/>
        </w:rPr>
      </w:pPr>
      <w:r w:rsidRPr="00842FC1">
        <w:rPr>
          <w:rFonts w:ascii="David" w:eastAsia="David" w:hAnsi="David"/>
          <w:rtl/>
        </w:rPr>
        <w:t>בדיונים המקדמיים הגיעו הצדדים להסדר טיעון, שבמסגרתו הוגש כתב האישום המתוקן שעובדותיו צוינו לעיל. בכת</w:t>
      </w:r>
      <w:r w:rsidRPr="00842FC1">
        <w:rPr>
          <w:rFonts w:ascii="David" w:eastAsia="David" w:hAnsi="David" w:hint="cs"/>
          <w:rtl/>
        </w:rPr>
        <w:t>ב</w:t>
      </w:r>
      <w:r w:rsidRPr="00842FC1">
        <w:rPr>
          <w:rFonts w:ascii="David" w:eastAsia="David" w:hAnsi="David"/>
          <w:rtl/>
        </w:rPr>
        <w:t xml:space="preserve"> האישום המקורי נערכו מספר תיקונים בעובדות</w:t>
      </w:r>
      <w:r w:rsidRPr="00842FC1">
        <w:rPr>
          <w:rFonts w:ascii="David" w:eastAsia="David" w:hAnsi="David" w:hint="cs"/>
          <w:rtl/>
        </w:rPr>
        <w:t>, לרבות</w:t>
      </w:r>
      <w:r>
        <w:rPr>
          <w:rtl/>
        </w:rPr>
        <w:t xml:space="preserve"> </w:t>
      </w:r>
      <w:r>
        <w:rPr>
          <w:rFonts w:hint="cs"/>
          <w:rtl/>
        </w:rPr>
        <w:t xml:space="preserve">הוספת </w:t>
      </w:r>
      <w:r>
        <w:rPr>
          <w:rtl/>
        </w:rPr>
        <w:t xml:space="preserve">העובדה לפיה הנאשם ביצע את העבירות </w:t>
      </w:r>
      <w:r>
        <w:rPr>
          <w:rFonts w:hint="cs"/>
          <w:rtl/>
        </w:rPr>
        <w:t xml:space="preserve">בהיותו שליח שנשלח על ידי אחר. </w:t>
      </w:r>
      <w:r w:rsidRPr="00842FC1">
        <w:rPr>
          <w:rFonts w:ascii="David" w:eastAsia="David" w:hAnsi="David" w:hint="cs"/>
          <w:rtl/>
        </w:rPr>
        <w:t xml:space="preserve">כמו כן </w:t>
      </w:r>
      <w:r w:rsidRPr="00842FC1">
        <w:rPr>
          <w:rFonts w:ascii="David" w:eastAsia="David" w:hAnsi="David"/>
          <w:rtl/>
        </w:rPr>
        <w:t>הושמטה עבירה נוספת, של הפרעה לשוטר בשעת מילוי תפקידו. לעניין הענישה עתרו הצדדים במשותף לקבלת תסקיר שירות המבחן, אך המאשימה הודיעה כי עמדתה היא לעונש של מאסר בפועל וענישה נלווית (בפרוטוקול, עמ' 3 שורה 3 ואילך).</w:t>
      </w:r>
    </w:p>
    <w:p w14:paraId="056EF069"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הנאשם הודה אפוא בעובדות כתב האישום המתוקן והורשע, על יסוד הודאה זו, בעבירות בהן הואשם כאמור בפסקה 1 דלעיל.</w:t>
      </w:r>
    </w:p>
    <w:p w14:paraId="0C099DE7" w14:textId="77777777" w:rsidR="00F5321D" w:rsidRDefault="00F5321D" w:rsidP="00F5321D">
      <w:pPr>
        <w:spacing w:after="120" w:line="360" w:lineRule="auto"/>
        <w:jc w:val="both"/>
        <w:rPr>
          <w:rFonts w:ascii="David" w:eastAsia="David" w:hAnsi="David"/>
          <w:b/>
          <w:bCs/>
          <w:u w:val="single"/>
        </w:rPr>
      </w:pPr>
    </w:p>
    <w:p w14:paraId="67FB4B68" w14:textId="77777777" w:rsidR="00F5321D" w:rsidRDefault="00F5321D" w:rsidP="00F5321D">
      <w:pPr>
        <w:spacing w:after="120" w:line="360" w:lineRule="auto"/>
        <w:jc w:val="both"/>
        <w:rPr>
          <w:rFonts w:ascii="David" w:eastAsia="David" w:hAnsi="David"/>
          <w:rtl/>
        </w:rPr>
      </w:pPr>
      <w:r>
        <w:rPr>
          <w:rFonts w:ascii="David" w:eastAsia="David" w:hAnsi="David"/>
          <w:b/>
          <w:bCs/>
          <w:rtl/>
        </w:rPr>
        <w:t>ב.</w:t>
      </w:r>
      <w:r>
        <w:rPr>
          <w:rFonts w:ascii="David" w:eastAsia="David" w:hAnsi="David"/>
          <w:b/>
          <w:bCs/>
          <w:rtl/>
        </w:rPr>
        <w:tab/>
      </w:r>
      <w:r>
        <w:rPr>
          <w:rFonts w:ascii="David" w:eastAsia="David" w:hAnsi="David"/>
          <w:b/>
          <w:bCs/>
          <w:u w:val="single"/>
          <w:rtl/>
        </w:rPr>
        <w:t>עיקר תסקירי שירות המבחן:</w:t>
      </w:r>
    </w:p>
    <w:p w14:paraId="2E88C03B"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תסקיר שירות המבחן (מיום 30.06.2021) מפרט את נסיבותיו האישיות של הנאשם, יליד שנת 1992 (כבן 30 שנה כיום), רווק המתגורר עם אמו ברמת-גן. הנאשם השלים את לימודיו  בבית הספר ושירת כלוחם בחטיבת הנח"ל. מזה כשנה וחצי לנאשם עסק עצמאי, במסגרתו הוא עוסק בתיווך בין לקוחות לקבלנים בתחום הבנייה והשיפוצים.</w:t>
      </w:r>
    </w:p>
    <w:p w14:paraId="4F435D0B"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נסיבות חייו של הנאשם מורכבות. הוריו התגרשו בילדותו והקשר עם אביו נותק, בעוד אמו סובלת </w:t>
      </w:r>
      <w:r>
        <w:rPr>
          <w:rFonts w:ascii="David" w:eastAsia="David" w:hAnsi="David" w:hint="cs"/>
          <w:rtl/>
        </w:rPr>
        <w:t>מ</w:t>
      </w:r>
      <w:r>
        <w:rPr>
          <w:rFonts w:ascii="David" w:eastAsia="David" w:hAnsi="David"/>
          <w:rtl/>
        </w:rPr>
        <w:t xml:space="preserve">מצב בריאותי מורכב ומוכרת כנכה. מדברי </w:t>
      </w:r>
      <w:r>
        <w:rPr>
          <w:rFonts w:ascii="David" w:eastAsia="David" w:hAnsi="David" w:hint="cs"/>
          <w:rtl/>
        </w:rPr>
        <w:t xml:space="preserve">הנאשם </w:t>
      </w:r>
      <w:r>
        <w:rPr>
          <w:rFonts w:ascii="David" w:eastAsia="David" w:hAnsi="David"/>
          <w:rtl/>
        </w:rPr>
        <w:t xml:space="preserve">לשירות המבחן </w:t>
      </w:r>
      <w:r>
        <w:rPr>
          <w:rFonts w:ascii="David" w:eastAsia="David" w:hAnsi="David" w:hint="cs"/>
          <w:rtl/>
        </w:rPr>
        <w:t xml:space="preserve">עלה </w:t>
      </w:r>
      <w:r>
        <w:rPr>
          <w:rFonts w:ascii="David" w:eastAsia="David" w:hAnsi="David"/>
          <w:rtl/>
        </w:rPr>
        <w:t xml:space="preserve">כי מגיל צעיר נאלץ למלא תפקיד הורי במסגרת התא המשפחתי </w:t>
      </w:r>
      <w:r>
        <w:rPr>
          <w:rFonts w:ascii="David" w:eastAsia="David" w:hAnsi="David" w:hint="cs"/>
          <w:rtl/>
        </w:rPr>
        <w:t xml:space="preserve">הן </w:t>
      </w:r>
      <w:r>
        <w:rPr>
          <w:rFonts w:ascii="David" w:eastAsia="David" w:hAnsi="David"/>
          <w:rtl/>
        </w:rPr>
        <w:t xml:space="preserve">בהיותו גורם משמעותי בפרנסת הבית, </w:t>
      </w:r>
      <w:r>
        <w:rPr>
          <w:rFonts w:ascii="David" w:eastAsia="David" w:hAnsi="David" w:hint="cs"/>
          <w:rtl/>
        </w:rPr>
        <w:t xml:space="preserve">והן </w:t>
      </w:r>
      <w:r>
        <w:rPr>
          <w:rFonts w:ascii="David" w:eastAsia="David" w:hAnsi="David"/>
          <w:rtl/>
        </w:rPr>
        <w:t>באחריות לטיפול באמו ובניהול משק הבית. הנאשם מסר כי צבר חובות משמעותיים, גם לשוק האפור, אך עושה מאמצים לסילוקם.</w:t>
      </w:r>
    </w:p>
    <w:p w14:paraId="66553F04"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בהתייחסות לביצוע העבירות דנא נטל הנאשם אחריות </w:t>
      </w:r>
      <w:r>
        <w:rPr>
          <w:rFonts w:ascii="David" w:eastAsia="David" w:hAnsi="David" w:hint="cs"/>
          <w:rtl/>
        </w:rPr>
        <w:t>ע</w:t>
      </w:r>
      <w:r>
        <w:rPr>
          <w:rFonts w:ascii="David" w:eastAsia="David" w:hAnsi="David"/>
          <w:rtl/>
        </w:rPr>
        <w:t>ל</w:t>
      </w:r>
      <w:r>
        <w:rPr>
          <w:rFonts w:ascii="David" w:eastAsia="David" w:hAnsi="David" w:hint="cs"/>
          <w:rtl/>
        </w:rPr>
        <w:t xml:space="preserve"> </w:t>
      </w:r>
      <w:r>
        <w:rPr>
          <w:rFonts w:ascii="David" w:eastAsia="David" w:hAnsi="David"/>
          <w:rtl/>
        </w:rPr>
        <w:t>ביצוען. ברקע לביצוע</w:t>
      </w:r>
      <w:r>
        <w:rPr>
          <w:rFonts w:ascii="David" w:eastAsia="David" w:hAnsi="David" w:hint="cs"/>
          <w:rtl/>
        </w:rPr>
        <w:t xml:space="preserve"> העבירות </w:t>
      </w:r>
      <w:r>
        <w:rPr>
          <w:rFonts w:ascii="David" w:eastAsia="David" w:hAnsi="David"/>
          <w:rtl/>
        </w:rPr>
        <w:t>תיאר תקופה משברית</w:t>
      </w:r>
      <w:r>
        <w:rPr>
          <w:rFonts w:ascii="David" w:eastAsia="David" w:hAnsi="David" w:hint="cs"/>
          <w:rtl/>
        </w:rPr>
        <w:t>,</w:t>
      </w:r>
      <w:r>
        <w:rPr>
          <w:rFonts w:ascii="David" w:eastAsia="David" w:hAnsi="David"/>
          <w:rtl/>
        </w:rPr>
        <w:t xml:space="preserve"> על רקע פרידה מארוסתו דאז ופיטורים ממקום עבודה בו עבד שש שנים. לגרסתו, אדם אותו הכיר באופן שטחי מהשכונה פנה אליו והציע לו לבצע משלוח של סמים מסוג קנבוס בתמורה לתשלום כספי, והוא נענה</w:t>
      </w:r>
      <w:r>
        <w:rPr>
          <w:rFonts w:ascii="David" w:eastAsia="David" w:hAnsi="David" w:hint="cs"/>
          <w:rtl/>
        </w:rPr>
        <w:t xml:space="preserve"> לכך</w:t>
      </w:r>
      <w:r>
        <w:rPr>
          <w:rFonts w:ascii="David" w:eastAsia="David" w:hAnsi="David"/>
          <w:rtl/>
        </w:rPr>
        <w:t>.</w:t>
      </w:r>
    </w:p>
    <w:p w14:paraId="6F5F7C5A"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הנאשם הצליח להתבונן על בחירתו השולית </w:t>
      </w:r>
      <w:r>
        <w:rPr>
          <w:rFonts w:ascii="David" w:eastAsia="David" w:hAnsi="David" w:hint="cs"/>
          <w:rtl/>
        </w:rPr>
        <w:t xml:space="preserve">האמורה </w:t>
      </w:r>
      <w:r>
        <w:rPr>
          <w:rFonts w:ascii="David" w:eastAsia="David" w:hAnsi="David"/>
          <w:rtl/>
        </w:rPr>
        <w:t xml:space="preserve">כאמצעי להשגת רווח כלכלי מהיר וקל מבלי לגלות הבנה ומודעות אודות הסיכונים הכרוכים. שירות המבחן התרשם </w:t>
      </w:r>
      <w:r>
        <w:rPr>
          <w:rFonts w:ascii="David" w:eastAsia="David" w:hAnsi="David" w:hint="cs"/>
          <w:rtl/>
        </w:rPr>
        <w:t xml:space="preserve">אפוא </w:t>
      </w:r>
      <w:r>
        <w:rPr>
          <w:rFonts w:ascii="David" w:eastAsia="David" w:hAnsi="David"/>
          <w:rtl/>
        </w:rPr>
        <w:t>מנזקקות טיפולית של הנאשם ושילב אותו בהליך פרטני</w:t>
      </w:r>
      <w:r>
        <w:rPr>
          <w:rFonts w:ascii="David" w:eastAsia="David" w:hAnsi="David" w:hint="cs"/>
          <w:rtl/>
        </w:rPr>
        <w:t>,</w:t>
      </w:r>
      <w:r>
        <w:rPr>
          <w:rFonts w:ascii="David" w:eastAsia="David" w:hAnsi="David"/>
          <w:rtl/>
        </w:rPr>
        <w:t xml:space="preserve"> החל מחודש אפריל 2021. הנאשם הגיע בקביעות למפגשים וניכר כי הוא מחויב להם, הגם שהתקשה לחשוף רבדים עמוקים והתמודדויות משמעותיות מחייו</w:t>
      </w:r>
      <w:r>
        <w:rPr>
          <w:rFonts w:ascii="David" w:eastAsia="David" w:hAnsi="David" w:hint="cs"/>
          <w:rtl/>
        </w:rPr>
        <w:t>;</w:t>
      </w:r>
      <w:r>
        <w:rPr>
          <w:rFonts w:ascii="David" w:eastAsia="David" w:hAnsi="David"/>
          <w:rtl/>
        </w:rPr>
        <w:t xml:space="preserve"> ועל כן הומלץ שילובו בטיפול קבוצתי. </w:t>
      </w:r>
    </w:p>
    <w:p w14:paraId="3D328B39"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לאחר בחינת גורמי הסיכון והסיכוי בעניינו של הנאשם המליץ שירות המבחן לאמץ</w:t>
      </w:r>
      <w:r>
        <w:rPr>
          <w:rFonts w:ascii="David" w:eastAsia="David" w:hAnsi="David" w:hint="cs"/>
          <w:rtl/>
        </w:rPr>
        <w:t>,</w:t>
      </w:r>
      <w:r>
        <w:rPr>
          <w:rFonts w:ascii="David" w:eastAsia="David" w:hAnsi="David"/>
          <w:rtl/>
        </w:rPr>
        <w:t xml:space="preserve"> במקרה זה</w:t>
      </w:r>
      <w:r>
        <w:rPr>
          <w:rFonts w:ascii="David" w:eastAsia="David" w:hAnsi="David" w:hint="cs"/>
          <w:rtl/>
        </w:rPr>
        <w:t>,</w:t>
      </w:r>
      <w:r>
        <w:rPr>
          <w:rFonts w:ascii="David" w:eastAsia="David" w:hAnsi="David"/>
          <w:rtl/>
        </w:rPr>
        <w:t xml:space="preserve"> את הפן הטיפולי-שיקומי ולאפשר את המשך הליך השיקום במסגרת הטלת </w:t>
      </w:r>
      <w:r>
        <w:rPr>
          <w:rFonts w:ascii="David" w:eastAsia="David" w:hAnsi="David"/>
          <w:rtl/>
        </w:rPr>
        <w:lastRenderedPageBreak/>
        <w:t>צו מבחן לתקופה של שנה, לצד צו של"צ בהיקף נרחב של 250 שעות. בהקשר זה צוינה ההתרשמות החיובית מהנאשם, שזו לו הסתבכותו היחידה עם החוק, אשר מצוי בעיצומו של הליך טיפולי.</w:t>
      </w:r>
    </w:p>
    <w:p w14:paraId="5713CD5E"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עוד צוינה היציבות שאפיינה את הנאשם במסגרת הלימודית, הצבאית והתעסוקתית, הימנעותו כיום משימוש בסמים, וההרתעה שהוא חווה מההליך המשפטי. שירות המבחן אף הוסיף וציין כי להערכתו השתת ענישה של מאסר בפועל, גם לנשיאה בדרך של עבודות שירות, עלולה לגרום לרגרסיה משמעותית בתפקודו של הנאשם ו</w:t>
      </w:r>
      <w:r>
        <w:rPr>
          <w:rFonts w:ascii="David" w:eastAsia="David" w:hAnsi="David" w:hint="cs"/>
          <w:rtl/>
        </w:rPr>
        <w:t>ב</w:t>
      </w:r>
      <w:r>
        <w:rPr>
          <w:rFonts w:ascii="David" w:eastAsia="David" w:hAnsi="David"/>
          <w:rtl/>
        </w:rPr>
        <w:t>יכולתו להמשיך לדאוג לפרנסתו ולפרנסת אמו.</w:t>
      </w:r>
    </w:p>
    <w:p w14:paraId="2DBA69D0"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בדיון שנערך לאחר קבלת התסקיר עתרה ב"כ המאשימה לקבלת תסקיר משלים, על מנת להתרשם מהתמדתו של הנאשם בהליך הטיפולי שכאמור טרם הסתיים, ונעתרתי לבקשה זו. בתסקיר המשלים (מיום 14.11.2021) עדכן שירות המבחן </w:t>
      </w:r>
      <w:r>
        <w:rPr>
          <w:rFonts w:ascii="David" w:eastAsia="David" w:hAnsi="David" w:hint="cs"/>
          <w:rtl/>
        </w:rPr>
        <w:t xml:space="preserve">כי </w:t>
      </w:r>
      <w:r>
        <w:rPr>
          <w:rFonts w:ascii="David" w:eastAsia="David" w:hAnsi="David"/>
          <w:rtl/>
        </w:rPr>
        <w:t>הנאשם ממשיך להגיע בקביעות למפגשים</w:t>
      </w:r>
      <w:r>
        <w:rPr>
          <w:rFonts w:ascii="David" w:eastAsia="David" w:hAnsi="David" w:hint="cs"/>
          <w:rtl/>
        </w:rPr>
        <w:t xml:space="preserve"> במסגרת ההליך הטיפולי</w:t>
      </w:r>
      <w:r>
        <w:rPr>
          <w:rFonts w:ascii="David" w:eastAsia="David" w:hAnsi="David"/>
          <w:rtl/>
        </w:rPr>
        <w:t xml:space="preserve">, </w:t>
      </w:r>
      <w:r>
        <w:rPr>
          <w:rFonts w:ascii="David" w:eastAsia="David" w:hAnsi="David" w:hint="cs"/>
          <w:rtl/>
        </w:rPr>
        <w:t xml:space="preserve">כי הוא </w:t>
      </w:r>
      <w:r>
        <w:rPr>
          <w:rFonts w:ascii="David" w:eastAsia="David" w:hAnsi="David"/>
          <w:rtl/>
        </w:rPr>
        <w:t>מתנהל באופן אחראי, משתף בקשייו ומבטא מוטיבציה להיעזר</w:t>
      </w:r>
      <w:r>
        <w:rPr>
          <w:rFonts w:ascii="David" w:eastAsia="David" w:hAnsi="David" w:hint="cs"/>
          <w:rtl/>
        </w:rPr>
        <w:t xml:space="preserve"> בהליך</w:t>
      </w:r>
      <w:r>
        <w:rPr>
          <w:rFonts w:ascii="David" w:eastAsia="David" w:hAnsi="David"/>
          <w:rtl/>
        </w:rPr>
        <w:t>. בנסיבות אלה העריך שירות המבחן כי המוטיבציה של הנאשם להמשך השתתפות בהליך הטיפולי היא פנימית, ועל כן ציין כי הוא רואה חשיבות באימוץ הפן הטיפולי-שיקומי בענישה. שירות המבחן חזר אפוא על המלצותיו מהתסקיר הקודם.</w:t>
      </w:r>
    </w:p>
    <w:p w14:paraId="637A2228" w14:textId="77777777" w:rsidR="00F5321D" w:rsidRDefault="00F5321D" w:rsidP="00F5321D">
      <w:pPr>
        <w:spacing w:after="120" w:line="360" w:lineRule="auto"/>
        <w:jc w:val="both"/>
        <w:rPr>
          <w:rFonts w:ascii="David" w:eastAsia="David" w:hAnsi="David"/>
        </w:rPr>
      </w:pPr>
    </w:p>
    <w:p w14:paraId="5F7D5150" w14:textId="77777777" w:rsidR="00F5321D" w:rsidRDefault="00F5321D" w:rsidP="00F5321D">
      <w:pPr>
        <w:spacing w:after="120" w:line="360" w:lineRule="auto"/>
        <w:jc w:val="both"/>
        <w:rPr>
          <w:rFonts w:ascii="David" w:eastAsia="David" w:hAnsi="David"/>
          <w:rtl/>
        </w:rPr>
      </w:pPr>
      <w:r>
        <w:rPr>
          <w:rFonts w:ascii="David" w:eastAsia="David" w:hAnsi="David"/>
          <w:b/>
          <w:bCs/>
          <w:rtl/>
        </w:rPr>
        <w:t>ג.</w:t>
      </w:r>
      <w:r>
        <w:rPr>
          <w:rFonts w:ascii="David" w:eastAsia="David" w:hAnsi="David"/>
          <w:b/>
          <w:bCs/>
          <w:rtl/>
        </w:rPr>
        <w:tab/>
      </w:r>
      <w:r>
        <w:rPr>
          <w:rFonts w:ascii="David" w:eastAsia="David" w:hAnsi="David"/>
          <w:b/>
          <w:bCs/>
          <w:u w:val="single"/>
          <w:rtl/>
        </w:rPr>
        <w:t>עיקר טיעוני הצדדים:</w:t>
      </w:r>
    </w:p>
    <w:p w14:paraId="65A562C5"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בטיעוניה עמדה ב"כ המאשימה על עובדות כתב האישום המתוקן, בהן הודה הנאשם. כעולה מעובדות אלה, הנאשם במעשיו שימש-למעשה כחלק אינטגרלי משרשרת הפצת הסמים, ובכך פגע בערך החברתי של ההגנה על שלום הציבור ועל בריאותו. בנסיבות אלה יש לקבוע את מתחם העונש ההולם, כך כעתירת ב"כ המאשימה, בין 6 חודשי מאסר בפועל לבין 12 חודשי מאסר בפועל.</w:t>
      </w:r>
    </w:p>
    <w:p w14:paraId="14CB114F"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אשר לגזירת עונשו של הנאשם בתוך מתחם העונש ההולם עמדה ב"כ המאשימה על כך שמדובר בנאשם ללא הרשעות קודמות, שנטל אחריות על מעשיו והשתלב בהליך שיקומי. בנסיבות אלה, ובהתחשב באמור בתסקיר שירות המבחן, עתרה ב"כ המאשימה לגזירת עונשו של הנאשם בשליש התחתון של מתחם העונש ההולם לו עתרה, לצד ענישה נלווית. עוד עתרה ב"כ המאשימה להכרזה על הנאשם כסוחר סמים ולחילוט סך המזומן (550 ₪) שנתפס ברשותו והקטנוע.</w:t>
      </w:r>
    </w:p>
    <w:p w14:paraId="4D63D333"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ב"כ הנאשם, מצידו, התמקד בנימוקי הקולה. ב"כ הנאשם ציין שאינו חולק על הערכים החברתיים, הנפגעים כתולדה מהעבירות של סחר בסמים, אך הדגיש כי במקרה דנא לא מדובר בסמים קשים ובהקשר זה הפנה ל</w:t>
      </w:r>
      <w:r>
        <w:rPr>
          <w:rFonts w:ascii="David" w:eastAsia="David" w:hAnsi="David" w:hint="cs"/>
          <w:rtl/>
        </w:rPr>
        <w:t>אמור ב</w:t>
      </w:r>
      <w:hyperlink r:id="rId20" w:history="1">
        <w:r w:rsidR="007876AF" w:rsidRPr="007876AF">
          <w:rPr>
            <w:rFonts w:ascii="David" w:eastAsia="David" w:hAnsi="David"/>
            <w:color w:val="0000FF"/>
            <w:u w:val="single"/>
            <w:rtl/>
          </w:rPr>
          <w:t>בש"פ 3812/21</w:t>
        </w:r>
      </w:hyperlink>
      <w:r>
        <w:rPr>
          <w:rFonts w:ascii="David" w:eastAsia="David" w:hAnsi="David"/>
          <w:rtl/>
        </w:rPr>
        <w:t xml:space="preserve"> </w:t>
      </w:r>
      <w:r>
        <w:rPr>
          <w:rFonts w:ascii="David" w:eastAsia="David" w:hAnsi="David"/>
          <w:b/>
          <w:bCs/>
          <w:rtl/>
        </w:rPr>
        <w:t>מוקלד נ' מדינת ישראל</w:t>
      </w:r>
      <w:r>
        <w:rPr>
          <w:rFonts w:ascii="David" w:eastAsia="David" w:hAnsi="David"/>
          <w:rtl/>
        </w:rPr>
        <w:t xml:space="preserve"> (15.06.2021) ו</w:t>
      </w:r>
      <w:hyperlink r:id="rId21" w:history="1">
        <w:r w:rsidR="007876AF" w:rsidRPr="007876AF">
          <w:rPr>
            <w:rFonts w:ascii="David" w:eastAsia="David" w:hAnsi="David"/>
            <w:color w:val="0000FF"/>
            <w:u w:val="single"/>
            <w:rtl/>
          </w:rPr>
          <w:t>בש"פ 8640/20</w:t>
        </w:r>
      </w:hyperlink>
      <w:r>
        <w:rPr>
          <w:rFonts w:ascii="David" w:eastAsia="David" w:hAnsi="David"/>
          <w:rtl/>
        </w:rPr>
        <w:t xml:space="preserve"> </w:t>
      </w:r>
      <w:r>
        <w:rPr>
          <w:rFonts w:ascii="David" w:eastAsia="David" w:hAnsi="David"/>
          <w:b/>
          <w:bCs/>
          <w:rtl/>
        </w:rPr>
        <w:t>אבו קרינאת נ' מדינת ישראל</w:t>
      </w:r>
      <w:r>
        <w:rPr>
          <w:rFonts w:ascii="David" w:eastAsia="David" w:hAnsi="David"/>
          <w:rtl/>
        </w:rPr>
        <w:t xml:space="preserve"> (23.12.2020).</w:t>
      </w:r>
    </w:p>
    <w:p w14:paraId="09AA1AA8"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עוד הדגיש ב"כ הנאשם כי במקרה דנא, כאמור בעובדות כתב האישום המתוקן, מדובר בנאשם ששימש כשליח בלבד. לנאשם עצמו לא היתה נגישות לסמים</w:t>
      </w:r>
      <w:r>
        <w:rPr>
          <w:rFonts w:ascii="David" w:eastAsia="David" w:hAnsi="David" w:hint="cs"/>
          <w:rtl/>
        </w:rPr>
        <w:t xml:space="preserve">, </w:t>
      </w:r>
      <w:r>
        <w:rPr>
          <w:rFonts w:ascii="David" w:eastAsia="David" w:hAnsi="David"/>
          <w:rtl/>
        </w:rPr>
        <w:t>הוא לא היה קשור לעולם סוחרי הסמים</w:t>
      </w:r>
      <w:r>
        <w:rPr>
          <w:rFonts w:ascii="David" w:eastAsia="David" w:hAnsi="David" w:hint="cs"/>
          <w:rtl/>
        </w:rPr>
        <w:t xml:space="preserve"> ולא הרוויח </w:t>
      </w:r>
      <w:r>
        <w:rPr>
          <w:rFonts w:ascii="David" w:eastAsia="David" w:hAnsi="David"/>
          <w:rtl/>
        </w:rPr>
        <w:t>מהסמים אלא רק מהשליחות. בנסיבות אלה, כך לטענת ב"כ הנאשם, ניתן לקבוע את הרף התחתון של מתחם העונש ההולם בענישה צופה פני עתיד בלבד.</w:t>
      </w:r>
    </w:p>
    <w:p w14:paraId="5DCD4B50"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בכל מקרה, בהתחשב בנסיבות הקולה של המקרה ושל הנאשם, ובמיוחד בהליך השיקומי בו השתלב הנאשם, </w:t>
      </w:r>
      <w:r>
        <w:rPr>
          <w:rFonts w:ascii="David" w:eastAsia="David" w:hAnsi="David" w:hint="cs"/>
          <w:rtl/>
        </w:rPr>
        <w:t xml:space="preserve">הוסיף ב"כ הנאשם וטען כי </w:t>
      </w:r>
      <w:r>
        <w:rPr>
          <w:rFonts w:ascii="David" w:eastAsia="David" w:hAnsi="David"/>
          <w:rtl/>
        </w:rPr>
        <w:t xml:space="preserve">מדובר במקרה מובהק המצדיק חריגה לכף קולה ממתחם העונש ההולם משיקולי שיקום. ב"כ הנאשם הדגיש כי מדובר בנאשם כבן 30 שנה, שזו לו הסתבכותו הראשונה בפלילים. הנאשם שירת </w:t>
      </w:r>
      <w:r>
        <w:rPr>
          <w:rFonts w:ascii="David" w:eastAsia="David" w:hAnsi="David" w:hint="cs"/>
          <w:rtl/>
        </w:rPr>
        <w:t xml:space="preserve">בצבא </w:t>
      </w:r>
      <w:r>
        <w:rPr>
          <w:rFonts w:ascii="David" w:eastAsia="David" w:hAnsi="David"/>
          <w:rtl/>
        </w:rPr>
        <w:t>כלוחם, בשירות סדיר ובשירות מילואים אשר הופסק בעקבות הליך זה באופן שפגע בנאשם. בנוסף, לנאשם עבר יציב, הן בהיבט הלימודים והן בהיבט התעסוקה, הוא נטל אחריות על מעשיו, שיתף פעולה עם שירות המבחן והשתלב בהליך טיפולי. בנסיבות אלה, וכאשר מדובר במעידה חד פעמית, ראוי לאמץ את המלצות שירות המבחן, ובהקשר זה הפנה ב"כ הנאשם לפסיקה רבה.</w:t>
      </w:r>
    </w:p>
    <w:p w14:paraId="27CF2351"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לבסוף הנאשם, בדברו האחרון לעונש, הביע צער וחרטה וציין כי מדובר במעידה חד פעמית אשר גדעה </w:t>
      </w:r>
      <w:r>
        <w:rPr>
          <w:rFonts w:ascii="David" w:eastAsia="David" w:hAnsi="David" w:hint="cs"/>
          <w:rtl/>
        </w:rPr>
        <w:t>את מהלך חייו</w:t>
      </w:r>
      <w:r>
        <w:rPr>
          <w:rFonts w:ascii="David" w:eastAsia="David" w:hAnsi="David"/>
          <w:rtl/>
        </w:rPr>
        <w:t xml:space="preserve">. עוד הוסיף </w:t>
      </w:r>
      <w:r>
        <w:rPr>
          <w:rFonts w:ascii="David" w:eastAsia="David" w:hAnsi="David" w:hint="cs"/>
          <w:rtl/>
        </w:rPr>
        <w:t xml:space="preserve">הנאשם </w:t>
      </w:r>
      <w:r>
        <w:rPr>
          <w:rFonts w:ascii="David" w:eastAsia="David" w:hAnsi="David"/>
          <w:rtl/>
        </w:rPr>
        <w:t>כי הוא מקווה לצאת לדרך חדשה, כאשר שירות המבחן עוזר לו בכך (בפרוטוקול, עמ' 10 שורה 10 ואילך).</w:t>
      </w:r>
    </w:p>
    <w:p w14:paraId="508A9971" w14:textId="77777777" w:rsidR="00F5321D" w:rsidRDefault="00F5321D" w:rsidP="00F5321D">
      <w:pPr>
        <w:spacing w:after="120" w:line="360" w:lineRule="auto"/>
        <w:jc w:val="both"/>
        <w:rPr>
          <w:rFonts w:ascii="David" w:eastAsia="David" w:hAnsi="David"/>
        </w:rPr>
      </w:pPr>
    </w:p>
    <w:p w14:paraId="702D54AC" w14:textId="77777777" w:rsidR="00F5321D" w:rsidRPr="008C6F6B" w:rsidRDefault="00F5321D" w:rsidP="00F5321D">
      <w:pPr>
        <w:spacing w:after="120" w:line="360" w:lineRule="auto"/>
        <w:jc w:val="both"/>
        <w:rPr>
          <w:rFonts w:ascii="David" w:eastAsia="David" w:hAnsi="David"/>
          <w:b/>
          <w:bCs/>
        </w:rPr>
      </w:pPr>
      <w:r w:rsidRPr="008C6F6B">
        <w:rPr>
          <w:rFonts w:hint="cs"/>
          <w:b/>
          <w:bCs/>
          <w:rtl/>
        </w:rPr>
        <w:t>ד</w:t>
      </w:r>
      <w:r w:rsidRPr="008C6F6B">
        <w:rPr>
          <w:b/>
          <w:bCs/>
          <w:rtl/>
        </w:rPr>
        <w:t>.</w:t>
      </w:r>
      <w:r w:rsidRPr="008C6F6B">
        <w:rPr>
          <w:b/>
          <w:bCs/>
          <w:rtl/>
        </w:rPr>
        <w:tab/>
      </w:r>
      <w:r w:rsidRPr="008C6F6B">
        <w:rPr>
          <w:b/>
          <w:bCs/>
          <w:u w:val="single"/>
          <w:rtl/>
        </w:rPr>
        <w:t>קביעת מתחם העונש ההולם:</w:t>
      </w:r>
    </w:p>
    <w:p w14:paraId="16163569" w14:textId="77777777" w:rsidR="00F5321D" w:rsidRPr="008C6F6B" w:rsidRDefault="00F5321D" w:rsidP="00F5321D">
      <w:pPr>
        <w:numPr>
          <w:ilvl w:val="0"/>
          <w:numId w:val="1"/>
        </w:numPr>
        <w:tabs>
          <w:tab w:val="num" w:pos="720"/>
        </w:tabs>
        <w:spacing w:after="120" w:line="360" w:lineRule="auto"/>
        <w:ind w:left="720"/>
        <w:jc w:val="both"/>
        <w:rPr>
          <w:rFonts w:ascii="David" w:eastAsia="David" w:hAnsi="David"/>
        </w:rPr>
      </w:pPr>
      <w:r>
        <w:rPr>
          <w:rFonts w:hint="cs"/>
          <w:rtl/>
        </w:rPr>
        <w:t xml:space="preserve">על פי הוראות </w:t>
      </w:r>
      <w:hyperlink r:id="rId22" w:history="1">
        <w:r w:rsidR="007876AF" w:rsidRPr="007876AF">
          <w:rPr>
            <w:color w:val="0000FF"/>
            <w:u w:val="single"/>
            <w:rtl/>
          </w:rPr>
          <w:t>חוק העונשין</w:t>
        </w:r>
      </w:hyperlink>
      <w:r>
        <w:rPr>
          <w:rFonts w:hint="cs"/>
          <w:rtl/>
        </w:rPr>
        <w:t xml:space="preserve">, תשל"ז-1977 (להלן </w:t>
      </w:r>
      <w:r>
        <w:rPr>
          <w:rtl/>
        </w:rPr>
        <w:t>–</w:t>
      </w:r>
      <w:r>
        <w:rPr>
          <w:rFonts w:hint="cs"/>
          <w:rtl/>
        </w:rPr>
        <w:t xml:space="preserve"> חוק העונשין), </w:t>
      </w:r>
      <w:r w:rsidRPr="008C6F6B">
        <w:rPr>
          <w:rtl/>
        </w:rPr>
        <w:t xml:space="preserve">בעת גזירת עונשו של נאשם על בית המשפט לקבוע, תחילה, את מתחם העונש ההולם לאירוע שבגינו הורשע הנאשם, </w:t>
      </w:r>
      <w:r>
        <w:rPr>
          <w:rFonts w:hint="cs"/>
          <w:rtl/>
        </w:rPr>
        <w:t>ב</w:t>
      </w:r>
      <w:r w:rsidRPr="008C6F6B">
        <w:rPr>
          <w:rtl/>
        </w:rPr>
        <w:t>התאם לעיקרון ההלימה. עוד יתחשב בית המשפט, בהקשר זה, בערכ</w:t>
      </w:r>
      <w:r>
        <w:rPr>
          <w:rtl/>
        </w:rPr>
        <w:t>ים החברתיים שנפגעו מביצוע העביר</w:t>
      </w:r>
      <w:r>
        <w:rPr>
          <w:rFonts w:hint="cs"/>
          <w:rtl/>
        </w:rPr>
        <w:t>ות</w:t>
      </w:r>
      <w:r w:rsidRPr="008C6F6B">
        <w:rPr>
          <w:rtl/>
        </w:rPr>
        <w:t xml:space="preserve"> ובמידת הפגיעה בהם, במדיניות הענישה הנהוג</w:t>
      </w:r>
      <w:r>
        <w:rPr>
          <w:rtl/>
        </w:rPr>
        <w:t>ה ובנסיבות הקשורות בביצוע העביר</w:t>
      </w:r>
      <w:r>
        <w:rPr>
          <w:rFonts w:hint="cs"/>
          <w:rtl/>
        </w:rPr>
        <w:t>ות</w:t>
      </w:r>
      <w:r w:rsidRPr="008C6F6B">
        <w:rPr>
          <w:rtl/>
        </w:rPr>
        <w:t>.</w:t>
      </w:r>
    </w:p>
    <w:p w14:paraId="6D0BB869" w14:textId="77777777" w:rsidR="00F5321D" w:rsidRPr="008C6F6B" w:rsidRDefault="00F5321D" w:rsidP="00F5321D">
      <w:pPr>
        <w:numPr>
          <w:ilvl w:val="0"/>
          <w:numId w:val="1"/>
        </w:numPr>
        <w:tabs>
          <w:tab w:val="num" w:pos="720"/>
        </w:tabs>
        <w:spacing w:after="120" w:line="360" w:lineRule="auto"/>
        <w:ind w:left="720"/>
        <w:jc w:val="both"/>
        <w:rPr>
          <w:rFonts w:ascii="David" w:eastAsia="David" w:hAnsi="David"/>
        </w:rPr>
      </w:pPr>
      <w:r w:rsidRPr="008C6F6B">
        <w:rPr>
          <w:rtl/>
        </w:rPr>
        <w:t>לעניין הערכים החברת</w:t>
      </w:r>
      <w:r>
        <w:rPr>
          <w:rtl/>
        </w:rPr>
        <w:t>יים, שנפגעו כתולדה מביצוע העביר</w:t>
      </w:r>
      <w:r>
        <w:rPr>
          <w:rFonts w:hint="cs"/>
          <w:rtl/>
        </w:rPr>
        <w:t>ות</w:t>
      </w:r>
      <w:r w:rsidRPr="008C6F6B">
        <w:rPr>
          <w:rtl/>
        </w:rPr>
        <w:t>, יש לציין כי הפסיקה חוזרת ומדגישה את חומרתן של עבירות הסמים</w:t>
      </w:r>
      <w:r>
        <w:rPr>
          <w:rFonts w:hint="cs"/>
          <w:rtl/>
        </w:rPr>
        <w:t xml:space="preserve">, שכן ביצוען פוגע במידה </w:t>
      </w:r>
      <w:r w:rsidRPr="008C6F6B">
        <w:rPr>
          <w:rtl/>
        </w:rPr>
        <w:t>ניכרת בערכים החברתיים של ההגנה על שלום הציבור ועל בריאותו; במיוחד כאשר מדובר בסחר בסמים מסוכנים.</w:t>
      </w:r>
      <w:r>
        <w:rPr>
          <w:rFonts w:hint="cs"/>
          <w:rtl/>
        </w:rPr>
        <w:t xml:space="preserve"> יוזכר, כי בעניינו מדובר בעבירת סחר שגם הצטרפה לה </w:t>
      </w:r>
      <w:r>
        <w:rPr>
          <w:rFonts w:ascii="David" w:eastAsia="David" w:hAnsi="David" w:hint="cs"/>
          <w:rtl/>
        </w:rPr>
        <w:t>עבירה של החזקת סמים מסוכנים שלא לצריכה עצמית.</w:t>
      </w:r>
    </w:p>
    <w:p w14:paraId="75AE87FB" w14:textId="77777777" w:rsidR="00F5321D" w:rsidRPr="0045672C" w:rsidRDefault="00F5321D" w:rsidP="00F5321D">
      <w:pPr>
        <w:numPr>
          <w:ilvl w:val="0"/>
          <w:numId w:val="1"/>
        </w:numPr>
        <w:tabs>
          <w:tab w:val="num" w:pos="720"/>
        </w:tabs>
        <w:spacing w:after="120" w:line="360" w:lineRule="auto"/>
        <w:ind w:left="720"/>
        <w:jc w:val="both"/>
      </w:pPr>
      <w:r w:rsidRPr="008C6F6B">
        <w:rPr>
          <w:rtl/>
        </w:rPr>
        <w:t xml:space="preserve">ככלל, מדיניות הענישה הנהוגה כאשר מדובר בעבירות של סחר בסמים מסוכנים מסוג </w:t>
      </w:r>
      <w:r>
        <w:rPr>
          <w:rFonts w:hint="cs"/>
          <w:rtl/>
        </w:rPr>
        <w:t>קנבוס</w:t>
      </w:r>
      <w:r w:rsidRPr="008C6F6B">
        <w:rPr>
          <w:rtl/>
        </w:rPr>
        <w:t>, בכמויות קטנות יחסית</w:t>
      </w:r>
      <w:r>
        <w:rPr>
          <w:rFonts w:hint="cs"/>
          <w:rtl/>
        </w:rPr>
        <w:t xml:space="preserve"> כבענייננו</w:t>
      </w:r>
      <w:r w:rsidRPr="008C6F6B">
        <w:rPr>
          <w:rtl/>
        </w:rPr>
        <w:t xml:space="preserve">, היא בקביעת מתחם עונש הולם </w:t>
      </w:r>
      <w:r>
        <w:rPr>
          <w:rtl/>
        </w:rPr>
        <w:t xml:space="preserve">שבין </w:t>
      </w:r>
      <w:r>
        <w:rPr>
          <w:rFonts w:hint="cs"/>
          <w:rtl/>
        </w:rPr>
        <w:t xml:space="preserve">מספר </w:t>
      </w:r>
      <w:r w:rsidRPr="008C6F6B">
        <w:rPr>
          <w:rtl/>
        </w:rPr>
        <w:t>חודשי מאסר בפועל</w:t>
      </w:r>
      <w:r>
        <w:rPr>
          <w:rFonts w:hint="cs"/>
          <w:rtl/>
        </w:rPr>
        <w:t xml:space="preserve">, לנשיאה בדרך של עבודות שירות, </w:t>
      </w:r>
      <w:r>
        <w:rPr>
          <w:rtl/>
        </w:rPr>
        <w:t>לבין 1</w:t>
      </w:r>
      <w:r>
        <w:rPr>
          <w:rFonts w:hint="cs"/>
          <w:rtl/>
        </w:rPr>
        <w:t>2</w:t>
      </w:r>
      <w:r w:rsidRPr="008C6F6B">
        <w:rPr>
          <w:rtl/>
        </w:rPr>
        <w:t xml:space="preserve"> חודשי מאסר בפועל </w:t>
      </w:r>
      <w:r>
        <w:rPr>
          <w:rFonts w:hint="cs"/>
          <w:rtl/>
        </w:rPr>
        <w:t xml:space="preserve">(ר' למשל </w:t>
      </w:r>
      <w:hyperlink r:id="rId23" w:history="1">
        <w:r w:rsidR="007876AF" w:rsidRPr="007876AF">
          <w:rPr>
            <w:rFonts w:ascii="David" w:eastAsia="David" w:hAnsi="David"/>
            <w:color w:val="0000FF"/>
            <w:u w:val="single"/>
            <w:rtl/>
          </w:rPr>
          <w:t>רע"פ 7858/19</w:t>
        </w:r>
      </w:hyperlink>
      <w:r w:rsidR="007876AF">
        <w:rPr>
          <w:rFonts w:ascii="David" w:eastAsia="David" w:hAnsi="David"/>
          <w:rtl/>
        </w:rPr>
        <w:t xml:space="preserve"> </w:t>
      </w:r>
      <w:r w:rsidRPr="00415273">
        <w:rPr>
          <w:rFonts w:ascii="David" w:eastAsia="David" w:hAnsi="David"/>
          <w:b/>
          <w:bCs/>
          <w:rtl/>
        </w:rPr>
        <w:t>וקנין נ' מדינת ישראל</w:t>
      </w:r>
      <w:r w:rsidR="007876AF">
        <w:rPr>
          <w:rFonts w:ascii="David" w:eastAsia="David" w:hAnsi="David"/>
          <w:rtl/>
        </w:rPr>
        <w:t xml:space="preserve"> </w:t>
      </w:r>
      <w:r w:rsidRPr="00415273">
        <w:rPr>
          <w:rFonts w:ascii="David" w:eastAsia="David" w:hAnsi="David"/>
          <w:rtl/>
        </w:rPr>
        <w:t>(28.11.2019)</w:t>
      </w:r>
      <w:r w:rsidRPr="00415273">
        <w:rPr>
          <w:rFonts w:ascii="David" w:eastAsia="David" w:hAnsi="David" w:hint="cs"/>
          <w:rtl/>
        </w:rPr>
        <w:t xml:space="preserve">; </w:t>
      </w:r>
      <w:hyperlink r:id="rId24" w:history="1">
        <w:r w:rsidR="007876AF" w:rsidRPr="007876AF">
          <w:rPr>
            <w:color w:val="0000FF"/>
            <w:u w:val="single"/>
            <w:rtl/>
          </w:rPr>
          <w:t>ת"פ (רמלה) 4127-11-17</w:t>
        </w:r>
      </w:hyperlink>
      <w:r w:rsidR="007876AF">
        <w:rPr>
          <w:rtl/>
        </w:rPr>
        <w:t xml:space="preserve"> </w:t>
      </w:r>
      <w:r w:rsidRPr="00415273">
        <w:rPr>
          <w:b/>
          <w:bCs/>
          <w:rtl/>
        </w:rPr>
        <w:t>מדינת ישראל נ' אלבאז</w:t>
      </w:r>
      <w:r w:rsidR="007876AF">
        <w:rPr>
          <w:rtl/>
        </w:rPr>
        <w:t xml:space="preserve"> </w:t>
      </w:r>
      <w:r w:rsidRPr="00415273">
        <w:rPr>
          <w:rtl/>
        </w:rPr>
        <w:t>(</w:t>
      </w:r>
      <w:r>
        <w:rPr>
          <w:rtl/>
        </w:rPr>
        <w:t>03.12.2019)</w:t>
      </w:r>
      <w:r>
        <w:rPr>
          <w:rFonts w:hint="cs"/>
          <w:rtl/>
        </w:rPr>
        <w:t xml:space="preserve">, </w:t>
      </w:r>
      <w:hyperlink r:id="rId25" w:history="1">
        <w:r w:rsidR="007876AF" w:rsidRPr="007876AF">
          <w:rPr>
            <w:rFonts w:ascii="Tahoma" w:hAnsi="Tahoma"/>
            <w:color w:val="0000FF"/>
            <w:u w:val="single"/>
            <w:rtl/>
          </w:rPr>
          <w:t>עפ"ג (מחוזי מרכז) 24923-01-20</w:t>
        </w:r>
      </w:hyperlink>
      <w:r w:rsidRPr="00415273">
        <w:rPr>
          <w:rFonts w:ascii="Tahoma" w:hAnsi="Tahoma"/>
          <w:rtl/>
        </w:rPr>
        <w:t xml:space="preserve"> </w:t>
      </w:r>
      <w:r w:rsidRPr="00415273">
        <w:rPr>
          <w:rFonts w:ascii="Tahoma" w:hAnsi="Tahoma"/>
          <w:b/>
          <w:bCs/>
          <w:rtl/>
        </w:rPr>
        <w:t>מדינת ישראל נ' אלבאז</w:t>
      </w:r>
      <w:r w:rsidRPr="00415273">
        <w:rPr>
          <w:rFonts w:ascii="Tahoma" w:hAnsi="Tahoma"/>
          <w:rtl/>
        </w:rPr>
        <w:t xml:space="preserve"> (22.06.</w:t>
      </w:r>
      <w:r w:rsidRPr="00415273">
        <w:rPr>
          <w:rFonts w:ascii="Tahoma" w:hAnsi="Tahoma" w:hint="cs"/>
          <w:rtl/>
        </w:rPr>
        <w:t>20</w:t>
      </w:r>
      <w:r w:rsidRPr="00415273">
        <w:rPr>
          <w:rFonts w:ascii="Tahoma" w:hAnsi="Tahoma"/>
          <w:rtl/>
        </w:rPr>
        <w:t>20)</w:t>
      </w:r>
      <w:r w:rsidRPr="00415273">
        <w:rPr>
          <w:rFonts w:ascii="Tahoma" w:hAnsi="Tahoma" w:hint="cs"/>
          <w:rtl/>
        </w:rPr>
        <w:t>).</w:t>
      </w:r>
    </w:p>
    <w:p w14:paraId="43A3A17E" w14:textId="77777777" w:rsidR="00F5321D" w:rsidRPr="007F27FF" w:rsidRDefault="00F5321D" w:rsidP="00F5321D">
      <w:pPr>
        <w:numPr>
          <w:ilvl w:val="0"/>
          <w:numId w:val="1"/>
        </w:numPr>
        <w:tabs>
          <w:tab w:val="num" w:pos="720"/>
        </w:tabs>
        <w:spacing w:after="120" w:line="360" w:lineRule="auto"/>
        <w:ind w:left="720"/>
        <w:jc w:val="both"/>
      </w:pPr>
      <w:r>
        <w:rPr>
          <w:rFonts w:ascii="Tahoma" w:hAnsi="Tahoma" w:hint="cs"/>
          <w:rtl/>
        </w:rPr>
        <w:t>בענייננו לעבירת הסחר התווספה עבירה של החזקת סמים מסוכנים שלא לצריכה עצמית, אך אין בכך כדי לשנות מהותית את חומרת האירוע. יוטעם, בהקשר זה, כי במקרה דנא מדובר באירוע אחד, ממוקד, בו עבירת ההחזקה בוצעה בד בבד עם עבירת הסחר ולמעשה הצטרפה לה.</w:t>
      </w:r>
    </w:p>
    <w:p w14:paraId="77773B9B" w14:textId="77777777" w:rsidR="00F5321D" w:rsidRDefault="00F5321D" w:rsidP="00F5321D">
      <w:pPr>
        <w:numPr>
          <w:ilvl w:val="0"/>
          <w:numId w:val="1"/>
        </w:numPr>
        <w:tabs>
          <w:tab w:val="num" w:pos="720"/>
        </w:tabs>
        <w:spacing w:after="120" w:line="360" w:lineRule="auto"/>
        <w:ind w:left="720"/>
        <w:jc w:val="both"/>
      </w:pPr>
      <w:r>
        <w:rPr>
          <w:rFonts w:ascii="Tahoma" w:hAnsi="Tahoma" w:hint="cs"/>
          <w:rtl/>
        </w:rPr>
        <w:t xml:space="preserve">אני קובע אפוא את מתחם </w:t>
      </w:r>
      <w:r>
        <w:rPr>
          <w:rFonts w:hint="cs"/>
          <w:rtl/>
        </w:rPr>
        <w:t xml:space="preserve">העונש ההולם, במקרה זה, </w:t>
      </w:r>
      <w:r>
        <w:rPr>
          <w:rtl/>
        </w:rPr>
        <w:t xml:space="preserve">בין </w:t>
      </w:r>
      <w:r>
        <w:rPr>
          <w:rFonts w:hint="cs"/>
          <w:rtl/>
        </w:rPr>
        <w:t xml:space="preserve">מספר </w:t>
      </w:r>
      <w:r w:rsidRPr="008C6F6B">
        <w:rPr>
          <w:rtl/>
        </w:rPr>
        <w:t>חודשי מאסר בפועל</w:t>
      </w:r>
      <w:r>
        <w:rPr>
          <w:rFonts w:hint="cs"/>
          <w:rtl/>
        </w:rPr>
        <w:t xml:space="preserve">, לנשיאה בדרך של עבודות שירות, </w:t>
      </w:r>
      <w:r>
        <w:rPr>
          <w:rtl/>
        </w:rPr>
        <w:t>לבין 1</w:t>
      </w:r>
      <w:r>
        <w:rPr>
          <w:rFonts w:hint="cs"/>
          <w:rtl/>
        </w:rPr>
        <w:t>2</w:t>
      </w:r>
      <w:r w:rsidRPr="008C6F6B">
        <w:rPr>
          <w:rtl/>
        </w:rPr>
        <w:t xml:space="preserve"> חודשי מאסר בפועל</w:t>
      </w:r>
      <w:r>
        <w:rPr>
          <w:rFonts w:hint="cs"/>
          <w:rtl/>
        </w:rPr>
        <w:t>.</w:t>
      </w:r>
    </w:p>
    <w:p w14:paraId="3436AB89" w14:textId="77777777" w:rsidR="00F5321D" w:rsidRPr="0045672C" w:rsidRDefault="00F5321D" w:rsidP="00F5321D">
      <w:pPr>
        <w:spacing w:after="120" w:line="360" w:lineRule="auto"/>
        <w:jc w:val="both"/>
      </w:pPr>
    </w:p>
    <w:p w14:paraId="305F74EC" w14:textId="77777777" w:rsidR="00F5321D" w:rsidRPr="0045672C" w:rsidRDefault="00F5321D" w:rsidP="00F5321D">
      <w:pPr>
        <w:spacing w:after="120" w:line="360" w:lineRule="auto"/>
        <w:jc w:val="both"/>
        <w:rPr>
          <w:rFonts w:ascii="David" w:eastAsia="David" w:hAnsi="David"/>
          <w:b/>
          <w:bCs/>
        </w:rPr>
      </w:pPr>
      <w:r w:rsidRPr="0045672C">
        <w:rPr>
          <w:rFonts w:hint="cs"/>
          <w:b/>
          <w:bCs/>
          <w:rtl/>
        </w:rPr>
        <w:t>ה</w:t>
      </w:r>
      <w:r w:rsidRPr="0045672C">
        <w:rPr>
          <w:b/>
          <w:bCs/>
          <w:rtl/>
        </w:rPr>
        <w:t>.</w:t>
      </w:r>
      <w:r w:rsidRPr="0045672C">
        <w:rPr>
          <w:b/>
          <w:bCs/>
          <w:rtl/>
        </w:rPr>
        <w:tab/>
      </w:r>
      <w:r w:rsidRPr="0045672C">
        <w:rPr>
          <w:b/>
          <w:bCs/>
          <w:u w:val="single"/>
          <w:rtl/>
        </w:rPr>
        <w:t>גזירת עונשו של הנאשם בתוך מתחם העונש ההולם והחריגה הימנו:</w:t>
      </w:r>
    </w:p>
    <w:p w14:paraId="59154684"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sidRPr="008C6F6B">
        <w:rPr>
          <w:rtl/>
        </w:rPr>
        <w:t xml:space="preserve">לאחר קביעת מתחם העונש ההולם על בית המשפט לגזור את עונשו של הנאשם בתוך מתחם זה תוך התחשבות בנסיבות שאינן קשורות בביצוע העבירה, לרבות אלה המנויות בהוראות </w:t>
      </w:r>
      <w:hyperlink r:id="rId26" w:history="1">
        <w:r w:rsidR="005823E7" w:rsidRPr="005823E7">
          <w:rPr>
            <w:rStyle w:val="Hyperlink"/>
            <w:rtl/>
          </w:rPr>
          <w:t>סעיף 40יא</w:t>
        </w:r>
      </w:hyperlink>
      <w:r w:rsidRPr="008C6F6B">
        <w:rPr>
          <w:rtl/>
        </w:rPr>
        <w:t xml:space="preserve"> ל</w:t>
      </w:r>
      <w:hyperlink r:id="rId27" w:history="1">
        <w:r w:rsidR="007876AF" w:rsidRPr="007876AF">
          <w:rPr>
            <w:color w:val="0000FF"/>
            <w:u w:val="single"/>
            <w:rtl/>
          </w:rPr>
          <w:t>חוק העונשין</w:t>
        </w:r>
      </w:hyperlink>
      <w:r w:rsidRPr="008C6F6B">
        <w:rPr>
          <w:rtl/>
        </w:rPr>
        <w:t>.</w:t>
      </w:r>
      <w:r>
        <w:rPr>
          <w:rFonts w:ascii="David" w:eastAsia="David" w:hAnsi="David" w:hint="cs"/>
          <w:rtl/>
        </w:rPr>
        <w:t xml:space="preserve"> </w:t>
      </w:r>
      <w:r w:rsidRPr="0088562F">
        <w:rPr>
          <w:rFonts w:ascii="David" w:eastAsia="David" w:hAnsi="David"/>
          <w:rtl/>
        </w:rPr>
        <w:t xml:space="preserve">עם זאת, לבית המשפט סמכות לחרוג לכף קולה ממתחם העונש ההולם, משיקולי שיקום, בהתאם להוראות </w:t>
      </w:r>
      <w:hyperlink r:id="rId28" w:history="1">
        <w:r w:rsidR="005823E7" w:rsidRPr="005823E7">
          <w:rPr>
            <w:rStyle w:val="Hyperlink"/>
            <w:rFonts w:ascii="David" w:eastAsia="David" w:hAnsi="David"/>
            <w:rtl/>
          </w:rPr>
          <w:t>סעיף 40ד</w:t>
        </w:r>
      </w:hyperlink>
      <w:r w:rsidRPr="0088562F">
        <w:rPr>
          <w:rFonts w:ascii="David" w:eastAsia="David" w:hAnsi="David"/>
          <w:rtl/>
        </w:rPr>
        <w:t xml:space="preserve"> ל</w:t>
      </w:r>
      <w:hyperlink r:id="rId29" w:history="1">
        <w:r w:rsidR="007876AF" w:rsidRPr="007876AF">
          <w:rPr>
            <w:rFonts w:ascii="David" w:eastAsia="David" w:hAnsi="David"/>
            <w:color w:val="0000FF"/>
            <w:u w:val="single"/>
            <w:rtl/>
          </w:rPr>
          <w:t>חוק העונשין</w:t>
        </w:r>
      </w:hyperlink>
      <w:r w:rsidRPr="0088562F">
        <w:rPr>
          <w:rFonts w:ascii="David" w:eastAsia="David" w:hAnsi="David"/>
          <w:rtl/>
        </w:rPr>
        <w:t xml:space="preserve">. לפי הוראות סעיף זה, אם מצא בית המשפט כי הנאשם השתקם או כי יש סיכוי של ממש שישתקם, הוא רשאי לחרוג לקולה ממתחם העונש ההולם ולקבוע את </w:t>
      </w:r>
      <w:r>
        <w:rPr>
          <w:rFonts w:ascii="David" w:eastAsia="David" w:hAnsi="David"/>
          <w:rtl/>
        </w:rPr>
        <w:t>עונשו של הנאשם לפי שיקולי שיקומ</w:t>
      </w:r>
      <w:r>
        <w:rPr>
          <w:rFonts w:ascii="David" w:eastAsia="David" w:hAnsi="David" w:hint="cs"/>
          <w:rtl/>
        </w:rPr>
        <w:t>ו.</w:t>
      </w:r>
    </w:p>
    <w:p w14:paraId="203F2C6B" w14:textId="77777777" w:rsidR="00F5321D" w:rsidRPr="00FB5726" w:rsidRDefault="00F5321D" w:rsidP="00F5321D">
      <w:pPr>
        <w:numPr>
          <w:ilvl w:val="0"/>
          <w:numId w:val="1"/>
        </w:numPr>
        <w:tabs>
          <w:tab w:val="num" w:pos="720"/>
        </w:tabs>
        <w:spacing w:after="120" w:line="360" w:lineRule="auto"/>
        <w:ind w:left="720"/>
        <w:jc w:val="both"/>
        <w:rPr>
          <w:rFonts w:ascii="David" w:eastAsia="David" w:hAnsi="David"/>
        </w:rPr>
      </w:pPr>
      <w:r w:rsidRPr="008C6F6B">
        <w:rPr>
          <w:rtl/>
        </w:rPr>
        <w:t xml:space="preserve">בענייננו מדובר בנאשם </w:t>
      </w:r>
      <w:r>
        <w:rPr>
          <w:rFonts w:hint="cs"/>
          <w:rtl/>
        </w:rPr>
        <w:t>כבן 30 שנה, ללא כל ע</w:t>
      </w:r>
      <w:r w:rsidRPr="008C6F6B">
        <w:rPr>
          <w:rtl/>
        </w:rPr>
        <w:t xml:space="preserve">בר פלילי, </w:t>
      </w:r>
      <w:r>
        <w:rPr>
          <w:rFonts w:hint="cs"/>
          <w:rtl/>
        </w:rPr>
        <w:t xml:space="preserve">שמעד באופן חד פעמי בשמשו כשליח לסחר בעסקת סמים (מסוג קנבוס) בהיקף קטן יחסית. בנוסף, במשך התקופה של כמעט שלוש שנים, שחלפה מאז ביצוע העבירות, לא שב הנאשם </w:t>
      </w:r>
      <w:r w:rsidRPr="008C6F6B">
        <w:rPr>
          <w:rtl/>
        </w:rPr>
        <w:t>והסתבך בפלילים</w:t>
      </w:r>
      <w:r>
        <w:rPr>
          <w:rFonts w:hint="cs"/>
          <w:rtl/>
        </w:rPr>
        <w:t>. הנאשם אף שולב בהליכים טיפוליים והתסקירים שהתקבלו בעניינו הם חיוביים מאוד.</w:t>
      </w:r>
    </w:p>
    <w:p w14:paraId="3297BF04" w14:textId="77777777" w:rsidR="00F5321D" w:rsidRPr="00D82F33" w:rsidRDefault="00F5321D" w:rsidP="00F5321D">
      <w:pPr>
        <w:numPr>
          <w:ilvl w:val="0"/>
          <w:numId w:val="1"/>
        </w:numPr>
        <w:tabs>
          <w:tab w:val="num" w:pos="720"/>
        </w:tabs>
        <w:spacing w:after="120" w:line="360" w:lineRule="auto"/>
        <w:ind w:left="720"/>
        <w:jc w:val="both"/>
        <w:rPr>
          <w:rFonts w:ascii="David" w:eastAsia="David" w:hAnsi="David"/>
        </w:rPr>
      </w:pPr>
      <w:r>
        <w:rPr>
          <w:rFonts w:hint="cs"/>
          <w:rtl/>
        </w:rPr>
        <w:t xml:space="preserve">יוטעם, כי הנאשם נטל אחריות על מעשיו בשלב מוקדם של ההליך המשפטי, הפנים את חומרתם וכאמור לא שב וביצע עבירות נוספות. נסיבות אלה מלמדות כי במקרה זה אכן ראוי, כעתירת ההגנה, </w:t>
      </w:r>
      <w:r w:rsidRPr="008C6F6B">
        <w:rPr>
          <w:rtl/>
        </w:rPr>
        <w:t xml:space="preserve">לחרוג לכף קולה ממתחם העונש ההולם </w:t>
      </w:r>
      <w:r>
        <w:rPr>
          <w:rFonts w:hint="cs"/>
          <w:rtl/>
        </w:rPr>
        <w:t>ולגזור את עונשו של הנאשם לפי שיקולי שיקומו.</w:t>
      </w:r>
    </w:p>
    <w:p w14:paraId="0287D47F" w14:textId="77777777" w:rsidR="00F5321D" w:rsidRPr="00731B4B" w:rsidRDefault="00F5321D" w:rsidP="00F5321D">
      <w:pPr>
        <w:numPr>
          <w:ilvl w:val="0"/>
          <w:numId w:val="1"/>
        </w:numPr>
        <w:tabs>
          <w:tab w:val="num" w:pos="720"/>
        </w:tabs>
        <w:spacing w:after="120" w:line="360" w:lineRule="auto"/>
        <w:ind w:left="720"/>
        <w:jc w:val="both"/>
        <w:rPr>
          <w:rFonts w:ascii="David" w:eastAsia="David" w:hAnsi="David"/>
        </w:rPr>
      </w:pPr>
      <w:r w:rsidRPr="0042596E">
        <w:rPr>
          <w:rtl/>
        </w:rPr>
        <w:t>עוד יש להתייחס</w:t>
      </w:r>
      <w:r w:rsidR="007876AF">
        <w:rPr>
          <w:rtl/>
        </w:rPr>
        <w:t xml:space="preserve"> </w:t>
      </w:r>
      <w:r w:rsidRPr="0042596E">
        <w:rPr>
          <w:rtl/>
        </w:rPr>
        <w:t>לעתירת ב"כ המאשימה להכריז על הנאשם כסוחר סמים. לכאורה, נוכח מהות העבירות בהן הורשע הנאשם היה מקום לקבל עתירה זו. ואולם, העתירה לא הוצגה ולא נטענה עובר למתן הכרעת הדין, דהיינו בשלב הדיוני</w:t>
      </w:r>
      <w:r w:rsidRPr="00D82F33">
        <w:rPr>
          <w:rFonts w:ascii="David" w:eastAsia="David" w:hAnsi="David" w:hint="cs"/>
          <w:rtl/>
        </w:rPr>
        <w:t xml:space="preserve"> </w:t>
      </w:r>
      <w:r w:rsidRPr="0042596E">
        <w:rPr>
          <w:rtl/>
        </w:rPr>
        <w:t>המתאים.</w:t>
      </w:r>
      <w:r>
        <w:rPr>
          <w:rFonts w:hint="cs"/>
          <w:rtl/>
        </w:rPr>
        <w:t xml:space="preserve"> </w:t>
      </w:r>
      <w:r w:rsidRPr="0042596E">
        <w:rPr>
          <w:rtl/>
        </w:rPr>
        <w:t xml:space="preserve">בנסיבות אלה איני מוצא מקום להיעתר לבקשה בשלב זה, בפרט כאשר החילוט </w:t>
      </w:r>
      <w:r>
        <w:rPr>
          <w:rFonts w:hint="cs"/>
          <w:rtl/>
        </w:rPr>
        <w:t>המתבקש אינו נדרש לכך, באשר מדובר באמצעים ששימשו לצורך ביצוע העבירות.</w:t>
      </w:r>
    </w:p>
    <w:p w14:paraId="2FEFD006" w14:textId="77777777" w:rsidR="00F5321D" w:rsidRDefault="00F5321D" w:rsidP="00F5321D">
      <w:pPr>
        <w:numPr>
          <w:ilvl w:val="0"/>
          <w:numId w:val="1"/>
        </w:numPr>
        <w:tabs>
          <w:tab w:val="num" w:pos="720"/>
        </w:tabs>
        <w:spacing w:after="120" w:line="360" w:lineRule="auto"/>
        <w:ind w:left="720"/>
        <w:jc w:val="both"/>
        <w:rPr>
          <w:rFonts w:ascii="David" w:eastAsia="David" w:hAnsi="David"/>
        </w:rPr>
      </w:pPr>
      <w:r w:rsidRPr="008C6F6B">
        <w:rPr>
          <w:rtl/>
        </w:rPr>
        <w:t>אשר על כן – ובהתחשב בשיקולים לכף חומרה ולכף קולה, אשר פורטו לעיל – אני מחליט לחרוג ממתחם העונש ההולם, משיקולי שיקום, ולגזור על הנאשם את העונשים הבאים</w:t>
      </w:r>
      <w:r>
        <w:rPr>
          <w:rFonts w:ascii="David" w:eastAsia="David" w:hAnsi="David" w:hint="cs"/>
          <w:rtl/>
        </w:rPr>
        <w:t>:</w:t>
      </w:r>
    </w:p>
    <w:p w14:paraId="1E0C3F64" w14:textId="77777777" w:rsidR="00F5321D" w:rsidRDefault="00F5321D" w:rsidP="00F5321D">
      <w:pPr>
        <w:spacing w:after="120" w:line="360" w:lineRule="auto"/>
        <w:ind w:left="1440" w:hanging="720"/>
        <w:jc w:val="both"/>
        <w:rPr>
          <w:rFonts w:ascii="Tahoma" w:hAnsi="Tahoma"/>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30" w:history="1">
        <w:r w:rsidR="007876AF" w:rsidRPr="007876AF">
          <w:rPr>
            <w:color w:val="0000FF"/>
            <w:u w:val="single"/>
            <w:rtl/>
          </w:rPr>
          <w:t>פקודת הסמים המסוכנים</w:t>
        </w:r>
      </w:hyperlink>
      <w:r>
        <w:rPr>
          <w:rFonts w:hint="cs"/>
          <w:rtl/>
        </w:rPr>
        <w:t xml:space="preserve"> מסוג פשע.</w:t>
      </w:r>
    </w:p>
    <w:p w14:paraId="56E89533" w14:textId="77777777" w:rsidR="00F5321D" w:rsidRPr="00E0628E" w:rsidRDefault="00F5321D" w:rsidP="00F5321D">
      <w:pPr>
        <w:spacing w:after="120" w:line="360" w:lineRule="auto"/>
        <w:ind w:left="720"/>
        <w:jc w:val="both"/>
        <w:rPr>
          <w:rFonts w:ascii="Tahoma" w:hAnsi="Tahoma"/>
        </w:rPr>
      </w:pPr>
      <w:r>
        <w:rPr>
          <w:rFonts w:hint="cs"/>
          <w:rtl/>
        </w:rPr>
        <w:t>(ב)</w:t>
      </w:r>
      <w:r>
        <w:rPr>
          <w:rtl/>
        </w:rPr>
        <w:tab/>
      </w:r>
      <w:r>
        <w:rPr>
          <w:rFonts w:hint="cs"/>
          <w:rtl/>
        </w:rPr>
        <w:t>קנס בסך של 2,000 ₪, או 8 ימי מאסר תמורתו.</w:t>
      </w:r>
    </w:p>
    <w:p w14:paraId="33B0B65F" w14:textId="77777777" w:rsidR="00F5321D" w:rsidRDefault="00F5321D" w:rsidP="00F5321D">
      <w:pPr>
        <w:spacing w:after="120" w:line="360" w:lineRule="auto"/>
        <w:ind w:left="1440"/>
        <w:jc w:val="both"/>
        <w:rPr>
          <w:rFonts w:ascii="Tahoma" w:hAnsi="Tahoma"/>
        </w:rPr>
      </w:pPr>
      <w:r>
        <w:rPr>
          <w:rFonts w:hint="cs"/>
          <w:rtl/>
        </w:rPr>
        <w:t>הקנס ישולם ב-4 תשלומים חודשיים, שווים ורצופים, החל מיום 01.05.22 ובכל אחד בחודש שלאחריו. היה והנאשם לא ישלם את אחד התשלומים במועד תועמד כל יתרת הקנס לפירעון מידי.</w:t>
      </w:r>
    </w:p>
    <w:p w14:paraId="1D51231F" w14:textId="77777777" w:rsidR="00F5321D" w:rsidRPr="009E2A50" w:rsidRDefault="00F5321D" w:rsidP="00F5321D">
      <w:pPr>
        <w:spacing w:after="120" w:line="360" w:lineRule="auto"/>
        <w:ind w:left="1440" w:hanging="720"/>
        <w:jc w:val="both"/>
        <w:rPr>
          <w:rFonts w:ascii="Tahoma" w:hAnsi="Tahoma"/>
          <w:rtl/>
        </w:rPr>
      </w:pPr>
      <w:r w:rsidRPr="00F5321D">
        <w:rPr>
          <w:rFonts w:ascii="Calibri" w:hAnsi="Calibri" w:hint="cs"/>
          <w:rtl/>
        </w:rPr>
        <w:t>(ג)</w:t>
      </w:r>
      <w:r w:rsidRPr="00F5321D">
        <w:rPr>
          <w:rFonts w:ascii="Calibri" w:hAnsi="Calibri"/>
          <w:rtl/>
        </w:rPr>
        <w:tab/>
        <w:t xml:space="preserve">שירות לתועלת הציבור בהיקף של </w:t>
      </w:r>
      <w:r w:rsidRPr="00F5321D">
        <w:rPr>
          <w:rFonts w:ascii="Calibri" w:hAnsi="Calibri" w:hint="cs"/>
          <w:rtl/>
        </w:rPr>
        <w:t>250</w:t>
      </w:r>
      <w:r w:rsidRPr="00F5321D">
        <w:rPr>
          <w:rFonts w:ascii="Calibri" w:hAnsi="Calibri"/>
          <w:rtl/>
        </w:rPr>
        <w:t xml:space="preserve"> שעות. השירות יבוצע, בהתאם</w:t>
      </w:r>
      <w:r w:rsidRPr="00F5321D">
        <w:rPr>
          <w:rFonts w:ascii="Calibri" w:hAnsi="Calibri" w:hint="cs"/>
          <w:rtl/>
        </w:rPr>
        <w:t xml:space="preserve"> </w:t>
      </w:r>
      <w:r w:rsidRPr="00F5321D">
        <w:rPr>
          <w:rFonts w:ascii="Calibri" w:hAnsi="Calibri"/>
          <w:rtl/>
        </w:rPr>
        <w:t>לתכנית שג</w:t>
      </w:r>
      <w:r w:rsidRPr="00F5321D">
        <w:rPr>
          <w:rFonts w:ascii="Calibri" w:hAnsi="Calibri" w:hint="cs"/>
          <w:rtl/>
        </w:rPr>
        <w:t>י</w:t>
      </w:r>
      <w:r w:rsidRPr="00F5321D">
        <w:rPr>
          <w:rFonts w:ascii="Calibri" w:hAnsi="Calibri"/>
          <w:rtl/>
        </w:rPr>
        <w:t>בש שירות המבחן</w:t>
      </w:r>
      <w:r w:rsidRPr="00F5321D">
        <w:rPr>
          <w:rFonts w:ascii="Calibri" w:hAnsi="Calibri" w:hint="cs"/>
          <w:rtl/>
        </w:rPr>
        <w:t xml:space="preserve">, החל במועד שייקבע שירות המבחן </w:t>
      </w:r>
      <w:r w:rsidRPr="00F5321D">
        <w:rPr>
          <w:rFonts w:ascii="Calibri" w:hAnsi="Calibri"/>
          <w:rtl/>
        </w:rPr>
        <w:t>ב</w:t>
      </w:r>
      <w:r w:rsidRPr="00F5321D">
        <w:rPr>
          <w:rFonts w:ascii="Calibri" w:hAnsi="Calibri" w:hint="cs"/>
          <w:rtl/>
        </w:rPr>
        <w:t>הקדם האפשרי.</w:t>
      </w:r>
    </w:p>
    <w:p w14:paraId="4CBD101D" w14:textId="77777777" w:rsidR="00F5321D" w:rsidRPr="00F5321D" w:rsidRDefault="00F5321D" w:rsidP="00F5321D">
      <w:pPr>
        <w:spacing w:after="120" w:line="360" w:lineRule="auto"/>
        <w:ind w:left="1440"/>
        <w:jc w:val="both"/>
        <w:rPr>
          <w:rFonts w:ascii="Calibri" w:hAnsi="Calibri"/>
          <w:rtl/>
        </w:rPr>
      </w:pPr>
      <w:r w:rsidRPr="00F5321D">
        <w:rPr>
          <w:rFonts w:ascii="Calibri" w:hAnsi="Calibri"/>
          <w:rtl/>
        </w:rPr>
        <w:t xml:space="preserve">מובהר בזה לנאשם כי אם הוא לא ימלא אחר </w:t>
      </w:r>
      <w:r w:rsidRPr="00F5321D">
        <w:rPr>
          <w:rFonts w:ascii="Calibri" w:hAnsi="Calibri" w:hint="cs"/>
          <w:rtl/>
        </w:rPr>
        <w:t xml:space="preserve">הוראות </w:t>
      </w:r>
      <w:r w:rsidRPr="00F5321D">
        <w:rPr>
          <w:rFonts w:ascii="Calibri" w:hAnsi="Calibri"/>
          <w:rtl/>
        </w:rPr>
        <w:t>צו השירות יהא בית המשפט רשאי</w:t>
      </w:r>
      <w:r w:rsidRPr="00F5321D">
        <w:rPr>
          <w:rFonts w:ascii="Calibri" w:hAnsi="Calibri" w:hint="cs"/>
          <w:rtl/>
        </w:rPr>
        <w:t xml:space="preserve"> </w:t>
      </w:r>
      <w:r w:rsidRPr="00F5321D">
        <w:rPr>
          <w:rFonts w:ascii="Calibri" w:hAnsi="Calibri"/>
          <w:rtl/>
        </w:rPr>
        <w:t>לבטל את צו השירות ולהטיל עליו, במקו</w:t>
      </w:r>
      <w:r w:rsidRPr="00F5321D">
        <w:rPr>
          <w:rFonts w:ascii="Calibri" w:hAnsi="Calibri" w:hint="cs"/>
          <w:rtl/>
        </w:rPr>
        <w:t>ם צו השירות</w:t>
      </w:r>
      <w:r w:rsidRPr="00F5321D">
        <w:rPr>
          <w:rFonts w:ascii="Calibri" w:hAnsi="Calibri"/>
          <w:rtl/>
        </w:rPr>
        <w:t>, עונש נוסף.</w:t>
      </w:r>
    </w:p>
    <w:p w14:paraId="0C1FF6B0" w14:textId="77777777" w:rsidR="00F5321D" w:rsidRPr="00F5321D" w:rsidRDefault="00F5321D" w:rsidP="00F5321D">
      <w:pPr>
        <w:spacing w:after="120" w:line="360" w:lineRule="auto"/>
        <w:ind w:left="1440" w:hanging="720"/>
        <w:jc w:val="both"/>
        <w:rPr>
          <w:rFonts w:ascii="Calibri" w:hAnsi="Calibri"/>
          <w:rtl/>
        </w:rPr>
      </w:pPr>
      <w:r w:rsidRPr="00F5321D">
        <w:rPr>
          <w:rFonts w:ascii="Calibri" w:hAnsi="Calibri" w:hint="cs"/>
          <w:rtl/>
        </w:rPr>
        <w:t>(ד)</w:t>
      </w:r>
      <w:r w:rsidRPr="00F5321D">
        <w:rPr>
          <w:rFonts w:ascii="Calibri" w:hAnsi="Calibri"/>
          <w:rtl/>
        </w:rPr>
        <w:tab/>
      </w:r>
      <w:r w:rsidRPr="00F5321D">
        <w:rPr>
          <w:rFonts w:ascii="Calibri" w:hAnsi="Calibri" w:hint="cs"/>
          <w:rtl/>
        </w:rPr>
        <w:t>צו מבחן, לתקופה של 12 חודשים מהיום.</w:t>
      </w:r>
    </w:p>
    <w:p w14:paraId="414782B9" w14:textId="77777777" w:rsidR="00F5321D" w:rsidRPr="00F5321D" w:rsidRDefault="00F5321D" w:rsidP="00F5321D">
      <w:pPr>
        <w:spacing w:after="120" w:line="360" w:lineRule="auto"/>
        <w:ind w:left="1440"/>
        <w:jc w:val="both"/>
        <w:rPr>
          <w:rFonts w:ascii="Calibri" w:hAnsi="Calibri"/>
          <w:rtl/>
        </w:rPr>
      </w:pPr>
      <w:r w:rsidRPr="00F5321D">
        <w:rPr>
          <w:rFonts w:ascii="Calibri" w:hAnsi="Calibri"/>
          <w:rtl/>
        </w:rPr>
        <w:t xml:space="preserve">מובהר בזה לנאשם כי אם הוא לא ימלא אחר </w:t>
      </w:r>
      <w:r w:rsidRPr="00F5321D">
        <w:rPr>
          <w:rFonts w:ascii="Calibri" w:hAnsi="Calibri" w:hint="cs"/>
          <w:rtl/>
        </w:rPr>
        <w:t xml:space="preserve">הוראות </w:t>
      </w:r>
      <w:r w:rsidRPr="00F5321D">
        <w:rPr>
          <w:rFonts w:ascii="Calibri" w:hAnsi="Calibri"/>
          <w:rtl/>
        </w:rPr>
        <w:t>צו ה</w:t>
      </w:r>
      <w:r w:rsidRPr="00F5321D">
        <w:rPr>
          <w:rFonts w:ascii="Calibri" w:hAnsi="Calibri" w:hint="cs"/>
          <w:rtl/>
        </w:rPr>
        <w:t xml:space="preserve">מבחן ולא ישתף פעולה עם קצין המבחן, </w:t>
      </w:r>
      <w:r w:rsidRPr="00F5321D">
        <w:rPr>
          <w:rFonts w:ascii="Calibri" w:hAnsi="Calibri"/>
          <w:rtl/>
        </w:rPr>
        <w:t>יהא בית המשפט רשאי</w:t>
      </w:r>
      <w:r w:rsidRPr="00F5321D">
        <w:rPr>
          <w:rFonts w:ascii="Calibri" w:hAnsi="Calibri" w:hint="cs"/>
          <w:rtl/>
        </w:rPr>
        <w:t xml:space="preserve"> </w:t>
      </w:r>
      <w:r w:rsidRPr="00F5321D">
        <w:rPr>
          <w:rFonts w:ascii="Calibri" w:hAnsi="Calibri"/>
          <w:rtl/>
        </w:rPr>
        <w:t>לבטל את צו ה</w:t>
      </w:r>
      <w:r w:rsidRPr="00F5321D">
        <w:rPr>
          <w:rFonts w:ascii="Calibri" w:hAnsi="Calibri" w:hint="cs"/>
          <w:rtl/>
        </w:rPr>
        <w:t>מבחן ולגזור עליו, במקום צו המבחן, עונש נוסף.</w:t>
      </w:r>
    </w:p>
    <w:p w14:paraId="6F6EC34E" w14:textId="77777777" w:rsidR="00F5321D" w:rsidRPr="00F5321D" w:rsidRDefault="00F5321D" w:rsidP="00F5321D">
      <w:pPr>
        <w:spacing w:after="120" w:line="360" w:lineRule="auto"/>
        <w:ind w:left="1440" w:hanging="720"/>
        <w:jc w:val="both"/>
        <w:rPr>
          <w:rFonts w:ascii="Calibri" w:hAnsi="Calibri"/>
          <w:rtl/>
        </w:rPr>
      </w:pPr>
      <w:r w:rsidRPr="00F5321D">
        <w:rPr>
          <w:rFonts w:ascii="Calibri" w:hAnsi="Calibri" w:hint="cs"/>
          <w:rtl/>
        </w:rPr>
        <w:t>(ה)</w:t>
      </w:r>
      <w:r w:rsidRPr="00F5321D">
        <w:rPr>
          <w:rFonts w:ascii="Calibri" w:hAnsi="Calibri"/>
          <w:rtl/>
        </w:rPr>
        <w:tab/>
      </w:r>
      <w:r w:rsidRPr="00F5321D">
        <w:rPr>
          <w:rFonts w:ascii="Calibri" w:hAnsi="Calibri" w:hint="cs"/>
          <w:rtl/>
        </w:rPr>
        <w:t>חילוט הסכום במזומן, בסך 550 ₪, והקטנוע, שנתפסו ברשות הנאשם, בהתאם לפרטים המצוינים בבקשה שבסיפא לכתב האישום המתוקן.</w:t>
      </w:r>
    </w:p>
    <w:p w14:paraId="074767D9" w14:textId="77777777" w:rsidR="00F5321D" w:rsidRDefault="00F5321D" w:rsidP="00F5321D">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לטובת 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5967A182" w14:textId="77777777" w:rsidR="00F5321D" w:rsidRDefault="00F5321D" w:rsidP="00F5321D">
      <w:pPr>
        <w:spacing w:after="120" w:line="360" w:lineRule="auto"/>
        <w:jc w:val="both"/>
        <w:rPr>
          <w:rtl/>
        </w:rPr>
      </w:pPr>
      <w:r>
        <w:rPr>
          <w:rFonts w:hint="cs"/>
          <w:rtl/>
        </w:rPr>
        <w:t>ניתן בזה צו כללי, לעניין מוצגים, לשיקול דעתו של קצין משטרה. הסמים יושמדו.</w:t>
      </w:r>
    </w:p>
    <w:p w14:paraId="77ABE279" w14:textId="77777777" w:rsidR="00F5321D" w:rsidRDefault="00F5321D" w:rsidP="00F5321D">
      <w:pPr>
        <w:snapToGrid w:val="0"/>
        <w:spacing w:after="120" w:line="360" w:lineRule="auto"/>
        <w:jc w:val="both"/>
        <w:rPr>
          <w:rtl/>
        </w:rPr>
      </w:pPr>
      <w:r>
        <w:rPr>
          <w:rFonts w:hint="cs"/>
          <w:rtl/>
        </w:rPr>
        <w:t>זכות ערעור בתוך 45 יום מהיום.</w:t>
      </w:r>
    </w:p>
    <w:p w14:paraId="181C2B87" w14:textId="77777777" w:rsidR="00F5321D" w:rsidRPr="00761D70" w:rsidRDefault="007876AF" w:rsidP="00F5321D">
      <w:pPr>
        <w:spacing w:after="120" w:line="360" w:lineRule="auto"/>
        <w:jc w:val="both"/>
        <w:rPr>
          <w:rFonts w:ascii="Tahoma" w:hAnsi="Tahoma"/>
          <w:rtl/>
        </w:rPr>
      </w:pPr>
      <w:r w:rsidRPr="007876AF">
        <w:rPr>
          <w:color w:val="FFFFFF"/>
          <w:sz w:val="2"/>
          <w:szCs w:val="2"/>
          <w:rtl/>
        </w:rPr>
        <w:t>5129371</w:t>
      </w:r>
      <w:r w:rsidR="00F5321D">
        <w:rPr>
          <w:rFonts w:hint="cs"/>
          <w:rtl/>
        </w:rPr>
        <w:t>המזכירות תמציא העתק גזר דין זה לשירות המבחן.</w:t>
      </w:r>
    </w:p>
    <w:p w14:paraId="0BBE9F5B" w14:textId="77777777" w:rsidR="00F5321D" w:rsidRPr="00250B83" w:rsidRDefault="007876AF" w:rsidP="00F5321D">
      <w:pPr>
        <w:rPr>
          <w:rtl/>
        </w:rPr>
      </w:pPr>
      <w:bookmarkStart w:id="8" w:name="Nitan"/>
      <w:r w:rsidRPr="007876AF">
        <w:rPr>
          <w:rFonts w:ascii="Arial" w:hAnsi="Arial"/>
          <w:color w:val="FFFFFF"/>
          <w:sz w:val="2"/>
          <w:szCs w:val="2"/>
          <w:rtl/>
        </w:rPr>
        <w:t>54678313</w:t>
      </w:r>
      <w:r>
        <w:rPr>
          <w:rFonts w:ascii="Arial" w:hAnsi="Arial"/>
          <w:rtl/>
        </w:rPr>
        <w:t xml:space="preserve">ניתן היום,  כ"ד אדר ב' תשפ"ב, 27 מרץ 2022, במעמד הצדדים. </w:t>
      </w:r>
      <w:bookmarkEnd w:id="8"/>
    </w:p>
    <w:p w14:paraId="2AF41A36" w14:textId="77777777" w:rsidR="00F5321D" w:rsidRPr="00250B83" w:rsidRDefault="00F5321D" w:rsidP="007876A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19E4D46" w14:textId="77777777" w:rsidR="00F5321D" w:rsidRPr="00250B83" w:rsidRDefault="00F5321D" w:rsidP="00F5321D">
      <w:pPr>
        <w:jc w:val="center"/>
        <w:rPr>
          <w:rFonts w:ascii="Arial" w:hAnsi="Arial"/>
          <w:rtl/>
        </w:rPr>
      </w:pPr>
    </w:p>
    <w:p w14:paraId="61077774" w14:textId="77777777" w:rsidR="00F5321D" w:rsidRPr="00250B83" w:rsidRDefault="00F5321D" w:rsidP="00F5321D">
      <w:pPr>
        <w:rPr>
          <w:rtl/>
        </w:rPr>
      </w:pPr>
    </w:p>
    <w:p w14:paraId="767E953F" w14:textId="77777777" w:rsidR="00F5321D" w:rsidRDefault="00F5321D" w:rsidP="00F5321D">
      <w:pPr>
        <w:pStyle w:val="a3"/>
        <w:jc w:val="center"/>
        <w:rPr>
          <w:rtl/>
        </w:rPr>
      </w:pPr>
    </w:p>
    <w:p w14:paraId="7130989B" w14:textId="77777777" w:rsidR="00584863" w:rsidRPr="007876AF" w:rsidRDefault="00584863" w:rsidP="007876AF">
      <w:pPr>
        <w:keepNext/>
        <w:rPr>
          <w:rFonts w:ascii="David" w:hAnsi="David"/>
          <w:color w:val="000000"/>
          <w:sz w:val="22"/>
          <w:szCs w:val="22"/>
          <w:rtl/>
        </w:rPr>
      </w:pPr>
    </w:p>
    <w:p w14:paraId="705B62EC" w14:textId="77777777" w:rsidR="007876AF" w:rsidRPr="007876AF" w:rsidRDefault="007876AF" w:rsidP="007876AF">
      <w:pPr>
        <w:keepNext/>
        <w:rPr>
          <w:rFonts w:ascii="David" w:hAnsi="David"/>
          <w:color w:val="000000"/>
          <w:sz w:val="22"/>
          <w:szCs w:val="22"/>
          <w:rtl/>
        </w:rPr>
      </w:pPr>
      <w:r w:rsidRPr="007876AF">
        <w:rPr>
          <w:rFonts w:ascii="David" w:hAnsi="David"/>
          <w:color w:val="000000"/>
          <w:sz w:val="22"/>
          <w:szCs w:val="22"/>
          <w:rtl/>
        </w:rPr>
        <w:t>שאול אבינור 54678313</w:t>
      </w:r>
    </w:p>
    <w:p w14:paraId="7CEEF83C" w14:textId="77777777" w:rsidR="007876AF" w:rsidRDefault="007876AF" w:rsidP="007876AF">
      <w:r w:rsidRPr="007876AF">
        <w:rPr>
          <w:color w:val="000000"/>
          <w:rtl/>
        </w:rPr>
        <w:t>נוסח מסמך זה כפוף לשינויי ניסוח ועריכה</w:t>
      </w:r>
    </w:p>
    <w:p w14:paraId="76B6036A" w14:textId="77777777" w:rsidR="007876AF" w:rsidRDefault="007876AF" w:rsidP="007876AF">
      <w:pPr>
        <w:rPr>
          <w:rtl/>
        </w:rPr>
      </w:pPr>
    </w:p>
    <w:p w14:paraId="3FADEFD2" w14:textId="77777777" w:rsidR="007876AF" w:rsidRDefault="007876AF" w:rsidP="007876A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ED61DF0" w14:textId="77777777" w:rsidR="007876AF" w:rsidRPr="007876AF" w:rsidRDefault="007876AF" w:rsidP="007876AF">
      <w:pPr>
        <w:jc w:val="center"/>
        <w:rPr>
          <w:color w:val="0000FF"/>
          <w:u w:val="single"/>
        </w:rPr>
      </w:pPr>
    </w:p>
    <w:sectPr w:rsidR="007876AF" w:rsidRPr="007876AF" w:rsidSect="007876AF">
      <w:headerReference w:type="even" r:id="rId32"/>
      <w:headerReference w:type="default" r:id="rId33"/>
      <w:footerReference w:type="even" r:id="rId34"/>
      <w:footerReference w:type="default" r:id="rId3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469A5" w14:textId="77777777" w:rsidR="00074CDF" w:rsidRDefault="00074CDF" w:rsidP="00B62FE6">
      <w:r>
        <w:separator/>
      </w:r>
    </w:p>
  </w:endnote>
  <w:endnote w:type="continuationSeparator" w:id="0">
    <w:p w14:paraId="36AEC996" w14:textId="77777777" w:rsidR="00074CDF" w:rsidRDefault="00074CDF" w:rsidP="00B6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0DD2E" w14:textId="77777777" w:rsidR="007876AF" w:rsidRDefault="007876AF" w:rsidP="00787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B21F9A" w14:textId="77777777" w:rsidR="006674AB" w:rsidRPr="007876AF" w:rsidRDefault="007876AF" w:rsidP="007876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D5A7B" w14:textId="77777777" w:rsidR="007876AF" w:rsidRDefault="007876AF" w:rsidP="00787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46B0">
      <w:rPr>
        <w:rFonts w:ascii="FrankRuehl" w:hAnsi="FrankRuehl" w:cs="FrankRuehl"/>
        <w:noProof/>
        <w:rtl/>
      </w:rPr>
      <w:t>1</w:t>
    </w:r>
    <w:r>
      <w:rPr>
        <w:rFonts w:ascii="FrankRuehl" w:hAnsi="FrankRuehl" w:cs="FrankRuehl"/>
        <w:rtl/>
      </w:rPr>
      <w:fldChar w:fldCharType="end"/>
    </w:r>
  </w:p>
  <w:p w14:paraId="22751A72" w14:textId="77777777" w:rsidR="006674AB" w:rsidRPr="007876AF" w:rsidRDefault="007876AF" w:rsidP="007876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E4B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85B49" w14:textId="77777777" w:rsidR="00074CDF" w:rsidRDefault="00074CDF" w:rsidP="00B62FE6">
      <w:r>
        <w:separator/>
      </w:r>
    </w:p>
  </w:footnote>
  <w:footnote w:type="continuationSeparator" w:id="0">
    <w:p w14:paraId="36682237" w14:textId="77777777" w:rsidR="00074CDF" w:rsidRDefault="00074CDF" w:rsidP="00B62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D77C9" w14:textId="77777777" w:rsidR="007876AF" w:rsidRPr="007876AF" w:rsidRDefault="007876AF" w:rsidP="00787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3603-12-19</w:t>
    </w:r>
    <w:r>
      <w:rPr>
        <w:rFonts w:ascii="David" w:hAnsi="David"/>
        <w:color w:val="000000"/>
        <w:sz w:val="22"/>
        <w:szCs w:val="22"/>
        <w:rtl/>
      </w:rPr>
      <w:tab/>
      <w:t xml:space="preserve"> מדינת ישראל נ' בראל שוורצברג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0E4B6" w14:textId="77777777" w:rsidR="007876AF" w:rsidRPr="007876AF" w:rsidRDefault="007876AF" w:rsidP="00787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3603-12-19</w:t>
    </w:r>
    <w:r>
      <w:rPr>
        <w:rFonts w:ascii="David" w:hAnsi="David"/>
        <w:color w:val="000000"/>
        <w:sz w:val="22"/>
        <w:szCs w:val="22"/>
        <w:rtl/>
      </w:rPr>
      <w:tab/>
      <w:t xml:space="preserve"> מדינת ישראל נ' בראל שוורצברג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201EA656"/>
    <w:lvl w:ilvl="0" w:tplc="CFEC50C6">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89278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21D"/>
    <w:rsid w:val="00074CDF"/>
    <w:rsid w:val="00130677"/>
    <w:rsid w:val="001546B0"/>
    <w:rsid w:val="002367A0"/>
    <w:rsid w:val="003C7066"/>
    <w:rsid w:val="004956F1"/>
    <w:rsid w:val="005823E7"/>
    <w:rsid w:val="00584863"/>
    <w:rsid w:val="006674AB"/>
    <w:rsid w:val="006A2383"/>
    <w:rsid w:val="006E2636"/>
    <w:rsid w:val="007876AF"/>
    <w:rsid w:val="009A4E4C"/>
    <w:rsid w:val="00B62FE6"/>
    <w:rsid w:val="00D100F5"/>
    <w:rsid w:val="00F532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3A44C8"/>
  <w15:chartTrackingRefBased/>
  <w15:docId w15:val="{69CB7ED1-5735-4F2E-937E-EA990B3F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2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321D"/>
    <w:pPr>
      <w:tabs>
        <w:tab w:val="center" w:pos="4153"/>
        <w:tab w:val="right" w:pos="8306"/>
      </w:tabs>
    </w:pPr>
  </w:style>
  <w:style w:type="character" w:customStyle="1" w:styleId="a4">
    <w:name w:val="כותרת עליונה תו"/>
    <w:link w:val="a3"/>
    <w:rsid w:val="00F5321D"/>
    <w:rPr>
      <w:rFonts w:ascii="Times New Roman" w:eastAsia="Times New Roman" w:hAnsi="Times New Roman" w:cs="David"/>
      <w:sz w:val="24"/>
      <w:szCs w:val="24"/>
    </w:rPr>
  </w:style>
  <w:style w:type="paragraph" w:styleId="a5">
    <w:name w:val="footer"/>
    <w:basedOn w:val="a"/>
    <w:link w:val="a6"/>
    <w:rsid w:val="00F5321D"/>
    <w:pPr>
      <w:tabs>
        <w:tab w:val="center" w:pos="4153"/>
        <w:tab w:val="right" w:pos="8306"/>
      </w:tabs>
    </w:pPr>
  </w:style>
  <w:style w:type="character" w:customStyle="1" w:styleId="a6">
    <w:name w:val="כותרת תחתונה תו"/>
    <w:link w:val="a5"/>
    <w:rsid w:val="00F5321D"/>
    <w:rPr>
      <w:rFonts w:ascii="Times New Roman" w:eastAsia="Times New Roman" w:hAnsi="Times New Roman" w:cs="David"/>
      <w:sz w:val="24"/>
      <w:szCs w:val="24"/>
    </w:rPr>
  </w:style>
  <w:style w:type="table" w:styleId="a7">
    <w:name w:val="Table Grid"/>
    <w:basedOn w:val="a1"/>
    <w:rsid w:val="00F532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321D"/>
  </w:style>
  <w:style w:type="character" w:styleId="Hyperlink">
    <w:name w:val="Hyperlink"/>
    <w:rsid w:val="00787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0ja" TargetMode="External"/><Relationship Id="rId21" Type="http://schemas.openxmlformats.org/officeDocument/2006/relationships/hyperlink" Target="http://www.nevo.co.il/case/2722961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35161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7665264"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322237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6222649" TargetMode="External"/><Relationship Id="rId28" Type="http://schemas.openxmlformats.org/officeDocument/2006/relationships/hyperlink" Target="http://www.nevo.co.il/law/70301/40d"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2029</Words>
  <Characters>10150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12155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3211377</vt:i4>
      </vt:variant>
      <vt:variant>
        <vt:i4>54</vt:i4>
      </vt:variant>
      <vt:variant>
        <vt:i4>0</vt:i4>
      </vt:variant>
      <vt:variant>
        <vt:i4>5</vt:i4>
      </vt:variant>
      <vt:variant>
        <vt:lpwstr>http://www.nevo.co.il/case/26351617</vt:lpwstr>
      </vt:variant>
      <vt:variant>
        <vt:lpwstr/>
      </vt:variant>
      <vt:variant>
        <vt:i4>3473526</vt:i4>
      </vt:variant>
      <vt:variant>
        <vt:i4>51</vt:i4>
      </vt:variant>
      <vt:variant>
        <vt:i4>0</vt:i4>
      </vt:variant>
      <vt:variant>
        <vt:i4>5</vt:i4>
      </vt:variant>
      <vt:variant>
        <vt:lpwstr>http://www.nevo.co.il/case/23222373</vt:lpwstr>
      </vt:variant>
      <vt:variant>
        <vt:lpwstr/>
      </vt:variant>
      <vt:variant>
        <vt:i4>3539062</vt:i4>
      </vt:variant>
      <vt:variant>
        <vt:i4>48</vt:i4>
      </vt:variant>
      <vt:variant>
        <vt:i4>0</vt:i4>
      </vt:variant>
      <vt:variant>
        <vt:i4>5</vt:i4>
      </vt:variant>
      <vt:variant>
        <vt:lpwstr>http://www.nevo.co.il/case/26222649</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3670135</vt:i4>
      </vt:variant>
      <vt:variant>
        <vt:i4>42</vt:i4>
      </vt:variant>
      <vt:variant>
        <vt:i4>0</vt:i4>
      </vt:variant>
      <vt:variant>
        <vt:i4>5</vt:i4>
      </vt:variant>
      <vt:variant>
        <vt:lpwstr>http://www.nevo.co.il/case/27229615</vt:lpwstr>
      </vt:variant>
      <vt:variant>
        <vt:lpwstr/>
      </vt:variant>
      <vt:variant>
        <vt:i4>3604599</vt:i4>
      </vt:variant>
      <vt:variant>
        <vt:i4>39</vt:i4>
      </vt:variant>
      <vt:variant>
        <vt:i4>0</vt:i4>
      </vt:variant>
      <vt:variant>
        <vt:i4>5</vt:i4>
      </vt:variant>
      <vt:variant>
        <vt:lpwstr>http://www.nevo.co.il/case/27665264</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בראל שוורצברג</vt:lpwstr>
  </property>
  <property fmtid="{D5CDD505-2E9C-101B-9397-08002B2CF9AE}" pid="10" name="LAWYER">
    <vt:lpwstr>סיימונס;בן יהודה</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20220327</vt:lpwstr>
  </property>
  <property fmtid="{D5CDD505-2E9C-101B-9397-08002B2CF9AE}" pid="14" name="TYPE_N_DATE">
    <vt:lpwstr>38020220327</vt:lpwstr>
  </property>
  <property fmtid="{D5CDD505-2E9C-101B-9397-08002B2CF9AE}" pid="15" name="WORDNUMPAGES">
    <vt:lpwstr>6</vt:lpwstr>
  </property>
  <property fmtid="{D5CDD505-2E9C-101B-9397-08002B2CF9AE}" pid="16" name="TYPE_ABS_DATE">
    <vt:lpwstr>380020220327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27665264;27229615;26222649;23222373;26351617</vt:lpwstr>
  </property>
  <property fmtid="{D5CDD505-2E9C-101B-9397-08002B2CF9AE}" pid="36" name="LAWLISTTMP1">
    <vt:lpwstr>4216/013;019a;007.a;007.c</vt:lpwstr>
  </property>
  <property fmtid="{D5CDD505-2E9C-101B-9397-08002B2CF9AE}" pid="37" name="LAWLISTTMP2">
    <vt:lpwstr>70301/40ja;040d</vt:lpwstr>
  </property>
</Properties>
</file>