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96319F" w:rsidRPr="00E3511E" w14:paraId="06DB2F8D" w14:textId="77777777" w:rsidTr="00B83D04">
        <w:trPr>
          <w:trHeight w:hRule="exact" w:val="418"/>
          <w:jc w:val="center"/>
        </w:trPr>
        <w:tc>
          <w:tcPr>
            <w:tcW w:w="8523" w:type="dxa"/>
            <w:gridSpan w:val="2"/>
          </w:tcPr>
          <w:p w14:paraId="3D5F2A01" w14:textId="77777777" w:rsidR="0096319F" w:rsidRPr="00E3511E" w:rsidRDefault="0096319F" w:rsidP="000076A8">
            <w:pPr>
              <w:pStyle w:val="a3"/>
              <w:jc w:val="center"/>
              <w:rPr>
                <w:rFonts w:ascii="Tahoma" w:hAnsi="Tahoma"/>
                <w:color w:val="000080"/>
                <w:sz w:val="32"/>
                <w:szCs w:val="32"/>
                <w:rtl/>
              </w:rPr>
            </w:pPr>
            <w:bookmarkStart w:id="0" w:name="LastJudge"/>
            <w:r w:rsidRPr="00E3511E">
              <w:rPr>
                <w:rFonts w:ascii="Tahoma" w:hAnsi="Tahoma"/>
                <w:b/>
                <w:bCs/>
                <w:color w:val="000080"/>
                <w:sz w:val="32"/>
                <w:szCs w:val="32"/>
                <w:rtl/>
              </w:rPr>
              <w:t>בית משפט השלום בתל אביב - יפו</w:t>
            </w:r>
          </w:p>
        </w:tc>
      </w:tr>
      <w:tr w:rsidR="0096319F" w:rsidRPr="00E3511E" w14:paraId="0FD02421" w14:textId="77777777" w:rsidTr="00B83D04">
        <w:trPr>
          <w:trHeight w:val="337"/>
          <w:jc w:val="center"/>
        </w:trPr>
        <w:tc>
          <w:tcPr>
            <w:tcW w:w="4945" w:type="dxa"/>
          </w:tcPr>
          <w:p w14:paraId="21BBD6C4" w14:textId="77777777" w:rsidR="0096319F" w:rsidRPr="00E3511E" w:rsidRDefault="0096319F" w:rsidP="000076A8">
            <w:pPr>
              <w:rPr>
                <w:sz w:val="26"/>
                <w:szCs w:val="26"/>
                <w:rtl/>
              </w:rPr>
            </w:pPr>
            <w:r w:rsidRPr="00E3511E">
              <w:rPr>
                <w:sz w:val="26"/>
                <w:szCs w:val="26"/>
                <w:rtl/>
              </w:rPr>
              <w:t>ת"פ</w:t>
            </w:r>
            <w:r w:rsidRPr="00E3511E">
              <w:rPr>
                <w:rFonts w:hint="cs"/>
                <w:sz w:val="26"/>
                <w:szCs w:val="26"/>
                <w:rtl/>
              </w:rPr>
              <w:t xml:space="preserve"> </w:t>
            </w:r>
            <w:r w:rsidRPr="00E3511E">
              <w:rPr>
                <w:sz w:val="26"/>
                <w:szCs w:val="26"/>
                <w:rtl/>
              </w:rPr>
              <w:t>55217-12-19</w:t>
            </w:r>
            <w:r w:rsidRPr="00E3511E">
              <w:rPr>
                <w:rFonts w:hint="cs"/>
                <w:sz w:val="26"/>
                <w:szCs w:val="26"/>
                <w:rtl/>
              </w:rPr>
              <w:t xml:space="preserve"> </w:t>
            </w:r>
            <w:r w:rsidRPr="00E3511E">
              <w:rPr>
                <w:b/>
                <w:bCs/>
                <w:sz w:val="26"/>
                <w:szCs w:val="26"/>
                <w:rtl/>
              </w:rPr>
              <w:t>מדינת ישראל נ' זייד</w:t>
            </w:r>
          </w:p>
        </w:tc>
        <w:tc>
          <w:tcPr>
            <w:tcW w:w="3578" w:type="dxa"/>
          </w:tcPr>
          <w:p w14:paraId="3E2AECED" w14:textId="77777777" w:rsidR="0096319F" w:rsidRPr="00E3511E" w:rsidRDefault="0096319F" w:rsidP="000076A8">
            <w:pPr>
              <w:pStyle w:val="a3"/>
              <w:jc w:val="right"/>
              <w:rPr>
                <w:rFonts w:cs="FrankRuehl"/>
                <w:sz w:val="28"/>
                <w:szCs w:val="28"/>
                <w:rtl/>
              </w:rPr>
            </w:pPr>
          </w:p>
        </w:tc>
      </w:tr>
    </w:tbl>
    <w:p w14:paraId="3F06CC45" w14:textId="77777777" w:rsidR="0096319F" w:rsidRPr="00E3511E" w:rsidRDefault="0096319F" w:rsidP="0096319F">
      <w:pPr>
        <w:pStyle w:val="a3"/>
        <w:rPr>
          <w:rtl/>
        </w:rPr>
      </w:pPr>
      <w:r w:rsidRPr="00E3511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4"/>
        <w:gridCol w:w="3334"/>
      </w:tblGrid>
      <w:tr w:rsidR="0096319F" w:rsidRPr="00E3511E" w14:paraId="7F1B75D1" w14:textId="77777777" w:rsidTr="0096319F">
        <w:trPr>
          <w:trHeight w:val="295"/>
          <w:jc w:val="center"/>
        </w:trPr>
        <w:tc>
          <w:tcPr>
            <w:tcW w:w="8820" w:type="dxa"/>
            <w:gridSpan w:val="3"/>
            <w:tcBorders>
              <w:top w:val="nil"/>
              <w:left w:val="nil"/>
              <w:bottom w:val="nil"/>
              <w:right w:val="nil"/>
            </w:tcBorders>
            <w:shd w:val="clear" w:color="auto" w:fill="auto"/>
          </w:tcPr>
          <w:p w14:paraId="02D75B72" w14:textId="77777777" w:rsidR="0096319F" w:rsidRPr="00E3511E" w:rsidRDefault="0096319F" w:rsidP="0096319F">
            <w:pPr>
              <w:spacing w:line="360" w:lineRule="auto"/>
              <w:jc w:val="both"/>
              <w:rPr>
                <w:b/>
                <w:bCs/>
                <w:sz w:val="26"/>
                <w:szCs w:val="26"/>
                <w:rtl/>
              </w:rPr>
            </w:pPr>
            <w:r w:rsidRPr="00E3511E">
              <w:rPr>
                <w:rFonts w:ascii="Arial" w:hAnsi="Arial" w:hint="cs"/>
                <w:b/>
                <w:bCs/>
                <w:sz w:val="26"/>
                <w:szCs w:val="26"/>
                <w:rtl/>
              </w:rPr>
              <w:t>ל</w:t>
            </w:r>
            <w:r w:rsidRPr="00E3511E">
              <w:rPr>
                <w:rFonts w:ascii="Arial" w:hAnsi="Arial"/>
                <w:b/>
                <w:bCs/>
                <w:sz w:val="26"/>
                <w:szCs w:val="26"/>
                <w:rtl/>
              </w:rPr>
              <w:t xml:space="preserve">פני </w:t>
            </w:r>
            <w:r w:rsidRPr="00E3511E">
              <w:rPr>
                <w:rFonts w:ascii="Arial" w:hAnsi="Arial" w:hint="cs"/>
                <w:b/>
                <w:bCs/>
                <w:sz w:val="26"/>
                <w:szCs w:val="26"/>
                <w:rtl/>
              </w:rPr>
              <w:t>כבוד ה</w:t>
            </w:r>
            <w:r w:rsidRPr="00E3511E">
              <w:rPr>
                <w:rFonts w:ascii="Arial" w:hAnsi="Arial"/>
                <w:b/>
                <w:bCs/>
                <w:sz w:val="26"/>
                <w:szCs w:val="26"/>
                <w:rtl/>
              </w:rPr>
              <w:t>שופט</w:t>
            </w:r>
            <w:r w:rsidRPr="00E3511E">
              <w:rPr>
                <w:rFonts w:ascii="Arial" w:hAnsi="Arial" w:hint="cs"/>
                <w:b/>
                <w:bCs/>
                <w:sz w:val="26"/>
                <w:szCs w:val="26"/>
                <w:rtl/>
              </w:rPr>
              <w:t xml:space="preserve"> </w:t>
            </w:r>
            <w:r w:rsidRPr="00E3511E">
              <w:rPr>
                <w:rFonts w:ascii="Arial" w:hAnsi="Arial"/>
                <w:b/>
                <w:bCs/>
                <w:sz w:val="26"/>
                <w:szCs w:val="26"/>
                <w:rtl/>
              </w:rPr>
              <w:t>שאול אבינור</w:t>
            </w:r>
          </w:p>
          <w:p w14:paraId="1ADBD8DE" w14:textId="77777777" w:rsidR="0096319F" w:rsidRPr="00E3511E" w:rsidRDefault="0096319F" w:rsidP="0096319F">
            <w:pPr>
              <w:spacing w:line="360" w:lineRule="auto"/>
              <w:jc w:val="both"/>
              <w:rPr>
                <w:rFonts w:ascii="Arial" w:hAnsi="Arial"/>
                <w:b/>
                <w:bCs/>
                <w:sz w:val="26"/>
                <w:szCs w:val="26"/>
              </w:rPr>
            </w:pPr>
          </w:p>
        </w:tc>
      </w:tr>
      <w:tr w:rsidR="0096319F" w:rsidRPr="00E3511E" w14:paraId="7A64B600" w14:textId="77777777" w:rsidTr="00B83D04">
        <w:trPr>
          <w:trHeight w:val="355"/>
          <w:jc w:val="center"/>
        </w:trPr>
        <w:tc>
          <w:tcPr>
            <w:tcW w:w="1332" w:type="dxa"/>
            <w:tcBorders>
              <w:top w:val="nil"/>
              <w:left w:val="nil"/>
              <w:bottom w:val="nil"/>
              <w:right w:val="nil"/>
            </w:tcBorders>
            <w:shd w:val="clear" w:color="auto" w:fill="auto"/>
          </w:tcPr>
          <w:p w14:paraId="5B83DA78" w14:textId="77777777" w:rsidR="0096319F" w:rsidRPr="00E3511E" w:rsidRDefault="0096319F" w:rsidP="0096319F">
            <w:pPr>
              <w:spacing w:line="360" w:lineRule="auto"/>
              <w:jc w:val="both"/>
              <w:rPr>
                <w:rFonts w:ascii="Arial" w:hAnsi="Arial"/>
                <w:b/>
                <w:bCs/>
                <w:sz w:val="26"/>
                <w:szCs w:val="26"/>
              </w:rPr>
            </w:pPr>
            <w:bookmarkStart w:id="1" w:name="FirstAppellant"/>
            <w:bookmarkStart w:id="2" w:name="FirstLawyer"/>
            <w:r w:rsidRPr="00E3511E">
              <w:rPr>
                <w:rFonts w:ascii="Arial" w:hAnsi="Arial" w:hint="cs"/>
                <w:b/>
                <w:bCs/>
                <w:sz w:val="26"/>
                <w:szCs w:val="26"/>
                <w:rtl/>
              </w:rPr>
              <w:t>ה</w:t>
            </w:r>
            <w:r w:rsidRPr="00E3511E">
              <w:rPr>
                <w:rFonts w:ascii="Arial" w:hAnsi="Arial"/>
                <w:b/>
                <w:bCs/>
                <w:sz w:val="26"/>
                <w:szCs w:val="26"/>
                <w:rtl/>
              </w:rPr>
              <w:t>מאשימה</w:t>
            </w:r>
            <w:r w:rsidRPr="00E3511E">
              <w:rPr>
                <w:rFonts w:ascii="Arial" w:hAnsi="Arial" w:hint="cs"/>
                <w:b/>
                <w:bCs/>
                <w:sz w:val="26"/>
                <w:szCs w:val="26"/>
                <w:rtl/>
              </w:rPr>
              <w:t>:</w:t>
            </w:r>
          </w:p>
        </w:tc>
        <w:tc>
          <w:tcPr>
            <w:tcW w:w="4154" w:type="dxa"/>
            <w:tcBorders>
              <w:top w:val="nil"/>
              <w:left w:val="nil"/>
              <w:bottom w:val="nil"/>
              <w:right w:val="nil"/>
            </w:tcBorders>
            <w:shd w:val="clear" w:color="auto" w:fill="auto"/>
          </w:tcPr>
          <w:p w14:paraId="6C611E0F" w14:textId="77777777" w:rsidR="0096319F" w:rsidRPr="00E3511E" w:rsidRDefault="0096319F" w:rsidP="0096319F">
            <w:pPr>
              <w:spacing w:line="360" w:lineRule="auto"/>
              <w:rPr>
                <w:b/>
                <w:bCs/>
                <w:sz w:val="26"/>
                <w:szCs w:val="26"/>
                <w:rtl/>
              </w:rPr>
            </w:pPr>
            <w:r w:rsidRPr="00E3511E">
              <w:rPr>
                <w:rFonts w:ascii="Arial" w:hAnsi="Arial"/>
                <w:b/>
                <w:bCs/>
                <w:sz w:val="26"/>
                <w:szCs w:val="26"/>
                <w:rtl/>
              </w:rPr>
              <w:t>מדינת ישראל</w:t>
            </w:r>
          </w:p>
          <w:p w14:paraId="64CB17F0" w14:textId="77777777" w:rsidR="0096319F" w:rsidRPr="00E3511E" w:rsidRDefault="0096319F" w:rsidP="0096319F">
            <w:pPr>
              <w:spacing w:line="360" w:lineRule="auto"/>
              <w:rPr>
                <w:sz w:val="26"/>
                <w:szCs w:val="26"/>
              </w:rPr>
            </w:pPr>
            <w:r w:rsidRPr="00E3511E">
              <w:rPr>
                <w:rFonts w:hint="cs"/>
                <w:rtl/>
              </w:rPr>
              <w:t>ע"י ב"כ עו"ד רוי חן</w:t>
            </w:r>
          </w:p>
        </w:tc>
        <w:tc>
          <w:tcPr>
            <w:tcW w:w="3334" w:type="dxa"/>
            <w:tcBorders>
              <w:top w:val="nil"/>
              <w:left w:val="nil"/>
              <w:bottom w:val="nil"/>
              <w:right w:val="nil"/>
            </w:tcBorders>
            <w:shd w:val="clear" w:color="auto" w:fill="auto"/>
          </w:tcPr>
          <w:p w14:paraId="5E624101" w14:textId="77777777" w:rsidR="0096319F" w:rsidRPr="00E3511E" w:rsidRDefault="0096319F" w:rsidP="0096319F">
            <w:pPr>
              <w:spacing w:line="360" w:lineRule="auto"/>
              <w:jc w:val="both"/>
              <w:rPr>
                <w:rFonts w:ascii="Arial" w:hAnsi="Arial"/>
                <w:b/>
                <w:bCs/>
                <w:sz w:val="26"/>
                <w:szCs w:val="26"/>
              </w:rPr>
            </w:pPr>
          </w:p>
        </w:tc>
      </w:tr>
      <w:bookmarkEnd w:id="1"/>
      <w:bookmarkEnd w:id="2"/>
      <w:tr w:rsidR="0096319F" w:rsidRPr="00E3511E" w14:paraId="3CD08061" w14:textId="77777777" w:rsidTr="00B83D04">
        <w:trPr>
          <w:trHeight w:val="373"/>
          <w:jc w:val="center"/>
        </w:trPr>
        <w:tc>
          <w:tcPr>
            <w:tcW w:w="1332" w:type="dxa"/>
            <w:tcBorders>
              <w:top w:val="nil"/>
              <w:left w:val="nil"/>
              <w:bottom w:val="nil"/>
              <w:right w:val="nil"/>
            </w:tcBorders>
            <w:shd w:val="clear" w:color="auto" w:fill="auto"/>
          </w:tcPr>
          <w:p w14:paraId="04A71AC2" w14:textId="77777777" w:rsidR="0096319F" w:rsidRPr="00E3511E" w:rsidRDefault="0096319F" w:rsidP="0096319F">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19BA4897" w14:textId="77777777" w:rsidR="0096319F" w:rsidRPr="00E3511E" w:rsidRDefault="0096319F" w:rsidP="0096319F">
            <w:pPr>
              <w:spacing w:line="360" w:lineRule="auto"/>
              <w:jc w:val="center"/>
              <w:rPr>
                <w:rFonts w:ascii="Arial" w:hAnsi="Arial"/>
                <w:b/>
                <w:bCs/>
                <w:sz w:val="26"/>
                <w:szCs w:val="26"/>
                <w:rtl/>
              </w:rPr>
            </w:pPr>
          </w:p>
          <w:p w14:paraId="1A7F809B" w14:textId="77777777" w:rsidR="0096319F" w:rsidRPr="00E3511E" w:rsidRDefault="0096319F" w:rsidP="0096319F">
            <w:pPr>
              <w:spacing w:line="360" w:lineRule="auto"/>
              <w:jc w:val="center"/>
              <w:rPr>
                <w:rFonts w:ascii="Arial" w:hAnsi="Arial"/>
                <w:b/>
                <w:bCs/>
                <w:sz w:val="26"/>
                <w:szCs w:val="26"/>
                <w:rtl/>
              </w:rPr>
            </w:pPr>
            <w:r w:rsidRPr="00E3511E">
              <w:rPr>
                <w:rFonts w:ascii="Arial" w:hAnsi="Arial"/>
                <w:b/>
                <w:bCs/>
                <w:sz w:val="26"/>
                <w:szCs w:val="26"/>
                <w:rtl/>
              </w:rPr>
              <w:t>נגד</w:t>
            </w:r>
          </w:p>
          <w:p w14:paraId="2875732E" w14:textId="77777777" w:rsidR="0096319F" w:rsidRPr="00E3511E" w:rsidRDefault="0096319F" w:rsidP="0096319F">
            <w:pPr>
              <w:spacing w:line="360" w:lineRule="auto"/>
              <w:jc w:val="both"/>
              <w:rPr>
                <w:rFonts w:ascii="Arial" w:hAnsi="Arial"/>
                <w:b/>
                <w:bCs/>
                <w:sz w:val="26"/>
                <w:szCs w:val="26"/>
              </w:rPr>
            </w:pPr>
          </w:p>
        </w:tc>
      </w:tr>
      <w:tr w:rsidR="0096319F" w:rsidRPr="00E3511E" w14:paraId="5BC11BFE" w14:textId="77777777" w:rsidTr="00B83D04">
        <w:trPr>
          <w:trHeight w:val="355"/>
          <w:jc w:val="center"/>
        </w:trPr>
        <w:tc>
          <w:tcPr>
            <w:tcW w:w="1332" w:type="dxa"/>
            <w:tcBorders>
              <w:top w:val="nil"/>
              <w:left w:val="nil"/>
              <w:bottom w:val="nil"/>
              <w:right w:val="nil"/>
            </w:tcBorders>
            <w:shd w:val="clear" w:color="auto" w:fill="auto"/>
          </w:tcPr>
          <w:p w14:paraId="25D9ECD2" w14:textId="77777777" w:rsidR="0096319F" w:rsidRPr="00E3511E" w:rsidRDefault="0096319F" w:rsidP="0096319F">
            <w:pPr>
              <w:spacing w:line="360" w:lineRule="auto"/>
              <w:rPr>
                <w:rFonts w:ascii="Arial" w:hAnsi="Arial"/>
                <w:b/>
                <w:bCs/>
                <w:sz w:val="26"/>
                <w:szCs w:val="26"/>
                <w:rtl/>
              </w:rPr>
            </w:pPr>
            <w:r w:rsidRPr="00E3511E">
              <w:rPr>
                <w:rFonts w:ascii="Arial" w:hAnsi="Arial" w:hint="cs"/>
                <w:b/>
                <w:bCs/>
                <w:sz w:val="26"/>
                <w:szCs w:val="26"/>
                <w:rtl/>
              </w:rPr>
              <w:t>ה</w:t>
            </w:r>
            <w:r w:rsidRPr="00E3511E">
              <w:rPr>
                <w:rFonts w:ascii="Arial" w:hAnsi="Arial"/>
                <w:b/>
                <w:bCs/>
                <w:sz w:val="26"/>
                <w:szCs w:val="26"/>
                <w:rtl/>
              </w:rPr>
              <w:t>נאשם</w:t>
            </w:r>
            <w:r w:rsidRPr="00E3511E">
              <w:rPr>
                <w:rFonts w:ascii="Arial" w:hAnsi="Arial" w:hint="cs"/>
                <w:b/>
                <w:bCs/>
                <w:sz w:val="26"/>
                <w:szCs w:val="26"/>
                <w:rtl/>
              </w:rPr>
              <w:t>:</w:t>
            </w:r>
          </w:p>
        </w:tc>
        <w:tc>
          <w:tcPr>
            <w:tcW w:w="4154" w:type="dxa"/>
            <w:tcBorders>
              <w:top w:val="nil"/>
              <w:left w:val="nil"/>
              <w:bottom w:val="nil"/>
              <w:right w:val="nil"/>
            </w:tcBorders>
            <w:shd w:val="clear" w:color="auto" w:fill="auto"/>
          </w:tcPr>
          <w:p w14:paraId="345EF720" w14:textId="77777777" w:rsidR="0096319F" w:rsidRPr="00E3511E" w:rsidRDefault="0096319F" w:rsidP="0096319F">
            <w:pPr>
              <w:spacing w:line="360" w:lineRule="auto"/>
              <w:rPr>
                <w:b/>
                <w:bCs/>
                <w:sz w:val="26"/>
                <w:szCs w:val="26"/>
                <w:rtl/>
              </w:rPr>
            </w:pPr>
            <w:r w:rsidRPr="00E3511E">
              <w:rPr>
                <w:rFonts w:ascii="Arial" w:hAnsi="Arial"/>
                <w:b/>
                <w:bCs/>
                <w:sz w:val="26"/>
                <w:szCs w:val="26"/>
                <w:rtl/>
              </w:rPr>
              <w:t>מערוף זייד</w:t>
            </w:r>
          </w:p>
          <w:p w14:paraId="3A3B615D" w14:textId="77777777" w:rsidR="0096319F" w:rsidRPr="00E3511E" w:rsidRDefault="0096319F" w:rsidP="0096319F">
            <w:pPr>
              <w:spacing w:line="360" w:lineRule="auto"/>
              <w:rPr>
                <w:sz w:val="26"/>
                <w:szCs w:val="26"/>
                <w:rtl/>
              </w:rPr>
            </w:pPr>
            <w:r w:rsidRPr="00E3511E">
              <w:rPr>
                <w:rFonts w:hint="cs"/>
                <w:rtl/>
              </w:rPr>
              <w:t>ע"י ב"כ עו"ד עומר גורן</w:t>
            </w:r>
          </w:p>
        </w:tc>
        <w:tc>
          <w:tcPr>
            <w:tcW w:w="3334" w:type="dxa"/>
            <w:tcBorders>
              <w:top w:val="nil"/>
              <w:left w:val="nil"/>
              <w:bottom w:val="nil"/>
              <w:right w:val="nil"/>
            </w:tcBorders>
            <w:shd w:val="clear" w:color="auto" w:fill="auto"/>
          </w:tcPr>
          <w:p w14:paraId="1313055A" w14:textId="77777777" w:rsidR="0096319F" w:rsidRPr="00E3511E" w:rsidRDefault="0096319F" w:rsidP="0096319F">
            <w:pPr>
              <w:spacing w:line="360" w:lineRule="auto"/>
              <w:jc w:val="right"/>
              <w:rPr>
                <w:rFonts w:ascii="Arial" w:hAnsi="Arial"/>
                <w:b/>
                <w:bCs/>
                <w:sz w:val="26"/>
                <w:szCs w:val="26"/>
              </w:rPr>
            </w:pPr>
          </w:p>
        </w:tc>
      </w:tr>
    </w:tbl>
    <w:p w14:paraId="1A5BD85C" w14:textId="77777777" w:rsidR="00B83D04" w:rsidRDefault="00B83D04" w:rsidP="00E3511E">
      <w:pPr>
        <w:spacing w:line="360" w:lineRule="auto"/>
        <w:rPr>
          <w:rtl/>
        </w:rPr>
      </w:pPr>
    </w:p>
    <w:p w14:paraId="50880947" w14:textId="77777777" w:rsidR="00B83D04" w:rsidRPr="00B83D04" w:rsidRDefault="00B83D04" w:rsidP="00B83D04">
      <w:pPr>
        <w:spacing w:after="120" w:line="240" w:lineRule="exact"/>
        <w:ind w:left="283" w:hanging="283"/>
        <w:jc w:val="both"/>
        <w:rPr>
          <w:rFonts w:ascii="FrankRuehl" w:hAnsi="FrankRuehl" w:cs="FrankRuehl"/>
          <w:rtl/>
        </w:rPr>
      </w:pPr>
    </w:p>
    <w:p w14:paraId="0DD8CA0E" w14:textId="77777777" w:rsidR="002F3768" w:rsidRPr="002F3768" w:rsidRDefault="002F3768" w:rsidP="002F3768">
      <w:pPr>
        <w:spacing w:before="120" w:after="120" w:line="240" w:lineRule="exact"/>
        <w:ind w:left="283" w:hanging="283"/>
        <w:jc w:val="both"/>
        <w:rPr>
          <w:rFonts w:ascii="FrankRuehl" w:hAnsi="FrankRuehl" w:cs="FrankRuehl"/>
          <w:rtl/>
        </w:rPr>
      </w:pPr>
    </w:p>
    <w:p w14:paraId="50CC25B8" w14:textId="77777777" w:rsidR="00711C04" w:rsidRDefault="00711C04" w:rsidP="00711C04">
      <w:pPr>
        <w:spacing w:line="360" w:lineRule="auto"/>
        <w:rPr>
          <w:rtl/>
        </w:rPr>
      </w:pPr>
      <w:bookmarkStart w:id="3" w:name="LawTable"/>
      <w:bookmarkEnd w:id="3"/>
    </w:p>
    <w:p w14:paraId="42CFEB3F" w14:textId="77777777" w:rsidR="00711C04" w:rsidRPr="00711C04" w:rsidRDefault="00711C04" w:rsidP="00711C04">
      <w:pPr>
        <w:spacing w:before="120" w:after="120" w:line="240" w:lineRule="exact"/>
        <w:ind w:left="283" w:hanging="283"/>
        <w:jc w:val="both"/>
        <w:rPr>
          <w:rFonts w:ascii="FrankRuehl" w:hAnsi="FrankRuehl" w:cs="FrankRuehl"/>
          <w:rtl/>
        </w:rPr>
      </w:pPr>
    </w:p>
    <w:p w14:paraId="3D809CD7" w14:textId="77777777" w:rsidR="00711C04" w:rsidRPr="00711C04" w:rsidRDefault="00711C04" w:rsidP="00711C04">
      <w:pPr>
        <w:spacing w:before="120" w:after="120" w:line="240" w:lineRule="exact"/>
        <w:ind w:left="283" w:hanging="283"/>
        <w:jc w:val="both"/>
        <w:rPr>
          <w:rFonts w:ascii="FrankRuehl" w:hAnsi="FrankRuehl" w:cs="FrankRuehl"/>
          <w:rtl/>
        </w:rPr>
      </w:pPr>
    </w:p>
    <w:p w14:paraId="0A0DAC7D" w14:textId="77777777" w:rsidR="00711C04" w:rsidRPr="00711C04" w:rsidRDefault="00711C04" w:rsidP="00711C04">
      <w:pPr>
        <w:spacing w:before="120" w:after="120" w:line="240" w:lineRule="exact"/>
        <w:ind w:left="283" w:hanging="283"/>
        <w:jc w:val="both"/>
        <w:rPr>
          <w:rFonts w:ascii="FrankRuehl" w:hAnsi="FrankRuehl" w:cs="FrankRuehl"/>
          <w:rtl/>
        </w:rPr>
      </w:pPr>
      <w:r w:rsidRPr="00711C04">
        <w:rPr>
          <w:rFonts w:ascii="FrankRuehl" w:hAnsi="FrankRuehl" w:cs="FrankRuehl"/>
          <w:rtl/>
        </w:rPr>
        <w:t xml:space="preserve">חקיקה שאוזכרה: </w:t>
      </w:r>
    </w:p>
    <w:p w14:paraId="499EFCB8" w14:textId="77777777" w:rsidR="00711C04" w:rsidRPr="00711C04" w:rsidRDefault="00711C04" w:rsidP="00711C04">
      <w:pPr>
        <w:spacing w:before="120" w:after="120" w:line="240" w:lineRule="exact"/>
        <w:ind w:left="283" w:hanging="283"/>
        <w:jc w:val="both"/>
        <w:rPr>
          <w:rFonts w:ascii="FrankRuehl" w:hAnsi="FrankRuehl" w:cs="FrankRuehl"/>
          <w:rtl/>
        </w:rPr>
      </w:pPr>
      <w:hyperlink r:id="rId7" w:history="1">
        <w:r w:rsidRPr="00711C04">
          <w:rPr>
            <w:rFonts w:ascii="FrankRuehl" w:hAnsi="FrankRuehl" w:cs="FrankRuehl"/>
            <w:color w:val="0000FF"/>
            <w:rtl/>
          </w:rPr>
          <w:t>פקודת הסמים המסוכנים [נוסח חדש], תשל"ג-1973</w:t>
        </w:r>
      </w:hyperlink>
      <w:r w:rsidRPr="00711C04">
        <w:rPr>
          <w:rFonts w:ascii="FrankRuehl" w:hAnsi="FrankRuehl" w:cs="FrankRuehl"/>
          <w:rtl/>
        </w:rPr>
        <w:t xml:space="preserve">: סע'  </w:t>
      </w:r>
      <w:hyperlink r:id="rId8" w:history="1">
        <w:r w:rsidRPr="00711C04">
          <w:rPr>
            <w:rFonts w:ascii="FrankRuehl" w:hAnsi="FrankRuehl" w:cs="FrankRuehl"/>
            <w:color w:val="0000FF"/>
            <w:rtl/>
          </w:rPr>
          <w:t>7(א)</w:t>
        </w:r>
      </w:hyperlink>
      <w:r w:rsidRPr="00711C04">
        <w:rPr>
          <w:rFonts w:ascii="FrankRuehl" w:hAnsi="FrankRuehl" w:cs="FrankRuehl"/>
          <w:rtl/>
        </w:rPr>
        <w:t xml:space="preserve">, </w:t>
      </w:r>
      <w:hyperlink r:id="rId9" w:history="1">
        <w:r w:rsidRPr="00711C04">
          <w:rPr>
            <w:rFonts w:ascii="FrankRuehl" w:hAnsi="FrankRuehl" w:cs="FrankRuehl"/>
            <w:color w:val="0000FF"/>
            <w:rtl/>
          </w:rPr>
          <w:t>7(ג)</w:t>
        </w:r>
      </w:hyperlink>
    </w:p>
    <w:p w14:paraId="7351F95B" w14:textId="77777777" w:rsidR="00711C04" w:rsidRPr="00711C04" w:rsidRDefault="00711C04" w:rsidP="00711C04">
      <w:pPr>
        <w:spacing w:before="120" w:after="120" w:line="240" w:lineRule="exact"/>
        <w:ind w:left="283" w:hanging="283"/>
        <w:jc w:val="both"/>
        <w:rPr>
          <w:rFonts w:ascii="FrankRuehl" w:hAnsi="FrankRuehl" w:cs="FrankRuehl"/>
          <w:rtl/>
        </w:rPr>
      </w:pPr>
      <w:hyperlink r:id="rId10" w:history="1">
        <w:r w:rsidRPr="00711C04">
          <w:rPr>
            <w:rFonts w:ascii="FrankRuehl" w:hAnsi="FrankRuehl" w:cs="FrankRuehl"/>
            <w:color w:val="0000FF"/>
            <w:rtl/>
          </w:rPr>
          <w:t>חוק העונשין, תשל"ז-1977</w:t>
        </w:r>
      </w:hyperlink>
      <w:r w:rsidRPr="00711C04">
        <w:rPr>
          <w:rFonts w:ascii="FrankRuehl" w:hAnsi="FrankRuehl" w:cs="FrankRuehl"/>
          <w:rtl/>
        </w:rPr>
        <w:t xml:space="preserve">: סע'  </w:t>
      </w:r>
      <w:hyperlink r:id="rId11" w:history="1">
        <w:r w:rsidRPr="00711C04">
          <w:rPr>
            <w:rFonts w:ascii="FrankRuehl" w:hAnsi="FrankRuehl" w:cs="FrankRuehl"/>
            <w:color w:val="0000FF"/>
            <w:rtl/>
          </w:rPr>
          <w:t>40ד</w:t>
        </w:r>
      </w:hyperlink>
    </w:p>
    <w:p w14:paraId="2AD80215" w14:textId="77777777" w:rsidR="00711C04" w:rsidRPr="00711C04" w:rsidRDefault="00711C04" w:rsidP="00711C04">
      <w:pPr>
        <w:spacing w:line="360" w:lineRule="auto"/>
        <w:rPr>
          <w:rtl/>
        </w:rPr>
      </w:pPr>
      <w:bookmarkStart w:id="4" w:name="LawTable_End"/>
      <w:bookmarkEnd w:id="4"/>
    </w:p>
    <w:p w14:paraId="3BD4BA5E" w14:textId="77777777" w:rsidR="0096319F" w:rsidRPr="002F3768" w:rsidRDefault="0096319F" w:rsidP="002F3768">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319F" w14:paraId="57B65D73" w14:textId="77777777" w:rsidTr="0096319F">
        <w:trPr>
          <w:trHeight w:val="355"/>
          <w:jc w:val="center"/>
        </w:trPr>
        <w:tc>
          <w:tcPr>
            <w:tcW w:w="8820" w:type="dxa"/>
            <w:tcBorders>
              <w:top w:val="nil"/>
              <w:left w:val="nil"/>
              <w:bottom w:val="nil"/>
              <w:right w:val="nil"/>
            </w:tcBorders>
            <w:shd w:val="clear" w:color="auto" w:fill="auto"/>
          </w:tcPr>
          <w:p w14:paraId="6AFE80B6" w14:textId="77777777" w:rsidR="00E3511E" w:rsidRPr="00E3511E" w:rsidRDefault="00E3511E" w:rsidP="00E3511E">
            <w:pPr>
              <w:spacing w:after="120" w:line="360" w:lineRule="auto"/>
              <w:jc w:val="center"/>
              <w:rPr>
                <w:rFonts w:ascii="Arial" w:hAnsi="Arial"/>
                <w:b/>
                <w:bCs/>
                <w:sz w:val="36"/>
                <w:szCs w:val="36"/>
                <w:u w:val="single"/>
                <w:rtl/>
              </w:rPr>
            </w:pPr>
            <w:bookmarkStart w:id="5" w:name="PsakDin" w:colFirst="0" w:colLast="0"/>
            <w:bookmarkEnd w:id="0"/>
            <w:r w:rsidRPr="00E3511E">
              <w:rPr>
                <w:rFonts w:ascii="Arial" w:hAnsi="Arial"/>
                <w:b/>
                <w:bCs/>
                <w:sz w:val="36"/>
                <w:szCs w:val="36"/>
                <w:u w:val="single"/>
                <w:rtl/>
              </w:rPr>
              <w:t>גזר דין</w:t>
            </w:r>
          </w:p>
          <w:p w14:paraId="409CBAC8" w14:textId="77777777" w:rsidR="0096319F" w:rsidRPr="00E3511E" w:rsidRDefault="0096319F" w:rsidP="00E3511E">
            <w:pPr>
              <w:spacing w:after="120" w:line="360" w:lineRule="auto"/>
              <w:jc w:val="center"/>
              <w:rPr>
                <w:rFonts w:ascii="Arial" w:hAnsi="Arial"/>
                <w:bCs/>
                <w:sz w:val="36"/>
                <w:szCs w:val="36"/>
                <w:u w:val="single"/>
                <w:rtl/>
              </w:rPr>
            </w:pPr>
          </w:p>
        </w:tc>
      </w:tr>
    </w:tbl>
    <w:bookmarkEnd w:id="5"/>
    <w:p w14:paraId="0A2BF9F8" w14:textId="77777777" w:rsidR="0096319F" w:rsidRDefault="0096319F" w:rsidP="0096319F">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542155DE" w14:textId="77777777" w:rsidR="0096319F" w:rsidRDefault="0096319F" w:rsidP="0096319F">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David" w:eastAsia="David" w:hAnsi="David"/>
          <w:rtl/>
        </w:rPr>
        <w:t xml:space="preserve">הנאשם הורשע על יסוד הודאתו בעובדות כתב האישום, שניתנה במסגרת הסדר טיעון, בביצוע עבירה של </w:t>
      </w:r>
      <w:r>
        <w:rPr>
          <w:rFonts w:ascii="David" w:eastAsia="David" w:hAnsi="David"/>
          <w:b/>
          <w:bCs/>
          <w:rtl/>
        </w:rPr>
        <w:t>החזקת סמים מסוכנים שלא לצריכה עצמית</w:t>
      </w:r>
      <w:r>
        <w:rPr>
          <w:rFonts w:ascii="David" w:eastAsia="David" w:hAnsi="David"/>
          <w:rtl/>
        </w:rPr>
        <w:t xml:space="preserve">, לפי הוראות </w:t>
      </w:r>
      <w:hyperlink r:id="rId12" w:history="1">
        <w:r w:rsidR="00B83D04" w:rsidRPr="00B83D04">
          <w:rPr>
            <w:rStyle w:val="Hyperlink"/>
            <w:rFonts w:ascii="David" w:eastAsia="David" w:hAnsi="David"/>
            <w:rtl/>
          </w:rPr>
          <w:t>סעיף 7(א)</w:t>
        </w:r>
      </w:hyperlink>
      <w:r>
        <w:rPr>
          <w:rFonts w:ascii="David" w:eastAsia="David" w:hAnsi="David"/>
          <w:rtl/>
        </w:rPr>
        <w:t xml:space="preserve"> יחד עם </w:t>
      </w:r>
      <w:hyperlink r:id="rId13" w:history="1">
        <w:r w:rsidR="00B83D04" w:rsidRPr="00B83D04">
          <w:rPr>
            <w:rStyle w:val="Hyperlink"/>
            <w:rFonts w:ascii="David" w:eastAsia="David" w:hAnsi="David"/>
            <w:rtl/>
          </w:rPr>
          <w:t>סעיף 7(ג)</w:t>
        </w:r>
      </w:hyperlink>
      <w:r>
        <w:rPr>
          <w:rFonts w:ascii="David" w:eastAsia="David" w:hAnsi="David"/>
          <w:rtl/>
        </w:rPr>
        <w:t xml:space="preserve"> רישא, ל</w:t>
      </w:r>
      <w:hyperlink r:id="rId14" w:history="1">
        <w:r w:rsidR="00E3511E" w:rsidRPr="00E3511E">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המסוכנים).</w:t>
      </w:r>
    </w:p>
    <w:p w14:paraId="1DE7F706"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bookmarkStart w:id="7" w:name="ABSTRACT_END"/>
      <w:bookmarkEnd w:id="7"/>
      <w:r>
        <w:rPr>
          <w:rFonts w:ascii="David" w:eastAsia="David" w:hAnsi="David"/>
          <w:rtl/>
        </w:rPr>
        <w:t>בעובדות כתב האישום נטען כי ביום 28.12.2018, בשעה 03:07 או בסמוך לכך, בכניסה למועדון ה"ברקפסט" ברחוב רוטשילד בתל אביב, החזיק הנאשם בסמים מסוכנים מסוג קוקאין בתוך כיס מכנסיו, כלהלן:</w:t>
      </w:r>
    </w:p>
    <w:p w14:paraId="66FC5EB2" w14:textId="77777777" w:rsidR="0096319F" w:rsidRDefault="0096319F" w:rsidP="0096319F">
      <w:pPr>
        <w:spacing w:after="120" w:line="360" w:lineRule="auto"/>
        <w:ind w:left="720"/>
        <w:jc w:val="both"/>
        <w:rPr>
          <w:rFonts w:ascii="David" w:eastAsia="David" w:hAnsi="David"/>
          <w:rtl/>
        </w:rPr>
      </w:pPr>
      <w:r>
        <w:rPr>
          <w:rFonts w:ascii="David" w:eastAsia="David" w:hAnsi="David"/>
          <w:rtl/>
        </w:rPr>
        <w:lastRenderedPageBreak/>
        <w:t>בתוך נייר טואלט 0.3503 גרם סמים</w:t>
      </w:r>
      <w:r>
        <w:rPr>
          <w:rFonts w:ascii="David" w:eastAsia="David" w:hAnsi="David" w:hint="cs"/>
          <w:rtl/>
        </w:rPr>
        <w:t xml:space="preserve">; </w:t>
      </w:r>
      <w:r>
        <w:rPr>
          <w:rFonts w:ascii="David" w:eastAsia="David" w:hAnsi="David"/>
          <w:rtl/>
        </w:rPr>
        <w:t xml:space="preserve">בתוך קופסא שלוש אריזות </w:t>
      </w:r>
      <w:r>
        <w:rPr>
          <w:rFonts w:ascii="David" w:eastAsia="David" w:hAnsi="David" w:hint="cs"/>
          <w:rtl/>
        </w:rPr>
        <w:t xml:space="preserve">סמים </w:t>
      </w:r>
      <w:r>
        <w:rPr>
          <w:rFonts w:ascii="David" w:eastAsia="David" w:hAnsi="David"/>
          <w:rtl/>
        </w:rPr>
        <w:t>במשקל של 2.43 גרם (דהיינו</w:t>
      </w:r>
      <w:r>
        <w:rPr>
          <w:rFonts w:ascii="David" w:eastAsia="David" w:hAnsi="David" w:hint="cs"/>
          <w:rtl/>
        </w:rPr>
        <w:t>:</w:t>
      </w:r>
      <w:r>
        <w:rPr>
          <w:rFonts w:ascii="David" w:eastAsia="David" w:hAnsi="David"/>
          <w:rtl/>
        </w:rPr>
        <w:t xml:space="preserve"> </w:t>
      </w:r>
      <w:r>
        <w:rPr>
          <w:rFonts w:ascii="David" w:eastAsia="David" w:hAnsi="David" w:hint="cs"/>
          <w:rtl/>
        </w:rPr>
        <w:t xml:space="preserve">החזקת </w:t>
      </w:r>
      <w:r>
        <w:rPr>
          <w:rFonts w:ascii="David" w:eastAsia="David" w:hAnsi="David"/>
          <w:rtl/>
        </w:rPr>
        <w:t>סמים מסוכנים מסוג קוקאין במשקל כולל של 2.7803 גרם).</w:t>
      </w:r>
    </w:p>
    <w:p w14:paraId="7AC9B15F" w14:textId="77777777" w:rsidR="0096319F" w:rsidRDefault="0096319F" w:rsidP="0096319F">
      <w:pPr>
        <w:spacing w:after="120" w:line="360" w:lineRule="auto"/>
        <w:ind w:left="720"/>
        <w:jc w:val="both"/>
        <w:rPr>
          <w:rFonts w:ascii="David" w:eastAsia="David" w:hAnsi="David"/>
        </w:rPr>
      </w:pPr>
      <w:r>
        <w:rPr>
          <w:rFonts w:ascii="David" w:eastAsia="David" w:hAnsi="David"/>
          <w:rtl/>
        </w:rPr>
        <w:t>עוד נטען כי הנאשם התכוון להיכנס למועדון כשהוא מחזיק בסמים האמורים.</w:t>
      </w:r>
    </w:p>
    <w:p w14:paraId="26A67A21"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הדיונים המקדמיים החלו לפני מותב קודם והצדדים הגיעו להסדר טיעון, שבמסגרתו הודה הנאשם בעובדות כתב האישום והורשע בעבירה בה הואשם, כאמור בפסקה 1 דלעיל. הצדדים עתרו במשותף לקבלת תסקיר שירות המבחן, אך לא הגיעו להסכמות לעניין הטיעונים לעונש. המאשימה הודיעה כי עמדתה היא להרשעה ולעונש מאסר בפועל</w:t>
      </w:r>
      <w:r>
        <w:rPr>
          <w:rFonts w:ascii="David" w:eastAsia="David" w:hAnsi="David" w:hint="cs"/>
          <w:rtl/>
        </w:rPr>
        <w:t>,</w:t>
      </w:r>
      <w:r>
        <w:rPr>
          <w:rFonts w:ascii="David" w:eastAsia="David" w:hAnsi="David"/>
          <w:rtl/>
        </w:rPr>
        <w:t xml:space="preserve"> שניתן לשאתו בדרך של עבודות שירות, וכן לענישה נלווית שתכלול מאסר מותנה, קנס כספי ופסילה מותנית. הסניגור, מצידו, עתר לבחינת שאלת ההרשעה.</w:t>
      </w:r>
    </w:p>
    <w:p w14:paraId="5BA81E20"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בית המשפט נעתר לבקשת הצדדים והורה על קבלת תסקיר שירות המבחן, תוך שהבהיר כי אין בהחלטה זו משום הבעת עמדה לעניין הענישה שתיגזר בסופו של יום (בפרוטוקול, עמ' 3 שורה 8 ואילך).</w:t>
      </w:r>
    </w:p>
    <w:p w14:paraId="5B989F2B" w14:textId="77777777" w:rsidR="0096319F" w:rsidRDefault="0096319F" w:rsidP="0096319F">
      <w:pPr>
        <w:spacing w:after="120" w:line="360" w:lineRule="auto"/>
        <w:jc w:val="both"/>
        <w:rPr>
          <w:rFonts w:ascii="David" w:eastAsia="David" w:hAnsi="David"/>
        </w:rPr>
      </w:pPr>
    </w:p>
    <w:p w14:paraId="091F23E5" w14:textId="77777777" w:rsidR="0096319F" w:rsidRDefault="0096319F" w:rsidP="0096319F">
      <w:pPr>
        <w:spacing w:after="120" w:line="360" w:lineRule="auto"/>
        <w:jc w:val="both"/>
        <w:rPr>
          <w:rFonts w:ascii="David" w:hAnsi="David"/>
          <w:b/>
          <w:bCs/>
          <w:rtl/>
        </w:rPr>
      </w:pPr>
      <w:r>
        <w:rPr>
          <w:rFonts w:ascii="David" w:hAnsi="David"/>
          <w:b/>
          <w:bCs/>
          <w:rtl/>
        </w:rPr>
        <w:t>ב.</w:t>
      </w:r>
      <w:r>
        <w:rPr>
          <w:rFonts w:ascii="David" w:hAnsi="David"/>
          <w:b/>
          <w:bCs/>
          <w:rtl/>
        </w:rPr>
        <w:tab/>
      </w:r>
      <w:r>
        <w:rPr>
          <w:rFonts w:ascii="David" w:hAnsi="David"/>
          <w:b/>
          <w:bCs/>
          <w:u w:val="single"/>
          <w:rtl/>
        </w:rPr>
        <w:t>עיקר תסקיר שירות המבחן:</w:t>
      </w:r>
    </w:p>
    <w:p w14:paraId="0AB0B18E"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תסקיר שירות המבחן (מיום 30.09.2021), מפרט את נסיבותיו האישיות של הנאשם, יליד שנת 1994 (כבן 28 שנים כיום), רווק המתגורר בגפו בתל אביב. מזה כשנה עובד </w:t>
      </w:r>
      <w:r>
        <w:rPr>
          <w:rFonts w:ascii="David" w:eastAsia="David" w:hAnsi="David" w:hint="cs"/>
          <w:rtl/>
        </w:rPr>
        <w:t xml:space="preserve">הנאשם </w:t>
      </w:r>
      <w:r>
        <w:rPr>
          <w:rFonts w:ascii="David" w:eastAsia="David" w:hAnsi="David"/>
          <w:rtl/>
        </w:rPr>
        <w:t>כמנהל מטבח במסעדה בהרצליה.</w:t>
      </w:r>
    </w:p>
    <w:p w14:paraId="37985241" w14:textId="77777777" w:rsidR="0096319F" w:rsidRDefault="0096319F" w:rsidP="0096319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הנאשם נולד וגדל בירושלים. בגיל 12 נשר הנאשם ממסגרות לימודים ובגיל 16 עבר להתגורר בגפו בתל אביב. אין מקום ל</w:t>
      </w:r>
      <w:r>
        <w:rPr>
          <w:rFonts w:ascii="David" w:eastAsia="David" w:hAnsi="David" w:hint="cs"/>
          <w:rtl/>
        </w:rPr>
        <w:t xml:space="preserve">הרחיב </w:t>
      </w:r>
      <w:r>
        <w:rPr>
          <w:rFonts w:ascii="David" w:eastAsia="David" w:hAnsi="David"/>
          <w:rtl/>
        </w:rPr>
        <w:t xml:space="preserve">כאן </w:t>
      </w:r>
      <w:r>
        <w:rPr>
          <w:rFonts w:ascii="David" w:eastAsia="David" w:hAnsi="David" w:hint="cs"/>
          <w:rtl/>
        </w:rPr>
        <w:t>ב</w:t>
      </w:r>
      <w:r>
        <w:rPr>
          <w:rFonts w:ascii="David" w:eastAsia="David" w:hAnsi="David"/>
          <w:rtl/>
        </w:rPr>
        <w:t xml:space="preserve">פרטי יחסיו של הנאשם עם משפחתו, ודי לציין כי </w:t>
      </w:r>
      <w:r>
        <w:rPr>
          <w:rFonts w:ascii="David" w:eastAsia="David" w:hAnsi="David" w:hint="cs"/>
          <w:rtl/>
        </w:rPr>
        <w:t xml:space="preserve">היא </w:t>
      </w:r>
      <w:r>
        <w:rPr>
          <w:rFonts w:ascii="David" w:eastAsia="David" w:hAnsi="David"/>
          <w:rtl/>
        </w:rPr>
        <w:t>אינה מהווה עבורו גורם תומך.</w:t>
      </w:r>
    </w:p>
    <w:p w14:paraId="69984DE5"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ברקע לביצוע העבירה תיאר הנאשם הסתבכות בחובות, אליהם נקלע לאחר שביטל אירוסין, </w:t>
      </w:r>
      <w:r>
        <w:rPr>
          <w:rFonts w:ascii="David" w:eastAsia="David" w:hAnsi="David" w:hint="cs"/>
          <w:rtl/>
        </w:rPr>
        <w:t xml:space="preserve">כאשר </w:t>
      </w:r>
      <w:r>
        <w:rPr>
          <w:rFonts w:ascii="David" w:eastAsia="David" w:hAnsi="David"/>
          <w:rtl/>
        </w:rPr>
        <w:t>לדבריו מצא באלכוהול ובסמים אמצעי לבריחה מההתמודדות עם המשבר הכלכלי והמצוקה הרגשית. הנאשם טען כי הסמים שנתפסו נועדו לצריכתו העצמית בלבד, אך הדגיש כי מעצרו היווה עבורו תמרור אזהרה. מאז הפנים הנאשם את חומרת מעשיו והתמקד בעבודתו ובשיקום חייו, ולא שב והסתבך בביצוע עבירות. בדיקת שתן שמסר הנאשם אמנם העידה על ניקיונו משימוש בחומרים ממכרים.</w:t>
      </w:r>
    </w:p>
    <w:p w14:paraId="12F13292"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שירות המבחן התרשם מנאשם צעיר ללא עבר פלילי, בעל כוחות ויכולות, שנעדר דפוסים שוליים או התמכרותיים ואשר השקיע מאמצים לאורך השנים לייצב ולש</w:t>
      </w:r>
      <w:r>
        <w:rPr>
          <w:rFonts w:ascii="David" w:eastAsia="David" w:hAnsi="David" w:hint="cs"/>
          <w:rtl/>
        </w:rPr>
        <w:t>ק</w:t>
      </w:r>
      <w:r>
        <w:rPr>
          <w:rFonts w:ascii="David" w:eastAsia="David" w:hAnsi="David"/>
          <w:rtl/>
        </w:rPr>
        <w:t xml:space="preserve">ם </w:t>
      </w:r>
      <w:r>
        <w:rPr>
          <w:rFonts w:ascii="David" w:eastAsia="David" w:hAnsi="David" w:hint="cs"/>
          <w:rtl/>
        </w:rPr>
        <w:t xml:space="preserve">את </w:t>
      </w:r>
      <w:r>
        <w:rPr>
          <w:rFonts w:ascii="David" w:eastAsia="David" w:hAnsi="David"/>
          <w:rtl/>
        </w:rPr>
        <w:t>עצמו. ניכר כי מעורבות הנאשם בתיק דנא מהווה הרתעה מספקת ומציבת גבול</w:t>
      </w:r>
      <w:r>
        <w:rPr>
          <w:rFonts w:ascii="David" w:eastAsia="David" w:hAnsi="David" w:hint="cs"/>
          <w:rtl/>
        </w:rPr>
        <w:t>ות</w:t>
      </w:r>
      <w:r>
        <w:rPr>
          <w:rFonts w:ascii="David" w:eastAsia="David" w:hAnsi="David"/>
          <w:rtl/>
        </w:rPr>
        <w:t xml:space="preserve"> בפני עצמה, </w:t>
      </w:r>
      <w:r>
        <w:rPr>
          <w:rFonts w:ascii="David" w:eastAsia="David" w:hAnsi="David" w:hint="cs"/>
          <w:rtl/>
        </w:rPr>
        <w:t>ו</w:t>
      </w:r>
      <w:r>
        <w:rPr>
          <w:rFonts w:ascii="David" w:eastAsia="David" w:hAnsi="David"/>
          <w:rtl/>
        </w:rPr>
        <w:t xml:space="preserve">מאז </w:t>
      </w:r>
      <w:r>
        <w:rPr>
          <w:rFonts w:ascii="David" w:eastAsia="David" w:hAnsi="David" w:hint="cs"/>
          <w:rtl/>
        </w:rPr>
        <w:t xml:space="preserve">ביצוע העבירה </w:t>
      </w:r>
      <w:r>
        <w:rPr>
          <w:rFonts w:ascii="David" w:eastAsia="David" w:hAnsi="David"/>
          <w:rtl/>
        </w:rPr>
        <w:t>לא נפתחו נגד הנאשם תיקי מב"ד נוספים.</w:t>
      </w:r>
    </w:p>
    <w:p w14:paraId="4A2DBF7D"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שירות המבחן בחן את גורמי הסיכון אל מול גורמי הסיכוי</w:t>
      </w:r>
      <w:r>
        <w:rPr>
          <w:rFonts w:ascii="David" w:eastAsia="David" w:hAnsi="David" w:hint="cs"/>
          <w:rtl/>
        </w:rPr>
        <w:t xml:space="preserve"> בעניינו של הנאשם</w:t>
      </w:r>
      <w:r>
        <w:rPr>
          <w:rFonts w:ascii="David" w:eastAsia="David" w:hAnsi="David"/>
          <w:rtl/>
        </w:rPr>
        <w:t>. אשר לגורמי הסיכון שקל שירות המבחן את היות הנאשם נעדר גורמי תמיכה ו</w:t>
      </w:r>
      <w:r>
        <w:rPr>
          <w:rFonts w:ascii="David" w:eastAsia="David" w:hAnsi="David" w:hint="cs"/>
          <w:rtl/>
        </w:rPr>
        <w:t xml:space="preserve">את </w:t>
      </w:r>
      <w:r>
        <w:rPr>
          <w:rFonts w:ascii="David" w:eastAsia="David" w:hAnsi="David"/>
          <w:rtl/>
        </w:rPr>
        <w:t>הקושי שלו לפנות לעזרה ולגורמי טיפול בעתות של קושי ומשבר. עוד נשקל</w:t>
      </w:r>
      <w:r>
        <w:rPr>
          <w:rFonts w:ascii="David" w:eastAsia="David" w:hAnsi="David" w:hint="cs"/>
          <w:rtl/>
        </w:rPr>
        <w:t>ו</w:t>
      </w:r>
      <w:r>
        <w:rPr>
          <w:rFonts w:ascii="David" w:eastAsia="David" w:hAnsi="David"/>
          <w:rtl/>
        </w:rPr>
        <w:t xml:space="preserve"> סוג וכמות הס</w:t>
      </w:r>
      <w:r>
        <w:rPr>
          <w:rFonts w:ascii="David" w:eastAsia="David" w:hAnsi="David" w:hint="cs"/>
          <w:rtl/>
        </w:rPr>
        <w:t xml:space="preserve">מים, בהם </w:t>
      </w:r>
      <w:r>
        <w:rPr>
          <w:rFonts w:ascii="David" w:eastAsia="David" w:hAnsi="David"/>
          <w:rtl/>
        </w:rPr>
        <w:t>החזיק הנאשם</w:t>
      </w:r>
      <w:r>
        <w:rPr>
          <w:rFonts w:ascii="David" w:eastAsia="David" w:hAnsi="David" w:hint="cs"/>
          <w:rtl/>
        </w:rPr>
        <w:t>,</w:t>
      </w:r>
      <w:r>
        <w:rPr>
          <w:rFonts w:ascii="David" w:eastAsia="David" w:hAnsi="David"/>
          <w:rtl/>
        </w:rPr>
        <w:t xml:space="preserve"> ופוטנציאל הנזק הטמון במעשיו, לצד </w:t>
      </w:r>
      <w:r>
        <w:rPr>
          <w:rFonts w:ascii="David" w:eastAsia="David" w:hAnsi="David" w:hint="cs"/>
          <w:rtl/>
        </w:rPr>
        <w:t xml:space="preserve">קיומם של </w:t>
      </w:r>
      <w:r>
        <w:rPr>
          <w:rFonts w:ascii="David" w:eastAsia="David" w:hAnsi="David"/>
          <w:rtl/>
        </w:rPr>
        <w:t xml:space="preserve">חובות כלכליים אותם טרם סילק </w:t>
      </w:r>
      <w:r>
        <w:rPr>
          <w:rFonts w:ascii="David" w:eastAsia="David" w:hAnsi="David" w:hint="cs"/>
          <w:rtl/>
        </w:rPr>
        <w:t xml:space="preserve">הנאשם </w:t>
      </w:r>
      <w:r>
        <w:rPr>
          <w:rFonts w:ascii="David" w:eastAsia="David" w:hAnsi="David"/>
          <w:rtl/>
        </w:rPr>
        <w:t xml:space="preserve">במלואם. מנגד, כגורמי סיכוי צוינו היציבות התעסוקתית של הנאשם </w:t>
      </w:r>
      <w:r>
        <w:rPr>
          <w:rFonts w:ascii="David" w:eastAsia="David" w:hAnsi="David"/>
          <w:rtl/>
        </w:rPr>
        <w:lastRenderedPageBreak/>
        <w:t xml:space="preserve">לאורך השנים והשקעתו בפן התעסוקתי; שיתוף הפעולה עם גורמי השירות וכן יכולות התקשורת הטובות; </w:t>
      </w:r>
      <w:r>
        <w:rPr>
          <w:rFonts w:ascii="David" w:eastAsia="David" w:hAnsi="David" w:hint="cs"/>
          <w:rtl/>
        </w:rPr>
        <w:t xml:space="preserve">ולבסוף </w:t>
      </w:r>
      <w:r>
        <w:rPr>
          <w:rFonts w:ascii="David" w:eastAsia="David" w:hAnsi="David"/>
          <w:rtl/>
        </w:rPr>
        <w:t>קבלת האחריות והפקת הלקחים בגין מעורבותו עם החוק.</w:t>
      </w:r>
    </w:p>
    <w:p w14:paraId="5817FDF1" w14:textId="77777777" w:rsidR="0096319F" w:rsidRPr="00FF6633" w:rsidRDefault="0096319F" w:rsidP="0096319F">
      <w:pPr>
        <w:numPr>
          <w:ilvl w:val="0"/>
          <w:numId w:val="1"/>
        </w:numPr>
        <w:tabs>
          <w:tab w:val="num" w:pos="720"/>
        </w:tabs>
        <w:spacing w:after="120" w:line="360" w:lineRule="auto"/>
        <w:ind w:left="720"/>
        <w:jc w:val="both"/>
        <w:rPr>
          <w:rFonts w:ascii="David" w:eastAsia="David" w:hAnsi="David"/>
        </w:rPr>
      </w:pPr>
      <w:r w:rsidRPr="00FF6633">
        <w:rPr>
          <w:rFonts w:ascii="David" w:eastAsia="David" w:hAnsi="David"/>
          <w:rtl/>
        </w:rPr>
        <w:t xml:space="preserve">שירות המבחן התרשם כי למרות שהנאשם יכול </w:t>
      </w:r>
      <w:r w:rsidRPr="00FF6633">
        <w:rPr>
          <w:rFonts w:ascii="David" w:eastAsia="David" w:hAnsi="David" w:hint="cs"/>
          <w:rtl/>
        </w:rPr>
        <w:t xml:space="preserve">היה </w:t>
      </w:r>
      <w:r w:rsidRPr="00FF6633">
        <w:rPr>
          <w:rFonts w:ascii="David" w:eastAsia="David" w:hAnsi="David"/>
          <w:rtl/>
        </w:rPr>
        <w:t xml:space="preserve">להיתרם מהליך טיפולי, בעת הנוכחית הוא אינו פנוי </w:t>
      </w:r>
      <w:r w:rsidRPr="00FF6633">
        <w:rPr>
          <w:rFonts w:ascii="David" w:eastAsia="David" w:hAnsi="David" w:hint="cs"/>
          <w:rtl/>
        </w:rPr>
        <w:t xml:space="preserve">לכך </w:t>
      </w:r>
      <w:r w:rsidRPr="00FF6633">
        <w:rPr>
          <w:rFonts w:ascii="David" w:eastAsia="David" w:hAnsi="David"/>
          <w:rtl/>
        </w:rPr>
        <w:t>ואינו מרגיש צורך בכך. בד בבד, ועל אף אופי העבירה, המליץ שירות המבחן לאמץ במקרה זה את האפיק הטיפולי וליתן משקל לחריגות העבירה –</w:t>
      </w:r>
      <w:r w:rsidRPr="00FF6633">
        <w:rPr>
          <w:rFonts w:ascii="David" w:eastAsia="David" w:hAnsi="David" w:hint="cs"/>
          <w:rtl/>
        </w:rPr>
        <w:t xml:space="preserve"> בהתייחס לנסיבות חייו של הנאשם </w:t>
      </w:r>
      <w:r w:rsidRPr="00FF6633">
        <w:rPr>
          <w:rFonts w:ascii="David" w:eastAsia="David" w:hAnsi="David"/>
          <w:rtl/>
        </w:rPr>
        <w:t>–</w:t>
      </w:r>
      <w:r w:rsidRPr="00FF6633">
        <w:rPr>
          <w:rFonts w:ascii="David" w:eastAsia="David" w:hAnsi="David" w:hint="cs"/>
          <w:rtl/>
        </w:rPr>
        <w:t xml:space="preserve"> </w:t>
      </w:r>
      <w:r w:rsidRPr="00FF6633">
        <w:rPr>
          <w:rFonts w:ascii="David" w:eastAsia="David" w:hAnsi="David"/>
          <w:rtl/>
        </w:rPr>
        <w:t>ולזמן שחלף מאז ביצוע</w:t>
      </w:r>
      <w:r>
        <w:rPr>
          <w:rFonts w:ascii="David" w:eastAsia="David" w:hAnsi="David" w:hint="cs"/>
          <w:rtl/>
        </w:rPr>
        <w:t xml:space="preserve"> </w:t>
      </w:r>
      <w:r w:rsidRPr="00FF6633">
        <w:rPr>
          <w:rFonts w:ascii="David" w:eastAsia="David" w:hAnsi="David"/>
          <w:rtl/>
        </w:rPr>
        <w:t>ה</w:t>
      </w:r>
      <w:r>
        <w:rPr>
          <w:rFonts w:ascii="David" w:eastAsia="David" w:hAnsi="David" w:hint="cs"/>
          <w:rtl/>
        </w:rPr>
        <w:t>עבירה</w:t>
      </w:r>
      <w:r w:rsidRPr="00FF6633">
        <w:rPr>
          <w:rFonts w:ascii="David" w:eastAsia="David" w:hAnsi="David"/>
          <w:rtl/>
        </w:rPr>
        <w:t xml:space="preserve"> ללא עבירות נוספות. בנסיבות אלה </w:t>
      </w:r>
      <w:r>
        <w:rPr>
          <w:rFonts w:ascii="David" w:eastAsia="David" w:hAnsi="David" w:hint="cs"/>
          <w:rtl/>
        </w:rPr>
        <w:t>ה</w:t>
      </w:r>
      <w:r w:rsidRPr="00FF6633">
        <w:rPr>
          <w:rFonts w:ascii="David" w:eastAsia="David" w:hAnsi="David"/>
          <w:rtl/>
        </w:rPr>
        <w:t>מליץ שירות המבחן להימנע מ</w:t>
      </w:r>
      <w:r>
        <w:rPr>
          <w:rFonts w:ascii="David" w:eastAsia="David" w:hAnsi="David" w:hint="cs"/>
          <w:rtl/>
        </w:rPr>
        <w:t xml:space="preserve">השתת </w:t>
      </w:r>
      <w:r w:rsidRPr="00FF6633">
        <w:rPr>
          <w:rFonts w:ascii="David" w:eastAsia="David" w:hAnsi="David"/>
          <w:rtl/>
        </w:rPr>
        <w:t>ענישה בדרך של עבודות שירות ולהסתפק</w:t>
      </w:r>
      <w:r>
        <w:rPr>
          <w:rFonts w:ascii="David" w:eastAsia="David" w:hAnsi="David" w:hint="cs"/>
          <w:rtl/>
        </w:rPr>
        <w:t>ות</w:t>
      </w:r>
      <w:r w:rsidRPr="00FF6633">
        <w:rPr>
          <w:rFonts w:ascii="David" w:eastAsia="David" w:hAnsi="David"/>
          <w:rtl/>
        </w:rPr>
        <w:t xml:space="preserve"> בענישה מקלה שתכלול צו של"צ בלבד. יוטעם, כי אין בתסקיר המלצה לביטול ההרשעה.</w:t>
      </w:r>
    </w:p>
    <w:p w14:paraId="2B75F718" w14:textId="77777777" w:rsidR="0096319F" w:rsidRPr="00FF6633" w:rsidRDefault="0096319F" w:rsidP="0096319F">
      <w:pPr>
        <w:spacing w:after="120" w:line="360" w:lineRule="auto"/>
        <w:jc w:val="both"/>
        <w:rPr>
          <w:rFonts w:ascii="David" w:eastAsia="David" w:hAnsi="David"/>
        </w:rPr>
      </w:pPr>
    </w:p>
    <w:p w14:paraId="679526D0" w14:textId="77777777" w:rsidR="0096319F" w:rsidRDefault="0096319F" w:rsidP="0096319F">
      <w:pPr>
        <w:spacing w:after="120" w:line="360" w:lineRule="auto"/>
        <w:jc w:val="both"/>
        <w:rPr>
          <w:rFonts w:ascii="David" w:eastAsia="David" w:hAnsi="David"/>
          <w:b/>
          <w:bCs/>
          <w:u w:val="single"/>
          <w:rtl/>
        </w:rPr>
      </w:pPr>
      <w:r>
        <w:rPr>
          <w:rFonts w:ascii="David" w:eastAsia="David" w:hAnsi="David"/>
          <w:b/>
          <w:bCs/>
          <w:rtl/>
        </w:rPr>
        <w:t>ג.</w:t>
      </w:r>
      <w:r>
        <w:rPr>
          <w:rFonts w:ascii="David" w:eastAsia="David" w:hAnsi="David"/>
          <w:b/>
          <w:bCs/>
          <w:rtl/>
        </w:rPr>
        <w:tab/>
      </w:r>
      <w:r>
        <w:rPr>
          <w:rFonts w:ascii="David" w:eastAsia="David" w:hAnsi="David"/>
          <w:b/>
          <w:bCs/>
          <w:u w:val="single"/>
          <w:rtl/>
        </w:rPr>
        <w:t>עיקר טיעוני הצדדים:</w:t>
      </w:r>
    </w:p>
    <w:p w14:paraId="5FFEE442"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ב"כ המאשימה עמד בטיעוניו על עובדות כתב האישום, שבהן כאמור הודה הנאשם, ועל נסיבות-החומרה העולות מהן. במיוחד הדגיש ב"כ המאשימה את העובדה שהנאשם החזיק על גופו סמים מסוכנים קשים, מסוג קוקאין, בכניסה למקום בילוי. עוד עמד ב"כ המאשימה על הערכים החברתיים, שנפגעו כתולדה מביצוע העבירה, והטעים כי מיד</w:t>
      </w:r>
      <w:r>
        <w:rPr>
          <w:rFonts w:ascii="David" w:eastAsia="David" w:hAnsi="David" w:hint="cs"/>
          <w:rtl/>
        </w:rPr>
        <w:t>ת</w:t>
      </w:r>
      <w:r>
        <w:rPr>
          <w:rFonts w:ascii="David" w:eastAsia="David" w:hAnsi="David"/>
          <w:rtl/>
        </w:rPr>
        <w:t xml:space="preserve"> הפגיעה בערכים אלה היא בינונית-גבוהה נוכח העובדה שמדובר בסמים קשים עמם ביקש הנאשם להיכנס למקום בילוי.</w:t>
      </w:r>
    </w:p>
    <w:p w14:paraId="5087AAFE"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בנסיבות אלה עתר ב"כ המאשימה לקביעת מתחם עונש הולם שבין 8 חודשי מאסר בפועל לבין 18 חודשי מאסר בפועל. ב"כ המאשימה הפנה </w:t>
      </w:r>
      <w:r>
        <w:rPr>
          <w:rFonts w:ascii="David" w:eastAsia="David" w:hAnsi="David" w:hint="cs"/>
          <w:rtl/>
        </w:rPr>
        <w:t xml:space="preserve">בהקשר זה </w:t>
      </w:r>
      <w:r>
        <w:rPr>
          <w:rFonts w:ascii="David" w:eastAsia="David" w:hAnsi="David"/>
          <w:rtl/>
        </w:rPr>
        <w:t>ל</w:t>
      </w:r>
      <w:hyperlink r:id="rId15" w:history="1">
        <w:r w:rsidR="00E3511E" w:rsidRPr="00E3511E">
          <w:rPr>
            <w:rFonts w:ascii="David" w:eastAsia="David" w:hAnsi="David"/>
            <w:color w:val="0000FF"/>
            <w:u w:val="single"/>
            <w:rtl/>
          </w:rPr>
          <w:t>רע"פ 1473/18</w:t>
        </w:r>
      </w:hyperlink>
      <w:r w:rsidR="00E3511E">
        <w:rPr>
          <w:rFonts w:ascii="David" w:eastAsia="David" w:hAnsi="David"/>
          <w:rtl/>
        </w:rPr>
        <w:t xml:space="preserve"> </w:t>
      </w:r>
      <w:r>
        <w:rPr>
          <w:rFonts w:ascii="David" w:eastAsia="David" w:hAnsi="David"/>
          <w:b/>
          <w:bCs/>
          <w:rtl/>
        </w:rPr>
        <w:t>אוחיון נ' מדינת ישראל</w:t>
      </w:r>
      <w:r w:rsidR="00E3511E">
        <w:rPr>
          <w:rFonts w:ascii="David" w:eastAsia="David" w:hAnsi="David"/>
          <w:rtl/>
        </w:rPr>
        <w:t xml:space="preserve"> </w:t>
      </w:r>
      <w:r>
        <w:rPr>
          <w:rFonts w:ascii="David" w:eastAsia="David" w:hAnsi="David"/>
          <w:rtl/>
        </w:rPr>
        <w:t xml:space="preserve">(22.04.2018), שם </w:t>
      </w:r>
      <w:r>
        <w:rPr>
          <w:rFonts w:ascii="David" w:eastAsia="David" w:hAnsi="David" w:hint="cs"/>
          <w:rtl/>
        </w:rPr>
        <w:t>אושר</w:t>
      </w:r>
      <w:r>
        <w:rPr>
          <w:rFonts w:ascii="David" w:eastAsia="David" w:hAnsi="David"/>
          <w:rtl/>
        </w:rPr>
        <w:t xml:space="preserve"> מתחם עונש הולם שבין 6 חודשי מאסר בפועל לבין 12 חודשי מאסר בפועל –</w:t>
      </w:r>
      <w:r>
        <w:rPr>
          <w:rFonts w:ascii="David" w:eastAsia="David" w:hAnsi="David" w:hint="cs"/>
          <w:rtl/>
        </w:rPr>
        <w:t xml:space="preserve"> וזאת </w:t>
      </w:r>
      <w:r>
        <w:rPr>
          <w:rFonts w:ascii="David" w:eastAsia="David" w:hAnsi="David"/>
          <w:rtl/>
        </w:rPr>
        <w:t xml:space="preserve">להחזקת סמים מסוכנים מסוג קוקאין במשקל כולל של 2.1 גרם לערך (שם דובר אמנם בהחזקה בבית, אך בכמות מחולקת ולמטרת מסיבה. לפירוט הנסיבות ר' גם </w:t>
      </w:r>
      <w:hyperlink r:id="rId16" w:history="1">
        <w:r w:rsidR="00E3511E" w:rsidRPr="00E3511E">
          <w:rPr>
            <w:rFonts w:ascii="David" w:eastAsia="David" w:hAnsi="David"/>
            <w:color w:val="0000FF"/>
            <w:u w:val="single"/>
            <w:rtl/>
          </w:rPr>
          <w:t>עפ"ג (מחוזי ת"א) 10481-03-17</w:t>
        </w:r>
      </w:hyperlink>
      <w:r>
        <w:rPr>
          <w:rFonts w:ascii="David" w:eastAsia="David" w:hAnsi="David"/>
          <w:rtl/>
        </w:rPr>
        <w:t xml:space="preserve"> </w:t>
      </w:r>
      <w:r>
        <w:rPr>
          <w:rFonts w:ascii="David" w:eastAsia="David" w:hAnsi="David"/>
          <w:b/>
          <w:bCs/>
          <w:rtl/>
        </w:rPr>
        <w:t>מדינת ישראל נ' אוחיון</w:t>
      </w:r>
      <w:r>
        <w:rPr>
          <w:rFonts w:ascii="David" w:eastAsia="David" w:hAnsi="David"/>
          <w:rtl/>
        </w:rPr>
        <w:t xml:space="preserve"> (17.01.2018)).</w:t>
      </w:r>
    </w:p>
    <w:p w14:paraId="7FB7A524"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אשר לגזירת עונש</w:t>
      </w:r>
      <w:r>
        <w:rPr>
          <w:rFonts w:ascii="David" w:eastAsia="David" w:hAnsi="David" w:hint="cs"/>
          <w:rtl/>
        </w:rPr>
        <w:t>ו של הנאשם</w:t>
      </w:r>
      <w:r>
        <w:rPr>
          <w:rFonts w:ascii="David" w:eastAsia="David" w:hAnsi="David"/>
          <w:rtl/>
        </w:rPr>
        <w:t xml:space="preserve"> בתוך מתחם העונש ההולם ציין ב"כ המאשימה כי מדובר בנאשם ללא הרשעות קודמות, שהודה ונטל אחריות, אך הדגיש גם את הנסיבות השליליות העולות מתסקיר שירות המבחן. הנאשם, על אף שיכול היה להיתרם ממעורבות טיפולית, אינו פנוי לכך ומתקשה להירתם לכך. מכאן, שהמלצת שירות המבחן להסתפק בענישה שיקומית מקלה אינה במקומה, וב"כ המאשימה עתר לדחייתה ולגזירת העונש בהתאם לעמדת המאשימה</w:t>
      </w:r>
      <w:r>
        <w:rPr>
          <w:rFonts w:ascii="David" w:eastAsia="David" w:hAnsi="David" w:hint="cs"/>
          <w:rtl/>
        </w:rPr>
        <w:t>,</w:t>
      </w:r>
      <w:r>
        <w:rPr>
          <w:rFonts w:ascii="David" w:eastAsia="David" w:hAnsi="David"/>
          <w:rtl/>
        </w:rPr>
        <w:t xml:space="preserve"> כפי שהוצגה </w:t>
      </w:r>
      <w:r>
        <w:rPr>
          <w:rFonts w:ascii="David" w:eastAsia="David" w:hAnsi="David" w:hint="cs"/>
          <w:rtl/>
        </w:rPr>
        <w:t xml:space="preserve">כאמור </w:t>
      </w:r>
      <w:r>
        <w:rPr>
          <w:rFonts w:ascii="David" w:eastAsia="David" w:hAnsi="David"/>
          <w:rtl/>
        </w:rPr>
        <w:t>במסגרת הסדר הטיעון.</w:t>
      </w:r>
    </w:p>
    <w:p w14:paraId="4347523C"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ב"כ הנאשם, מצידו, לא חזר בטיעוניו על העתירה לביטול ההרשעה – וטוב שכך, שכן על פני הדברים לא מדובר במקרה המתאים לביטולה של הרשעה</w:t>
      </w:r>
      <w:r>
        <w:rPr>
          <w:rFonts w:ascii="David" w:eastAsia="David" w:hAnsi="David" w:hint="cs"/>
          <w:rtl/>
        </w:rPr>
        <w:t>;</w:t>
      </w:r>
      <w:r>
        <w:rPr>
          <w:rFonts w:ascii="David" w:eastAsia="David" w:hAnsi="David"/>
          <w:rtl/>
        </w:rPr>
        <w:t xml:space="preserve"> ואף תסקיר שירות המבחן אינו ממליץ כך.</w:t>
      </w:r>
    </w:p>
    <w:p w14:paraId="222AA0E4"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לגופו של עניין הדגיש הסניגור כי מדובר בנאשם נעדר כל עבר פלילי, אשר הודה במעשיו ונטל אחריות עליהם בהזדמנות הראשונה שניתנה לו. עוד ביקש ב"כ הנאשם להתחשב בכך שלאחרונה פתח הנאשם עסק ואף עתיד להינשא בקרוב. בנסיבות אלה</w:t>
      </w:r>
      <w:r>
        <w:rPr>
          <w:rFonts w:ascii="David" w:eastAsia="David" w:hAnsi="David" w:hint="cs"/>
          <w:rtl/>
        </w:rPr>
        <w:t>,</w:t>
      </w:r>
      <w:r>
        <w:rPr>
          <w:rFonts w:ascii="David" w:eastAsia="David" w:hAnsi="David"/>
          <w:rtl/>
        </w:rPr>
        <w:t xml:space="preserve"> ו</w:t>
      </w:r>
      <w:r>
        <w:rPr>
          <w:rFonts w:ascii="David" w:eastAsia="David" w:hAnsi="David" w:hint="cs"/>
          <w:rtl/>
        </w:rPr>
        <w:t xml:space="preserve">נוכח העובדה </w:t>
      </w:r>
      <w:r>
        <w:rPr>
          <w:rFonts w:ascii="David" w:eastAsia="David" w:hAnsi="David"/>
          <w:rtl/>
        </w:rPr>
        <w:t xml:space="preserve">שבכוונת הנאשם לשקם את חייו, ביקש הסניגור להקל עם הנאשם </w:t>
      </w:r>
      <w:r>
        <w:rPr>
          <w:rFonts w:ascii="David" w:eastAsia="David" w:hAnsi="David" w:hint="cs"/>
          <w:rtl/>
        </w:rPr>
        <w:t xml:space="preserve">ככל האפשר </w:t>
      </w:r>
      <w:r>
        <w:rPr>
          <w:rFonts w:ascii="David" w:eastAsia="David" w:hAnsi="David"/>
          <w:rtl/>
        </w:rPr>
        <w:t>ו</w:t>
      </w:r>
      <w:r>
        <w:rPr>
          <w:rFonts w:ascii="David" w:eastAsia="David" w:hAnsi="David" w:hint="cs"/>
          <w:rtl/>
        </w:rPr>
        <w:t xml:space="preserve">לפיכך, </w:t>
      </w:r>
      <w:r>
        <w:rPr>
          <w:rFonts w:ascii="David" w:eastAsia="David" w:hAnsi="David"/>
          <w:rtl/>
        </w:rPr>
        <w:t>ככל ש</w:t>
      </w:r>
      <w:r>
        <w:rPr>
          <w:rFonts w:ascii="David" w:eastAsia="David" w:hAnsi="David" w:hint="cs"/>
          <w:rtl/>
        </w:rPr>
        <w:t xml:space="preserve">בית המשפט ימצא לנכון לגזור </w:t>
      </w:r>
      <w:r>
        <w:rPr>
          <w:rFonts w:ascii="David" w:eastAsia="David" w:hAnsi="David"/>
          <w:rtl/>
        </w:rPr>
        <w:t xml:space="preserve">עונש של מאסר בפועל לנשיאה בדרך של עבודות שירות, </w:t>
      </w:r>
      <w:r>
        <w:rPr>
          <w:rFonts w:ascii="David" w:eastAsia="David" w:hAnsi="David" w:hint="cs"/>
          <w:rtl/>
        </w:rPr>
        <w:t xml:space="preserve">להקל עם הנאשם ולגזור עונש </w:t>
      </w:r>
      <w:r>
        <w:rPr>
          <w:rFonts w:ascii="David" w:eastAsia="David" w:hAnsi="David"/>
          <w:rtl/>
        </w:rPr>
        <w:t>שלא יעלה על חודש ימים.</w:t>
      </w:r>
    </w:p>
    <w:p w14:paraId="586AFD2E" w14:textId="77777777" w:rsidR="0096319F" w:rsidRPr="0077273C"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לבסוף הנאשם, בדברו האחרון לעונש, הודה בטעותו ו</w:t>
      </w:r>
      <w:r>
        <w:rPr>
          <w:rFonts w:ascii="David" w:eastAsia="David" w:hAnsi="David" w:hint="cs"/>
          <w:rtl/>
        </w:rPr>
        <w:t xml:space="preserve">אף </w:t>
      </w:r>
      <w:r>
        <w:rPr>
          <w:rFonts w:ascii="David" w:eastAsia="David" w:hAnsi="David"/>
          <w:rtl/>
        </w:rPr>
        <w:t>ציין כי למד מכך. עם זאת התמקד הנאשם בדבר</w:t>
      </w:r>
      <w:r>
        <w:rPr>
          <w:rFonts w:ascii="David" w:eastAsia="David" w:hAnsi="David" w:hint="cs"/>
          <w:rtl/>
        </w:rPr>
        <w:t xml:space="preserve">ו האמור </w:t>
      </w:r>
      <w:r>
        <w:rPr>
          <w:rFonts w:ascii="David" w:eastAsia="David" w:hAnsi="David"/>
          <w:rtl/>
        </w:rPr>
        <w:t>ב</w:t>
      </w:r>
      <w:r>
        <w:rPr>
          <w:rFonts w:ascii="David" w:eastAsia="David" w:hAnsi="David" w:hint="cs"/>
          <w:rtl/>
        </w:rPr>
        <w:t xml:space="preserve">טענותיו אודות </w:t>
      </w:r>
      <w:r>
        <w:rPr>
          <w:rFonts w:ascii="David" w:eastAsia="David" w:hAnsi="David"/>
          <w:rtl/>
        </w:rPr>
        <w:t>מצבו הכלכלי הקשה, בעמדו לפני חתונה, וחזר וביקש להתחשב בכך (ר' בפרוטוקול, עמ' 12 שור</w:t>
      </w:r>
      <w:r>
        <w:rPr>
          <w:rFonts w:ascii="David" w:eastAsia="David" w:hAnsi="David" w:hint="cs"/>
          <w:rtl/>
        </w:rPr>
        <w:t>ה</w:t>
      </w:r>
      <w:r>
        <w:rPr>
          <w:rFonts w:ascii="David" w:eastAsia="David" w:hAnsi="David"/>
          <w:rtl/>
        </w:rPr>
        <w:t xml:space="preserve"> 13 ואילך).</w:t>
      </w:r>
    </w:p>
    <w:p w14:paraId="1B7FA9F3" w14:textId="77777777" w:rsidR="0096319F" w:rsidRPr="00B07104" w:rsidRDefault="0096319F" w:rsidP="0096319F">
      <w:pPr>
        <w:spacing w:after="120" w:line="360" w:lineRule="auto"/>
        <w:jc w:val="both"/>
        <w:rPr>
          <w:rFonts w:ascii="David" w:eastAsia="David" w:hAnsi="David"/>
          <w:rtl/>
        </w:rPr>
      </w:pPr>
    </w:p>
    <w:p w14:paraId="0BA799C2" w14:textId="77777777" w:rsidR="0096319F" w:rsidRPr="00CD5C10" w:rsidRDefault="0096319F" w:rsidP="0096319F">
      <w:pPr>
        <w:snapToGrid w:val="0"/>
        <w:spacing w:after="120" w:line="360" w:lineRule="auto"/>
        <w:jc w:val="both"/>
        <w:rPr>
          <w:b/>
          <w:bCs/>
          <w:u w:val="single"/>
          <w:rtl/>
        </w:rPr>
      </w:pPr>
      <w:r>
        <w:rPr>
          <w:rFonts w:hint="cs"/>
          <w:b/>
          <w:bCs/>
          <w:rtl/>
        </w:rPr>
        <w:t>ד</w:t>
      </w:r>
      <w:r w:rsidRPr="00CD5C10">
        <w:rPr>
          <w:rFonts w:hint="cs"/>
          <w:b/>
          <w:bCs/>
          <w:rtl/>
        </w:rPr>
        <w:t>.</w:t>
      </w:r>
      <w:r w:rsidRPr="00CD5C10">
        <w:rPr>
          <w:rFonts w:hint="cs"/>
          <w:b/>
          <w:bCs/>
          <w:rtl/>
        </w:rPr>
        <w:tab/>
      </w:r>
      <w:r w:rsidRPr="00CD5C10">
        <w:rPr>
          <w:rFonts w:hint="cs"/>
          <w:b/>
          <w:bCs/>
          <w:u w:val="single"/>
          <w:rtl/>
        </w:rPr>
        <w:t>קביעת מתחם העונש ההולם:</w:t>
      </w:r>
    </w:p>
    <w:p w14:paraId="37C27015" w14:textId="77777777" w:rsidR="0096319F" w:rsidRPr="00C52024" w:rsidRDefault="0096319F" w:rsidP="0096319F">
      <w:pPr>
        <w:numPr>
          <w:ilvl w:val="0"/>
          <w:numId w:val="1"/>
        </w:numPr>
        <w:tabs>
          <w:tab w:val="num" w:pos="720"/>
        </w:tabs>
        <w:spacing w:after="120" w:line="360" w:lineRule="auto"/>
        <w:ind w:left="720"/>
        <w:jc w:val="both"/>
        <w:rPr>
          <w:rFonts w:ascii="David" w:eastAsia="David" w:hAnsi="David"/>
        </w:rPr>
      </w:pPr>
      <w:r>
        <w:rPr>
          <w:rFonts w:hint="cs"/>
          <w:rtl/>
        </w:rPr>
        <w:t xml:space="preserve">בעת גזירת עונשו של נאשם על בית המשפט לקבוע, תחילה, את מתחם העונש ההולם לאירוע שבגינו הורשע הנאשם, וזאת בהתאם </w:t>
      </w:r>
      <w:r w:rsidRPr="00C52024">
        <w:rPr>
          <w:rFonts w:ascii="Tahoma" w:hAnsi="Tahoma" w:hint="cs"/>
          <w:rtl/>
        </w:rPr>
        <w:t xml:space="preserve">לעיקרון ההלימה. בהקשר זה יתחשב בית המשפט, בין השאר, </w:t>
      </w:r>
      <w:r>
        <w:rPr>
          <w:rFonts w:hint="cs"/>
          <w:rtl/>
        </w:rPr>
        <w:t>בערכים החברתיים שנפגעו מביצוע העבירות ובמידת הפגיעה בהם, במדיניות הענישה הנהוגה ובנסיבות הקשורות בביצוע העבירות.</w:t>
      </w:r>
    </w:p>
    <w:p w14:paraId="3952AFD8"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hint="cs"/>
          <w:rtl/>
        </w:rPr>
        <w:t>מקובל עליי טיעון ב"כ המאשימה לעניין הערכים החברתיים, שנפגעו כתולדה מביצוע העבירה.</w:t>
      </w:r>
      <w:r>
        <w:rPr>
          <w:rFonts w:ascii="David" w:eastAsia="David" w:hAnsi="David" w:hint="cs"/>
          <w:rtl/>
        </w:rPr>
        <w:t xml:space="preserve"> </w:t>
      </w:r>
      <w:r w:rsidRPr="00872D51">
        <w:rPr>
          <w:rFonts w:ascii="David" w:eastAsia="David" w:hAnsi="David" w:hint="cs"/>
          <w:rtl/>
        </w:rPr>
        <w:t xml:space="preserve">אכן, </w:t>
      </w:r>
      <w:r w:rsidRPr="00872D51">
        <w:rPr>
          <w:rFonts w:ascii="David" w:eastAsia="David" w:hAnsi="David"/>
          <w:rtl/>
        </w:rPr>
        <w:t xml:space="preserve">הפסיקה חוזרת ומדגישה את חומרתן של עבירות הסמים, שביצוען פוגע במידה ניכרת בערכים החברתיים של ההגנה על שלום הציבור ועל בריאותו; </w:t>
      </w:r>
      <w:r w:rsidRPr="00872D51">
        <w:rPr>
          <w:rFonts w:ascii="David" w:eastAsia="David" w:hAnsi="David" w:hint="cs"/>
          <w:rtl/>
        </w:rPr>
        <w:t xml:space="preserve">ודברים אלה נכונים במיוחד כאשר </w:t>
      </w:r>
      <w:r w:rsidRPr="00872D51">
        <w:rPr>
          <w:rFonts w:ascii="David" w:eastAsia="David" w:hAnsi="David"/>
          <w:rtl/>
        </w:rPr>
        <w:t>מדוב</w:t>
      </w:r>
      <w:r w:rsidRPr="00872D51">
        <w:rPr>
          <w:rFonts w:ascii="David" w:eastAsia="David" w:hAnsi="David" w:hint="cs"/>
          <w:rtl/>
        </w:rPr>
        <w:t>ר בסמים קשים</w:t>
      </w:r>
      <w:r>
        <w:rPr>
          <w:rFonts w:ascii="David" w:eastAsia="David" w:hAnsi="David" w:hint="cs"/>
          <w:rtl/>
        </w:rPr>
        <w:t>,</w:t>
      </w:r>
      <w:r w:rsidRPr="00872D51">
        <w:rPr>
          <w:rFonts w:ascii="David" w:eastAsia="David" w:hAnsi="David" w:hint="cs"/>
          <w:rtl/>
        </w:rPr>
        <w:t xml:space="preserve"> כבענייננו.</w:t>
      </w:r>
      <w:r>
        <w:rPr>
          <w:rFonts w:ascii="David" w:eastAsia="David" w:hAnsi="David" w:hint="cs"/>
          <w:rtl/>
        </w:rPr>
        <w:t xml:space="preserve"> זאת ועוד,</w:t>
      </w:r>
      <w:r w:rsidRPr="0077273C">
        <w:rPr>
          <w:rFonts w:ascii="David" w:eastAsia="David" w:hAnsi="David" w:hint="cs"/>
          <w:rtl/>
        </w:rPr>
        <w:t xml:space="preserve"> </w:t>
      </w:r>
      <w:r>
        <w:rPr>
          <w:rFonts w:ascii="David" w:eastAsia="David" w:hAnsi="David" w:hint="cs"/>
          <w:rtl/>
        </w:rPr>
        <w:t xml:space="preserve">מעבר לעובדה שמדובר בענייננו בסמים קשים מסוג קוקאין, מתקיימות בו גם שתי נסיבות חומרה נוספות: </w:t>
      </w:r>
      <w:r w:rsidRPr="00390967">
        <w:rPr>
          <w:rFonts w:ascii="David" w:eastAsia="David" w:hAnsi="David" w:hint="cs"/>
          <w:b/>
          <w:bCs/>
          <w:rtl/>
        </w:rPr>
        <w:t>האחת</w:t>
      </w:r>
      <w:r>
        <w:rPr>
          <w:rFonts w:ascii="David" w:eastAsia="David" w:hAnsi="David" w:hint="cs"/>
          <w:rtl/>
        </w:rPr>
        <w:t>, העובדה שהנאשם החזיק בסמים כשהם מחולקים למספר אריזות; ו</w:t>
      </w:r>
      <w:r w:rsidRPr="00390967">
        <w:rPr>
          <w:rFonts w:ascii="David" w:eastAsia="David" w:hAnsi="David" w:hint="cs"/>
          <w:b/>
          <w:bCs/>
          <w:rtl/>
        </w:rPr>
        <w:t>השנייה</w:t>
      </w:r>
      <w:r>
        <w:rPr>
          <w:rFonts w:ascii="David" w:eastAsia="David" w:hAnsi="David" w:hint="cs"/>
          <w:rtl/>
        </w:rPr>
        <w:t>, שהנאשם החזיק בסמים בכניסה למועדון, כאשר בכוונתו להיכנס למועדון יחד עם הסמים.</w:t>
      </w:r>
    </w:p>
    <w:p w14:paraId="3430BF9F"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sidRPr="00390967">
        <w:rPr>
          <w:rFonts w:ascii="David" w:eastAsia="David" w:hAnsi="David" w:hint="cs"/>
          <w:rtl/>
        </w:rPr>
        <w:t>אשר למדיניות הענישה הנהוגה, מעבר לאסמכתא אליה הפנה ב"כ המאשימה ניתן להפנות גם ל</w:t>
      </w:r>
      <w:hyperlink r:id="rId17" w:history="1">
        <w:r w:rsidR="00E3511E" w:rsidRPr="00E3511E">
          <w:rPr>
            <w:rFonts w:ascii="David" w:eastAsia="David" w:hAnsi="David"/>
            <w:color w:val="0000FF"/>
            <w:u w:val="single"/>
            <w:rtl/>
          </w:rPr>
          <w:t>ת"פ (שלום ת"א) 17610-09-15</w:t>
        </w:r>
      </w:hyperlink>
      <w:r w:rsidR="00E3511E">
        <w:rPr>
          <w:rFonts w:ascii="David" w:eastAsia="David" w:hAnsi="David"/>
          <w:rtl/>
        </w:rPr>
        <w:t xml:space="preserve"> </w:t>
      </w:r>
      <w:r w:rsidRPr="00390967">
        <w:rPr>
          <w:rFonts w:ascii="David" w:eastAsia="David" w:hAnsi="David"/>
          <w:b/>
          <w:bCs/>
          <w:rtl/>
        </w:rPr>
        <w:t>מדינת ישראל נ' אבו עביד</w:t>
      </w:r>
      <w:r w:rsidR="00E3511E">
        <w:rPr>
          <w:rFonts w:ascii="David" w:eastAsia="David" w:hAnsi="David"/>
          <w:rtl/>
        </w:rPr>
        <w:t xml:space="preserve"> </w:t>
      </w:r>
      <w:r w:rsidRPr="00390967">
        <w:rPr>
          <w:rFonts w:ascii="David" w:eastAsia="David" w:hAnsi="David"/>
          <w:rtl/>
        </w:rPr>
        <w:t>(03.04.2019)</w:t>
      </w:r>
      <w:r w:rsidRPr="00390967">
        <w:rPr>
          <w:rFonts w:ascii="David" w:eastAsia="David" w:hAnsi="David" w:hint="cs"/>
          <w:rtl/>
        </w:rPr>
        <w:t xml:space="preserve">, שם נקבע מתחם עונש הולם שבין 6 </w:t>
      </w:r>
      <w:r w:rsidRPr="00390967">
        <w:rPr>
          <w:rFonts w:ascii="David" w:eastAsia="David" w:hAnsi="David"/>
          <w:rtl/>
        </w:rPr>
        <w:t xml:space="preserve">חודשי מאסר, </w:t>
      </w:r>
      <w:r w:rsidRPr="00390967">
        <w:rPr>
          <w:rFonts w:ascii="David" w:eastAsia="David" w:hAnsi="David" w:hint="cs"/>
          <w:rtl/>
        </w:rPr>
        <w:t xml:space="preserve">לנשיאה </w:t>
      </w:r>
      <w:r w:rsidRPr="00390967">
        <w:rPr>
          <w:rFonts w:ascii="David" w:eastAsia="David" w:hAnsi="David"/>
          <w:rtl/>
        </w:rPr>
        <w:t>בעבודות שירות, לבין 14 חודשי מאסר בפועל</w:t>
      </w:r>
      <w:r w:rsidRPr="00390967">
        <w:rPr>
          <w:rFonts w:ascii="David" w:eastAsia="David" w:hAnsi="David" w:hint="cs"/>
          <w:rtl/>
        </w:rPr>
        <w:t>; ול</w:t>
      </w:r>
      <w:hyperlink r:id="rId18" w:history="1">
        <w:r w:rsidR="00E3511E" w:rsidRPr="00E3511E">
          <w:rPr>
            <w:rFonts w:ascii="David" w:eastAsia="David" w:hAnsi="David"/>
            <w:color w:val="0000FF"/>
            <w:u w:val="single"/>
            <w:rtl/>
          </w:rPr>
          <w:t>ת"פ (שלום ק"ג) 52781-10-18</w:t>
        </w:r>
      </w:hyperlink>
      <w:r w:rsidR="00E3511E">
        <w:rPr>
          <w:rFonts w:ascii="David" w:eastAsia="David" w:hAnsi="David"/>
          <w:rtl/>
        </w:rPr>
        <w:t xml:space="preserve"> </w:t>
      </w:r>
      <w:r w:rsidRPr="00390967">
        <w:rPr>
          <w:rFonts w:ascii="David" w:eastAsia="David" w:hAnsi="David"/>
          <w:b/>
          <w:bCs/>
          <w:rtl/>
        </w:rPr>
        <w:t>מדינת ישראל נ' אבאיוב</w:t>
      </w:r>
      <w:r w:rsidR="00E3511E">
        <w:rPr>
          <w:rFonts w:ascii="David" w:eastAsia="David" w:hAnsi="David"/>
          <w:rtl/>
        </w:rPr>
        <w:t xml:space="preserve"> </w:t>
      </w:r>
      <w:r w:rsidRPr="00390967">
        <w:rPr>
          <w:rFonts w:ascii="David" w:eastAsia="David" w:hAnsi="David"/>
          <w:rtl/>
        </w:rPr>
        <w:t>(19.02.2020)</w:t>
      </w:r>
      <w:r w:rsidRPr="00390967">
        <w:rPr>
          <w:rFonts w:ascii="David" w:eastAsia="David" w:hAnsi="David" w:hint="cs"/>
          <w:rtl/>
        </w:rPr>
        <w:t xml:space="preserve"> </w:t>
      </w:r>
      <w:r>
        <w:rPr>
          <w:rFonts w:ascii="David" w:eastAsia="David" w:hAnsi="David" w:hint="cs"/>
          <w:rtl/>
        </w:rPr>
        <w:t>, שם נקבע מתחם עונש הולם שבין 5</w:t>
      </w:r>
      <w:r w:rsidRPr="00390967">
        <w:rPr>
          <w:rFonts w:ascii="David" w:eastAsia="David" w:hAnsi="David" w:hint="cs"/>
          <w:rtl/>
        </w:rPr>
        <w:t xml:space="preserve"> </w:t>
      </w:r>
      <w:r w:rsidRPr="00390967">
        <w:rPr>
          <w:rFonts w:ascii="David" w:eastAsia="David" w:hAnsi="David"/>
          <w:rtl/>
        </w:rPr>
        <w:t xml:space="preserve">חודשי מאסר, </w:t>
      </w:r>
      <w:r w:rsidRPr="00390967">
        <w:rPr>
          <w:rFonts w:ascii="David" w:eastAsia="David" w:hAnsi="David" w:hint="cs"/>
          <w:rtl/>
        </w:rPr>
        <w:t xml:space="preserve">לנשיאה </w:t>
      </w:r>
      <w:r w:rsidRPr="00390967">
        <w:rPr>
          <w:rFonts w:ascii="David" w:eastAsia="David" w:hAnsi="David"/>
          <w:rtl/>
        </w:rPr>
        <w:t xml:space="preserve">בעבודות שירות, לבין </w:t>
      </w:r>
      <w:r>
        <w:rPr>
          <w:rFonts w:ascii="David" w:eastAsia="David" w:hAnsi="David"/>
          <w:rtl/>
        </w:rPr>
        <w:t>1</w:t>
      </w:r>
      <w:r>
        <w:rPr>
          <w:rFonts w:ascii="David" w:eastAsia="David" w:hAnsi="David" w:hint="cs"/>
          <w:rtl/>
        </w:rPr>
        <w:t>2</w:t>
      </w:r>
      <w:r w:rsidRPr="00390967">
        <w:rPr>
          <w:rFonts w:ascii="David" w:eastAsia="David" w:hAnsi="David"/>
          <w:rtl/>
        </w:rPr>
        <w:t xml:space="preserve"> חודשי מאסר בפועל</w:t>
      </w:r>
      <w:r>
        <w:rPr>
          <w:rFonts w:ascii="David" w:eastAsia="David" w:hAnsi="David" w:hint="cs"/>
          <w:rtl/>
        </w:rPr>
        <w:t xml:space="preserve"> (ר' גם סקירת הפסיקה שם).</w:t>
      </w:r>
    </w:p>
    <w:p w14:paraId="4D33FB8C" w14:textId="77777777" w:rsidR="0096319F" w:rsidRPr="0022158E" w:rsidRDefault="0096319F" w:rsidP="0096319F">
      <w:pPr>
        <w:numPr>
          <w:ilvl w:val="0"/>
          <w:numId w:val="1"/>
        </w:numPr>
        <w:tabs>
          <w:tab w:val="num" w:pos="720"/>
        </w:tabs>
        <w:spacing w:after="120" w:line="360" w:lineRule="auto"/>
        <w:ind w:left="720"/>
        <w:jc w:val="both"/>
        <w:rPr>
          <w:rFonts w:ascii="David" w:eastAsia="David" w:hAnsi="David"/>
        </w:rPr>
      </w:pPr>
      <w:r>
        <w:rPr>
          <w:rFonts w:hint="cs"/>
          <w:rtl/>
        </w:rPr>
        <w:t>אני קובע אפוא את מתחם העונש ההולם, במקרה זה, בין 5 חודשי מאסר בפועל לבין 12 חודשי מאסר בפועל.</w:t>
      </w:r>
    </w:p>
    <w:p w14:paraId="5E45F9F5" w14:textId="77777777" w:rsidR="0096319F" w:rsidRDefault="0096319F" w:rsidP="0096319F">
      <w:pPr>
        <w:spacing w:after="120" w:line="360" w:lineRule="auto"/>
        <w:jc w:val="both"/>
        <w:rPr>
          <w:rtl/>
        </w:rPr>
      </w:pPr>
    </w:p>
    <w:p w14:paraId="3D930C83" w14:textId="77777777" w:rsidR="0096319F" w:rsidRPr="00CE1F20" w:rsidRDefault="0096319F" w:rsidP="0096319F">
      <w:pPr>
        <w:snapToGrid w:val="0"/>
        <w:spacing w:after="120" w:line="360" w:lineRule="auto"/>
        <w:jc w:val="both"/>
        <w:rPr>
          <w:b/>
          <w:bCs/>
          <w:u w:val="single"/>
          <w:rtl/>
        </w:rPr>
      </w:pPr>
      <w:r>
        <w:rPr>
          <w:rFonts w:hint="cs"/>
          <w:b/>
          <w:bCs/>
          <w:rtl/>
        </w:rPr>
        <w:t>ה</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r>
        <w:rPr>
          <w:rFonts w:hint="cs"/>
          <w:b/>
          <w:bCs/>
          <w:u w:val="single"/>
          <w:rtl/>
        </w:rPr>
        <w:t xml:space="preserve"> והחריגה הימנו</w:t>
      </w:r>
      <w:r w:rsidRPr="00CE1F20">
        <w:rPr>
          <w:rFonts w:hint="cs"/>
          <w:b/>
          <w:bCs/>
          <w:u w:val="single"/>
          <w:rtl/>
        </w:rPr>
        <w:t>:</w:t>
      </w:r>
    </w:p>
    <w:p w14:paraId="4D53D5A1"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sidRPr="00B07104">
        <w:rPr>
          <w:rFonts w:ascii="David" w:eastAsia="David" w:hAnsi="David"/>
          <w:rtl/>
        </w:rPr>
        <w:t>לאחר קביעת מתחם העונש ההולם על בית המשפט לגזור את עונשו של הנאשם בתוך מתחם זה</w:t>
      </w:r>
      <w:r>
        <w:rPr>
          <w:rFonts w:ascii="David" w:eastAsia="David" w:hAnsi="David" w:hint="cs"/>
          <w:rtl/>
        </w:rPr>
        <w:t>,</w:t>
      </w:r>
      <w:r w:rsidRPr="00B07104">
        <w:rPr>
          <w:rFonts w:ascii="David" w:eastAsia="David" w:hAnsi="David"/>
          <w:rtl/>
        </w:rPr>
        <w:t xml:space="preserve"> תוך התחשבות בנסיבות שאינן קשורות בביצוע העבירה. עם זאת, לבית המשפט סמכות לחרוג לכף קולה ממתחם העונש ההולם, משיקולי שיקום, בהתאם להוראות </w:t>
      </w:r>
      <w:hyperlink r:id="rId19" w:history="1">
        <w:r w:rsidR="00B83D04" w:rsidRPr="00B83D04">
          <w:rPr>
            <w:rStyle w:val="Hyperlink"/>
            <w:rFonts w:ascii="David" w:eastAsia="David" w:hAnsi="David"/>
            <w:rtl/>
          </w:rPr>
          <w:t>סעיף 40ד</w:t>
        </w:r>
      </w:hyperlink>
      <w:r w:rsidRPr="00B07104">
        <w:rPr>
          <w:rFonts w:ascii="David" w:eastAsia="David" w:hAnsi="David"/>
          <w:rtl/>
        </w:rPr>
        <w:t xml:space="preserve"> ל</w:t>
      </w:r>
      <w:hyperlink r:id="rId20" w:history="1">
        <w:r w:rsidR="00E3511E" w:rsidRPr="00E3511E">
          <w:rPr>
            <w:rFonts w:ascii="David" w:eastAsia="David" w:hAnsi="David"/>
            <w:color w:val="0000FF"/>
            <w:u w:val="single"/>
            <w:rtl/>
          </w:rPr>
          <w:t>חוק העונשין</w:t>
        </w:r>
      </w:hyperlink>
      <w:r w:rsidRPr="00B07104">
        <w:rPr>
          <w:rFonts w:ascii="David" w:eastAsia="David" w:hAnsi="David"/>
          <w:rtl/>
        </w:rPr>
        <w:t>. לפי הוראות סעיף זה, אם מצא בית המשפט כי הנאשם השתקם או כי יש סיכוי של ממש שישתקם, הוא רשאי לחרוג ל</w:t>
      </w:r>
      <w:r>
        <w:rPr>
          <w:rFonts w:ascii="David" w:eastAsia="David" w:hAnsi="David" w:hint="cs"/>
          <w:rtl/>
        </w:rPr>
        <w:t xml:space="preserve">כף </w:t>
      </w:r>
      <w:r w:rsidRPr="00B07104">
        <w:rPr>
          <w:rFonts w:ascii="David" w:eastAsia="David" w:hAnsi="David"/>
          <w:rtl/>
        </w:rPr>
        <w:t>קולה ממתחם העונש ההולם ולקבוע את עונשו של הנאשם לפי שיקולי שיקומו.</w:t>
      </w:r>
    </w:p>
    <w:p w14:paraId="24376BBD"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sidRPr="00B07104">
        <w:rPr>
          <w:rFonts w:ascii="David" w:eastAsia="David" w:hAnsi="David"/>
          <w:rtl/>
        </w:rPr>
        <w:t xml:space="preserve">בענייננו מדובר בנאשם </w:t>
      </w:r>
      <w:r>
        <w:rPr>
          <w:rFonts w:ascii="David" w:eastAsia="David" w:hAnsi="David" w:hint="cs"/>
          <w:rtl/>
        </w:rPr>
        <w:t xml:space="preserve">צעיר לימים, </w:t>
      </w:r>
      <w:r>
        <w:rPr>
          <w:rFonts w:ascii="David" w:eastAsia="David" w:hAnsi="David"/>
          <w:rtl/>
        </w:rPr>
        <w:t xml:space="preserve">כבן </w:t>
      </w:r>
      <w:r>
        <w:rPr>
          <w:rFonts w:ascii="David" w:eastAsia="David" w:hAnsi="David" w:hint="cs"/>
          <w:rtl/>
        </w:rPr>
        <w:t>28</w:t>
      </w:r>
      <w:r w:rsidRPr="00B07104">
        <w:rPr>
          <w:rFonts w:ascii="David" w:eastAsia="David" w:hAnsi="David"/>
          <w:rtl/>
        </w:rPr>
        <w:t xml:space="preserve"> שנ</w:t>
      </w:r>
      <w:r>
        <w:rPr>
          <w:rFonts w:ascii="David" w:eastAsia="David" w:hAnsi="David" w:hint="cs"/>
          <w:rtl/>
        </w:rPr>
        <w:t xml:space="preserve">ים. לנאשם אין כל רישומים קודמים, וגם בתקופה הממושכת שחלפה מעת ביצוע העבירה </w:t>
      </w:r>
      <w:r>
        <w:rPr>
          <w:rFonts w:ascii="David" w:eastAsia="David" w:hAnsi="David"/>
          <w:rtl/>
        </w:rPr>
        <w:t>–</w:t>
      </w:r>
      <w:r>
        <w:rPr>
          <w:rFonts w:ascii="David" w:eastAsia="David" w:hAnsi="David" w:hint="cs"/>
          <w:rtl/>
        </w:rPr>
        <w:t xml:space="preserve"> כשלוש וחצי שנים </w:t>
      </w:r>
      <w:r>
        <w:rPr>
          <w:rFonts w:ascii="David" w:eastAsia="David" w:hAnsi="David"/>
          <w:rtl/>
        </w:rPr>
        <w:t>–</w:t>
      </w:r>
      <w:r>
        <w:rPr>
          <w:rFonts w:ascii="David" w:eastAsia="David" w:hAnsi="David" w:hint="cs"/>
          <w:rtl/>
        </w:rPr>
        <w:t xml:space="preserve"> הוא לא שב והסתבך בפלילים. הנאשם מגלה יציבות תעסוקתית, וכפי שמסר בדיון הוא עתיד להתחתן בקרוב. תסקיר שירות המבחן שהתקבל בעניינו של הנאשם הוא חיובי בהחלט, הגם שאינו ממליץ על שילובו של הנאשם בהליכים טיפוליים. התסקיר ממליץ על ענישה שיקומית, בין השאר על רקע התרשמות כי ההליך הנוכחי מהווה גורם מרתיע ומציב גבולות לנאשם.</w:t>
      </w:r>
    </w:p>
    <w:p w14:paraId="7D2CFADD" w14:textId="77777777" w:rsidR="0096319F" w:rsidRDefault="0096319F" w:rsidP="0096319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בנסיבות אלה ראוי אפוא לחרוג ממתחם העונש ההולם משיקולי שיקום, ולו במידה מסוימת; ולהשית על הנאשם עונש שיאפשר את שיקומו והתמדתו במסלול החיים היציב, אותו הוא מנהל בשנים האחרונות.</w:t>
      </w:r>
    </w:p>
    <w:p w14:paraId="41A0DBE2" w14:textId="77777777" w:rsidR="0096319F" w:rsidRPr="00FE1F6D" w:rsidRDefault="0096319F" w:rsidP="0096319F">
      <w:pPr>
        <w:numPr>
          <w:ilvl w:val="0"/>
          <w:numId w:val="1"/>
        </w:numPr>
        <w:tabs>
          <w:tab w:val="num" w:pos="720"/>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מחליט לחרוג ממתחם העונש ההולם, משיקולי שיקום, ולגזור על הנאשם את העונשים הבאים:</w:t>
      </w:r>
    </w:p>
    <w:p w14:paraId="532040A5" w14:textId="77777777" w:rsidR="0096319F" w:rsidRDefault="0096319F" w:rsidP="0096319F">
      <w:pPr>
        <w:spacing w:after="120" w:line="360" w:lineRule="auto"/>
        <w:ind w:left="720"/>
        <w:jc w:val="both"/>
        <w:rPr>
          <w:rFonts w:ascii="Tahoma" w:hAnsi="Tahoma"/>
          <w:rtl/>
        </w:rPr>
      </w:pPr>
      <w:r>
        <w:rPr>
          <w:rFonts w:hint="cs"/>
          <w:rtl/>
        </w:rPr>
        <w:t>(א)</w:t>
      </w:r>
      <w:r>
        <w:rPr>
          <w:rtl/>
        </w:rPr>
        <w:tab/>
      </w:r>
      <w:r>
        <w:rPr>
          <w:rFonts w:hint="cs"/>
          <w:rtl/>
        </w:rPr>
        <w:t>3 חודשי מאסר בפועל.</w:t>
      </w:r>
    </w:p>
    <w:p w14:paraId="175CE817" w14:textId="77777777" w:rsidR="0096319F" w:rsidRDefault="0096319F" w:rsidP="0096319F">
      <w:pPr>
        <w:spacing w:after="120" w:line="360" w:lineRule="auto"/>
        <w:ind w:left="144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13.07.2022.</w:t>
      </w:r>
    </w:p>
    <w:p w14:paraId="62406E47" w14:textId="77777777" w:rsidR="0096319F" w:rsidRDefault="0096319F" w:rsidP="0096319F">
      <w:pPr>
        <w:spacing w:after="120" w:line="360" w:lineRule="auto"/>
        <w:ind w:left="1440"/>
        <w:jc w:val="both"/>
        <w:rPr>
          <w:rFonts w:ascii="Tahoma" w:hAnsi="Tahoma"/>
          <w:rtl/>
        </w:rPr>
      </w:pPr>
      <w:r>
        <w:rPr>
          <w:rFonts w:ascii="Tahoma" w:hAnsi="Tahoma" w:hint="cs"/>
          <w:rtl/>
        </w:rPr>
        <w:t>על הנאשם להתייצב לנשיאת עונשו במשרדי הממונה על עבודות השירות, ביום 25.10.2022 עד השעה 08:00.</w:t>
      </w:r>
    </w:p>
    <w:p w14:paraId="5CD39546" w14:textId="77777777" w:rsidR="0096319F" w:rsidRDefault="0096319F" w:rsidP="0096319F">
      <w:pPr>
        <w:spacing w:after="120" w:line="360" w:lineRule="auto"/>
        <w:ind w:left="144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3C128575" w14:textId="77777777" w:rsidR="0096319F" w:rsidRDefault="0096319F" w:rsidP="0096319F">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בעבודות שירות, עבירה לפי הוראות </w:t>
      </w:r>
      <w:hyperlink r:id="rId21" w:history="1">
        <w:r w:rsidR="00E3511E" w:rsidRPr="00E3511E">
          <w:rPr>
            <w:color w:val="0000FF"/>
            <w:u w:val="single"/>
            <w:rtl/>
          </w:rPr>
          <w:t>פקודת הסמים המסוכנים</w:t>
        </w:r>
      </w:hyperlink>
      <w:r>
        <w:rPr>
          <w:rFonts w:hint="cs"/>
          <w:rtl/>
        </w:rPr>
        <w:t xml:space="preserve"> מסוג פשע.</w:t>
      </w:r>
    </w:p>
    <w:p w14:paraId="2D96A9FA" w14:textId="77777777" w:rsidR="0096319F" w:rsidRPr="00E0628E" w:rsidRDefault="0096319F" w:rsidP="0096319F">
      <w:pPr>
        <w:spacing w:after="120" w:line="360" w:lineRule="auto"/>
        <w:ind w:left="720"/>
        <w:jc w:val="both"/>
        <w:rPr>
          <w:rFonts w:ascii="Tahoma" w:hAnsi="Tahoma"/>
        </w:rPr>
      </w:pPr>
      <w:r>
        <w:rPr>
          <w:rFonts w:hint="cs"/>
          <w:rtl/>
        </w:rPr>
        <w:t>(ג)</w:t>
      </w:r>
      <w:r>
        <w:rPr>
          <w:rtl/>
        </w:rPr>
        <w:tab/>
      </w:r>
      <w:r>
        <w:rPr>
          <w:rFonts w:hint="cs"/>
          <w:rtl/>
        </w:rPr>
        <w:t>קנס בסך של 1,500 ₪, או 7 ימי מאסר תמורתו.</w:t>
      </w:r>
    </w:p>
    <w:p w14:paraId="0803B8CF" w14:textId="77777777" w:rsidR="0096319F" w:rsidRDefault="0096319F" w:rsidP="0096319F">
      <w:pPr>
        <w:spacing w:after="120" w:line="360" w:lineRule="auto"/>
        <w:ind w:left="1440"/>
        <w:jc w:val="both"/>
        <w:rPr>
          <w:rFonts w:ascii="Tahoma" w:hAnsi="Tahoma"/>
        </w:rPr>
      </w:pPr>
      <w:r>
        <w:rPr>
          <w:rFonts w:hint="cs"/>
          <w:rtl/>
        </w:rPr>
        <w:t>הקנס ישולם ב-3 תשלומים חודשיים, שווים ורצופים, החל מיום 01.09.2022 ובכל אחד בחודש שלאחריו. היה והנאשם לא ישלם את אחד התשלומים במועד תועמד כל יתרת הקנס לפירעון מידי.</w:t>
      </w:r>
    </w:p>
    <w:p w14:paraId="11D5A0A3" w14:textId="77777777" w:rsidR="0096319F" w:rsidRDefault="0096319F" w:rsidP="0096319F">
      <w:pPr>
        <w:spacing w:after="120" w:line="360" w:lineRule="auto"/>
        <w:ind w:left="144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2" w:history="1">
        <w:r w:rsidR="00E3511E" w:rsidRPr="00E3511E">
          <w:rPr>
            <w:color w:val="0000FF"/>
            <w:u w:val="single"/>
            <w:rtl/>
          </w:rPr>
          <w:t>פקודת הסמים המסוכנים</w:t>
        </w:r>
      </w:hyperlink>
      <w:r>
        <w:rPr>
          <w:rFonts w:hint="cs"/>
          <w:rtl/>
        </w:rPr>
        <w:t>.</w:t>
      </w:r>
    </w:p>
    <w:p w14:paraId="4B8052F9" w14:textId="77777777" w:rsidR="0096319F" w:rsidRDefault="0096319F" w:rsidP="0096319F">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ככל שתיוותר יתרת פיקדון היא תושב לנאשם או למי מטעמו, וזאת בהיעדר עיקול או מניעה אחרת על פי דין להשבת הפיקדון.</w:t>
      </w:r>
    </w:p>
    <w:p w14:paraId="14FBF86C" w14:textId="77777777" w:rsidR="0096319F" w:rsidRDefault="0096319F" w:rsidP="0096319F">
      <w:pPr>
        <w:spacing w:after="120" w:line="360" w:lineRule="auto"/>
        <w:jc w:val="both"/>
        <w:rPr>
          <w:rtl/>
        </w:rPr>
      </w:pPr>
      <w:r>
        <w:rPr>
          <w:rFonts w:hint="cs"/>
          <w:rtl/>
        </w:rPr>
        <w:t>ניתן בזה צו כללי, לעניין מוצגים, לשיקול דעתו של קצין משטרה. הסמים יושמדו.</w:t>
      </w:r>
    </w:p>
    <w:p w14:paraId="2175F22C" w14:textId="77777777" w:rsidR="0096319F" w:rsidRDefault="0096319F" w:rsidP="0096319F">
      <w:pPr>
        <w:snapToGrid w:val="0"/>
        <w:spacing w:after="120" w:line="360" w:lineRule="auto"/>
        <w:jc w:val="both"/>
        <w:rPr>
          <w:rtl/>
        </w:rPr>
      </w:pPr>
      <w:r>
        <w:rPr>
          <w:rFonts w:hint="cs"/>
          <w:rtl/>
        </w:rPr>
        <w:t>זכות ערעור בתוך 45 יום מהיום.</w:t>
      </w:r>
    </w:p>
    <w:p w14:paraId="44D83888" w14:textId="77777777" w:rsidR="0096319F" w:rsidRPr="00761D70" w:rsidRDefault="00E3511E" w:rsidP="0096319F">
      <w:pPr>
        <w:spacing w:after="120" w:line="360" w:lineRule="auto"/>
        <w:jc w:val="both"/>
        <w:rPr>
          <w:rFonts w:ascii="Tahoma" w:hAnsi="Tahoma"/>
          <w:rtl/>
        </w:rPr>
      </w:pPr>
      <w:r w:rsidRPr="00E3511E">
        <w:rPr>
          <w:color w:val="FFFFFF"/>
          <w:sz w:val="2"/>
          <w:szCs w:val="2"/>
          <w:rtl/>
        </w:rPr>
        <w:t>5129371</w:t>
      </w:r>
      <w:r w:rsidR="0096319F">
        <w:rPr>
          <w:rFonts w:hint="cs"/>
          <w:rtl/>
        </w:rPr>
        <w:t>המזכירות תמציא העתק גזר דין זה לשירות המבחן.</w:t>
      </w:r>
    </w:p>
    <w:p w14:paraId="35FD9C3D" w14:textId="77777777" w:rsidR="0096319F" w:rsidRPr="00250B83" w:rsidRDefault="00E3511E" w:rsidP="0096319F">
      <w:pPr>
        <w:rPr>
          <w:rtl/>
        </w:rPr>
      </w:pPr>
      <w:bookmarkStart w:id="8" w:name="Nitan"/>
      <w:r w:rsidRPr="00E3511E">
        <w:rPr>
          <w:rFonts w:ascii="Arial" w:hAnsi="Arial"/>
          <w:color w:val="FFFFFF"/>
          <w:sz w:val="2"/>
          <w:szCs w:val="2"/>
          <w:rtl/>
        </w:rPr>
        <w:t>54678313</w:t>
      </w:r>
      <w:r>
        <w:rPr>
          <w:rFonts w:ascii="Arial" w:hAnsi="Arial"/>
          <w:rtl/>
        </w:rPr>
        <w:t xml:space="preserve">ניתן היום, כ"ח תמוז תשפ"ב, 27 יולי 2022, במעמד הצדדים. </w:t>
      </w:r>
      <w:bookmarkEnd w:id="8"/>
    </w:p>
    <w:p w14:paraId="5D5F9A0A" w14:textId="77777777" w:rsidR="0096319F" w:rsidRPr="00250B83" w:rsidRDefault="0096319F" w:rsidP="00E3511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7A54F38" w14:textId="77777777" w:rsidR="0096319F" w:rsidRPr="00250B83" w:rsidRDefault="0096319F" w:rsidP="0096319F">
      <w:pPr>
        <w:jc w:val="center"/>
        <w:rPr>
          <w:rFonts w:ascii="Arial" w:hAnsi="Arial"/>
          <w:rtl/>
        </w:rPr>
      </w:pPr>
    </w:p>
    <w:p w14:paraId="5BDCEC29" w14:textId="77777777" w:rsidR="0096319F" w:rsidRPr="00250B83" w:rsidRDefault="0096319F" w:rsidP="0096319F">
      <w:pPr>
        <w:rPr>
          <w:rtl/>
        </w:rPr>
      </w:pPr>
    </w:p>
    <w:p w14:paraId="455CD269" w14:textId="77777777" w:rsidR="0096319F" w:rsidRDefault="0096319F" w:rsidP="0096319F">
      <w:pPr>
        <w:pStyle w:val="a3"/>
        <w:jc w:val="center"/>
        <w:rPr>
          <w:rtl/>
        </w:rPr>
      </w:pPr>
    </w:p>
    <w:p w14:paraId="1500E71B" w14:textId="77777777" w:rsidR="00612D7A" w:rsidRPr="00E3511E" w:rsidRDefault="00612D7A" w:rsidP="00E3511E">
      <w:pPr>
        <w:keepNext/>
        <w:rPr>
          <w:rFonts w:ascii="David" w:hAnsi="David"/>
          <w:color w:val="000000"/>
          <w:sz w:val="22"/>
          <w:szCs w:val="22"/>
          <w:rtl/>
        </w:rPr>
      </w:pPr>
    </w:p>
    <w:p w14:paraId="5EAEABEE" w14:textId="77777777" w:rsidR="00E3511E" w:rsidRPr="00E3511E" w:rsidRDefault="00E3511E" w:rsidP="00E3511E">
      <w:pPr>
        <w:keepNext/>
        <w:rPr>
          <w:rFonts w:ascii="David" w:hAnsi="David"/>
          <w:color w:val="000000"/>
          <w:sz w:val="22"/>
          <w:szCs w:val="22"/>
          <w:rtl/>
        </w:rPr>
      </w:pPr>
      <w:r w:rsidRPr="00E3511E">
        <w:rPr>
          <w:rFonts w:ascii="David" w:hAnsi="David"/>
          <w:color w:val="000000"/>
          <w:sz w:val="22"/>
          <w:szCs w:val="22"/>
          <w:rtl/>
        </w:rPr>
        <w:t>שאול אבינור 54678313</w:t>
      </w:r>
    </w:p>
    <w:p w14:paraId="6E06C158" w14:textId="77777777" w:rsidR="00E3511E" w:rsidRDefault="00E3511E" w:rsidP="00E3511E">
      <w:r w:rsidRPr="00E3511E">
        <w:rPr>
          <w:color w:val="000000"/>
          <w:rtl/>
        </w:rPr>
        <w:t>נוסח מסמך זה כפוף לשינויי ניסוח ועריכה</w:t>
      </w:r>
    </w:p>
    <w:p w14:paraId="14343ECA" w14:textId="77777777" w:rsidR="00E3511E" w:rsidRDefault="00E3511E" w:rsidP="00E3511E">
      <w:pPr>
        <w:rPr>
          <w:rtl/>
        </w:rPr>
      </w:pPr>
    </w:p>
    <w:p w14:paraId="33597B90" w14:textId="77777777" w:rsidR="00E3511E" w:rsidRDefault="00E3511E" w:rsidP="00E3511E">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0AE6154A" w14:textId="77777777" w:rsidR="00E3511E" w:rsidRPr="00E3511E" w:rsidRDefault="00E3511E" w:rsidP="00E3511E">
      <w:pPr>
        <w:jc w:val="center"/>
        <w:rPr>
          <w:color w:val="0000FF"/>
          <w:u w:val="single"/>
        </w:rPr>
      </w:pPr>
    </w:p>
    <w:sectPr w:rsidR="00E3511E" w:rsidRPr="00E3511E" w:rsidSect="00E3511E">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BC0D5" w14:textId="77777777" w:rsidR="000C2F94" w:rsidRDefault="000C2F94" w:rsidP="00E30980">
      <w:r>
        <w:separator/>
      </w:r>
    </w:p>
  </w:endnote>
  <w:endnote w:type="continuationSeparator" w:id="0">
    <w:p w14:paraId="4ED0C141" w14:textId="77777777" w:rsidR="000C2F94" w:rsidRDefault="000C2F94" w:rsidP="00E3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F117" w14:textId="77777777" w:rsidR="00E3511E" w:rsidRDefault="00E3511E" w:rsidP="00E351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7B00C2" w14:textId="77777777" w:rsidR="000076A8" w:rsidRPr="00E3511E" w:rsidRDefault="00E3511E" w:rsidP="00E351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E4545" w14:textId="77777777" w:rsidR="00E3511E" w:rsidRDefault="00E3511E" w:rsidP="00E351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5E4A">
      <w:rPr>
        <w:rFonts w:ascii="FrankRuehl" w:hAnsi="FrankRuehl" w:cs="FrankRuehl"/>
        <w:noProof/>
        <w:rtl/>
      </w:rPr>
      <w:t>1</w:t>
    </w:r>
    <w:r>
      <w:rPr>
        <w:rFonts w:ascii="FrankRuehl" w:hAnsi="FrankRuehl" w:cs="FrankRuehl"/>
        <w:rtl/>
      </w:rPr>
      <w:fldChar w:fldCharType="end"/>
    </w:r>
  </w:p>
  <w:p w14:paraId="5D245E87" w14:textId="77777777" w:rsidR="000076A8" w:rsidRPr="00E3511E" w:rsidRDefault="00E3511E" w:rsidP="00E351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BDD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ECCFB" w14:textId="77777777" w:rsidR="000C2F94" w:rsidRDefault="000C2F94" w:rsidP="00E30980">
      <w:r>
        <w:separator/>
      </w:r>
    </w:p>
  </w:footnote>
  <w:footnote w:type="continuationSeparator" w:id="0">
    <w:p w14:paraId="445476CB" w14:textId="77777777" w:rsidR="000C2F94" w:rsidRDefault="000C2F94" w:rsidP="00E3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2D14" w14:textId="77777777" w:rsidR="00E3511E" w:rsidRPr="00E3511E" w:rsidRDefault="00E3511E" w:rsidP="00E351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55217-12-19</w:t>
    </w:r>
    <w:r>
      <w:rPr>
        <w:rFonts w:ascii="David" w:hAnsi="David"/>
        <w:color w:val="000000"/>
        <w:sz w:val="22"/>
        <w:szCs w:val="22"/>
        <w:rtl/>
      </w:rPr>
      <w:tab/>
      <w:t xml:space="preserve"> מדינת ישראל נ' מערוף זייד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F62B2" w14:textId="77777777" w:rsidR="00E3511E" w:rsidRPr="00E3511E" w:rsidRDefault="00E3511E" w:rsidP="00E351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55217-12-19</w:t>
    </w:r>
    <w:r>
      <w:rPr>
        <w:rFonts w:ascii="David" w:hAnsi="David"/>
        <w:color w:val="000000"/>
        <w:sz w:val="22"/>
        <w:szCs w:val="22"/>
        <w:rtl/>
      </w:rPr>
      <w:tab/>
      <w:t xml:space="preserve"> מדינת ישראל נ' מערוף זייד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10D4D46A"/>
    <w:lvl w:ilvl="0" w:tplc="63E270DA">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48740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319F"/>
    <w:rsid w:val="000076A8"/>
    <w:rsid w:val="000C2F94"/>
    <w:rsid w:val="001B5A3B"/>
    <w:rsid w:val="002F3768"/>
    <w:rsid w:val="00335E4A"/>
    <w:rsid w:val="00612D7A"/>
    <w:rsid w:val="006A7D0E"/>
    <w:rsid w:val="00711C04"/>
    <w:rsid w:val="007B69A9"/>
    <w:rsid w:val="00907C73"/>
    <w:rsid w:val="0096319F"/>
    <w:rsid w:val="00B83D04"/>
    <w:rsid w:val="00E30980"/>
    <w:rsid w:val="00E3511E"/>
    <w:rsid w:val="00EB6129"/>
    <w:rsid w:val="00FF3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3EE648"/>
  <w15:chartTrackingRefBased/>
  <w15:docId w15:val="{BC81C0EB-FFF6-49E7-8B5B-35D53CDC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31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319F"/>
    <w:pPr>
      <w:tabs>
        <w:tab w:val="center" w:pos="4153"/>
        <w:tab w:val="right" w:pos="8306"/>
      </w:tabs>
    </w:pPr>
  </w:style>
  <w:style w:type="character" w:customStyle="1" w:styleId="a4">
    <w:name w:val="כותרת עליונה תו"/>
    <w:link w:val="a3"/>
    <w:rsid w:val="0096319F"/>
    <w:rPr>
      <w:rFonts w:ascii="Times New Roman" w:eastAsia="Times New Roman" w:hAnsi="Times New Roman" w:cs="David"/>
      <w:sz w:val="24"/>
      <w:szCs w:val="24"/>
    </w:rPr>
  </w:style>
  <w:style w:type="paragraph" w:styleId="a5">
    <w:name w:val="footer"/>
    <w:basedOn w:val="a"/>
    <w:link w:val="a6"/>
    <w:rsid w:val="0096319F"/>
    <w:pPr>
      <w:tabs>
        <w:tab w:val="center" w:pos="4153"/>
        <w:tab w:val="right" w:pos="8306"/>
      </w:tabs>
    </w:pPr>
  </w:style>
  <w:style w:type="character" w:customStyle="1" w:styleId="a6">
    <w:name w:val="כותרת תחתונה תו"/>
    <w:link w:val="a5"/>
    <w:rsid w:val="0096319F"/>
    <w:rPr>
      <w:rFonts w:ascii="Times New Roman" w:eastAsia="Times New Roman" w:hAnsi="Times New Roman" w:cs="David"/>
      <w:sz w:val="24"/>
      <w:szCs w:val="24"/>
    </w:rPr>
  </w:style>
  <w:style w:type="table" w:styleId="a7">
    <w:name w:val="Table Grid"/>
    <w:basedOn w:val="a1"/>
    <w:rsid w:val="009631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319F"/>
  </w:style>
  <w:style w:type="character" w:styleId="Hyperlink">
    <w:name w:val="Hyperlink"/>
    <w:rsid w:val="00E35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507562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056366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2294590"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375076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1798</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10771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3473520</vt:i4>
      </vt:variant>
      <vt:variant>
        <vt:i4>33</vt:i4>
      </vt:variant>
      <vt:variant>
        <vt:i4>0</vt:i4>
      </vt:variant>
      <vt:variant>
        <vt:i4>5</vt:i4>
      </vt:variant>
      <vt:variant>
        <vt:lpwstr>http://www.nevo.co.il/case/25075625</vt:lpwstr>
      </vt:variant>
      <vt:variant>
        <vt:lpwstr/>
      </vt:variant>
      <vt:variant>
        <vt:i4>3276916</vt:i4>
      </vt:variant>
      <vt:variant>
        <vt:i4>30</vt:i4>
      </vt:variant>
      <vt:variant>
        <vt:i4>0</vt:i4>
      </vt:variant>
      <vt:variant>
        <vt:i4>5</vt:i4>
      </vt:variant>
      <vt:variant>
        <vt:lpwstr>http://www.nevo.co.il/case/20563667</vt:lpwstr>
      </vt:variant>
      <vt:variant>
        <vt:lpwstr/>
      </vt:variant>
      <vt:variant>
        <vt:i4>3997818</vt:i4>
      </vt:variant>
      <vt:variant>
        <vt:i4>27</vt:i4>
      </vt:variant>
      <vt:variant>
        <vt:i4>0</vt:i4>
      </vt:variant>
      <vt:variant>
        <vt:i4>5</vt:i4>
      </vt:variant>
      <vt:variant>
        <vt:lpwstr>http://www.nevo.co.il/case/22294590</vt:lpwstr>
      </vt:variant>
      <vt:variant>
        <vt:lpwstr/>
      </vt:variant>
      <vt:variant>
        <vt:i4>3342453</vt:i4>
      </vt:variant>
      <vt:variant>
        <vt:i4>24</vt:i4>
      </vt:variant>
      <vt:variant>
        <vt:i4>0</vt:i4>
      </vt:variant>
      <vt:variant>
        <vt:i4>5</vt:i4>
      </vt:variant>
      <vt:variant>
        <vt:lpwstr>http://www.nevo.co.il/case/23750765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55217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מערוף זייד</vt:lpwstr>
  </property>
  <property fmtid="{D5CDD505-2E9C-101B-9397-08002B2CF9AE}" pid="10" name="LAWYER">
    <vt:lpwstr>רוי חן;עומר גורן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20220727</vt:lpwstr>
  </property>
  <property fmtid="{D5CDD505-2E9C-101B-9397-08002B2CF9AE}" pid="14" name="TYPE_N_DATE">
    <vt:lpwstr>38020220727</vt:lpwstr>
  </property>
  <property fmtid="{D5CDD505-2E9C-101B-9397-08002B2CF9AE}" pid="15" name="WORDNUMPAGES">
    <vt:lpwstr>6</vt:lpwstr>
  </property>
  <property fmtid="{D5CDD505-2E9C-101B-9397-08002B2CF9AE}" pid="16" name="TYPE_ABS_DATE">
    <vt:lpwstr>380020220727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23750765;22294590;20563667;25075625</vt:lpwstr>
  </property>
  <property fmtid="{D5CDD505-2E9C-101B-9397-08002B2CF9AE}" pid="36" name="LAWLISTTMP1">
    <vt:lpwstr>4216/007.a;007.c</vt:lpwstr>
  </property>
  <property fmtid="{D5CDD505-2E9C-101B-9397-08002B2CF9AE}" pid="37" name="LAWLISTTMP2">
    <vt:lpwstr>70301/040d</vt:lpwstr>
  </property>
</Properties>
</file>