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077"/>
        <w:gridCol w:w="970"/>
        <w:gridCol w:w="3553"/>
        <w:gridCol w:w="297"/>
      </w:tblGrid>
      <w:tr w:rsidR="00755FB7" w:rsidRPr="00740FE5" w14:paraId="19779E8D" w14:textId="77777777" w:rsidTr="00325DF4">
        <w:trPr>
          <w:gridAfter w:val="1"/>
          <w:wAfter w:w="297" w:type="dxa"/>
          <w:trHeight w:hRule="exact" w:val="418"/>
          <w:jc w:val="center"/>
        </w:trPr>
        <w:tc>
          <w:tcPr>
            <w:tcW w:w="8523" w:type="dxa"/>
            <w:gridSpan w:val="4"/>
          </w:tcPr>
          <w:p w14:paraId="24778D62" w14:textId="77777777" w:rsidR="00755FB7" w:rsidRPr="00740FE5" w:rsidRDefault="00755FB7" w:rsidP="00BB79F9">
            <w:pPr>
              <w:pStyle w:val="a3"/>
              <w:jc w:val="center"/>
              <w:rPr>
                <w:rFonts w:ascii="Tahoma" w:hAnsi="Tahoma" w:cs="Tahoma"/>
                <w:color w:val="000080"/>
                <w:rtl/>
              </w:rPr>
            </w:pPr>
            <w:bookmarkStart w:id="0" w:name="LastJudge"/>
            <w:r w:rsidRPr="00740FE5">
              <w:rPr>
                <w:rFonts w:ascii="Tahoma" w:hAnsi="Tahoma" w:cs="Tahoma"/>
                <w:b/>
                <w:bCs/>
                <w:color w:val="000080"/>
                <w:rtl/>
              </w:rPr>
              <w:t>בית משפט השלום בירושלים</w:t>
            </w:r>
          </w:p>
        </w:tc>
      </w:tr>
      <w:tr w:rsidR="00755FB7" w:rsidRPr="00740FE5" w14:paraId="48C53EAF" w14:textId="77777777" w:rsidTr="00325DF4">
        <w:trPr>
          <w:gridAfter w:val="1"/>
          <w:wAfter w:w="297" w:type="dxa"/>
          <w:trHeight w:val="850"/>
          <w:jc w:val="center"/>
        </w:trPr>
        <w:tc>
          <w:tcPr>
            <w:tcW w:w="4970" w:type="dxa"/>
            <w:gridSpan w:val="3"/>
          </w:tcPr>
          <w:p w14:paraId="1D0A58AC" w14:textId="77777777" w:rsidR="00755FB7" w:rsidRPr="00740FE5" w:rsidRDefault="00755FB7" w:rsidP="00BB79F9">
            <w:pPr>
              <w:rPr>
                <w:sz w:val="26"/>
                <w:szCs w:val="26"/>
                <w:rtl/>
              </w:rPr>
            </w:pPr>
            <w:r w:rsidRPr="00740FE5">
              <w:rPr>
                <w:sz w:val="26"/>
                <w:szCs w:val="26"/>
                <w:rtl/>
              </w:rPr>
              <w:t>ת"פ</w:t>
            </w:r>
            <w:r w:rsidRPr="00740FE5">
              <w:rPr>
                <w:rFonts w:hint="cs"/>
                <w:sz w:val="26"/>
                <w:szCs w:val="26"/>
                <w:rtl/>
              </w:rPr>
              <w:t xml:space="preserve"> </w:t>
            </w:r>
            <w:r w:rsidRPr="00740FE5">
              <w:rPr>
                <w:sz w:val="26"/>
                <w:szCs w:val="26"/>
                <w:rtl/>
              </w:rPr>
              <w:t>55857-12-19</w:t>
            </w:r>
            <w:r w:rsidRPr="00740FE5">
              <w:rPr>
                <w:rFonts w:hint="cs"/>
                <w:sz w:val="26"/>
                <w:szCs w:val="26"/>
                <w:rtl/>
              </w:rPr>
              <w:t xml:space="preserve"> </w:t>
            </w:r>
            <w:r w:rsidRPr="00740FE5">
              <w:rPr>
                <w:sz w:val="26"/>
                <w:szCs w:val="26"/>
                <w:rtl/>
              </w:rPr>
              <w:t>מדינת ישראל נ' פרמונד(אחר/נוסף)</w:t>
            </w:r>
          </w:p>
        </w:tc>
        <w:tc>
          <w:tcPr>
            <w:tcW w:w="3553" w:type="dxa"/>
          </w:tcPr>
          <w:p w14:paraId="30F882F8" w14:textId="77777777" w:rsidR="00755FB7" w:rsidRPr="00740FE5" w:rsidRDefault="00755FB7" w:rsidP="00BB79F9">
            <w:pPr>
              <w:pStyle w:val="a3"/>
              <w:jc w:val="right"/>
              <w:rPr>
                <w:sz w:val="26"/>
                <w:szCs w:val="26"/>
                <w:rtl/>
              </w:rPr>
            </w:pPr>
          </w:p>
        </w:tc>
      </w:tr>
      <w:tr w:rsidR="00755FB7" w:rsidRPr="00740FE5" w14:paraId="3B624B4C" w14:textId="77777777" w:rsidTr="0032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52028A34" w14:textId="77777777" w:rsidR="00755FB7" w:rsidRPr="00740FE5" w:rsidRDefault="00755FB7" w:rsidP="00755FB7">
            <w:pPr>
              <w:jc w:val="both"/>
              <w:rPr>
                <w:rFonts w:ascii="Arial" w:hAnsi="Arial"/>
                <w:b/>
                <w:bCs/>
                <w:sz w:val="26"/>
                <w:szCs w:val="26"/>
                <w:rtl/>
              </w:rPr>
            </w:pPr>
            <w:r w:rsidRPr="00740FE5">
              <w:rPr>
                <w:rFonts w:ascii="Arial" w:hAnsi="Arial" w:hint="cs"/>
                <w:b/>
                <w:bCs/>
                <w:sz w:val="26"/>
                <w:szCs w:val="26"/>
                <w:rtl/>
              </w:rPr>
              <w:t>ל</w:t>
            </w:r>
            <w:r w:rsidRPr="00740FE5">
              <w:rPr>
                <w:rFonts w:ascii="Arial" w:hAnsi="Arial"/>
                <w:b/>
                <w:bCs/>
                <w:sz w:val="26"/>
                <w:szCs w:val="26"/>
                <w:rtl/>
              </w:rPr>
              <w:t xml:space="preserve">פני </w:t>
            </w:r>
            <w:r w:rsidRPr="00740FE5">
              <w:rPr>
                <w:rFonts w:ascii="Arial" w:hAnsi="Arial" w:hint="cs"/>
                <w:b/>
                <w:bCs/>
                <w:sz w:val="26"/>
                <w:szCs w:val="26"/>
                <w:rtl/>
              </w:rPr>
              <w:t>כבוד ה</w:t>
            </w:r>
            <w:r w:rsidRPr="00740FE5">
              <w:rPr>
                <w:rFonts w:ascii="Arial" w:hAnsi="Arial"/>
                <w:b/>
                <w:bCs/>
                <w:sz w:val="26"/>
                <w:szCs w:val="26"/>
                <w:rtl/>
              </w:rPr>
              <w:t>שופט</w:t>
            </w:r>
            <w:r w:rsidRPr="00740FE5">
              <w:rPr>
                <w:rFonts w:ascii="Arial" w:hAnsi="Arial" w:hint="cs"/>
                <w:b/>
                <w:bCs/>
                <w:sz w:val="26"/>
                <w:szCs w:val="26"/>
                <w:rtl/>
              </w:rPr>
              <w:t xml:space="preserve">  </w:t>
            </w:r>
            <w:r w:rsidRPr="00740FE5">
              <w:rPr>
                <w:rFonts w:ascii="Arial" w:hAnsi="Arial"/>
                <w:b/>
                <w:bCs/>
                <w:sz w:val="26"/>
                <w:szCs w:val="26"/>
                <w:rtl/>
              </w:rPr>
              <w:t>אביחי דורון</w:t>
            </w:r>
          </w:p>
          <w:p w14:paraId="467CC36F" w14:textId="77777777" w:rsidR="00755FB7" w:rsidRPr="00740FE5" w:rsidRDefault="00755FB7" w:rsidP="00755FB7">
            <w:pPr>
              <w:jc w:val="both"/>
              <w:rPr>
                <w:rFonts w:ascii="Arial" w:hAnsi="Arial"/>
                <w:sz w:val="26"/>
                <w:szCs w:val="26"/>
              </w:rPr>
            </w:pPr>
          </w:p>
        </w:tc>
      </w:tr>
      <w:tr w:rsidR="00755FB7" w:rsidRPr="00740FE5" w14:paraId="5D57C43E" w14:textId="77777777" w:rsidTr="0032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EF7182" w14:textId="77777777" w:rsidR="00755FB7" w:rsidRPr="00740FE5" w:rsidRDefault="00755FB7" w:rsidP="00755FB7">
            <w:pPr>
              <w:jc w:val="both"/>
              <w:rPr>
                <w:rFonts w:ascii="Arial" w:hAnsi="Arial"/>
                <w:b/>
                <w:bCs/>
                <w:sz w:val="26"/>
                <w:szCs w:val="26"/>
              </w:rPr>
            </w:pPr>
            <w:bookmarkStart w:id="1" w:name="FirstAppellant"/>
            <w:r w:rsidRPr="00740FE5">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30E26C55" w14:textId="77777777" w:rsidR="00755FB7" w:rsidRPr="00740FE5" w:rsidRDefault="00755FB7" w:rsidP="00BB79F9">
            <w:pPr>
              <w:rPr>
                <w:sz w:val="26"/>
                <w:szCs w:val="26"/>
              </w:rPr>
            </w:pPr>
            <w:r w:rsidRPr="00740FE5">
              <w:rPr>
                <w:rFonts w:ascii="Arial" w:hAnsi="Arial"/>
                <w:sz w:val="26"/>
                <w:szCs w:val="26"/>
                <w:rtl/>
              </w:rPr>
              <w:t>מדינת ישראל</w:t>
            </w:r>
          </w:p>
        </w:tc>
        <w:tc>
          <w:tcPr>
            <w:tcW w:w="4820" w:type="dxa"/>
            <w:gridSpan w:val="3"/>
            <w:tcBorders>
              <w:top w:val="nil"/>
              <w:left w:val="nil"/>
              <w:bottom w:val="nil"/>
              <w:right w:val="nil"/>
            </w:tcBorders>
            <w:shd w:val="clear" w:color="auto" w:fill="auto"/>
          </w:tcPr>
          <w:p w14:paraId="7962C620" w14:textId="77777777" w:rsidR="00755FB7" w:rsidRPr="00740FE5" w:rsidRDefault="00755FB7" w:rsidP="00755FB7">
            <w:pPr>
              <w:jc w:val="both"/>
              <w:rPr>
                <w:rFonts w:ascii="Arial" w:hAnsi="Arial"/>
                <w:sz w:val="26"/>
                <w:szCs w:val="26"/>
              </w:rPr>
            </w:pPr>
          </w:p>
        </w:tc>
      </w:tr>
      <w:bookmarkEnd w:id="1"/>
      <w:tr w:rsidR="00755FB7" w:rsidRPr="00740FE5" w14:paraId="4524E179" w14:textId="77777777" w:rsidTr="0032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1059DD" w14:textId="77777777" w:rsidR="00755FB7" w:rsidRPr="00740FE5" w:rsidRDefault="00755FB7" w:rsidP="00755FB7">
            <w:pPr>
              <w:jc w:val="both"/>
              <w:rPr>
                <w:rFonts w:ascii="Arial" w:hAnsi="Arial"/>
                <w:sz w:val="26"/>
                <w:szCs w:val="26"/>
                <w:rtl/>
              </w:rPr>
            </w:pPr>
          </w:p>
        </w:tc>
        <w:tc>
          <w:tcPr>
            <w:tcW w:w="3077" w:type="dxa"/>
            <w:tcBorders>
              <w:top w:val="nil"/>
              <w:left w:val="nil"/>
              <w:bottom w:val="nil"/>
              <w:right w:val="nil"/>
            </w:tcBorders>
            <w:shd w:val="clear" w:color="auto" w:fill="auto"/>
          </w:tcPr>
          <w:p w14:paraId="0D5436E0" w14:textId="77777777" w:rsidR="00755FB7" w:rsidRPr="00740FE5" w:rsidRDefault="00755FB7" w:rsidP="00755FB7">
            <w:pPr>
              <w:jc w:val="both"/>
              <w:rPr>
                <w:sz w:val="26"/>
                <w:szCs w:val="26"/>
                <w:rtl/>
              </w:rPr>
            </w:pPr>
          </w:p>
        </w:tc>
        <w:tc>
          <w:tcPr>
            <w:tcW w:w="4820" w:type="dxa"/>
            <w:gridSpan w:val="3"/>
            <w:tcBorders>
              <w:top w:val="nil"/>
              <w:left w:val="nil"/>
              <w:bottom w:val="nil"/>
              <w:right w:val="nil"/>
            </w:tcBorders>
            <w:shd w:val="clear" w:color="auto" w:fill="auto"/>
          </w:tcPr>
          <w:p w14:paraId="72C9DCB4" w14:textId="77777777" w:rsidR="00755FB7" w:rsidRPr="00740FE5" w:rsidRDefault="00755FB7" w:rsidP="00755FB7">
            <w:pPr>
              <w:jc w:val="right"/>
              <w:rPr>
                <w:rFonts w:ascii="Arial" w:hAnsi="Arial"/>
                <w:sz w:val="26"/>
                <w:szCs w:val="26"/>
                <w:rtl/>
              </w:rPr>
            </w:pPr>
            <w:r w:rsidRPr="00740FE5">
              <w:rPr>
                <w:rFonts w:ascii="Arial" w:hAnsi="Arial" w:hint="cs"/>
                <w:sz w:val="26"/>
                <w:szCs w:val="26"/>
                <w:rtl/>
              </w:rPr>
              <w:t>ה</w:t>
            </w:r>
            <w:r w:rsidRPr="00740FE5">
              <w:rPr>
                <w:rFonts w:ascii="Arial" w:hAnsi="Arial"/>
                <w:sz w:val="26"/>
                <w:szCs w:val="26"/>
                <w:rtl/>
              </w:rPr>
              <w:t>מאשימה</w:t>
            </w:r>
          </w:p>
        </w:tc>
      </w:tr>
      <w:tr w:rsidR="00755FB7" w:rsidRPr="00740FE5" w14:paraId="107AA2BE" w14:textId="77777777" w:rsidTr="0032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EAB101" w14:textId="77777777" w:rsidR="00755FB7" w:rsidRPr="00740FE5" w:rsidRDefault="00755FB7" w:rsidP="00755FB7">
            <w:pPr>
              <w:jc w:val="both"/>
              <w:rPr>
                <w:rFonts w:ascii="Arial" w:hAnsi="Arial"/>
                <w:sz w:val="26"/>
                <w:szCs w:val="26"/>
                <w:rtl/>
              </w:rPr>
            </w:pPr>
          </w:p>
        </w:tc>
        <w:tc>
          <w:tcPr>
            <w:tcW w:w="7897" w:type="dxa"/>
            <w:gridSpan w:val="4"/>
            <w:tcBorders>
              <w:top w:val="nil"/>
              <w:left w:val="nil"/>
              <w:bottom w:val="nil"/>
              <w:right w:val="nil"/>
            </w:tcBorders>
            <w:shd w:val="clear" w:color="auto" w:fill="auto"/>
          </w:tcPr>
          <w:p w14:paraId="7095493A" w14:textId="77777777" w:rsidR="00755FB7" w:rsidRPr="00740FE5" w:rsidRDefault="00755FB7" w:rsidP="00755FB7">
            <w:pPr>
              <w:jc w:val="center"/>
              <w:rPr>
                <w:rFonts w:ascii="Arial" w:hAnsi="Arial"/>
                <w:b/>
                <w:bCs/>
                <w:sz w:val="26"/>
                <w:szCs w:val="26"/>
                <w:rtl/>
              </w:rPr>
            </w:pPr>
          </w:p>
          <w:p w14:paraId="2A273C6B" w14:textId="77777777" w:rsidR="00755FB7" w:rsidRPr="00740FE5" w:rsidRDefault="00755FB7" w:rsidP="00755FB7">
            <w:pPr>
              <w:jc w:val="center"/>
              <w:rPr>
                <w:rFonts w:ascii="Arial" w:hAnsi="Arial"/>
                <w:b/>
                <w:bCs/>
                <w:sz w:val="26"/>
                <w:szCs w:val="26"/>
                <w:rtl/>
              </w:rPr>
            </w:pPr>
            <w:r w:rsidRPr="00740FE5">
              <w:rPr>
                <w:rFonts w:ascii="Arial" w:hAnsi="Arial"/>
                <w:b/>
                <w:bCs/>
                <w:sz w:val="26"/>
                <w:szCs w:val="26"/>
                <w:rtl/>
              </w:rPr>
              <w:t>נגד</w:t>
            </w:r>
          </w:p>
          <w:p w14:paraId="3E45A292" w14:textId="77777777" w:rsidR="00755FB7" w:rsidRPr="00740FE5" w:rsidRDefault="00755FB7" w:rsidP="00755FB7">
            <w:pPr>
              <w:jc w:val="both"/>
              <w:rPr>
                <w:rFonts w:ascii="Arial" w:hAnsi="Arial"/>
                <w:sz w:val="26"/>
                <w:szCs w:val="26"/>
              </w:rPr>
            </w:pPr>
          </w:p>
        </w:tc>
      </w:tr>
      <w:tr w:rsidR="00755FB7" w:rsidRPr="00740FE5" w14:paraId="552A04BA" w14:textId="77777777" w:rsidTr="0032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C2157C" w14:textId="77777777" w:rsidR="00755FB7" w:rsidRPr="00740FE5" w:rsidRDefault="00755FB7" w:rsidP="00BB79F9">
            <w:pPr>
              <w:rPr>
                <w:rFonts w:ascii="Arial" w:hAnsi="Arial"/>
                <w:sz w:val="26"/>
                <w:szCs w:val="26"/>
                <w:rtl/>
              </w:rPr>
            </w:pPr>
          </w:p>
        </w:tc>
        <w:tc>
          <w:tcPr>
            <w:tcW w:w="3077" w:type="dxa"/>
            <w:tcBorders>
              <w:top w:val="nil"/>
              <w:left w:val="nil"/>
              <w:bottom w:val="nil"/>
              <w:right w:val="nil"/>
            </w:tcBorders>
            <w:shd w:val="clear" w:color="auto" w:fill="auto"/>
          </w:tcPr>
          <w:p w14:paraId="6FBF144E" w14:textId="77777777" w:rsidR="00755FB7" w:rsidRPr="00740FE5" w:rsidRDefault="00755FB7" w:rsidP="00BB79F9">
            <w:pPr>
              <w:rPr>
                <w:sz w:val="26"/>
                <w:szCs w:val="26"/>
                <w:rtl/>
              </w:rPr>
            </w:pPr>
            <w:r w:rsidRPr="00740FE5">
              <w:rPr>
                <w:rFonts w:ascii="Arial" w:hAnsi="Arial"/>
                <w:sz w:val="26"/>
                <w:szCs w:val="26"/>
                <w:rtl/>
              </w:rPr>
              <w:t>שי יום טוב פרמונד (אחר/נוסף)</w:t>
            </w:r>
          </w:p>
        </w:tc>
        <w:tc>
          <w:tcPr>
            <w:tcW w:w="4820" w:type="dxa"/>
            <w:gridSpan w:val="3"/>
            <w:tcBorders>
              <w:top w:val="nil"/>
              <w:left w:val="nil"/>
              <w:bottom w:val="nil"/>
              <w:right w:val="nil"/>
            </w:tcBorders>
            <w:shd w:val="clear" w:color="auto" w:fill="auto"/>
          </w:tcPr>
          <w:p w14:paraId="107AE182" w14:textId="77777777" w:rsidR="00755FB7" w:rsidRPr="00740FE5" w:rsidRDefault="00755FB7" w:rsidP="00755FB7">
            <w:pPr>
              <w:jc w:val="right"/>
              <w:rPr>
                <w:rFonts w:ascii="Arial" w:hAnsi="Arial"/>
                <w:sz w:val="26"/>
                <w:szCs w:val="26"/>
              </w:rPr>
            </w:pPr>
          </w:p>
        </w:tc>
      </w:tr>
      <w:tr w:rsidR="00755FB7" w:rsidRPr="00740FE5" w14:paraId="5BBC25E5" w14:textId="77777777" w:rsidTr="0032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043EDE" w14:textId="77777777" w:rsidR="00755FB7" w:rsidRPr="00740FE5" w:rsidRDefault="00755FB7" w:rsidP="00755FB7">
            <w:pPr>
              <w:jc w:val="both"/>
              <w:rPr>
                <w:rFonts w:ascii="Arial" w:hAnsi="Arial"/>
                <w:sz w:val="26"/>
                <w:szCs w:val="26"/>
                <w:rtl/>
              </w:rPr>
            </w:pPr>
          </w:p>
        </w:tc>
        <w:tc>
          <w:tcPr>
            <w:tcW w:w="3077" w:type="dxa"/>
            <w:tcBorders>
              <w:top w:val="nil"/>
              <w:left w:val="nil"/>
              <w:bottom w:val="nil"/>
              <w:right w:val="nil"/>
            </w:tcBorders>
            <w:shd w:val="clear" w:color="auto" w:fill="auto"/>
          </w:tcPr>
          <w:p w14:paraId="65ECA8AE" w14:textId="77777777" w:rsidR="00755FB7" w:rsidRPr="00740FE5" w:rsidRDefault="00755FB7" w:rsidP="00755FB7">
            <w:pPr>
              <w:jc w:val="both"/>
              <w:rPr>
                <w:sz w:val="26"/>
                <w:szCs w:val="26"/>
                <w:rtl/>
              </w:rPr>
            </w:pPr>
          </w:p>
        </w:tc>
        <w:tc>
          <w:tcPr>
            <w:tcW w:w="4820" w:type="dxa"/>
            <w:gridSpan w:val="3"/>
            <w:tcBorders>
              <w:top w:val="nil"/>
              <w:left w:val="nil"/>
              <w:bottom w:val="nil"/>
              <w:right w:val="nil"/>
            </w:tcBorders>
            <w:shd w:val="clear" w:color="auto" w:fill="auto"/>
          </w:tcPr>
          <w:p w14:paraId="431019D7" w14:textId="77777777" w:rsidR="00755FB7" w:rsidRPr="00740FE5" w:rsidRDefault="00755FB7" w:rsidP="00755FB7">
            <w:pPr>
              <w:jc w:val="right"/>
              <w:rPr>
                <w:rFonts w:ascii="Arial" w:hAnsi="Arial"/>
                <w:sz w:val="26"/>
                <w:szCs w:val="26"/>
              </w:rPr>
            </w:pPr>
            <w:r w:rsidRPr="00740FE5">
              <w:rPr>
                <w:rFonts w:ascii="Arial" w:hAnsi="Arial" w:hint="cs"/>
                <w:sz w:val="26"/>
                <w:szCs w:val="26"/>
                <w:rtl/>
              </w:rPr>
              <w:t>ה</w:t>
            </w:r>
            <w:r w:rsidRPr="00740FE5">
              <w:rPr>
                <w:rFonts w:ascii="Arial" w:hAnsi="Arial"/>
                <w:sz w:val="26"/>
                <w:szCs w:val="26"/>
                <w:rtl/>
              </w:rPr>
              <w:t>נאשמים</w:t>
            </w:r>
          </w:p>
        </w:tc>
      </w:tr>
    </w:tbl>
    <w:p w14:paraId="5C06A565" w14:textId="77777777" w:rsidR="00325DF4" w:rsidRDefault="00325DF4" w:rsidP="00740FE5">
      <w:pPr>
        <w:rPr>
          <w:rtl/>
        </w:rPr>
      </w:pPr>
    </w:p>
    <w:p w14:paraId="0604006B" w14:textId="77777777" w:rsidR="00325DF4" w:rsidRPr="00325DF4" w:rsidRDefault="00325DF4" w:rsidP="00325DF4">
      <w:pPr>
        <w:spacing w:after="120" w:line="240" w:lineRule="exact"/>
        <w:ind w:left="283" w:hanging="283"/>
        <w:jc w:val="both"/>
        <w:rPr>
          <w:rFonts w:ascii="FrankRuehl" w:hAnsi="FrankRuehl" w:cs="FrankRuehl"/>
          <w:rtl/>
        </w:rPr>
      </w:pPr>
    </w:p>
    <w:p w14:paraId="6290AB7C" w14:textId="77777777" w:rsidR="00357180" w:rsidRPr="00357180" w:rsidRDefault="00357180" w:rsidP="00357180">
      <w:pPr>
        <w:spacing w:before="120" w:after="120" w:line="240" w:lineRule="exact"/>
        <w:ind w:left="283" w:hanging="283"/>
        <w:jc w:val="both"/>
        <w:rPr>
          <w:rFonts w:ascii="FrankRuehl" w:hAnsi="FrankRuehl" w:cs="FrankRuehl"/>
          <w:rtl/>
        </w:rPr>
      </w:pPr>
    </w:p>
    <w:p w14:paraId="630FB11A" w14:textId="77777777" w:rsidR="007C0BF3" w:rsidRDefault="007C0BF3" w:rsidP="007C0BF3">
      <w:pPr>
        <w:rPr>
          <w:rtl/>
        </w:rPr>
      </w:pPr>
      <w:bookmarkStart w:id="2" w:name="LawTable"/>
      <w:bookmarkEnd w:id="2"/>
    </w:p>
    <w:p w14:paraId="6C0A125A" w14:textId="77777777" w:rsidR="007C0BF3" w:rsidRPr="007C0BF3" w:rsidRDefault="007C0BF3" w:rsidP="007C0BF3">
      <w:pPr>
        <w:spacing w:before="120" w:after="120" w:line="240" w:lineRule="exact"/>
        <w:ind w:left="283" w:hanging="283"/>
        <w:jc w:val="both"/>
        <w:rPr>
          <w:rFonts w:ascii="FrankRuehl" w:hAnsi="FrankRuehl" w:cs="FrankRuehl"/>
          <w:rtl/>
        </w:rPr>
      </w:pPr>
    </w:p>
    <w:p w14:paraId="596EF3B7" w14:textId="77777777" w:rsidR="007C0BF3" w:rsidRPr="007C0BF3" w:rsidRDefault="007C0BF3" w:rsidP="007C0BF3">
      <w:pPr>
        <w:spacing w:before="120" w:after="120" w:line="240" w:lineRule="exact"/>
        <w:ind w:left="283" w:hanging="283"/>
        <w:jc w:val="both"/>
        <w:rPr>
          <w:rFonts w:ascii="FrankRuehl" w:hAnsi="FrankRuehl" w:cs="FrankRuehl"/>
          <w:rtl/>
        </w:rPr>
      </w:pPr>
    </w:p>
    <w:p w14:paraId="10889869" w14:textId="77777777" w:rsidR="007C0BF3" w:rsidRPr="007C0BF3" w:rsidRDefault="007C0BF3" w:rsidP="007C0BF3">
      <w:pPr>
        <w:spacing w:before="120" w:after="120" w:line="240" w:lineRule="exact"/>
        <w:ind w:left="283" w:hanging="283"/>
        <w:jc w:val="both"/>
        <w:rPr>
          <w:rFonts w:ascii="FrankRuehl" w:hAnsi="FrankRuehl" w:cs="FrankRuehl"/>
          <w:rtl/>
        </w:rPr>
      </w:pPr>
      <w:r w:rsidRPr="007C0BF3">
        <w:rPr>
          <w:rFonts w:ascii="FrankRuehl" w:hAnsi="FrankRuehl" w:cs="FrankRuehl"/>
          <w:rtl/>
        </w:rPr>
        <w:t xml:space="preserve">חקיקה שאוזכרה: </w:t>
      </w:r>
    </w:p>
    <w:p w14:paraId="634BC152" w14:textId="77777777" w:rsidR="007C0BF3" w:rsidRPr="007C0BF3" w:rsidRDefault="007C0BF3" w:rsidP="007C0BF3">
      <w:pPr>
        <w:spacing w:before="120" w:after="120" w:line="240" w:lineRule="exact"/>
        <w:ind w:left="283" w:hanging="283"/>
        <w:jc w:val="both"/>
        <w:rPr>
          <w:rFonts w:ascii="FrankRuehl" w:hAnsi="FrankRuehl" w:cs="FrankRuehl"/>
          <w:rtl/>
        </w:rPr>
      </w:pPr>
      <w:hyperlink r:id="rId7" w:history="1">
        <w:r w:rsidRPr="007C0BF3">
          <w:rPr>
            <w:rFonts w:ascii="FrankRuehl" w:hAnsi="FrankRuehl" w:cs="FrankRuehl"/>
            <w:color w:val="0000FF"/>
            <w:rtl/>
          </w:rPr>
          <w:t>חוק העונשין, תשל"ז-1977</w:t>
        </w:r>
      </w:hyperlink>
      <w:r w:rsidRPr="007C0BF3">
        <w:rPr>
          <w:rFonts w:ascii="FrankRuehl" w:hAnsi="FrankRuehl" w:cs="FrankRuehl"/>
          <w:rtl/>
        </w:rPr>
        <w:t xml:space="preserve">: סע'  </w:t>
      </w:r>
      <w:hyperlink r:id="rId8" w:history="1">
        <w:r w:rsidRPr="007C0BF3">
          <w:rPr>
            <w:rFonts w:ascii="FrankRuehl" w:hAnsi="FrankRuehl" w:cs="FrankRuehl"/>
            <w:color w:val="0000FF"/>
            <w:rtl/>
          </w:rPr>
          <w:t>40יג(א)</w:t>
        </w:r>
      </w:hyperlink>
    </w:p>
    <w:p w14:paraId="6C444413" w14:textId="77777777" w:rsidR="007C0BF3" w:rsidRPr="007C0BF3" w:rsidRDefault="007C0BF3" w:rsidP="007C0BF3">
      <w:pPr>
        <w:spacing w:before="120" w:after="120" w:line="240" w:lineRule="exact"/>
        <w:ind w:left="283" w:hanging="283"/>
        <w:jc w:val="both"/>
        <w:rPr>
          <w:rFonts w:ascii="FrankRuehl" w:hAnsi="FrankRuehl" w:cs="FrankRuehl"/>
          <w:rtl/>
        </w:rPr>
      </w:pPr>
      <w:hyperlink r:id="rId9" w:history="1">
        <w:r w:rsidRPr="007C0BF3">
          <w:rPr>
            <w:rFonts w:ascii="FrankRuehl" w:hAnsi="FrankRuehl" w:cs="FrankRuehl"/>
            <w:color w:val="0000FF"/>
            <w:rtl/>
          </w:rPr>
          <w:t>פקודת הסמים המסוכנים [נוסח חדש], תשל"ג-1973</w:t>
        </w:r>
      </w:hyperlink>
    </w:p>
    <w:p w14:paraId="11F46C37" w14:textId="77777777" w:rsidR="007C0BF3" w:rsidRPr="007C0BF3" w:rsidRDefault="007C0BF3" w:rsidP="007C0BF3">
      <w:pPr>
        <w:rPr>
          <w:rtl/>
        </w:rPr>
      </w:pPr>
      <w:bookmarkStart w:id="3" w:name="LawTable_End"/>
      <w:bookmarkEnd w:id="3"/>
    </w:p>
    <w:p w14:paraId="68E82F41" w14:textId="77777777" w:rsidR="00755FB7" w:rsidRPr="00357180" w:rsidRDefault="00755FB7" w:rsidP="0035718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5FB7" w14:paraId="08D00BC1" w14:textId="77777777" w:rsidTr="00755FB7">
        <w:trPr>
          <w:trHeight w:val="355"/>
          <w:jc w:val="center"/>
        </w:trPr>
        <w:tc>
          <w:tcPr>
            <w:tcW w:w="8820" w:type="dxa"/>
            <w:tcBorders>
              <w:top w:val="nil"/>
              <w:left w:val="nil"/>
              <w:bottom w:val="nil"/>
              <w:right w:val="nil"/>
            </w:tcBorders>
            <w:shd w:val="clear" w:color="auto" w:fill="auto"/>
          </w:tcPr>
          <w:p w14:paraId="2E69B013" w14:textId="77777777" w:rsidR="00740FE5" w:rsidRPr="00740FE5" w:rsidRDefault="00740FE5" w:rsidP="00740FE5">
            <w:pPr>
              <w:jc w:val="center"/>
              <w:rPr>
                <w:rFonts w:ascii="Arial" w:hAnsi="Arial"/>
                <w:b/>
                <w:bCs/>
                <w:sz w:val="28"/>
                <w:szCs w:val="28"/>
                <w:u w:val="single"/>
                <w:rtl/>
              </w:rPr>
            </w:pPr>
            <w:bookmarkStart w:id="4" w:name="PsakDin" w:colFirst="0" w:colLast="0"/>
            <w:bookmarkEnd w:id="0"/>
            <w:r w:rsidRPr="00740FE5">
              <w:rPr>
                <w:rFonts w:ascii="Arial" w:hAnsi="Arial"/>
                <w:b/>
                <w:bCs/>
                <w:sz w:val="28"/>
                <w:szCs w:val="28"/>
                <w:u w:val="single"/>
                <w:rtl/>
              </w:rPr>
              <w:t>גזר דין</w:t>
            </w:r>
          </w:p>
          <w:p w14:paraId="27948C1D" w14:textId="77777777" w:rsidR="00755FB7" w:rsidRPr="00740FE5" w:rsidRDefault="00755FB7" w:rsidP="00740FE5">
            <w:pPr>
              <w:jc w:val="center"/>
              <w:rPr>
                <w:rFonts w:ascii="Arial" w:hAnsi="Arial"/>
                <w:bCs/>
                <w:sz w:val="28"/>
                <w:szCs w:val="28"/>
                <w:u w:val="single"/>
                <w:rtl/>
              </w:rPr>
            </w:pPr>
          </w:p>
        </w:tc>
      </w:tr>
      <w:bookmarkEnd w:id="4"/>
    </w:tbl>
    <w:p w14:paraId="305FAF13" w14:textId="77777777" w:rsidR="00755FB7" w:rsidRPr="00B05847" w:rsidRDefault="00755FB7" w:rsidP="00755FB7">
      <w:pPr>
        <w:rPr>
          <w:rFonts w:ascii="Arial" w:hAnsi="Arial"/>
          <w:rtl/>
        </w:rPr>
      </w:pPr>
    </w:p>
    <w:p w14:paraId="61CC3C13" w14:textId="77777777" w:rsidR="00755FB7" w:rsidRPr="00B05847" w:rsidRDefault="00755FB7" w:rsidP="00755FB7">
      <w:pPr>
        <w:rPr>
          <w:rFonts w:ascii="Arial" w:hAnsi="Arial"/>
          <w:rtl/>
        </w:rPr>
      </w:pPr>
    </w:p>
    <w:p w14:paraId="73298C60" w14:textId="77777777" w:rsidR="00755FB7" w:rsidRPr="00B05847" w:rsidRDefault="00755FB7" w:rsidP="00755FB7">
      <w:pPr>
        <w:rPr>
          <w:rtl/>
        </w:rPr>
      </w:pPr>
    </w:p>
    <w:p w14:paraId="1BFB3929" w14:textId="77777777" w:rsidR="00755FB7" w:rsidRPr="00B05847" w:rsidRDefault="00755FB7" w:rsidP="00755FB7">
      <w:pPr>
        <w:rPr>
          <w:rtl/>
        </w:rPr>
      </w:pPr>
    </w:p>
    <w:p w14:paraId="0FCC9E28" w14:textId="77777777" w:rsidR="00755FB7" w:rsidRDefault="00755FB7" w:rsidP="00755FB7">
      <w:pPr>
        <w:rPr>
          <w:rFonts w:ascii="Arial" w:hAnsi="Arial" w:cs="Arial"/>
          <w:sz w:val="22"/>
          <w:szCs w:val="22"/>
        </w:rPr>
      </w:pPr>
      <w:bookmarkStart w:id="5" w:name="ABSTRACT_START"/>
      <w:bookmarkEnd w:id="5"/>
      <w:r>
        <w:rPr>
          <w:rFonts w:ascii="Arial" w:hAnsi="Arial" w:cs="Arial"/>
          <w:rtl/>
        </w:rPr>
        <w:t>הנאשם הודה והורשע בכתב אישום מתוקן ביום 12.5.2020, במסגרת הסדר טיעון, בשתי עבירות של סחר בסם מסוכן, החזקת סם שלא לצריכה עצמית ועבירה נוספת של עיסקה אחרת בסם.</w:t>
      </w:r>
    </w:p>
    <w:p w14:paraId="37DC2A37" w14:textId="77777777" w:rsidR="00755FB7" w:rsidRDefault="00755FB7" w:rsidP="00755FB7">
      <w:pPr>
        <w:rPr>
          <w:rFonts w:ascii="Arial" w:hAnsi="Arial" w:cs="Arial"/>
          <w:rtl/>
        </w:rPr>
      </w:pPr>
      <w:r>
        <w:rPr>
          <w:rFonts w:ascii="Arial" w:hAnsi="Arial" w:cs="Arial"/>
          <w:rtl/>
        </w:rPr>
        <w:t>כל העבירות נעברו בימים 8-9.12.19.</w:t>
      </w:r>
    </w:p>
    <w:p w14:paraId="144C56FA" w14:textId="77777777" w:rsidR="00755FB7" w:rsidRDefault="00755FB7" w:rsidP="00755FB7">
      <w:pPr>
        <w:rPr>
          <w:rFonts w:ascii="Arial" w:hAnsi="Arial" w:cs="Arial"/>
          <w:rtl/>
        </w:rPr>
      </w:pPr>
      <w:r>
        <w:rPr>
          <w:rFonts w:ascii="Arial" w:hAnsi="Arial" w:cs="Arial"/>
          <w:rtl/>
        </w:rPr>
        <w:t>הנאשם היה עצור בגין עבירות אלה בין הימים 9.12.19-16.1.20.</w:t>
      </w:r>
    </w:p>
    <w:p w14:paraId="4FB163E0" w14:textId="77777777" w:rsidR="00755FB7" w:rsidRDefault="00755FB7" w:rsidP="00755FB7">
      <w:pPr>
        <w:rPr>
          <w:rFonts w:ascii="Arial" w:hAnsi="Arial" w:cs="Arial"/>
          <w:rtl/>
        </w:rPr>
      </w:pPr>
    </w:p>
    <w:p w14:paraId="635164E9" w14:textId="77777777" w:rsidR="00755FB7" w:rsidRDefault="00755FB7" w:rsidP="00755FB7">
      <w:pPr>
        <w:rPr>
          <w:rFonts w:ascii="Arial" w:hAnsi="Arial" w:cs="Arial"/>
          <w:rtl/>
        </w:rPr>
      </w:pPr>
      <w:r>
        <w:rPr>
          <w:rFonts w:ascii="Arial" w:hAnsi="Arial" w:cs="Arial"/>
          <w:rtl/>
        </w:rPr>
        <w:t>על פי הסכמת הצדדים נשלח הנאשם לתסקיר שירות המבחן והמאשימה הסכימה כי היה ויוגש תסקיר חיובי ולא יפתחו לנאשם תיקים חדשים, תגביל עצמה לענישה של עד 9 חודשי מאסר שאפשר וירוצו בעבודות שירות, בתוספת ענישה נלווית של מאסר על תנאי, קנס, התחייבות ופסילה על תנאי.</w:t>
      </w:r>
    </w:p>
    <w:p w14:paraId="449924FF" w14:textId="77777777" w:rsidR="00755FB7" w:rsidRDefault="00755FB7" w:rsidP="00755FB7">
      <w:pPr>
        <w:rPr>
          <w:rFonts w:ascii="Arial" w:hAnsi="Arial" w:cs="Arial"/>
          <w:rtl/>
        </w:rPr>
      </w:pPr>
      <w:bookmarkStart w:id="6" w:name="ABSTRACT_END"/>
      <w:bookmarkEnd w:id="6"/>
    </w:p>
    <w:p w14:paraId="422D291F" w14:textId="77777777" w:rsidR="00755FB7" w:rsidRDefault="00755FB7" w:rsidP="00755FB7">
      <w:pPr>
        <w:rPr>
          <w:rFonts w:ascii="Arial" w:hAnsi="Arial" w:cs="Arial"/>
          <w:rtl/>
        </w:rPr>
      </w:pPr>
    </w:p>
    <w:p w14:paraId="598F65F9" w14:textId="77777777" w:rsidR="00755FB7" w:rsidRDefault="00755FB7" w:rsidP="00755FB7">
      <w:pPr>
        <w:rPr>
          <w:rFonts w:ascii="Arial" w:hAnsi="Arial" w:cs="Arial"/>
          <w:rtl/>
        </w:rPr>
      </w:pPr>
      <w:r>
        <w:rPr>
          <w:rFonts w:ascii="Arial" w:hAnsi="Arial" w:cs="Arial"/>
          <w:rtl/>
        </w:rPr>
        <w:t>מהתסקיר האחרון שהוגש (אפריל 2021) עלה כי לנאשם מחויבות לליווי ולטיפול בשירות, הוא החל לעבור תהליך חיובי וביטא מידה מסוימת ליכולת התבוננות עצמית ביקורתית.</w:t>
      </w:r>
    </w:p>
    <w:p w14:paraId="6D47E7E2" w14:textId="77777777" w:rsidR="00755FB7" w:rsidRDefault="00755FB7" w:rsidP="00755FB7">
      <w:pPr>
        <w:rPr>
          <w:rFonts w:ascii="Arial" w:hAnsi="Arial" w:cs="Arial"/>
          <w:rtl/>
        </w:rPr>
      </w:pPr>
    </w:p>
    <w:p w14:paraId="7A97AE8D" w14:textId="77777777" w:rsidR="00755FB7" w:rsidRDefault="00755FB7" w:rsidP="00755FB7">
      <w:pPr>
        <w:rPr>
          <w:rFonts w:ascii="Arial" w:hAnsi="Arial" w:cs="Arial"/>
          <w:rtl/>
        </w:rPr>
      </w:pPr>
      <w:r>
        <w:rPr>
          <w:rFonts w:ascii="Arial" w:hAnsi="Arial" w:cs="Arial"/>
          <w:rtl/>
        </w:rPr>
        <w:lastRenderedPageBreak/>
        <w:t>בשל כך, ועל מנת לא לפגוע בתעסוקתו, המליץ התסקיר להעמיד את הנאשם במבחן במהלכו ישולב בקבוצה טיפולית, וכן להטיל עליו של"צ בהיקף נרחב ומאסר מותנה.</w:t>
      </w:r>
    </w:p>
    <w:p w14:paraId="28105554" w14:textId="77777777" w:rsidR="00755FB7" w:rsidRDefault="00755FB7" w:rsidP="00755FB7">
      <w:pPr>
        <w:rPr>
          <w:rFonts w:ascii="Arial" w:hAnsi="Arial" w:cs="Arial"/>
          <w:rtl/>
        </w:rPr>
      </w:pPr>
    </w:p>
    <w:p w14:paraId="15A645F8" w14:textId="77777777" w:rsidR="00755FB7" w:rsidRDefault="00755FB7" w:rsidP="00755FB7">
      <w:pPr>
        <w:rPr>
          <w:rFonts w:ascii="Arial" w:hAnsi="Arial" w:cs="Arial"/>
          <w:rtl/>
        </w:rPr>
      </w:pPr>
      <w:r>
        <w:rPr>
          <w:rFonts w:ascii="Arial" w:hAnsi="Arial" w:cs="Arial"/>
          <w:rtl/>
        </w:rPr>
        <w:t>על אף זאת, בדיון ביום 10.11.21 עתרה המאשימה למתחם ענישה שבין 6-12 חודשי מאסר בפועל בגין כל אחד משני האישומים, וביקשה למקם את הנאשם בחלק התחתון של המתחם.</w:t>
      </w:r>
    </w:p>
    <w:p w14:paraId="26D6F564" w14:textId="77777777" w:rsidR="00755FB7" w:rsidRDefault="00755FB7" w:rsidP="00755FB7">
      <w:pPr>
        <w:rPr>
          <w:rFonts w:ascii="Arial" w:hAnsi="Arial" w:cs="Arial"/>
          <w:rtl/>
        </w:rPr>
      </w:pPr>
    </w:p>
    <w:p w14:paraId="1F90BCF2" w14:textId="77777777" w:rsidR="00755FB7" w:rsidRDefault="00755FB7" w:rsidP="00755FB7">
      <w:pPr>
        <w:rPr>
          <w:rFonts w:ascii="Arial" w:hAnsi="Arial" w:cs="Arial"/>
          <w:rtl/>
        </w:rPr>
      </w:pPr>
      <w:r>
        <w:rPr>
          <w:rFonts w:ascii="Arial" w:hAnsi="Arial" w:cs="Arial"/>
          <w:rtl/>
        </w:rPr>
        <w:t>השינוי בעמדת המאשימה נבע, ככל הנראה, מכך שלנאשם נפתחו תיקים חדשים ולפיכך המאשימה לא ראתה עצמה כבולה עוד בהסדר הטיעון שהגיעה אליו עם הנאשם. יתכן שעמדתה נבעה גם כי למרות מחויבות הנאשם לליווי וטיפול, מעשית הנאשם לא החל טיפול ממשי ולפיכך המלצת התסקיר הייתה לשלבו בטיפול במהלך צו המבחן שהומלץ כי בית המשפט יטיל עליו.</w:t>
      </w:r>
    </w:p>
    <w:p w14:paraId="0EAD4B8F" w14:textId="77777777" w:rsidR="00755FB7" w:rsidRDefault="00755FB7" w:rsidP="00755FB7">
      <w:pPr>
        <w:rPr>
          <w:rFonts w:ascii="Arial" w:hAnsi="Arial" w:cs="Arial"/>
          <w:rtl/>
        </w:rPr>
      </w:pPr>
      <w:r>
        <w:rPr>
          <w:rFonts w:ascii="Arial" w:hAnsi="Arial" w:cs="Arial"/>
          <w:rtl/>
        </w:rPr>
        <w:t>אף שהמאשימה צירפה פסיקה לעמדתה, לא מצאתי כי הגשימה את הבטחתה להמציא פסיקה אודות נאשמים שלא עמדו בתנאי ההסדר שהתחייבו בו.</w:t>
      </w:r>
    </w:p>
    <w:p w14:paraId="293876E8" w14:textId="77777777" w:rsidR="00755FB7" w:rsidRDefault="00755FB7" w:rsidP="00755FB7">
      <w:pPr>
        <w:rPr>
          <w:rFonts w:ascii="Arial" w:hAnsi="Arial" w:cs="Arial"/>
          <w:rtl/>
        </w:rPr>
      </w:pPr>
    </w:p>
    <w:p w14:paraId="76366078" w14:textId="77777777" w:rsidR="00755FB7" w:rsidRDefault="00755FB7" w:rsidP="00755FB7">
      <w:pPr>
        <w:rPr>
          <w:rFonts w:ascii="Arial" w:hAnsi="Arial" w:cs="Arial"/>
          <w:rtl/>
        </w:rPr>
      </w:pPr>
      <w:r>
        <w:rPr>
          <w:rFonts w:ascii="Arial" w:hAnsi="Arial" w:cs="Arial"/>
          <w:rtl/>
        </w:rPr>
        <w:t>דברים אלה קיבלו חיזוק גם בטיעוני הסנגור שאישר כי הנאשם עצור בתיק אחר.</w:t>
      </w:r>
    </w:p>
    <w:p w14:paraId="1F1FD2A8" w14:textId="77777777" w:rsidR="00755FB7" w:rsidRDefault="00755FB7" w:rsidP="00755FB7">
      <w:pPr>
        <w:rPr>
          <w:rFonts w:ascii="Arial" w:hAnsi="Arial" w:cs="Arial"/>
          <w:rtl/>
        </w:rPr>
      </w:pPr>
    </w:p>
    <w:p w14:paraId="22E142A3" w14:textId="77777777" w:rsidR="00755FB7" w:rsidRDefault="00755FB7" w:rsidP="00755FB7">
      <w:pPr>
        <w:rPr>
          <w:rFonts w:ascii="Arial" w:hAnsi="Arial" w:cs="Arial"/>
          <w:b/>
          <w:bCs/>
          <w:rtl/>
        </w:rPr>
      </w:pPr>
      <w:r>
        <w:rPr>
          <w:rFonts w:ascii="Arial" w:hAnsi="Arial" w:cs="Arial"/>
          <w:b/>
          <w:bCs/>
          <w:rtl/>
        </w:rPr>
        <w:t>טיעוני הצדדים:</w:t>
      </w:r>
    </w:p>
    <w:p w14:paraId="36C62542" w14:textId="77777777" w:rsidR="00755FB7" w:rsidRDefault="00755FB7" w:rsidP="00755FB7">
      <w:pPr>
        <w:rPr>
          <w:rFonts w:ascii="Arial" w:hAnsi="Arial" w:cs="Arial"/>
          <w:rtl/>
        </w:rPr>
      </w:pPr>
    </w:p>
    <w:p w14:paraId="6A9017BC" w14:textId="77777777" w:rsidR="00755FB7" w:rsidRDefault="00755FB7" w:rsidP="00755FB7">
      <w:pPr>
        <w:rPr>
          <w:rFonts w:ascii="Arial" w:hAnsi="Arial" w:cs="Arial"/>
          <w:rtl/>
        </w:rPr>
      </w:pPr>
      <w:r>
        <w:rPr>
          <w:rFonts w:ascii="Arial" w:hAnsi="Arial" w:cs="Arial"/>
          <w:b/>
          <w:bCs/>
          <w:rtl/>
        </w:rPr>
        <w:t>המאשימה</w:t>
      </w:r>
      <w:r>
        <w:rPr>
          <w:rFonts w:ascii="Arial" w:hAnsi="Arial" w:cs="Arial"/>
          <w:rtl/>
        </w:rPr>
        <w:t xml:space="preserve"> זיהתה את הפגיעה בשלום הציבור ובריאות הציבור כערכים מוגנים שנפגעו, כמו גם את מקומם של סוחרי הסמים בהפצת הסם ובחסותם – ביצוע עבירות נוספות.</w:t>
      </w:r>
    </w:p>
    <w:p w14:paraId="34EB816E" w14:textId="77777777" w:rsidR="00755FB7" w:rsidRDefault="00755FB7" w:rsidP="00755FB7">
      <w:pPr>
        <w:rPr>
          <w:rFonts w:ascii="Arial" w:hAnsi="Arial" w:cs="Arial"/>
          <w:rtl/>
        </w:rPr>
      </w:pPr>
      <w:r>
        <w:rPr>
          <w:rFonts w:ascii="Arial" w:hAnsi="Arial" w:cs="Arial"/>
          <w:rtl/>
        </w:rPr>
        <w:t>הסנגור לא חלק על הפגיעה בערכים אלה ולכן אני מקבל את עמדת המאשימה לגביהם.</w:t>
      </w:r>
    </w:p>
    <w:p w14:paraId="49D135A6" w14:textId="77777777" w:rsidR="00755FB7" w:rsidRDefault="00755FB7" w:rsidP="00755FB7">
      <w:pPr>
        <w:rPr>
          <w:rFonts w:ascii="Arial" w:hAnsi="Arial" w:cs="Arial"/>
          <w:rtl/>
        </w:rPr>
      </w:pPr>
    </w:p>
    <w:p w14:paraId="7A03EF3A" w14:textId="77777777" w:rsidR="00755FB7" w:rsidRDefault="00755FB7" w:rsidP="00755FB7">
      <w:pPr>
        <w:rPr>
          <w:rFonts w:ascii="Arial" w:hAnsi="Arial" w:cs="Arial"/>
          <w:rtl/>
        </w:rPr>
      </w:pPr>
      <w:r>
        <w:rPr>
          <w:rFonts w:ascii="Arial" w:hAnsi="Arial" w:cs="Arial"/>
          <w:rtl/>
        </w:rPr>
        <w:t>המאשימה עתרה לראות בכל אחד מהאישומים אירוע נפרד, וציינה כנסיבה לחומרא את חלוקת הסם שהוחזק בכמות גבוהה, שלא לצריכה עצמית, בשקיות נפרדות, עדות להפיכתו אוטוטו לסם שיסחרו בו.</w:t>
      </w:r>
    </w:p>
    <w:p w14:paraId="03FD80AE" w14:textId="77777777" w:rsidR="00755FB7" w:rsidRDefault="00755FB7" w:rsidP="00755FB7">
      <w:pPr>
        <w:rPr>
          <w:rFonts w:ascii="Arial" w:hAnsi="Arial" w:cs="Arial"/>
          <w:rtl/>
        </w:rPr>
      </w:pPr>
    </w:p>
    <w:p w14:paraId="2F3E4963" w14:textId="77777777" w:rsidR="00755FB7" w:rsidRDefault="00755FB7" w:rsidP="00755FB7">
      <w:pPr>
        <w:rPr>
          <w:rFonts w:ascii="Arial" w:hAnsi="Arial" w:cs="Arial"/>
          <w:rtl/>
        </w:rPr>
      </w:pPr>
      <w:r>
        <w:rPr>
          <w:rFonts w:ascii="Arial" w:hAnsi="Arial" w:cs="Arial"/>
          <w:rtl/>
        </w:rPr>
        <w:t>לסיכום, כזכור, ביקשה לקבוע מתחם ענישה הנע בין 6-12 חודשי מאסר בגין כל אישום ולמקם את הנאשם בתחתית המתחם המצטבר.</w:t>
      </w:r>
    </w:p>
    <w:p w14:paraId="03921AF5" w14:textId="77777777" w:rsidR="00755FB7" w:rsidRDefault="00755FB7" w:rsidP="00755FB7">
      <w:pPr>
        <w:rPr>
          <w:rFonts w:ascii="Arial" w:hAnsi="Arial" w:cs="Arial"/>
          <w:rtl/>
        </w:rPr>
      </w:pPr>
    </w:p>
    <w:p w14:paraId="1720E121" w14:textId="77777777" w:rsidR="00755FB7" w:rsidRDefault="00755FB7" w:rsidP="00755FB7">
      <w:pPr>
        <w:rPr>
          <w:rFonts w:ascii="Arial" w:hAnsi="Arial" w:cs="Arial"/>
          <w:rtl/>
        </w:rPr>
      </w:pPr>
      <w:r>
        <w:rPr>
          <w:rFonts w:ascii="Arial" w:hAnsi="Arial" w:cs="Arial"/>
          <w:b/>
          <w:bCs/>
          <w:rtl/>
        </w:rPr>
        <w:t>הסנגור</w:t>
      </w:r>
      <w:r>
        <w:rPr>
          <w:rFonts w:ascii="Arial" w:hAnsi="Arial" w:cs="Arial"/>
          <w:rtl/>
        </w:rPr>
        <w:t xml:space="preserve"> עתר להשית על הנאשם מאסר קצר בפועל בלבד, בשיעור הימים בהם היה עצור טרם שוחרר בתנאים מגבילים (39 ימים), זאת על רקע הגורמים הצריכים להישקל לקולא בעניינו כפי שיפורט בהמשך.</w:t>
      </w:r>
    </w:p>
    <w:p w14:paraId="63696456" w14:textId="77777777" w:rsidR="00755FB7" w:rsidRDefault="00755FB7" w:rsidP="00755FB7">
      <w:pPr>
        <w:rPr>
          <w:rFonts w:ascii="Arial" w:hAnsi="Arial" w:cs="Arial"/>
          <w:rtl/>
        </w:rPr>
      </w:pPr>
    </w:p>
    <w:p w14:paraId="5D3B1DAB" w14:textId="77777777" w:rsidR="00755FB7" w:rsidRDefault="00755FB7" w:rsidP="00755FB7">
      <w:pPr>
        <w:rPr>
          <w:rFonts w:ascii="Arial" w:hAnsi="Arial" w:cs="Arial"/>
          <w:rtl/>
        </w:rPr>
      </w:pPr>
      <w:r>
        <w:rPr>
          <w:rFonts w:ascii="Arial" w:hAnsi="Arial" w:cs="Arial"/>
          <w:rtl/>
        </w:rPr>
        <w:t>הסנגור ביקש לראות בשלושת האישומים אירוע אחד ולקבוע מתחם ענישה אחד בגינו, בין היתר נוכח זהות השיטה והנסיבות.</w:t>
      </w:r>
    </w:p>
    <w:p w14:paraId="3FEE0E93" w14:textId="77777777" w:rsidR="00755FB7" w:rsidRDefault="00755FB7" w:rsidP="00755FB7">
      <w:pPr>
        <w:rPr>
          <w:rFonts w:ascii="Arial" w:hAnsi="Arial" w:cs="Arial"/>
          <w:rtl/>
        </w:rPr>
      </w:pPr>
    </w:p>
    <w:p w14:paraId="2AB1F4FF" w14:textId="77777777" w:rsidR="00755FB7" w:rsidRDefault="00755FB7" w:rsidP="00755FB7">
      <w:pPr>
        <w:rPr>
          <w:rFonts w:ascii="Arial" w:hAnsi="Arial" w:cs="Arial"/>
          <w:rtl/>
        </w:rPr>
      </w:pPr>
      <w:r>
        <w:rPr>
          <w:rFonts w:ascii="Arial" w:hAnsi="Arial" w:cs="Arial"/>
          <w:rtl/>
        </w:rPr>
        <w:t>לסיכום ביקש הסנגור לראות בהודעתה הראשונה של המאשימה משום התחייבות שאסור לה עתה להפירה. אם עתרה המאשימה במקור למאסר מקסימלי של 9 חודשים בעבודות שירות, אין היא יכולה כיום לעתור לעונש גבוה ממנו, ובשל שאר הנסיבות – אין לגזור על הנאשם עונש החורג מימי מעצרו.</w:t>
      </w:r>
    </w:p>
    <w:p w14:paraId="08109B14" w14:textId="77777777" w:rsidR="00755FB7" w:rsidRDefault="00755FB7" w:rsidP="00755FB7">
      <w:pPr>
        <w:rPr>
          <w:rFonts w:ascii="Arial" w:hAnsi="Arial" w:cs="Arial"/>
          <w:rtl/>
        </w:rPr>
      </w:pPr>
    </w:p>
    <w:p w14:paraId="001A09D6" w14:textId="77777777" w:rsidR="00755FB7" w:rsidRDefault="00755FB7" w:rsidP="00755FB7">
      <w:pPr>
        <w:rPr>
          <w:rFonts w:ascii="Arial" w:hAnsi="Arial" w:cs="Arial"/>
          <w:rtl/>
        </w:rPr>
      </w:pPr>
      <w:r>
        <w:rPr>
          <w:rFonts w:ascii="Arial" w:hAnsi="Arial" w:cs="Arial"/>
          <w:rtl/>
        </w:rPr>
        <w:t>גם הסנגור אזכר פסיקה ענפה לתמיכה בעמדתו.</w:t>
      </w:r>
    </w:p>
    <w:p w14:paraId="01F819BB" w14:textId="77777777" w:rsidR="00755FB7" w:rsidRDefault="00755FB7" w:rsidP="00755FB7">
      <w:pPr>
        <w:rPr>
          <w:rFonts w:ascii="Arial" w:hAnsi="Arial" w:cs="Arial"/>
          <w:rtl/>
        </w:rPr>
      </w:pPr>
    </w:p>
    <w:p w14:paraId="25FFDD40" w14:textId="77777777" w:rsidR="00755FB7" w:rsidRDefault="00755FB7" w:rsidP="00755FB7">
      <w:pPr>
        <w:rPr>
          <w:rFonts w:ascii="Arial" w:hAnsi="Arial" w:cs="Arial"/>
          <w:rtl/>
        </w:rPr>
      </w:pPr>
      <w:r>
        <w:rPr>
          <w:rFonts w:ascii="Arial" w:hAnsi="Arial" w:cs="Arial"/>
          <w:b/>
          <w:bCs/>
          <w:rtl/>
        </w:rPr>
        <w:t>הנאשם</w:t>
      </w:r>
      <w:r>
        <w:rPr>
          <w:rFonts w:ascii="Arial" w:hAnsi="Arial" w:cs="Arial"/>
          <w:rtl/>
        </w:rPr>
        <w:t xml:space="preserve"> סיפר כי לקח אחריות מיד כשנתפס, היה במעצר, מעצר בית ממושך ועמד בכל התנאים. בשירות המבחן היה בקבוצות, עבר תהליך ועמד בכל התנאים, והוא מצטער מאד על המצב.</w:t>
      </w:r>
    </w:p>
    <w:p w14:paraId="63D79895" w14:textId="77777777" w:rsidR="00755FB7" w:rsidRDefault="00755FB7" w:rsidP="00755FB7">
      <w:pPr>
        <w:rPr>
          <w:rFonts w:ascii="Arial" w:hAnsi="Arial" w:cs="Arial"/>
          <w:rtl/>
        </w:rPr>
      </w:pPr>
    </w:p>
    <w:p w14:paraId="61057CDB" w14:textId="77777777" w:rsidR="00755FB7" w:rsidRDefault="00755FB7" w:rsidP="00755FB7">
      <w:pPr>
        <w:rPr>
          <w:rFonts w:ascii="Arial" w:hAnsi="Arial" w:cs="Arial"/>
          <w:rtl/>
        </w:rPr>
      </w:pPr>
    </w:p>
    <w:p w14:paraId="2A93D54C" w14:textId="77777777" w:rsidR="00755FB7" w:rsidRDefault="00755FB7" w:rsidP="00755FB7">
      <w:pPr>
        <w:rPr>
          <w:rFonts w:ascii="Arial" w:hAnsi="Arial" w:cs="Arial"/>
          <w:rtl/>
        </w:rPr>
      </w:pPr>
    </w:p>
    <w:p w14:paraId="046A8221" w14:textId="77777777" w:rsidR="00755FB7" w:rsidRDefault="00755FB7" w:rsidP="00755FB7">
      <w:pPr>
        <w:rPr>
          <w:rFonts w:ascii="Arial" w:hAnsi="Arial" w:cs="Arial"/>
          <w:rtl/>
        </w:rPr>
      </w:pPr>
    </w:p>
    <w:p w14:paraId="050EE457" w14:textId="77777777" w:rsidR="00755FB7" w:rsidRDefault="00755FB7" w:rsidP="00755FB7">
      <w:pPr>
        <w:rPr>
          <w:rFonts w:ascii="Arial" w:hAnsi="Arial" w:cs="Arial"/>
          <w:b/>
          <w:bCs/>
          <w:rtl/>
        </w:rPr>
      </w:pPr>
      <w:r>
        <w:rPr>
          <w:rFonts w:ascii="Arial" w:hAnsi="Arial" w:cs="Arial"/>
          <w:b/>
          <w:bCs/>
          <w:rtl/>
        </w:rPr>
        <w:t>דיון והכרעה:</w:t>
      </w:r>
    </w:p>
    <w:p w14:paraId="275A817F" w14:textId="77777777" w:rsidR="00755FB7" w:rsidRDefault="00755FB7" w:rsidP="00755FB7">
      <w:pPr>
        <w:rPr>
          <w:rFonts w:ascii="Arial" w:hAnsi="Arial" w:cs="Arial"/>
          <w:rtl/>
        </w:rPr>
      </w:pPr>
    </w:p>
    <w:p w14:paraId="5626BF33" w14:textId="77777777" w:rsidR="00755FB7" w:rsidRDefault="00755FB7" w:rsidP="00755FB7">
      <w:pPr>
        <w:rPr>
          <w:rFonts w:ascii="Arial" w:hAnsi="Arial" w:cs="Arial"/>
          <w:rtl/>
        </w:rPr>
      </w:pPr>
      <w:r>
        <w:rPr>
          <w:rFonts w:ascii="Arial" w:hAnsi="Arial" w:cs="Arial"/>
          <w:rtl/>
        </w:rPr>
        <w:t>תחילה, כאמור, קיבלתי את עמדת המאשימה לגבי הערכים המוגנים שנפגעו בעבירות הנאשם.</w:t>
      </w:r>
    </w:p>
    <w:p w14:paraId="2781EE1B" w14:textId="77777777" w:rsidR="00755FB7" w:rsidRDefault="00755FB7" w:rsidP="00755FB7">
      <w:pPr>
        <w:rPr>
          <w:rFonts w:ascii="Arial" w:hAnsi="Arial" w:cs="Arial"/>
          <w:rtl/>
        </w:rPr>
      </w:pPr>
    </w:p>
    <w:p w14:paraId="3E984ED6" w14:textId="77777777" w:rsidR="00755FB7" w:rsidRDefault="00755FB7" w:rsidP="00755FB7">
      <w:pPr>
        <w:rPr>
          <w:rFonts w:ascii="Arial" w:hAnsi="Arial" w:cs="Arial"/>
          <w:b/>
          <w:bCs/>
          <w:rtl/>
        </w:rPr>
      </w:pPr>
      <w:r>
        <w:rPr>
          <w:rFonts w:ascii="Arial" w:hAnsi="Arial" w:cs="Arial"/>
          <w:b/>
          <w:bCs/>
          <w:rtl/>
        </w:rPr>
        <w:t>אירוע אחד או מספר אירועים (לצורך קביעת מתחמי ענישה):</w:t>
      </w:r>
    </w:p>
    <w:p w14:paraId="74153717" w14:textId="77777777" w:rsidR="00755FB7" w:rsidRDefault="00755FB7" w:rsidP="00755FB7">
      <w:pPr>
        <w:rPr>
          <w:rFonts w:ascii="Arial" w:hAnsi="Arial" w:cs="Arial"/>
          <w:rtl/>
        </w:rPr>
      </w:pPr>
    </w:p>
    <w:p w14:paraId="6CEF54E7" w14:textId="77777777" w:rsidR="00755FB7" w:rsidRDefault="00755FB7" w:rsidP="00755FB7">
      <w:pPr>
        <w:rPr>
          <w:rFonts w:ascii="Arial" w:hAnsi="Arial" w:cs="Arial"/>
          <w:rtl/>
        </w:rPr>
      </w:pPr>
      <w:r>
        <w:rPr>
          <w:rFonts w:ascii="Arial" w:hAnsi="Arial" w:cs="Arial"/>
          <w:rtl/>
        </w:rPr>
        <w:t xml:space="preserve">לעניין המחלוקת בין הצדדים בשאלת "מספר האירועים" שמהוות שלוש העבירות, דעתי כדעת הסנגור. מסקנה זו מתבקשת הן לפי "מבחן הקשר ההדוק" והן לפי "המבחן הצורני – העובדתי" (ר' </w:t>
      </w:r>
      <w:hyperlink r:id="rId10" w:history="1">
        <w:r w:rsidR="00325DF4" w:rsidRPr="00325DF4">
          <w:rPr>
            <w:rStyle w:val="Hyperlink"/>
            <w:rFonts w:ascii="Arial" w:hAnsi="Arial" w:cs="Arial"/>
            <w:rtl/>
          </w:rPr>
          <w:t>סעיף 40יג(א)</w:t>
        </w:r>
      </w:hyperlink>
      <w:r>
        <w:rPr>
          <w:rFonts w:ascii="Arial" w:hAnsi="Arial" w:cs="Arial"/>
          <w:rtl/>
        </w:rPr>
        <w:t xml:space="preserve"> ל</w:t>
      </w:r>
      <w:hyperlink r:id="rId11" w:history="1">
        <w:r w:rsidR="00740FE5" w:rsidRPr="00740FE5">
          <w:rPr>
            <w:rFonts w:ascii="Arial" w:hAnsi="Arial" w:cs="Arial"/>
            <w:color w:val="0000FF"/>
            <w:u w:val="single"/>
            <w:rtl/>
          </w:rPr>
          <w:t>חוק העונשין</w:t>
        </w:r>
      </w:hyperlink>
      <w:r>
        <w:rPr>
          <w:rFonts w:ascii="Arial" w:hAnsi="Arial" w:cs="Arial"/>
          <w:rtl/>
        </w:rPr>
        <w:t xml:space="preserve"> התשל"ז-1977 וכן ע"פ 4913/10 ג'אבר נ' מדינת ישראל (29.10.14)). </w:t>
      </w:r>
    </w:p>
    <w:p w14:paraId="34992352" w14:textId="77777777" w:rsidR="00755FB7" w:rsidRDefault="00755FB7" w:rsidP="00755FB7">
      <w:pPr>
        <w:rPr>
          <w:rFonts w:ascii="Arial" w:hAnsi="Arial" w:cs="Arial"/>
          <w:rtl/>
        </w:rPr>
      </w:pPr>
      <w:r>
        <w:rPr>
          <w:rFonts w:ascii="Arial" w:hAnsi="Arial" w:cs="Arial"/>
          <w:rtl/>
        </w:rPr>
        <w:t>בהינתן כי מדובר בעבירות שבוצעו בתוך 48 שעות לכל היותר, הן כרוכות ומשולבות זו בזו, מסקנתי היא כי שלוש העבירות מהוות אירוע אחד לצורך קביעתו של מתחם ענישה הולם.</w:t>
      </w:r>
    </w:p>
    <w:p w14:paraId="71ECCEF0" w14:textId="77777777" w:rsidR="00755FB7" w:rsidRDefault="00755FB7" w:rsidP="00755FB7">
      <w:pPr>
        <w:rPr>
          <w:rFonts w:ascii="Arial" w:hAnsi="Arial" w:cs="Arial"/>
          <w:rtl/>
        </w:rPr>
      </w:pPr>
    </w:p>
    <w:p w14:paraId="24CBB856" w14:textId="77777777" w:rsidR="00755FB7" w:rsidRDefault="00755FB7" w:rsidP="00755FB7">
      <w:pPr>
        <w:rPr>
          <w:rFonts w:ascii="Arial" w:hAnsi="Arial" w:cs="Arial"/>
          <w:b/>
          <w:bCs/>
          <w:rtl/>
        </w:rPr>
      </w:pPr>
      <w:r>
        <w:rPr>
          <w:rFonts w:ascii="Arial" w:hAnsi="Arial" w:cs="Arial"/>
          <w:b/>
          <w:bCs/>
          <w:rtl/>
        </w:rPr>
        <w:t>מהו המתחם הנכון?</w:t>
      </w:r>
    </w:p>
    <w:p w14:paraId="366B8B7E" w14:textId="77777777" w:rsidR="00755FB7" w:rsidRDefault="00755FB7" w:rsidP="00755FB7">
      <w:pPr>
        <w:rPr>
          <w:rFonts w:ascii="Arial" w:hAnsi="Arial" w:cs="Arial"/>
          <w:rtl/>
        </w:rPr>
      </w:pPr>
    </w:p>
    <w:p w14:paraId="56D328DA" w14:textId="77777777" w:rsidR="00755FB7" w:rsidRDefault="00755FB7" w:rsidP="00755FB7">
      <w:pPr>
        <w:rPr>
          <w:rFonts w:ascii="Arial" w:hAnsi="Arial" w:cs="Arial"/>
          <w:rtl/>
        </w:rPr>
      </w:pPr>
      <w:r>
        <w:rPr>
          <w:rFonts w:ascii="Arial" w:hAnsi="Arial" w:cs="Arial"/>
          <w:rtl/>
        </w:rPr>
        <w:t>כזכור, עתרה המאשימה למתחם ענישה הנע בין 6-12 חודשי מאסר בפועל בגין כל אישום.</w:t>
      </w:r>
    </w:p>
    <w:p w14:paraId="7DD3295B" w14:textId="77777777" w:rsidR="00755FB7" w:rsidRDefault="00755FB7" w:rsidP="00755FB7">
      <w:pPr>
        <w:rPr>
          <w:rFonts w:ascii="Arial" w:hAnsi="Arial" w:cs="Arial"/>
          <w:rtl/>
        </w:rPr>
      </w:pPr>
    </w:p>
    <w:p w14:paraId="28E6730F" w14:textId="77777777" w:rsidR="00755FB7" w:rsidRDefault="00755FB7" w:rsidP="00755FB7">
      <w:pPr>
        <w:rPr>
          <w:rFonts w:ascii="Arial" w:hAnsi="Arial" w:cs="Arial"/>
          <w:rtl/>
        </w:rPr>
      </w:pPr>
      <w:r>
        <w:rPr>
          <w:rFonts w:ascii="Arial" w:hAnsi="Arial" w:cs="Arial"/>
          <w:u w:val="single"/>
          <w:rtl/>
        </w:rPr>
        <w:t xml:space="preserve">עיון בפסיקה שאיזכר הסנגור </w:t>
      </w:r>
      <w:r>
        <w:rPr>
          <w:rFonts w:ascii="Arial" w:hAnsi="Arial" w:cs="Arial"/>
          <w:rtl/>
        </w:rPr>
        <w:t>דווקא מורה כי רוב רובם של פסקי הדין המאוזכרים (ואלה שצוטטו במסגרתם) מותחים מתחם ענישה הנע בין מספר חודשי מאסר ועד 24 חודשי מאסר בפועל.</w:t>
      </w:r>
    </w:p>
    <w:p w14:paraId="2BD8C89D" w14:textId="77777777" w:rsidR="00755FB7" w:rsidRDefault="00755FB7" w:rsidP="00755FB7">
      <w:pPr>
        <w:rPr>
          <w:rFonts w:ascii="Arial" w:hAnsi="Arial" w:cs="Arial"/>
          <w:rtl/>
        </w:rPr>
      </w:pPr>
      <w:r>
        <w:rPr>
          <w:rFonts w:ascii="Arial" w:hAnsi="Arial" w:cs="Arial"/>
          <w:rtl/>
        </w:rPr>
        <w:t>לא מצאתי אבחנה ממשית בין העובדות באותם פסקי לעובדות בתיק שלפני, הכמויות אולי נמוכות מעט מאלה שאוזכרו אך אין בהן כדי לשנות ממסקנתי.</w:t>
      </w:r>
    </w:p>
    <w:p w14:paraId="3694F16C" w14:textId="77777777" w:rsidR="00755FB7" w:rsidRDefault="00755FB7" w:rsidP="00755FB7">
      <w:pPr>
        <w:rPr>
          <w:rFonts w:ascii="Arial" w:hAnsi="Arial" w:cs="Arial"/>
          <w:rtl/>
        </w:rPr>
      </w:pPr>
    </w:p>
    <w:p w14:paraId="0AFE9388" w14:textId="77777777" w:rsidR="00755FB7" w:rsidRDefault="00755FB7" w:rsidP="00755FB7">
      <w:pPr>
        <w:rPr>
          <w:rFonts w:ascii="Arial" w:hAnsi="Arial" w:cs="Arial"/>
          <w:rtl/>
        </w:rPr>
      </w:pPr>
      <w:r>
        <w:rPr>
          <w:rFonts w:ascii="Arial" w:hAnsi="Arial" w:cs="Arial"/>
          <w:rtl/>
        </w:rPr>
        <w:t>דומה אפוא כי המתחם המבוקש על ידי המאשימה נמוך אפילו מאלו בפסקי הדין שהמציא הסנגור, ואני מקבל אותו.</w:t>
      </w:r>
    </w:p>
    <w:p w14:paraId="636E6CF8" w14:textId="77777777" w:rsidR="00755FB7" w:rsidRDefault="00755FB7" w:rsidP="00755FB7">
      <w:pPr>
        <w:rPr>
          <w:rFonts w:ascii="Arial" w:hAnsi="Arial" w:cs="Arial"/>
          <w:rtl/>
        </w:rPr>
      </w:pPr>
    </w:p>
    <w:p w14:paraId="1E575883" w14:textId="77777777" w:rsidR="00755FB7" w:rsidRDefault="00755FB7" w:rsidP="00755FB7">
      <w:pPr>
        <w:rPr>
          <w:rFonts w:ascii="Arial" w:hAnsi="Arial" w:cs="Arial"/>
          <w:rtl/>
        </w:rPr>
      </w:pPr>
      <w:r>
        <w:rPr>
          <w:rFonts w:ascii="Arial" w:hAnsi="Arial" w:cs="Arial"/>
          <w:rtl/>
        </w:rPr>
        <w:t>היות שמדובר באירוע אחד, אך בשלושה אישומים, אני קובע כי מתחם הענישה צריך לנוע בין 9 חודשי מאסר בפועל ל- 18 חודשים.</w:t>
      </w:r>
    </w:p>
    <w:p w14:paraId="17EB5B14" w14:textId="77777777" w:rsidR="00755FB7" w:rsidRDefault="00755FB7" w:rsidP="00755FB7">
      <w:pPr>
        <w:rPr>
          <w:rFonts w:ascii="Arial" w:hAnsi="Arial" w:cs="Arial"/>
          <w:rtl/>
        </w:rPr>
      </w:pPr>
    </w:p>
    <w:p w14:paraId="3B11DEAA" w14:textId="77777777" w:rsidR="00755FB7" w:rsidRDefault="00755FB7" w:rsidP="00755FB7">
      <w:pPr>
        <w:rPr>
          <w:rFonts w:ascii="Arial" w:hAnsi="Arial" w:cs="Arial"/>
          <w:rtl/>
        </w:rPr>
      </w:pPr>
    </w:p>
    <w:p w14:paraId="3797F5C7" w14:textId="77777777" w:rsidR="00755FB7" w:rsidRDefault="00755FB7" w:rsidP="00755FB7">
      <w:pPr>
        <w:rPr>
          <w:rFonts w:ascii="Arial" w:hAnsi="Arial" w:cs="Arial"/>
          <w:rtl/>
        </w:rPr>
      </w:pPr>
    </w:p>
    <w:p w14:paraId="5BBC9AD9" w14:textId="77777777" w:rsidR="00755FB7" w:rsidRDefault="00755FB7" w:rsidP="00755FB7">
      <w:pPr>
        <w:rPr>
          <w:rFonts w:ascii="Arial" w:hAnsi="Arial" w:cs="Arial"/>
          <w:rtl/>
        </w:rPr>
      </w:pPr>
    </w:p>
    <w:p w14:paraId="6D8D6294" w14:textId="77777777" w:rsidR="00755FB7" w:rsidRDefault="00755FB7" w:rsidP="00755FB7">
      <w:pPr>
        <w:rPr>
          <w:rFonts w:ascii="Arial" w:hAnsi="Arial" w:cs="Arial"/>
          <w:b/>
          <w:bCs/>
          <w:rtl/>
        </w:rPr>
      </w:pPr>
      <w:r>
        <w:rPr>
          <w:rFonts w:ascii="Arial" w:hAnsi="Arial" w:cs="Arial"/>
          <w:b/>
          <w:bCs/>
          <w:rtl/>
        </w:rPr>
        <w:t>האם כבולה המאשימה להסכמתה בפרוטוקול בית המשפט ביום 12.5.20?</w:t>
      </w:r>
    </w:p>
    <w:p w14:paraId="640BA93F" w14:textId="77777777" w:rsidR="00755FB7" w:rsidRDefault="00755FB7" w:rsidP="00755FB7">
      <w:pPr>
        <w:rPr>
          <w:rFonts w:ascii="Arial" w:hAnsi="Arial" w:cs="Arial"/>
          <w:rtl/>
        </w:rPr>
      </w:pPr>
    </w:p>
    <w:p w14:paraId="2E68BBDE" w14:textId="77777777" w:rsidR="00755FB7" w:rsidRDefault="00755FB7" w:rsidP="00755FB7">
      <w:pPr>
        <w:rPr>
          <w:rFonts w:ascii="Arial" w:hAnsi="Arial" w:cs="Arial"/>
          <w:rtl/>
        </w:rPr>
      </w:pPr>
      <w:r>
        <w:rPr>
          <w:rFonts w:ascii="Arial" w:hAnsi="Arial" w:cs="Arial"/>
          <w:rtl/>
        </w:rPr>
        <w:t>לטעמי התשובה שלילית. כפי שנוסחו הדברים מפי המאשימה, ואושרו על ידי הסנגור והנאשם, היו מספר תנאים מתלים להסכמה, האחרון בהם – "אי פתיחת תיקים חדשים".</w:t>
      </w:r>
    </w:p>
    <w:p w14:paraId="02FBEF4C" w14:textId="77777777" w:rsidR="00755FB7" w:rsidRDefault="00755FB7" w:rsidP="00755FB7">
      <w:pPr>
        <w:rPr>
          <w:rFonts w:ascii="Arial" w:hAnsi="Arial" w:cs="Arial"/>
          <w:rtl/>
        </w:rPr>
      </w:pPr>
      <w:r>
        <w:rPr>
          <w:rFonts w:ascii="Arial" w:hAnsi="Arial" w:cs="Arial"/>
          <w:rtl/>
        </w:rPr>
        <w:t>תנאי מתלה זה ככל הנראה לא התקיים והנאשם אף נעצר (וככל הנראה עדיין עצור) בגינו. כך עלה מדברי ב"כ המאשימה והסנגור גם יחד.</w:t>
      </w:r>
    </w:p>
    <w:p w14:paraId="1617DA34" w14:textId="77777777" w:rsidR="00755FB7" w:rsidRDefault="00755FB7" w:rsidP="00755FB7">
      <w:pPr>
        <w:rPr>
          <w:rFonts w:ascii="Arial" w:hAnsi="Arial" w:cs="Arial"/>
          <w:rtl/>
        </w:rPr>
      </w:pPr>
      <w:r>
        <w:rPr>
          <w:rFonts w:ascii="Arial" w:hAnsi="Arial" w:cs="Arial"/>
          <w:rtl/>
        </w:rPr>
        <w:t>הדעת נותנת שאין מדובר בזוטי דברים, בין משום המעצר שנלווה לאותה עבירה או עבירות שלכאורה עבר הנאשם ובין משום שמהיכרותי את הצדדים, עניינים פעוטים לא היו עומדים לרועץ להסכמה שהגיעו אליה.</w:t>
      </w:r>
    </w:p>
    <w:p w14:paraId="2C1ABB16" w14:textId="77777777" w:rsidR="00755FB7" w:rsidRDefault="00755FB7" w:rsidP="00755FB7">
      <w:pPr>
        <w:rPr>
          <w:rFonts w:ascii="Arial" w:hAnsi="Arial" w:cs="Arial"/>
          <w:rtl/>
        </w:rPr>
      </w:pPr>
      <w:r>
        <w:rPr>
          <w:rFonts w:ascii="Arial" w:hAnsi="Arial" w:cs="Arial"/>
          <w:rtl/>
        </w:rPr>
        <w:t>אכן, כפי שטען הסנגור, הנאשם מוחזק בחזקת חף מפשע בגין התיק/ים החדש/ים שנפתחו נגדו, אלא שהתנאי המתלה לא היה "שלא יפתחו תיקים שהנאשם יורשע בגינם", אלא "שלא יפתחו תיקים חדשים" ותו לא.</w:t>
      </w:r>
    </w:p>
    <w:p w14:paraId="1887FC55" w14:textId="77777777" w:rsidR="00755FB7" w:rsidRDefault="00755FB7" w:rsidP="00755FB7">
      <w:pPr>
        <w:rPr>
          <w:rFonts w:ascii="Calibri" w:hAnsi="Calibri" w:cs="Calibri"/>
          <w:rtl/>
        </w:rPr>
      </w:pPr>
    </w:p>
    <w:p w14:paraId="33E80B57" w14:textId="77777777" w:rsidR="00755FB7" w:rsidRDefault="00755FB7" w:rsidP="00755FB7">
      <w:pPr>
        <w:rPr>
          <w:rFonts w:ascii="Arial" w:hAnsi="Arial" w:cs="Arial"/>
          <w:rtl/>
        </w:rPr>
      </w:pPr>
      <w:r>
        <w:rPr>
          <w:rFonts w:ascii="Arial" w:hAnsi="Arial" w:cs="Arial"/>
          <w:rtl/>
        </w:rPr>
        <w:t>משהתקיים אחד התנאים המתלים אין עוד המאשימה כבולה בהסכמותיה דנן, היא חופשיה לטעון כאוות נפשה ואין לבוא אליה בטרוניה על כך.</w:t>
      </w:r>
    </w:p>
    <w:p w14:paraId="6807E6DD" w14:textId="77777777" w:rsidR="00755FB7" w:rsidRDefault="00755FB7" w:rsidP="00755FB7">
      <w:pPr>
        <w:rPr>
          <w:rFonts w:ascii="Arial" w:hAnsi="Arial" w:cs="Arial"/>
        </w:rPr>
      </w:pPr>
    </w:p>
    <w:p w14:paraId="12309975" w14:textId="77777777" w:rsidR="00755FB7" w:rsidRDefault="00755FB7" w:rsidP="00755FB7">
      <w:pPr>
        <w:rPr>
          <w:rFonts w:ascii="Arial" w:hAnsi="Arial" w:cs="Arial"/>
          <w:rtl/>
        </w:rPr>
      </w:pPr>
    </w:p>
    <w:p w14:paraId="6D7BE9EE" w14:textId="77777777" w:rsidR="00755FB7" w:rsidRDefault="00755FB7" w:rsidP="00755FB7">
      <w:pPr>
        <w:rPr>
          <w:rFonts w:ascii="Arial" w:hAnsi="Arial" w:cs="Arial"/>
          <w:b/>
          <w:bCs/>
          <w:rtl/>
        </w:rPr>
      </w:pPr>
      <w:r>
        <w:rPr>
          <w:rFonts w:ascii="Arial" w:hAnsi="Arial" w:cs="Arial"/>
          <w:b/>
          <w:bCs/>
          <w:rtl/>
        </w:rPr>
        <w:t>מה צריך אפוא להיות עונשו של הנאשם?</w:t>
      </w:r>
    </w:p>
    <w:p w14:paraId="45CA33CA" w14:textId="77777777" w:rsidR="00755FB7" w:rsidRDefault="00755FB7" w:rsidP="00755FB7">
      <w:pPr>
        <w:rPr>
          <w:rFonts w:ascii="Arial" w:hAnsi="Arial" w:cs="Arial"/>
          <w:rtl/>
        </w:rPr>
      </w:pPr>
    </w:p>
    <w:p w14:paraId="7931AE9C" w14:textId="77777777" w:rsidR="00755FB7" w:rsidRDefault="00755FB7" w:rsidP="00755FB7">
      <w:pPr>
        <w:rPr>
          <w:rFonts w:ascii="Arial" w:hAnsi="Arial" w:cs="Arial"/>
          <w:rtl/>
        </w:rPr>
      </w:pPr>
      <w:r>
        <w:rPr>
          <w:rFonts w:ascii="Arial" w:hAnsi="Arial" w:cs="Arial"/>
          <w:rtl/>
        </w:rPr>
        <w:t>לקולא אזכיר את הנסיבות להלן:</w:t>
      </w:r>
    </w:p>
    <w:p w14:paraId="02049BE6" w14:textId="77777777" w:rsidR="00755FB7" w:rsidRDefault="00755FB7" w:rsidP="00755FB7">
      <w:pPr>
        <w:rPr>
          <w:rFonts w:ascii="Arial" w:hAnsi="Arial" w:cs="Arial"/>
          <w:rtl/>
        </w:rPr>
      </w:pPr>
    </w:p>
    <w:p w14:paraId="05DD7889" w14:textId="77777777" w:rsidR="00755FB7" w:rsidRDefault="00755FB7" w:rsidP="00755FB7">
      <w:pPr>
        <w:numPr>
          <w:ilvl w:val="0"/>
          <w:numId w:val="1"/>
        </w:numPr>
        <w:rPr>
          <w:rFonts w:ascii="Arial" w:hAnsi="Arial" w:cs="Arial"/>
          <w:rtl/>
        </w:rPr>
      </w:pPr>
      <w:r>
        <w:rPr>
          <w:rFonts w:ascii="Arial" w:hAnsi="Arial" w:cs="Arial"/>
          <w:rtl/>
        </w:rPr>
        <w:t>מעצר הבית והתנאים המגבילים ששהה בהם הנאשם כשנה לאחר שחרורו.</w:t>
      </w:r>
    </w:p>
    <w:p w14:paraId="1C65D92B" w14:textId="77777777" w:rsidR="00755FB7" w:rsidRDefault="00755FB7" w:rsidP="00755FB7">
      <w:pPr>
        <w:numPr>
          <w:ilvl w:val="0"/>
          <w:numId w:val="1"/>
        </w:numPr>
        <w:rPr>
          <w:rFonts w:ascii="Calibri" w:hAnsi="Calibri" w:cs="Calibri"/>
          <w:rtl/>
        </w:rPr>
      </w:pPr>
      <w:r>
        <w:rPr>
          <w:rFonts w:ascii="Arial" w:hAnsi="Arial" w:cs="Arial"/>
          <w:rtl/>
        </w:rPr>
        <w:t>הודאתו המהירה ולקיחת האחריות על עבירותיו.</w:t>
      </w:r>
    </w:p>
    <w:p w14:paraId="0A491657" w14:textId="77777777" w:rsidR="00755FB7" w:rsidRDefault="00755FB7" w:rsidP="00755FB7">
      <w:pPr>
        <w:numPr>
          <w:ilvl w:val="0"/>
          <w:numId w:val="1"/>
        </w:numPr>
        <w:rPr>
          <w:rtl/>
        </w:rPr>
      </w:pPr>
      <w:r>
        <w:rPr>
          <w:rFonts w:ascii="Arial" w:hAnsi="Arial" w:cs="Arial"/>
          <w:rtl/>
        </w:rPr>
        <w:t>התהליך שעבר הנאשם בשירות המבחן בתקופה בת שנתיים, בדיקות הסם שנמצאו נקיות.</w:t>
      </w:r>
    </w:p>
    <w:p w14:paraId="30EAB606" w14:textId="77777777" w:rsidR="00755FB7" w:rsidRDefault="00755FB7" w:rsidP="00755FB7">
      <w:pPr>
        <w:numPr>
          <w:ilvl w:val="0"/>
          <w:numId w:val="1"/>
        </w:numPr>
      </w:pPr>
      <w:r>
        <w:rPr>
          <w:rFonts w:ascii="Arial" w:hAnsi="Arial" w:cs="Arial"/>
          <w:rtl/>
        </w:rPr>
        <w:t>היותו אדם נורמטיבי טרם מעצרו.</w:t>
      </w:r>
    </w:p>
    <w:p w14:paraId="3755DF08" w14:textId="77777777" w:rsidR="00755FB7" w:rsidRPr="00755FB7" w:rsidRDefault="00755FB7" w:rsidP="00755FB7">
      <w:pPr>
        <w:rPr>
          <w:rFonts w:eastAsia="Calibri"/>
        </w:rPr>
      </w:pPr>
    </w:p>
    <w:p w14:paraId="745A05BD" w14:textId="77777777" w:rsidR="00755FB7" w:rsidRDefault="00755FB7" w:rsidP="00755FB7">
      <w:pPr>
        <w:rPr>
          <w:rFonts w:ascii="Arial" w:hAnsi="Arial" w:cs="Arial"/>
        </w:rPr>
      </w:pPr>
      <w:r>
        <w:rPr>
          <w:rFonts w:ascii="Arial" w:hAnsi="Arial" w:cs="Arial"/>
          <w:rtl/>
        </w:rPr>
        <w:t>עיינתי היטב בתסקירי שירות המבחן, הן בראשון בו המליץ השירות על ענישה של מאסר בעבודות שירות והן באחרון בו המליץ להשית על הנאשם שירות לתועלת הציבור וצו מבחן.</w:t>
      </w:r>
    </w:p>
    <w:p w14:paraId="3C9B2549" w14:textId="77777777" w:rsidR="00755FB7" w:rsidRDefault="00755FB7" w:rsidP="00755FB7">
      <w:pPr>
        <w:rPr>
          <w:rFonts w:ascii="Arial" w:hAnsi="Arial" w:cs="Arial"/>
        </w:rPr>
      </w:pPr>
    </w:p>
    <w:p w14:paraId="26F244A7" w14:textId="77777777" w:rsidR="00755FB7" w:rsidRDefault="00755FB7" w:rsidP="00755FB7">
      <w:pPr>
        <w:rPr>
          <w:rFonts w:ascii="Arial" w:hAnsi="Arial" w:cs="Arial"/>
          <w:rtl/>
        </w:rPr>
      </w:pPr>
      <w:r>
        <w:rPr>
          <w:rFonts w:ascii="Arial" w:hAnsi="Arial" w:cs="Arial"/>
          <w:rtl/>
        </w:rPr>
        <w:t>גם באחרון, קובע שירות המבחן כי קיימת הבחנה ב"שינוי ראשוני" אצל הנאשם, בצד זמינותו והגעתו לפגישות, תוך שהוא מבטא "מידה מסוימת של יכולת להתבוננות עצמית ביקורתית, ותחילת הכרה בקיומם של צרכים שעבדו בבסיס העבירות...".</w:t>
      </w:r>
    </w:p>
    <w:p w14:paraId="37407A0F" w14:textId="77777777" w:rsidR="00755FB7" w:rsidRDefault="00755FB7" w:rsidP="00755FB7">
      <w:pPr>
        <w:rPr>
          <w:rFonts w:ascii="Arial" w:hAnsi="Arial" w:cs="Arial"/>
          <w:rtl/>
        </w:rPr>
      </w:pPr>
    </w:p>
    <w:p w14:paraId="3F975E8D" w14:textId="77777777" w:rsidR="00755FB7" w:rsidRDefault="00755FB7" w:rsidP="00755FB7">
      <w:pPr>
        <w:rPr>
          <w:rFonts w:ascii="Arial" w:hAnsi="Arial" w:cs="Arial"/>
          <w:rtl/>
        </w:rPr>
      </w:pPr>
      <w:r>
        <w:rPr>
          <w:rFonts w:ascii="Arial" w:hAnsi="Arial" w:cs="Arial"/>
          <w:rtl/>
        </w:rPr>
        <w:t>שירות המבחן המליץ לשלב את הנאשם בקבוצה טיפולית במסגרת צו מבחן שביקש להטיל עליו, כשהנאשם – באותו מועד (אפריל 2021) היה ב"רשימת המתנה" לקבוצה כזו.</w:t>
      </w:r>
    </w:p>
    <w:p w14:paraId="2D131D8B" w14:textId="77777777" w:rsidR="00755FB7" w:rsidRDefault="00755FB7" w:rsidP="00755FB7">
      <w:pPr>
        <w:rPr>
          <w:rFonts w:ascii="Arial" w:hAnsi="Arial" w:cs="Arial"/>
          <w:rtl/>
        </w:rPr>
      </w:pPr>
    </w:p>
    <w:p w14:paraId="51611A90" w14:textId="77777777" w:rsidR="00755FB7" w:rsidRDefault="00755FB7" w:rsidP="00755FB7">
      <w:pPr>
        <w:rPr>
          <w:rFonts w:ascii="Arial" w:hAnsi="Arial" w:cs="Arial"/>
          <w:rtl/>
        </w:rPr>
      </w:pPr>
      <w:r>
        <w:rPr>
          <w:rFonts w:ascii="Arial" w:hAnsi="Arial" w:cs="Arial"/>
          <w:rtl/>
        </w:rPr>
        <w:t>ככל הנראה והידוע עניין זה לא צלח, ועד מועד הדיון האחרון, נובמבר 2021, הנאשם לא שולב בקבוצה טיפולית, מן הסתם עקב מעצרו.</w:t>
      </w:r>
    </w:p>
    <w:p w14:paraId="1544E194" w14:textId="77777777" w:rsidR="00755FB7" w:rsidRDefault="00755FB7" w:rsidP="00755FB7">
      <w:pPr>
        <w:rPr>
          <w:rFonts w:ascii="Arial" w:hAnsi="Arial" w:cs="Arial"/>
          <w:rtl/>
        </w:rPr>
      </w:pPr>
    </w:p>
    <w:p w14:paraId="0E8EA763" w14:textId="77777777" w:rsidR="00755FB7" w:rsidRDefault="00755FB7" w:rsidP="00755FB7">
      <w:pPr>
        <w:rPr>
          <w:rFonts w:ascii="Arial" w:hAnsi="Arial" w:cs="Arial"/>
          <w:rtl/>
        </w:rPr>
      </w:pPr>
      <w:r>
        <w:rPr>
          <w:rFonts w:ascii="Arial" w:hAnsi="Arial" w:cs="Arial"/>
          <w:rtl/>
        </w:rPr>
        <w:t>חשיבות עניין זה גוברת כאשר בית המשפט מעיין בפסקי הדין שאיזכר הסניגור, שם לא הוטלו על נאשמים עונשי מאסר, אף לא בעבודות שירות, אלא רק למטה מכך.</w:t>
      </w:r>
    </w:p>
    <w:p w14:paraId="11B8326C" w14:textId="77777777" w:rsidR="00755FB7" w:rsidRDefault="00755FB7" w:rsidP="00755FB7">
      <w:pPr>
        <w:rPr>
          <w:rFonts w:ascii="Arial" w:hAnsi="Arial" w:cs="Arial"/>
          <w:rtl/>
        </w:rPr>
      </w:pPr>
      <w:r>
        <w:rPr>
          <w:rFonts w:ascii="Arial" w:hAnsi="Arial" w:cs="Arial"/>
          <w:rtl/>
        </w:rPr>
        <w:t>בכל אחד מהמקרים מדובר בנאשמים שעברו תהליך של שיקום, ושעל אף מתחמי הענישה שצוינו במסגרתם לעבירות של סחר בסם חרג בית המשפט מהמתחמים מחמת אותו שיקום.</w:t>
      </w:r>
    </w:p>
    <w:p w14:paraId="62730836" w14:textId="77777777" w:rsidR="00755FB7" w:rsidRDefault="00755FB7" w:rsidP="00755FB7">
      <w:pPr>
        <w:rPr>
          <w:rFonts w:ascii="Arial" w:hAnsi="Arial" w:cs="Arial"/>
          <w:rtl/>
        </w:rPr>
      </w:pPr>
    </w:p>
    <w:p w14:paraId="720EFB8C" w14:textId="77777777" w:rsidR="00755FB7" w:rsidRDefault="00755FB7" w:rsidP="00755FB7">
      <w:pPr>
        <w:rPr>
          <w:rFonts w:ascii="Arial" w:hAnsi="Arial" w:cs="Arial"/>
          <w:rtl/>
        </w:rPr>
      </w:pPr>
      <w:r>
        <w:rPr>
          <w:rFonts w:ascii="Arial" w:hAnsi="Arial" w:cs="Arial"/>
          <w:rtl/>
        </w:rPr>
        <w:t xml:space="preserve">האם ניתן לומר כי הנאשם לפניי עבר תהליך שיקום שיש בו כדי להחריגו ממתחם הענישה שקבעתי? </w:t>
      </w:r>
    </w:p>
    <w:p w14:paraId="43D51455" w14:textId="77777777" w:rsidR="00755FB7" w:rsidRDefault="00755FB7" w:rsidP="00755FB7">
      <w:pPr>
        <w:rPr>
          <w:rFonts w:ascii="Arial" w:hAnsi="Arial" w:cs="Arial"/>
          <w:rtl/>
        </w:rPr>
      </w:pPr>
      <w:r>
        <w:rPr>
          <w:rFonts w:ascii="Arial" w:hAnsi="Arial" w:cs="Arial"/>
          <w:rtl/>
        </w:rPr>
        <w:t>אני סבור כי גם התשובה לשאלה זו אינה חיובית.</w:t>
      </w:r>
    </w:p>
    <w:p w14:paraId="6079DF10" w14:textId="77777777" w:rsidR="00755FB7" w:rsidRDefault="00755FB7" w:rsidP="00755FB7">
      <w:pPr>
        <w:rPr>
          <w:rFonts w:ascii="Arial" w:hAnsi="Arial" w:cs="Arial"/>
          <w:rtl/>
        </w:rPr>
      </w:pPr>
      <w:r>
        <w:rPr>
          <w:rFonts w:ascii="Arial" w:hAnsi="Arial" w:cs="Arial"/>
          <w:rtl/>
        </w:rPr>
        <w:t>יש כמובן לקחת בחשבון את הנסיבות לקולא שאוזכרו לעיל, אולי אף לדבר ב"קירבה לשיקום" אך "תחילת תובנות", "שינוי ראשוני", "מידה מסויימת" ואף "תחילת הכרה" אינם מהווים שיקום המאפשר החרגת נאשם ממתחמי העניש</w:t>
      </w:r>
    </w:p>
    <w:p w14:paraId="3E6F4F04" w14:textId="77777777" w:rsidR="00755FB7" w:rsidRDefault="00755FB7" w:rsidP="00755FB7">
      <w:pPr>
        <w:rPr>
          <w:rFonts w:ascii="Arial" w:hAnsi="Arial" w:cs="Arial"/>
          <w:rtl/>
        </w:rPr>
      </w:pPr>
    </w:p>
    <w:p w14:paraId="4F371D00" w14:textId="77777777" w:rsidR="00755FB7" w:rsidRDefault="00755FB7" w:rsidP="00755FB7">
      <w:pPr>
        <w:rPr>
          <w:rFonts w:ascii="Arial" w:hAnsi="Arial" w:cs="Arial"/>
          <w:rtl/>
        </w:rPr>
      </w:pPr>
    </w:p>
    <w:p w14:paraId="10606CF5" w14:textId="77777777" w:rsidR="00755FB7" w:rsidRDefault="00755FB7" w:rsidP="00755FB7">
      <w:pPr>
        <w:rPr>
          <w:rFonts w:ascii="Arial" w:hAnsi="Arial" w:cs="Arial"/>
          <w:b/>
          <w:bCs/>
          <w:rtl/>
        </w:rPr>
      </w:pPr>
      <w:r>
        <w:rPr>
          <w:rFonts w:ascii="Arial" w:hAnsi="Arial" w:cs="Arial"/>
          <w:b/>
          <w:bCs/>
          <w:rtl/>
        </w:rPr>
        <w:t>נסיבות נוספות:</w:t>
      </w:r>
    </w:p>
    <w:p w14:paraId="5E40B251" w14:textId="77777777" w:rsidR="00755FB7" w:rsidRDefault="00755FB7" w:rsidP="00755FB7">
      <w:pPr>
        <w:rPr>
          <w:rFonts w:ascii="Arial" w:hAnsi="Arial" w:cs="Arial"/>
          <w:rtl/>
        </w:rPr>
      </w:pPr>
    </w:p>
    <w:p w14:paraId="7305B9EB" w14:textId="77777777" w:rsidR="00755FB7" w:rsidRDefault="00755FB7" w:rsidP="00755FB7">
      <w:pPr>
        <w:rPr>
          <w:rFonts w:ascii="Arial" w:hAnsi="Arial" w:cs="Arial"/>
          <w:rtl/>
        </w:rPr>
      </w:pPr>
      <w:r>
        <w:rPr>
          <w:rFonts w:ascii="Arial" w:hAnsi="Arial" w:cs="Arial"/>
          <w:rtl/>
        </w:rPr>
        <w:t>לחומרא, מעבר לעבירות הסחר בסם המחמירות מצבו של הנאשם, השימוש באפליקציית הטלגרם מהווה בעיניי נסיבה מחמירה, בשל ה"חסות" שהיא נותנת לכל הצדדים המעורבים להסתתר בצילה ומקשה על שיבוש שרשרת הסם בידי רשויות האכיפה.</w:t>
      </w:r>
    </w:p>
    <w:p w14:paraId="3DBA6D2C" w14:textId="77777777" w:rsidR="00755FB7" w:rsidRDefault="00755FB7" w:rsidP="00755FB7">
      <w:pPr>
        <w:rPr>
          <w:rFonts w:ascii="Arial" w:hAnsi="Arial" w:cs="Arial"/>
          <w:rtl/>
        </w:rPr>
      </w:pPr>
    </w:p>
    <w:p w14:paraId="33FB141E" w14:textId="77777777" w:rsidR="00755FB7" w:rsidRDefault="00755FB7" w:rsidP="00755FB7">
      <w:pPr>
        <w:rPr>
          <w:rFonts w:ascii="Arial" w:hAnsi="Arial" w:cs="Arial"/>
          <w:rtl/>
        </w:rPr>
      </w:pPr>
      <w:r>
        <w:rPr>
          <w:rFonts w:ascii="Arial" w:hAnsi="Arial" w:cs="Arial"/>
          <w:rtl/>
        </w:rPr>
        <w:t xml:space="preserve">לקולא, כמויות הסם שמדובר בהן בכל אחד משלושת אישומי הסחר – 10 גרם – נמוכות מרוב הדוגמאות ששני הצדדים הביאו לתמיכה בטענותיהם. </w:t>
      </w:r>
    </w:p>
    <w:p w14:paraId="423F824A" w14:textId="77777777" w:rsidR="00755FB7" w:rsidRDefault="00755FB7" w:rsidP="00755FB7">
      <w:pPr>
        <w:rPr>
          <w:rFonts w:ascii="Arial" w:hAnsi="Arial" w:cs="Arial"/>
          <w:rtl/>
        </w:rPr>
      </w:pPr>
    </w:p>
    <w:p w14:paraId="19761DFD" w14:textId="77777777" w:rsidR="00755FB7" w:rsidRDefault="00755FB7" w:rsidP="00755FB7">
      <w:pPr>
        <w:rPr>
          <w:rFonts w:ascii="Arial" w:hAnsi="Arial" w:cs="Arial"/>
          <w:rtl/>
        </w:rPr>
      </w:pPr>
    </w:p>
    <w:p w14:paraId="636922DD" w14:textId="77777777" w:rsidR="00755FB7" w:rsidRDefault="00755FB7" w:rsidP="00755FB7">
      <w:pPr>
        <w:rPr>
          <w:rFonts w:ascii="Arial" w:hAnsi="Arial" w:cs="Arial"/>
          <w:rtl/>
        </w:rPr>
      </w:pPr>
    </w:p>
    <w:p w14:paraId="536B5BB7" w14:textId="77777777" w:rsidR="00755FB7" w:rsidRDefault="00755FB7" w:rsidP="00755FB7">
      <w:pPr>
        <w:rPr>
          <w:rFonts w:ascii="Arial" w:hAnsi="Arial" w:cs="Arial"/>
          <w:rtl/>
        </w:rPr>
      </w:pPr>
    </w:p>
    <w:p w14:paraId="58AA56BE" w14:textId="77777777" w:rsidR="00755FB7" w:rsidRDefault="00755FB7" w:rsidP="00755FB7">
      <w:pPr>
        <w:rPr>
          <w:rFonts w:ascii="Arial" w:hAnsi="Arial" w:cs="Arial"/>
          <w:rtl/>
        </w:rPr>
      </w:pPr>
      <w:r>
        <w:rPr>
          <w:rFonts w:ascii="Arial" w:hAnsi="Arial" w:cs="Arial"/>
          <w:rtl/>
        </w:rPr>
        <w:t>לסיכום, לאחר ששקלתי את מירב השיקולים ואיזנתי ביניהם, אני סבור כי יש להעמיד את הנאשם בתחתית מתחם הענישה שקבעתי ולגזור עליו את העונשים הבאים:</w:t>
      </w:r>
    </w:p>
    <w:p w14:paraId="19CE9A02" w14:textId="77777777" w:rsidR="00755FB7" w:rsidRDefault="00755FB7" w:rsidP="00755FB7">
      <w:pPr>
        <w:rPr>
          <w:rFonts w:ascii="Arial" w:hAnsi="Arial" w:cs="Arial"/>
          <w:rtl/>
        </w:rPr>
      </w:pPr>
    </w:p>
    <w:p w14:paraId="25F6F02E" w14:textId="77777777" w:rsidR="00755FB7" w:rsidRDefault="00755FB7" w:rsidP="00755FB7">
      <w:pPr>
        <w:numPr>
          <w:ilvl w:val="0"/>
          <w:numId w:val="2"/>
        </w:numPr>
        <w:rPr>
          <w:rFonts w:ascii="Arial" w:hAnsi="Arial" w:cs="Arial"/>
          <w:b/>
          <w:bCs/>
          <w:rtl/>
        </w:rPr>
      </w:pPr>
      <w:r>
        <w:rPr>
          <w:rFonts w:ascii="Arial" w:hAnsi="Arial" w:cs="Arial"/>
          <w:b/>
          <w:bCs/>
          <w:rtl/>
        </w:rPr>
        <w:t>מאסר למשך 9 חודשים בניכוי 39 ימי מעצרו של הנאשם.</w:t>
      </w:r>
    </w:p>
    <w:p w14:paraId="0D68EA0F" w14:textId="77777777" w:rsidR="00755FB7" w:rsidRDefault="00755FB7" w:rsidP="00755FB7">
      <w:pPr>
        <w:numPr>
          <w:ilvl w:val="0"/>
          <w:numId w:val="2"/>
        </w:numPr>
        <w:rPr>
          <w:rFonts w:ascii="Calibri" w:hAnsi="Calibri" w:cs="Calibri"/>
          <w:b/>
          <w:bCs/>
          <w:rtl/>
        </w:rPr>
      </w:pPr>
      <w:r>
        <w:rPr>
          <w:rFonts w:ascii="Arial" w:hAnsi="Arial" w:cs="Arial"/>
          <w:b/>
          <w:bCs/>
          <w:rtl/>
        </w:rPr>
        <w:t xml:space="preserve">מאסר למשך 3 חודשים, אותו לא ירצה הנאשם אלא אם יעבור בתוך 3 שנים מיום שחרורו מהכלא כל עבירה מסוג עוון לפי </w:t>
      </w:r>
      <w:hyperlink r:id="rId12" w:history="1">
        <w:r w:rsidR="00740FE5" w:rsidRPr="00740FE5">
          <w:rPr>
            <w:rFonts w:ascii="Arial" w:hAnsi="Arial" w:cs="Arial"/>
            <w:b/>
            <w:bCs/>
            <w:color w:val="0000FF"/>
            <w:u w:val="single"/>
            <w:rtl/>
          </w:rPr>
          <w:t>פקודת הסמים המסוכנים</w:t>
        </w:r>
      </w:hyperlink>
      <w:r>
        <w:rPr>
          <w:rFonts w:ascii="Arial" w:hAnsi="Arial" w:cs="Arial"/>
          <w:b/>
          <w:bCs/>
          <w:rtl/>
        </w:rPr>
        <w:t>.</w:t>
      </w:r>
    </w:p>
    <w:p w14:paraId="0CE7F0A8" w14:textId="77777777" w:rsidR="00755FB7" w:rsidRDefault="00755FB7" w:rsidP="00755FB7">
      <w:pPr>
        <w:numPr>
          <w:ilvl w:val="0"/>
          <w:numId w:val="2"/>
        </w:numPr>
        <w:rPr>
          <w:b/>
          <w:bCs/>
          <w:rtl/>
        </w:rPr>
      </w:pPr>
      <w:r>
        <w:rPr>
          <w:rFonts w:ascii="Arial" w:hAnsi="Arial" w:cs="Arial"/>
          <w:b/>
          <w:bCs/>
          <w:rtl/>
        </w:rPr>
        <w:t xml:space="preserve">מאסר למשך 7 חודשים אותו לא ירצה הנאשם אלא אם יעבור בתוך 3 שנים מיום שחרורו מהכלא כל עבירה מסוג פשע לפי </w:t>
      </w:r>
      <w:hyperlink r:id="rId13" w:history="1">
        <w:r w:rsidR="00740FE5" w:rsidRPr="00740FE5">
          <w:rPr>
            <w:rFonts w:ascii="Arial" w:hAnsi="Arial" w:cs="Arial"/>
            <w:b/>
            <w:bCs/>
            <w:color w:val="0000FF"/>
            <w:u w:val="single"/>
            <w:rtl/>
          </w:rPr>
          <w:t>פקודת הסמים המסוכנים</w:t>
        </w:r>
      </w:hyperlink>
      <w:r>
        <w:rPr>
          <w:rFonts w:ascii="Arial" w:hAnsi="Arial" w:cs="Arial"/>
          <w:b/>
          <w:bCs/>
          <w:rtl/>
        </w:rPr>
        <w:t>.</w:t>
      </w:r>
    </w:p>
    <w:p w14:paraId="39082124" w14:textId="77777777" w:rsidR="00755FB7" w:rsidRDefault="00755FB7" w:rsidP="00755FB7">
      <w:pPr>
        <w:numPr>
          <w:ilvl w:val="0"/>
          <w:numId w:val="2"/>
        </w:numPr>
        <w:rPr>
          <w:b/>
          <w:bCs/>
        </w:rPr>
      </w:pPr>
      <w:r>
        <w:rPr>
          <w:rFonts w:ascii="Arial" w:hAnsi="Arial" w:cs="Arial"/>
          <w:b/>
          <w:bCs/>
          <w:rtl/>
        </w:rPr>
        <w:t>קנס בסך 6000 ₪ או 20 ימי מאסר תמורתו, הקנס יקוזז כנגד הפקדה בסך 10000 ₪ שהפקיד הנאשם בתיק המ"ת ויתרתה תוחזר ליד</w:t>
      </w:r>
      <w:r>
        <w:rPr>
          <w:rFonts w:ascii="Arial" w:hAnsi="Arial" w:cs="Arial" w:hint="cs"/>
          <w:b/>
          <w:bCs/>
          <w:rtl/>
        </w:rPr>
        <w:t xml:space="preserve">י אמו של הנאשם קלרה פרמונד ת.ז </w:t>
      </w:r>
      <w:r w:rsidR="00740FE5">
        <w:rPr>
          <w:rFonts w:ascii="Arial" w:hAnsi="Arial" w:cs="Arial"/>
          <w:b/>
          <w:bCs/>
        </w:rPr>
        <w:t>xxxxxxxxx</w:t>
      </w:r>
      <w:r>
        <w:rPr>
          <w:rFonts w:ascii="Arial" w:hAnsi="Arial" w:cs="Arial" w:hint="cs"/>
          <w:b/>
          <w:bCs/>
          <w:rtl/>
        </w:rPr>
        <w:t>.</w:t>
      </w:r>
    </w:p>
    <w:p w14:paraId="07EC4031" w14:textId="77777777" w:rsidR="00755FB7" w:rsidRDefault="00755FB7" w:rsidP="00755FB7">
      <w:pPr>
        <w:numPr>
          <w:ilvl w:val="0"/>
          <w:numId w:val="2"/>
        </w:numPr>
        <w:rPr>
          <w:b/>
          <w:bCs/>
        </w:rPr>
      </w:pPr>
      <w:r>
        <w:rPr>
          <w:rFonts w:ascii="Arial" w:hAnsi="Arial" w:cs="Arial"/>
          <w:b/>
          <w:bCs/>
          <w:rtl/>
        </w:rPr>
        <w:t>אני מחייב את הנאשם להצהיר כי אם יעבור אחת העבירות בהן הורשע בתוך שנה מיום שחרורו מהכלא ישלם סך 15000 ₪, יסרב להצהיר – יאסר למשך 20 ימים</w:t>
      </w:r>
      <w:r>
        <w:rPr>
          <w:rFonts w:ascii="Arial" w:hAnsi="Arial" w:cs="Arial" w:hint="cs"/>
          <w:b/>
          <w:bCs/>
          <w:rtl/>
        </w:rPr>
        <w:t>- הצהרת הנאשם נרשמה לפני.</w:t>
      </w:r>
    </w:p>
    <w:p w14:paraId="0D6750AD" w14:textId="77777777" w:rsidR="00755FB7" w:rsidRDefault="00755FB7" w:rsidP="00755FB7">
      <w:pPr>
        <w:numPr>
          <w:ilvl w:val="0"/>
          <w:numId w:val="2"/>
        </w:numPr>
        <w:rPr>
          <w:b/>
          <w:bCs/>
        </w:rPr>
      </w:pPr>
      <w:r>
        <w:rPr>
          <w:rFonts w:ascii="Arial" w:hAnsi="Arial" w:cs="Arial"/>
          <w:b/>
          <w:bCs/>
          <w:rtl/>
        </w:rPr>
        <w:t xml:space="preserve">אני פוסל את הנאשם לבקשת המאשימה מהחזקת רישיון נהיגה למשך 8 חודשים, ואולם הנאשם לא ירצה עונש זה אלא אם יעבור, בתוך שנתיים מיום שחרורו מהכלא, כל עבירה לפי </w:t>
      </w:r>
      <w:hyperlink r:id="rId14" w:history="1">
        <w:r w:rsidR="00740FE5" w:rsidRPr="00740FE5">
          <w:rPr>
            <w:rFonts w:ascii="Arial" w:hAnsi="Arial" w:cs="Arial"/>
            <w:b/>
            <w:bCs/>
            <w:color w:val="0000FF"/>
            <w:u w:val="single"/>
            <w:rtl/>
          </w:rPr>
          <w:t>פקודת הסמים המסוכנים</w:t>
        </w:r>
      </w:hyperlink>
      <w:r>
        <w:rPr>
          <w:rFonts w:ascii="Arial" w:hAnsi="Arial" w:cs="Arial"/>
          <w:b/>
          <w:bCs/>
          <w:rtl/>
        </w:rPr>
        <w:t>.</w:t>
      </w:r>
    </w:p>
    <w:p w14:paraId="4F8EAB27" w14:textId="77777777" w:rsidR="00755FB7" w:rsidRPr="00755FB7" w:rsidRDefault="00755FB7" w:rsidP="00755FB7">
      <w:pPr>
        <w:rPr>
          <w:rFonts w:eastAsia="Calibri"/>
        </w:rPr>
      </w:pPr>
    </w:p>
    <w:p w14:paraId="2F48DAC0" w14:textId="77777777" w:rsidR="00755FB7" w:rsidRDefault="00755FB7" w:rsidP="00755FB7">
      <w:pPr>
        <w:rPr>
          <w:rFonts w:ascii="Arial" w:hAnsi="Arial" w:cs="Arial"/>
        </w:rPr>
      </w:pPr>
      <w:r>
        <w:rPr>
          <w:rFonts w:ascii="Arial" w:hAnsi="Arial" w:cs="Arial"/>
          <w:rtl/>
        </w:rPr>
        <w:t>סכום המזומן בסך 700 ₪ שנתפס אצל הנאשם – יחולט.</w:t>
      </w:r>
    </w:p>
    <w:p w14:paraId="18FCBA97" w14:textId="77777777" w:rsidR="00755FB7" w:rsidRDefault="00755FB7" w:rsidP="00755FB7">
      <w:pPr>
        <w:rPr>
          <w:rFonts w:ascii="Arial" w:hAnsi="Arial" w:cs="Arial"/>
        </w:rPr>
      </w:pPr>
    </w:p>
    <w:p w14:paraId="328EE73B" w14:textId="77777777" w:rsidR="00755FB7" w:rsidRDefault="00755FB7" w:rsidP="00755FB7">
      <w:pPr>
        <w:rPr>
          <w:rFonts w:ascii="Arial" w:hAnsi="Arial" w:cs="Arial"/>
          <w:rtl/>
        </w:rPr>
      </w:pPr>
      <w:r>
        <w:rPr>
          <w:rFonts w:ascii="Arial" w:hAnsi="Arial" w:cs="Arial"/>
          <w:rtl/>
        </w:rPr>
        <w:t>מורה על השמדת שאר המוצגים.</w:t>
      </w:r>
    </w:p>
    <w:p w14:paraId="2F499B00" w14:textId="77777777" w:rsidR="00755FB7" w:rsidRDefault="00755FB7" w:rsidP="00755FB7">
      <w:pPr>
        <w:rPr>
          <w:rFonts w:ascii="Arial" w:hAnsi="Arial" w:cs="Arial"/>
          <w:rtl/>
        </w:rPr>
      </w:pPr>
    </w:p>
    <w:p w14:paraId="35CC1D4D" w14:textId="77777777" w:rsidR="00755FB7" w:rsidRDefault="00755FB7" w:rsidP="00755FB7">
      <w:pPr>
        <w:rPr>
          <w:rFonts w:ascii="Arial" w:hAnsi="Arial" w:cs="Arial"/>
          <w:rtl/>
        </w:rPr>
      </w:pPr>
    </w:p>
    <w:p w14:paraId="728CE5B1" w14:textId="77777777" w:rsidR="00755FB7" w:rsidRDefault="00755FB7" w:rsidP="00755FB7">
      <w:pPr>
        <w:rPr>
          <w:rFonts w:ascii="Arial" w:hAnsi="Arial" w:cs="Arial"/>
          <w:rtl/>
        </w:rPr>
      </w:pPr>
      <w:r>
        <w:rPr>
          <w:rFonts w:ascii="Arial" w:hAnsi="Arial" w:cs="Arial"/>
          <w:rtl/>
        </w:rPr>
        <w:t>זכות ערעור לבית המשפט המחוזי בתוך 45 ימים מהיום.</w:t>
      </w:r>
    </w:p>
    <w:p w14:paraId="2254A586" w14:textId="77777777" w:rsidR="00755FB7" w:rsidRDefault="00755FB7" w:rsidP="00755FB7">
      <w:pPr>
        <w:rPr>
          <w:rFonts w:ascii="Arial" w:hAnsi="Arial" w:cs="Arial"/>
          <w:rtl/>
        </w:rPr>
      </w:pPr>
    </w:p>
    <w:p w14:paraId="245EC0A6" w14:textId="77777777" w:rsidR="00755FB7" w:rsidRDefault="00755FB7" w:rsidP="00755FB7">
      <w:pPr>
        <w:rPr>
          <w:rFonts w:ascii="Arial" w:hAnsi="Arial" w:cs="Arial"/>
          <w:rtl/>
        </w:rPr>
      </w:pPr>
    </w:p>
    <w:p w14:paraId="62117845" w14:textId="77777777" w:rsidR="00755FB7" w:rsidRDefault="00755FB7" w:rsidP="00755FB7">
      <w:pPr>
        <w:rPr>
          <w:rFonts w:ascii="Arial" w:hAnsi="Arial" w:cs="Arial"/>
          <w:rtl/>
        </w:rPr>
      </w:pPr>
    </w:p>
    <w:p w14:paraId="533FD258" w14:textId="77777777" w:rsidR="00755FB7" w:rsidRDefault="00755FB7" w:rsidP="00755FB7">
      <w:pPr>
        <w:rPr>
          <w:rFonts w:ascii="Arial" w:hAnsi="Arial" w:cs="Arial"/>
          <w:rtl/>
        </w:rPr>
      </w:pPr>
    </w:p>
    <w:p w14:paraId="52756DA8" w14:textId="77777777" w:rsidR="00755FB7" w:rsidRPr="00B05847" w:rsidRDefault="00755FB7" w:rsidP="00755FB7">
      <w:pPr>
        <w:rPr>
          <w:rtl/>
        </w:rPr>
      </w:pPr>
    </w:p>
    <w:p w14:paraId="7DFCB140" w14:textId="77777777" w:rsidR="00755FB7" w:rsidRPr="00B05847" w:rsidRDefault="00755FB7" w:rsidP="00755FB7">
      <w:pPr>
        <w:rPr>
          <w:rtl/>
        </w:rPr>
      </w:pPr>
    </w:p>
    <w:p w14:paraId="6228E1AE" w14:textId="77777777" w:rsidR="00755FB7" w:rsidRPr="00B05847" w:rsidRDefault="00755FB7" w:rsidP="00755FB7">
      <w:pPr>
        <w:rPr>
          <w:rtl/>
        </w:rPr>
      </w:pPr>
    </w:p>
    <w:p w14:paraId="5566ACBF" w14:textId="77777777" w:rsidR="00755FB7" w:rsidRPr="00B05847" w:rsidRDefault="00755FB7" w:rsidP="00755FB7">
      <w:pPr>
        <w:rPr>
          <w:rtl/>
        </w:rPr>
      </w:pPr>
    </w:p>
    <w:p w14:paraId="5EFE01BD" w14:textId="77777777" w:rsidR="00755FB7" w:rsidRPr="00B05847" w:rsidRDefault="00755FB7" w:rsidP="00755FB7">
      <w:pPr>
        <w:rPr>
          <w:rtl/>
        </w:rPr>
      </w:pPr>
    </w:p>
    <w:p w14:paraId="51958E25" w14:textId="77777777" w:rsidR="00755FB7" w:rsidRPr="00740FE5" w:rsidRDefault="00740FE5" w:rsidP="00755FB7">
      <w:pPr>
        <w:rPr>
          <w:color w:val="FFFFFF"/>
          <w:sz w:val="2"/>
          <w:szCs w:val="2"/>
          <w:rtl/>
        </w:rPr>
      </w:pPr>
      <w:r w:rsidRPr="00740FE5">
        <w:rPr>
          <w:color w:val="FFFFFF"/>
          <w:sz w:val="2"/>
          <w:szCs w:val="2"/>
          <w:rtl/>
        </w:rPr>
        <w:t>5129371</w:t>
      </w:r>
    </w:p>
    <w:p w14:paraId="717AFD27" w14:textId="77777777" w:rsidR="00755FB7" w:rsidRDefault="00740FE5" w:rsidP="00755FB7">
      <w:pPr>
        <w:rPr>
          <w:rFonts w:cs="FrankRuehl"/>
          <w:sz w:val="28"/>
          <w:szCs w:val="28"/>
          <w:rtl/>
        </w:rPr>
      </w:pPr>
      <w:bookmarkStart w:id="7" w:name="Nitan"/>
      <w:r w:rsidRPr="00740FE5">
        <w:rPr>
          <w:rFonts w:ascii="Arial" w:hAnsi="Arial"/>
          <w:color w:val="FFFFFF"/>
          <w:sz w:val="2"/>
          <w:szCs w:val="2"/>
          <w:rtl/>
        </w:rPr>
        <w:t>54678313</w:t>
      </w:r>
      <w:r>
        <w:rPr>
          <w:rFonts w:ascii="Arial" w:hAnsi="Arial"/>
          <w:rtl/>
        </w:rPr>
        <w:t xml:space="preserve">ניתן היום,  י' שבט תשפ"ב, 12 ינואר 2022, בהעדר הצדדים. </w:t>
      </w:r>
      <w:bookmarkEnd w:id="7"/>
    </w:p>
    <w:p w14:paraId="164EA799" w14:textId="77777777" w:rsidR="00755FB7" w:rsidRDefault="00755FB7" w:rsidP="00740FE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28057BF" w14:textId="77777777" w:rsidR="00755FB7" w:rsidRDefault="00755FB7" w:rsidP="00755FB7">
      <w:pPr>
        <w:jc w:val="center"/>
        <w:rPr>
          <w:rFonts w:ascii="Arial" w:hAnsi="Arial" w:cs="FrankRuehl"/>
          <w:sz w:val="28"/>
          <w:szCs w:val="28"/>
          <w:rtl/>
        </w:rPr>
      </w:pPr>
    </w:p>
    <w:p w14:paraId="70B318F2" w14:textId="77777777" w:rsidR="00755FB7" w:rsidRDefault="00755FB7" w:rsidP="00755FB7">
      <w:pPr>
        <w:rPr>
          <w:rFonts w:cs="FrankRuehl"/>
          <w:sz w:val="28"/>
          <w:szCs w:val="28"/>
          <w:rtl/>
        </w:rPr>
      </w:pPr>
    </w:p>
    <w:p w14:paraId="21D0DE99" w14:textId="77777777" w:rsidR="00755FB7" w:rsidRPr="00325DF4" w:rsidRDefault="00325DF4" w:rsidP="00755FB7">
      <w:pPr>
        <w:pStyle w:val="a3"/>
        <w:jc w:val="center"/>
        <w:rPr>
          <w:color w:val="FFFFFF"/>
          <w:sz w:val="2"/>
          <w:szCs w:val="2"/>
          <w:rtl/>
        </w:rPr>
      </w:pPr>
      <w:r w:rsidRPr="00325DF4">
        <w:rPr>
          <w:color w:val="FFFFFF"/>
          <w:sz w:val="2"/>
          <w:szCs w:val="2"/>
          <w:rtl/>
        </w:rPr>
        <w:t>5129371</w:t>
      </w:r>
    </w:p>
    <w:p w14:paraId="64F84F99" w14:textId="77777777" w:rsidR="00A73B06" w:rsidRPr="00325DF4" w:rsidRDefault="00325DF4" w:rsidP="00740FE5">
      <w:pPr>
        <w:keepNext/>
        <w:rPr>
          <w:rFonts w:ascii="David" w:hAnsi="David"/>
          <w:color w:val="FFFFFF"/>
          <w:sz w:val="2"/>
          <w:szCs w:val="2"/>
          <w:rtl/>
        </w:rPr>
      </w:pPr>
      <w:r w:rsidRPr="00325DF4">
        <w:rPr>
          <w:rFonts w:ascii="David" w:hAnsi="David"/>
          <w:color w:val="FFFFFF"/>
          <w:sz w:val="2"/>
          <w:szCs w:val="2"/>
          <w:rtl/>
        </w:rPr>
        <w:t>54678313</w:t>
      </w:r>
    </w:p>
    <w:p w14:paraId="25128D61" w14:textId="77777777" w:rsidR="00740FE5" w:rsidRDefault="00740FE5" w:rsidP="00740FE5">
      <w:pPr>
        <w:rPr>
          <w:rtl/>
        </w:rPr>
      </w:pPr>
    </w:p>
    <w:p w14:paraId="53C69230" w14:textId="77777777" w:rsidR="00740FE5" w:rsidRDefault="00740FE5" w:rsidP="00740FE5">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03E30E03" w14:textId="77777777" w:rsidR="00325DF4" w:rsidRPr="00325DF4" w:rsidRDefault="00325DF4" w:rsidP="00325DF4">
      <w:pPr>
        <w:keepNext/>
        <w:rPr>
          <w:rFonts w:ascii="David" w:hAnsi="David"/>
          <w:color w:val="000000"/>
          <w:sz w:val="22"/>
          <w:szCs w:val="22"/>
          <w:rtl/>
        </w:rPr>
      </w:pPr>
    </w:p>
    <w:p w14:paraId="389D4303" w14:textId="77777777" w:rsidR="00325DF4" w:rsidRPr="00325DF4" w:rsidRDefault="00325DF4" w:rsidP="00325DF4">
      <w:pPr>
        <w:keepNext/>
        <w:rPr>
          <w:rFonts w:ascii="David" w:hAnsi="David"/>
          <w:color w:val="000000"/>
          <w:sz w:val="22"/>
          <w:szCs w:val="22"/>
          <w:rtl/>
        </w:rPr>
      </w:pPr>
      <w:r w:rsidRPr="00325DF4">
        <w:rPr>
          <w:rFonts w:ascii="David" w:hAnsi="David"/>
          <w:color w:val="000000"/>
          <w:sz w:val="22"/>
          <w:szCs w:val="22"/>
          <w:rtl/>
        </w:rPr>
        <w:t>אביחי דורון 54678313-/</w:t>
      </w:r>
    </w:p>
    <w:p w14:paraId="04208D3B" w14:textId="77777777" w:rsidR="00740FE5" w:rsidRPr="00740FE5" w:rsidRDefault="00325DF4" w:rsidP="00325DF4">
      <w:pPr>
        <w:rPr>
          <w:color w:val="0000FF"/>
          <w:u w:val="single"/>
        </w:rPr>
      </w:pPr>
      <w:r w:rsidRPr="00325DF4">
        <w:rPr>
          <w:color w:val="000000"/>
          <w:u w:val="single"/>
          <w:rtl/>
        </w:rPr>
        <w:t>נוסח מסמך זה כפוף לשינויי ניסוח ועריכה</w:t>
      </w:r>
    </w:p>
    <w:sectPr w:rsidR="00740FE5" w:rsidRPr="00740FE5" w:rsidSect="00325DF4">
      <w:headerReference w:type="even" r:id="rId16"/>
      <w:headerReference w:type="default" r:id="rId17"/>
      <w:footerReference w:type="even" r:id="rId18"/>
      <w:footerReference w:type="default" r:id="rId1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39C18" w14:textId="77777777" w:rsidR="007C4B9A" w:rsidRDefault="007C4B9A" w:rsidP="001105FC">
      <w:r>
        <w:separator/>
      </w:r>
    </w:p>
  </w:endnote>
  <w:endnote w:type="continuationSeparator" w:id="0">
    <w:p w14:paraId="1B79362D" w14:textId="77777777" w:rsidR="007C4B9A" w:rsidRDefault="007C4B9A" w:rsidP="0011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259FB" w14:textId="77777777" w:rsidR="00325DF4" w:rsidRDefault="00325DF4" w:rsidP="00325D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12BE3C" w14:textId="77777777" w:rsidR="00BB79F9" w:rsidRPr="00325DF4" w:rsidRDefault="00325DF4" w:rsidP="00325DF4">
    <w:pPr>
      <w:pStyle w:val="a5"/>
      <w:pBdr>
        <w:top w:val="single" w:sz="4" w:space="1" w:color="auto"/>
        <w:between w:val="single" w:sz="4" w:space="0" w:color="auto"/>
      </w:pBdr>
      <w:spacing w:after="60"/>
      <w:jc w:val="center"/>
      <w:rPr>
        <w:rFonts w:ascii="FrankRuehl" w:hAnsi="FrankRuehl" w:cs="FrankRuehl"/>
        <w:color w:val="000000"/>
      </w:rPr>
    </w:pPr>
    <w:r w:rsidRPr="00325D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50FB4" w14:textId="77777777" w:rsidR="00325DF4" w:rsidRDefault="00325DF4" w:rsidP="00325D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33E6">
      <w:rPr>
        <w:rFonts w:ascii="FrankRuehl" w:hAnsi="FrankRuehl" w:cs="FrankRuehl"/>
        <w:noProof/>
        <w:rtl/>
      </w:rPr>
      <w:t>1</w:t>
    </w:r>
    <w:r>
      <w:rPr>
        <w:rFonts w:ascii="FrankRuehl" w:hAnsi="FrankRuehl" w:cs="FrankRuehl"/>
        <w:rtl/>
      </w:rPr>
      <w:fldChar w:fldCharType="end"/>
    </w:r>
  </w:p>
  <w:p w14:paraId="0508427D" w14:textId="77777777" w:rsidR="00BB79F9" w:rsidRPr="00325DF4" w:rsidRDefault="00325DF4" w:rsidP="00325DF4">
    <w:pPr>
      <w:pStyle w:val="a5"/>
      <w:pBdr>
        <w:top w:val="single" w:sz="4" w:space="1" w:color="auto"/>
        <w:between w:val="single" w:sz="4" w:space="0" w:color="auto"/>
      </w:pBdr>
      <w:spacing w:after="60"/>
      <w:jc w:val="center"/>
      <w:rPr>
        <w:rFonts w:ascii="FrankRuehl" w:hAnsi="FrankRuehl" w:cs="FrankRuehl"/>
        <w:color w:val="000000"/>
      </w:rPr>
    </w:pPr>
    <w:r w:rsidRPr="00325DF4">
      <w:rPr>
        <w:rFonts w:ascii="FrankRuehl" w:hAnsi="FrankRuehl" w:cs="FrankRuehl"/>
        <w:color w:val="000000"/>
      </w:rPr>
      <w:pict w14:anchorId="67EE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6A3DF" w14:textId="77777777" w:rsidR="007C4B9A" w:rsidRDefault="007C4B9A" w:rsidP="001105FC">
      <w:r>
        <w:separator/>
      </w:r>
    </w:p>
  </w:footnote>
  <w:footnote w:type="continuationSeparator" w:id="0">
    <w:p w14:paraId="0D55BCF1" w14:textId="77777777" w:rsidR="007C4B9A" w:rsidRDefault="007C4B9A" w:rsidP="00110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7271" w14:textId="77777777" w:rsidR="00740FE5" w:rsidRPr="00325DF4" w:rsidRDefault="00325DF4" w:rsidP="00325D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55857-12-19</w:t>
    </w:r>
    <w:r>
      <w:rPr>
        <w:rFonts w:ascii="David" w:hAnsi="David"/>
        <w:color w:val="000000"/>
        <w:sz w:val="22"/>
        <w:szCs w:val="22"/>
        <w:rtl/>
      </w:rPr>
      <w:tab/>
      <w:t xml:space="preserve"> מדינת ישראל נ' שי יום טוב פרמונד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1CF5F" w14:textId="77777777" w:rsidR="00740FE5" w:rsidRPr="00325DF4" w:rsidRDefault="00325DF4" w:rsidP="00325D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55857-12-19</w:t>
    </w:r>
    <w:r>
      <w:rPr>
        <w:rFonts w:ascii="David" w:hAnsi="David"/>
        <w:color w:val="000000"/>
        <w:sz w:val="22"/>
        <w:szCs w:val="22"/>
        <w:rtl/>
      </w:rPr>
      <w:tab/>
      <w:t xml:space="preserve"> מדינת ישראל נ' שי יום טוב פרמונד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9B2"/>
    <w:multiLevelType w:val="hybridMultilevel"/>
    <w:tmpl w:val="09FC4F4C"/>
    <w:lvl w:ilvl="0" w:tplc="2EB09588">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28E3CD1"/>
    <w:multiLevelType w:val="hybridMultilevel"/>
    <w:tmpl w:val="2A848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3671888">
    <w:abstractNumId w:val="0"/>
  </w:num>
  <w:num w:numId="2" w16cid:durableId="48001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5FB7"/>
    <w:rsid w:val="001105FC"/>
    <w:rsid w:val="001B5A3B"/>
    <w:rsid w:val="002264E5"/>
    <w:rsid w:val="00325DF4"/>
    <w:rsid w:val="00357180"/>
    <w:rsid w:val="00392CB7"/>
    <w:rsid w:val="00740FE5"/>
    <w:rsid w:val="00755FB7"/>
    <w:rsid w:val="007C0BF3"/>
    <w:rsid w:val="007C4B9A"/>
    <w:rsid w:val="00A73B06"/>
    <w:rsid w:val="00AA44E7"/>
    <w:rsid w:val="00B74158"/>
    <w:rsid w:val="00BA7A2D"/>
    <w:rsid w:val="00BB79F9"/>
    <w:rsid w:val="00DB33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B93C4E"/>
  <w15:chartTrackingRefBased/>
  <w15:docId w15:val="{94B31A8E-47F6-421A-9734-C4A6C30B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F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5FB7"/>
    <w:pPr>
      <w:tabs>
        <w:tab w:val="center" w:pos="4153"/>
        <w:tab w:val="right" w:pos="8306"/>
      </w:tabs>
    </w:pPr>
  </w:style>
  <w:style w:type="character" w:customStyle="1" w:styleId="a4">
    <w:name w:val="כותרת עליונה תו"/>
    <w:link w:val="a3"/>
    <w:rsid w:val="00755FB7"/>
    <w:rPr>
      <w:rFonts w:ascii="Times New Roman" w:eastAsia="Times New Roman" w:hAnsi="Times New Roman" w:cs="David"/>
      <w:sz w:val="24"/>
      <w:szCs w:val="24"/>
    </w:rPr>
  </w:style>
  <w:style w:type="paragraph" w:styleId="a5">
    <w:name w:val="footer"/>
    <w:basedOn w:val="a"/>
    <w:link w:val="a6"/>
    <w:rsid w:val="00755FB7"/>
    <w:pPr>
      <w:tabs>
        <w:tab w:val="center" w:pos="4153"/>
        <w:tab w:val="right" w:pos="8306"/>
      </w:tabs>
    </w:pPr>
  </w:style>
  <w:style w:type="character" w:customStyle="1" w:styleId="a6">
    <w:name w:val="כותרת תחתונה תו"/>
    <w:link w:val="a5"/>
    <w:rsid w:val="00755FB7"/>
    <w:rPr>
      <w:rFonts w:ascii="Times New Roman" w:eastAsia="Times New Roman" w:hAnsi="Times New Roman" w:cs="David"/>
      <w:sz w:val="24"/>
      <w:szCs w:val="24"/>
    </w:rPr>
  </w:style>
  <w:style w:type="table" w:styleId="a7">
    <w:name w:val="Table Grid"/>
    <w:basedOn w:val="a1"/>
    <w:rsid w:val="00755F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5FB7"/>
  </w:style>
  <w:style w:type="character" w:styleId="Hyperlink">
    <w:name w:val="Hyperlink"/>
    <w:rsid w:val="00740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a"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40jc.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1444</Words>
  <Characters>7222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8649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6750245</vt:i4>
      </vt:variant>
      <vt:variant>
        <vt:i4>9</vt:i4>
      </vt:variant>
      <vt:variant>
        <vt:i4>0</vt:i4>
      </vt:variant>
      <vt:variant>
        <vt:i4>5</vt:i4>
      </vt:variant>
      <vt:variant>
        <vt:lpwstr>http://www.nevo.co.il/law/70301/40jc.a</vt:lpwstr>
      </vt:variant>
      <vt:variant>
        <vt:lpwstr/>
      </vt:variant>
      <vt:variant>
        <vt:i4>8257637</vt:i4>
      </vt:variant>
      <vt:variant>
        <vt:i4>6</vt:i4>
      </vt:variant>
      <vt:variant>
        <vt:i4>0</vt:i4>
      </vt:variant>
      <vt:variant>
        <vt:i4>5</vt:i4>
      </vt:variant>
      <vt:variant>
        <vt:lpwstr>http://www.nevo.co.il/law/4216</vt:lpwstr>
      </vt:variant>
      <vt:variant>
        <vt:lpwstr/>
      </vt:variant>
      <vt:variant>
        <vt:i4>6750245</vt:i4>
      </vt:variant>
      <vt:variant>
        <vt:i4>3</vt:i4>
      </vt:variant>
      <vt:variant>
        <vt:i4>0</vt:i4>
      </vt:variant>
      <vt:variant>
        <vt:i4>5</vt:i4>
      </vt:variant>
      <vt:variant>
        <vt:lpwstr>http://www.nevo.co.il/law/70301/40jc.a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55857</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שי יום טוב פרמונד</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20220112</vt:lpwstr>
  </property>
  <property fmtid="{D5CDD505-2E9C-101B-9397-08002B2CF9AE}" pid="13" name="TYPE_N_DATE">
    <vt:lpwstr>38020220112</vt:lpwstr>
  </property>
  <property fmtid="{D5CDD505-2E9C-101B-9397-08002B2CF9AE}" pid="14" name="CASENOTES1">
    <vt:lpwstr>ProcID=133;209&amp;PartA=4913&amp;PartC=10</vt:lpwstr>
  </property>
  <property fmtid="{D5CDD505-2E9C-101B-9397-08002B2CF9AE}" pid="15" name="WORDNUMPAGES">
    <vt:lpwstr>5</vt:lpwstr>
  </property>
  <property fmtid="{D5CDD505-2E9C-101B-9397-08002B2CF9AE}" pid="16" name="TYPE_ABS_DATE">
    <vt:lpwstr>380020220112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70301/40jc.a</vt:lpwstr>
  </property>
  <property fmtid="{D5CDD505-2E9C-101B-9397-08002B2CF9AE}" pid="37" name="LAWLISTTMP2">
    <vt:lpwstr>4216:3</vt:lpwstr>
  </property>
</Properties>
</file>