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C01C2B" w:rsidRPr="001350E5" w14:paraId="31D593C5" w14:textId="77777777" w:rsidTr="00C034C4">
        <w:trPr>
          <w:trHeight w:hRule="exact" w:val="704"/>
          <w:jc w:val="center"/>
        </w:trPr>
        <w:tc>
          <w:tcPr>
            <w:tcW w:w="8721" w:type="dxa"/>
            <w:gridSpan w:val="2"/>
          </w:tcPr>
          <w:p w14:paraId="6E9A7C56" w14:textId="77777777" w:rsidR="00C01C2B" w:rsidRPr="001350E5" w:rsidRDefault="00C01C2B" w:rsidP="00C034C4">
            <w:pPr>
              <w:pStyle w:val="a3"/>
              <w:jc w:val="center"/>
              <w:rPr>
                <w:rFonts w:ascii="Tahoma" w:hAnsi="Tahoma" w:cs="Tahoma"/>
                <w:b/>
                <w:bCs/>
                <w:color w:val="000080"/>
                <w:rtl/>
              </w:rPr>
            </w:pPr>
            <w:bookmarkStart w:id="0" w:name="FirstLawyer"/>
            <w:bookmarkStart w:id="1" w:name="LastJudge"/>
            <w:r w:rsidRPr="001350E5">
              <w:rPr>
                <w:rFonts w:ascii="Tahoma" w:hAnsi="Tahoma" w:cs="Tahoma"/>
                <w:b/>
                <w:bCs/>
                <w:color w:val="000080"/>
                <w:rtl/>
              </w:rPr>
              <w:t>בית משפט השלום בבאר שבע</w:t>
            </w:r>
          </w:p>
          <w:p w14:paraId="37A0E09C" w14:textId="77777777" w:rsidR="00C01C2B" w:rsidRPr="001350E5" w:rsidRDefault="00C01C2B" w:rsidP="00C034C4">
            <w:pPr>
              <w:pStyle w:val="a3"/>
              <w:jc w:val="center"/>
              <w:rPr>
                <w:rFonts w:ascii="Tahoma" w:hAnsi="Tahoma" w:cs="Tahoma"/>
                <w:color w:val="000080"/>
                <w:rtl/>
              </w:rPr>
            </w:pPr>
          </w:p>
        </w:tc>
      </w:tr>
      <w:tr w:rsidR="00C01C2B" w:rsidRPr="001350E5" w14:paraId="46367170" w14:textId="77777777" w:rsidTr="00C034C4">
        <w:trPr>
          <w:trHeight w:val="337"/>
          <w:jc w:val="center"/>
        </w:trPr>
        <w:tc>
          <w:tcPr>
            <w:tcW w:w="4473" w:type="dxa"/>
          </w:tcPr>
          <w:p w14:paraId="6992B0E6" w14:textId="77777777" w:rsidR="00C01C2B" w:rsidRPr="001350E5" w:rsidRDefault="00C01C2B" w:rsidP="00C034C4">
            <w:pPr>
              <w:rPr>
                <w:b/>
                <w:bCs/>
                <w:sz w:val="26"/>
                <w:szCs w:val="26"/>
                <w:rtl/>
              </w:rPr>
            </w:pPr>
          </w:p>
        </w:tc>
        <w:tc>
          <w:tcPr>
            <w:tcW w:w="4248" w:type="dxa"/>
          </w:tcPr>
          <w:p w14:paraId="3B995A92" w14:textId="77777777" w:rsidR="00C01C2B" w:rsidRPr="001350E5" w:rsidRDefault="00C01C2B" w:rsidP="00C034C4">
            <w:pPr>
              <w:pStyle w:val="a3"/>
              <w:jc w:val="right"/>
              <w:rPr>
                <w:b/>
                <w:bCs/>
                <w:sz w:val="26"/>
                <w:szCs w:val="26"/>
                <w:rtl/>
              </w:rPr>
            </w:pPr>
            <w:r w:rsidRPr="001350E5">
              <w:rPr>
                <w:b/>
                <w:bCs/>
                <w:sz w:val="26"/>
                <w:szCs w:val="26"/>
                <w:rtl/>
              </w:rPr>
              <w:t>ו' תשרי תשפ"ד</w:t>
            </w:r>
          </w:p>
          <w:p w14:paraId="053465EA" w14:textId="77777777" w:rsidR="00C01C2B" w:rsidRPr="001350E5" w:rsidRDefault="00C01C2B" w:rsidP="00C034C4">
            <w:pPr>
              <w:pStyle w:val="a3"/>
              <w:jc w:val="right"/>
              <w:rPr>
                <w:b/>
                <w:bCs/>
                <w:sz w:val="26"/>
                <w:szCs w:val="26"/>
                <w:rtl/>
              </w:rPr>
            </w:pPr>
            <w:r w:rsidRPr="001350E5">
              <w:rPr>
                <w:b/>
                <w:bCs/>
                <w:sz w:val="26"/>
                <w:szCs w:val="26"/>
                <w:rtl/>
              </w:rPr>
              <w:t>21 ספטמבר 2023</w:t>
            </w:r>
          </w:p>
        </w:tc>
      </w:tr>
      <w:tr w:rsidR="00C01C2B" w:rsidRPr="001350E5" w14:paraId="03A1AF29" w14:textId="77777777" w:rsidTr="00C034C4">
        <w:trPr>
          <w:trHeight w:val="337"/>
          <w:jc w:val="center"/>
        </w:trPr>
        <w:tc>
          <w:tcPr>
            <w:tcW w:w="8721" w:type="dxa"/>
            <w:gridSpan w:val="2"/>
          </w:tcPr>
          <w:p w14:paraId="31AAAEB4" w14:textId="77777777" w:rsidR="00C01C2B" w:rsidRPr="001350E5" w:rsidRDefault="001350E5" w:rsidP="00C034C4">
            <w:pPr>
              <w:rPr>
                <w:b/>
                <w:bCs/>
                <w:sz w:val="26"/>
                <w:szCs w:val="26"/>
                <w:rtl/>
              </w:rPr>
            </w:pPr>
            <w:hyperlink r:id="rId7" w:history="1">
              <w:r w:rsidRPr="001350E5">
                <w:rPr>
                  <w:b/>
                  <w:bCs/>
                  <w:color w:val="0000FF"/>
                  <w:sz w:val="26"/>
                  <w:szCs w:val="26"/>
                  <w:u w:val="single"/>
                  <w:rtl/>
                </w:rPr>
                <w:t>ת"פ 59165-12-19</w:t>
              </w:r>
            </w:hyperlink>
            <w:r w:rsidR="00C01C2B" w:rsidRPr="001350E5">
              <w:rPr>
                <w:b/>
                <w:bCs/>
                <w:sz w:val="26"/>
                <w:szCs w:val="26"/>
                <w:rtl/>
              </w:rPr>
              <w:t xml:space="preserve"> מדינת ישראל נ' אלסאנע</w:t>
            </w:r>
          </w:p>
          <w:p w14:paraId="7BFD0122" w14:textId="77777777" w:rsidR="00C01C2B" w:rsidRPr="001350E5" w:rsidRDefault="00C01C2B" w:rsidP="00C034C4">
            <w:pPr>
              <w:rPr>
                <w:rtl/>
              </w:rPr>
            </w:pPr>
          </w:p>
          <w:p w14:paraId="34217C13" w14:textId="77777777" w:rsidR="00C01C2B" w:rsidRPr="001350E5" w:rsidRDefault="00C01C2B" w:rsidP="00C034C4">
            <w:pPr>
              <w:rPr>
                <w:rtl/>
              </w:rPr>
            </w:pPr>
            <w:r w:rsidRPr="001350E5">
              <w:rPr>
                <w:rFonts w:hint="cs"/>
                <w:sz w:val="20"/>
                <w:szCs w:val="20"/>
                <w:rtl/>
              </w:rPr>
              <w:t>תיק חיצוני</w:t>
            </w:r>
            <w:r w:rsidRPr="001350E5">
              <w:rPr>
                <w:rFonts w:hint="cs"/>
                <w:rtl/>
              </w:rPr>
              <w:t xml:space="preserve">: </w:t>
            </w:r>
            <w:r w:rsidRPr="001350E5">
              <w:rPr>
                <w:sz w:val="20"/>
                <w:szCs w:val="20"/>
              </w:rPr>
              <w:t>549272/2019</w:t>
            </w:r>
          </w:p>
        </w:tc>
      </w:tr>
    </w:tbl>
    <w:p w14:paraId="6CC96B98" w14:textId="77777777" w:rsidR="00C01C2B" w:rsidRPr="001350E5" w:rsidRDefault="00C01C2B" w:rsidP="005548C2">
      <w:pPr>
        <w:pStyle w:val="a3"/>
        <w:rPr>
          <w:rtl/>
        </w:rPr>
      </w:pPr>
      <w:r w:rsidRPr="001350E5">
        <w:rPr>
          <w:rtl/>
        </w:rPr>
        <w:t xml:space="preserve"> </w:t>
      </w:r>
    </w:p>
    <w:tbl>
      <w:tblPr>
        <w:bidiVisual/>
        <w:tblW w:w="8820" w:type="dxa"/>
        <w:jc w:val="center"/>
        <w:tblLook w:val="01E0" w:firstRow="1" w:lastRow="1" w:firstColumn="1" w:lastColumn="1" w:noHBand="0" w:noVBand="0"/>
      </w:tblPr>
      <w:tblGrid>
        <w:gridCol w:w="743"/>
        <w:gridCol w:w="2506"/>
        <w:gridCol w:w="5571"/>
      </w:tblGrid>
      <w:tr w:rsidR="00C01C2B" w:rsidRPr="001350E5" w14:paraId="00812042" w14:textId="77777777" w:rsidTr="00C01C2B">
        <w:trPr>
          <w:jc w:val="center"/>
        </w:trPr>
        <w:tc>
          <w:tcPr>
            <w:tcW w:w="743" w:type="dxa"/>
            <w:shd w:val="clear" w:color="auto" w:fill="auto"/>
          </w:tcPr>
          <w:p w14:paraId="06318CCD" w14:textId="77777777" w:rsidR="00C01C2B" w:rsidRPr="001350E5" w:rsidRDefault="00C01C2B" w:rsidP="00C01C2B">
            <w:pPr>
              <w:jc w:val="both"/>
              <w:rPr>
                <w:rFonts w:ascii="Arial" w:hAnsi="Arial"/>
                <w:b/>
                <w:bCs/>
              </w:rPr>
            </w:pPr>
            <w:r w:rsidRPr="001350E5">
              <w:rPr>
                <w:rFonts w:ascii="Arial" w:hAnsi="Arial" w:hint="cs"/>
                <w:b/>
                <w:bCs/>
                <w:rtl/>
              </w:rPr>
              <w:t>לפני</w:t>
            </w:r>
          </w:p>
        </w:tc>
        <w:tc>
          <w:tcPr>
            <w:tcW w:w="8077" w:type="dxa"/>
            <w:gridSpan w:val="2"/>
            <w:shd w:val="clear" w:color="auto" w:fill="auto"/>
          </w:tcPr>
          <w:p w14:paraId="35F33B36" w14:textId="77777777" w:rsidR="00C01C2B" w:rsidRPr="001350E5" w:rsidRDefault="00C01C2B" w:rsidP="00C034C4">
            <w:pPr>
              <w:rPr>
                <w:rFonts w:ascii="Arial" w:hAnsi="Arial"/>
                <w:b/>
                <w:bCs/>
                <w:rtl/>
              </w:rPr>
            </w:pPr>
            <w:r w:rsidRPr="001350E5">
              <w:rPr>
                <w:rFonts w:ascii="Arial" w:hAnsi="Arial" w:hint="cs"/>
                <w:b/>
                <w:bCs/>
                <w:rtl/>
              </w:rPr>
              <w:t>כב' ה</w:t>
            </w:r>
            <w:r w:rsidRPr="001350E5">
              <w:rPr>
                <w:rFonts w:ascii="Arial" w:hAnsi="Arial"/>
                <w:b/>
                <w:bCs/>
                <w:rtl/>
              </w:rPr>
              <w:t>שופט</w:t>
            </w:r>
            <w:r w:rsidRPr="001350E5">
              <w:rPr>
                <w:rFonts w:ascii="Arial" w:hAnsi="Arial" w:hint="cs"/>
                <w:b/>
                <w:bCs/>
                <w:rtl/>
              </w:rPr>
              <w:t xml:space="preserve">  </w:t>
            </w:r>
            <w:r w:rsidRPr="001350E5">
              <w:rPr>
                <w:rFonts w:ascii="Arial" w:hAnsi="Arial"/>
                <w:b/>
                <w:bCs/>
                <w:rtl/>
              </w:rPr>
              <w:t>רון סולקין</w:t>
            </w:r>
          </w:p>
          <w:p w14:paraId="4F335CEF" w14:textId="77777777" w:rsidR="00C01C2B" w:rsidRPr="001350E5" w:rsidRDefault="00C01C2B" w:rsidP="00C034C4">
            <w:pPr>
              <w:rPr>
                <w:rFonts w:ascii="Arial" w:hAnsi="Arial" w:cs="FrankRuehl"/>
                <w:sz w:val="28"/>
                <w:szCs w:val="28"/>
                <w:highlight w:val="yellow"/>
              </w:rPr>
            </w:pPr>
          </w:p>
        </w:tc>
      </w:tr>
      <w:tr w:rsidR="00C01C2B" w:rsidRPr="001350E5" w14:paraId="2AD2599E" w14:textId="77777777" w:rsidTr="00C01C2B">
        <w:trPr>
          <w:jc w:val="center"/>
        </w:trPr>
        <w:tc>
          <w:tcPr>
            <w:tcW w:w="3249" w:type="dxa"/>
            <w:gridSpan w:val="2"/>
            <w:shd w:val="clear" w:color="auto" w:fill="auto"/>
          </w:tcPr>
          <w:p w14:paraId="74BF38E0" w14:textId="77777777" w:rsidR="00C01C2B" w:rsidRPr="001350E5" w:rsidRDefault="00C01C2B" w:rsidP="00C01C2B">
            <w:pPr>
              <w:bidi w:val="0"/>
              <w:jc w:val="right"/>
              <w:rPr>
                <w:rFonts w:ascii="Arial" w:hAnsi="Arial"/>
                <w:b/>
                <w:bCs/>
                <w:sz w:val="26"/>
                <w:szCs w:val="26"/>
              </w:rPr>
            </w:pPr>
            <w:bookmarkStart w:id="2" w:name="FirstAppellant"/>
          </w:p>
          <w:p w14:paraId="66F5CC5B" w14:textId="77777777" w:rsidR="00C01C2B" w:rsidRPr="001350E5" w:rsidRDefault="00C01C2B" w:rsidP="00C01C2B">
            <w:pPr>
              <w:bidi w:val="0"/>
              <w:jc w:val="right"/>
              <w:rPr>
                <w:rFonts w:ascii="Arial" w:hAnsi="Arial"/>
                <w:b/>
                <w:bCs/>
                <w:sz w:val="26"/>
                <w:szCs w:val="26"/>
                <w:rtl/>
              </w:rPr>
            </w:pPr>
            <w:r w:rsidRPr="001350E5">
              <w:rPr>
                <w:rFonts w:ascii="Arial" w:hAnsi="Arial" w:hint="cs"/>
                <w:b/>
                <w:bCs/>
                <w:sz w:val="26"/>
                <w:szCs w:val="26"/>
                <w:rtl/>
              </w:rPr>
              <w:t>המאשימה</w:t>
            </w:r>
          </w:p>
        </w:tc>
        <w:tc>
          <w:tcPr>
            <w:tcW w:w="5571" w:type="dxa"/>
            <w:shd w:val="clear" w:color="auto" w:fill="auto"/>
          </w:tcPr>
          <w:p w14:paraId="7EADA27C" w14:textId="77777777" w:rsidR="00C01C2B" w:rsidRPr="001350E5" w:rsidRDefault="00C01C2B" w:rsidP="00C034C4">
            <w:pPr>
              <w:rPr>
                <w:rFonts w:ascii="Arial" w:hAnsi="Arial"/>
                <w:b/>
                <w:bCs/>
                <w:sz w:val="26"/>
                <w:szCs w:val="26"/>
                <w:rtl/>
              </w:rPr>
            </w:pPr>
          </w:p>
          <w:p w14:paraId="663F70AC" w14:textId="77777777" w:rsidR="00C01C2B" w:rsidRPr="001350E5" w:rsidRDefault="00C01C2B" w:rsidP="00C034C4">
            <w:pPr>
              <w:rPr>
                <w:b/>
                <w:bCs/>
                <w:sz w:val="26"/>
                <w:szCs w:val="26"/>
              </w:rPr>
            </w:pPr>
            <w:r w:rsidRPr="001350E5">
              <w:rPr>
                <w:rFonts w:ascii="Arial" w:hAnsi="Arial"/>
                <w:b/>
                <w:bCs/>
                <w:sz w:val="26"/>
                <w:szCs w:val="26"/>
                <w:rtl/>
              </w:rPr>
              <w:t xml:space="preserve">מדינת ישראל – תביעות </w:t>
            </w:r>
            <w:r w:rsidRPr="001350E5">
              <w:rPr>
                <w:rFonts w:ascii="Arial" w:hAnsi="Arial" w:hint="cs"/>
                <w:b/>
                <w:bCs/>
                <w:sz w:val="26"/>
                <w:szCs w:val="26"/>
                <w:rtl/>
              </w:rPr>
              <w:t>נגב</w:t>
            </w:r>
            <w:r w:rsidRPr="001350E5">
              <w:rPr>
                <w:rFonts w:ascii="Arial" w:hAnsi="Arial"/>
                <w:b/>
                <w:bCs/>
                <w:sz w:val="26"/>
                <w:szCs w:val="26"/>
                <w:rtl/>
              </w:rPr>
              <w:br/>
            </w:r>
            <w:r w:rsidRPr="001350E5">
              <w:rPr>
                <w:rFonts w:hint="cs"/>
                <w:rtl/>
              </w:rPr>
              <w:t>ע"י ב"כ עו"ד אינרה פרז</w:t>
            </w:r>
          </w:p>
        </w:tc>
      </w:tr>
      <w:bookmarkEnd w:id="2"/>
      <w:tr w:rsidR="00C01C2B" w:rsidRPr="001350E5" w14:paraId="66219937" w14:textId="77777777" w:rsidTr="00C01C2B">
        <w:trPr>
          <w:jc w:val="center"/>
        </w:trPr>
        <w:tc>
          <w:tcPr>
            <w:tcW w:w="8820" w:type="dxa"/>
            <w:gridSpan w:val="3"/>
            <w:shd w:val="clear" w:color="auto" w:fill="auto"/>
          </w:tcPr>
          <w:p w14:paraId="62C4C1C9" w14:textId="77777777" w:rsidR="00C01C2B" w:rsidRPr="001350E5" w:rsidRDefault="00C01C2B" w:rsidP="00C034C4">
            <w:pPr>
              <w:rPr>
                <w:rFonts w:ascii="Arial" w:hAnsi="Arial"/>
                <w:b/>
                <w:bCs/>
                <w:sz w:val="26"/>
                <w:szCs w:val="26"/>
                <w:rtl/>
              </w:rPr>
            </w:pPr>
          </w:p>
          <w:p w14:paraId="314B2F7C" w14:textId="77777777" w:rsidR="00C01C2B" w:rsidRPr="001350E5" w:rsidRDefault="00C01C2B" w:rsidP="00C01C2B">
            <w:pPr>
              <w:jc w:val="center"/>
              <w:rPr>
                <w:rFonts w:ascii="Arial" w:hAnsi="Arial"/>
                <w:b/>
                <w:bCs/>
                <w:sz w:val="26"/>
                <w:szCs w:val="26"/>
                <w:rtl/>
              </w:rPr>
            </w:pPr>
            <w:r w:rsidRPr="001350E5">
              <w:rPr>
                <w:rFonts w:ascii="Arial" w:hAnsi="Arial"/>
                <w:b/>
                <w:bCs/>
                <w:sz w:val="26"/>
                <w:szCs w:val="26"/>
                <w:rtl/>
              </w:rPr>
              <w:t>נגד</w:t>
            </w:r>
          </w:p>
          <w:p w14:paraId="2C697E5E" w14:textId="77777777" w:rsidR="00C01C2B" w:rsidRPr="001350E5" w:rsidRDefault="00C01C2B" w:rsidP="00C034C4">
            <w:pPr>
              <w:rPr>
                <w:rFonts w:ascii="Arial" w:hAnsi="Arial"/>
                <w:b/>
                <w:bCs/>
                <w:sz w:val="26"/>
                <w:szCs w:val="26"/>
              </w:rPr>
            </w:pPr>
          </w:p>
        </w:tc>
      </w:tr>
      <w:tr w:rsidR="00C01C2B" w:rsidRPr="001350E5" w14:paraId="01C8E028" w14:textId="77777777" w:rsidTr="00C01C2B">
        <w:trPr>
          <w:jc w:val="center"/>
        </w:trPr>
        <w:tc>
          <w:tcPr>
            <w:tcW w:w="3249" w:type="dxa"/>
            <w:gridSpan w:val="2"/>
            <w:shd w:val="clear" w:color="auto" w:fill="auto"/>
          </w:tcPr>
          <w:p w14:paraId="31FFAE3F" w14:textId="77777777" w:rsidR="00C01C2B" w:rsidRPr="001350E5" w:rsidRDefault="00C01C2B" w:rsidP="00C034C4">
            <w:pPr>
              <w:rPr>
                <w:rFonts w:ascii="Arial" w:hAnsi="Arial"/>
                <w:b/>
                <w:bCs/>
                <w:sz w:val="26"/>
                <w:szCs w:val="26"/>
                <w:rtl/>
              </w:rPr>
            </w:pPr>
          </w:p>
          <w:p w14:paraId="38CC6381" w14:textId="77777777" w:rsidR="00C01C2B" w:rsidRPr="001350E5" w:rsidRDefault="00C01C2B" w:rsidP="00C034C4">
            <w:pPr>
              <w:rPr>
                <w:rFonts w:ascii="Arial" w:hAnsi="Arial"/>
                <w:b/>
                <w:bCs/>
                <w:sz w:val="26"/>
                <w:szCs w:val="26"/>
              </w:rPr>
            </w:pPr>
            <w:r w:rsidRPr="001350E5">
              <w:rPr>
                <w:rFonts w:ascii="Arial" w:hAnsi="Arial" w:hint="cs"/>
                <w:b/>
                <w:bCs/>
                <w:sz w:val="26"/>
                <w:szCs w:val="26"/>
                <w:rtl/>
              </w:rPr>
              <w:t>הנאשם</w:t>
            </w:r>
          </w:p>
        </w:tc>
        <w:tc>
          <w:tcPr>
            <w:tcW w:w="5571" w:type="dxa"/>
            <w:shd w:val="clear" w:color="auto" w:fill="auto"/>
          </w:tcPr>
          <w:p w14:paraId="141223AF" w14:textId="77777777" w:rsidR="00C01C2B" w:rsidRPr="001350E5" w:rsidRDefault="00C01C2B" w:rsidP="00C034C4">
            <w:pPr>
              <w:rPr>
                <w:rFonts w:ascii="Arial" w:hAnsi="Arial"/>
                <w:b/>
                <w:bCs/>
                <w:sz w:val="26"/>
                <w:szCs w:val="26"/>
                <w:rtl/>
              </w:rPr>
            </w:pPr>
          </w:p>
          <w:p w14:paraId="16EF9F8F" w14:textId="77777777" w:rsidR="00C01C2B" w:rsidRPr="001350E5" w:rsidRDefault="00C01C2B" w:rsidP="00C034C4">
            <w:pPr>
              <w:rPr>
                <w:b/>
                <w:bCs/>
                <w:sz w:val="26"/>
                <w:szCs w:val="26"/>
                <w:rtl/>
              </w:rPr>
            </w:pPr>
            <w:r w:rsidRPr="001350E5">
              <w:rPr>
                <w:rFonts w:ascii="Arial" w:hAnsi="Arial"/>
                <w:b/>
                <w:bCs/>
                <w:sz w:val="26"/>
                <w:szCs w:val="26"/>
                <w:rtl/>
              </w:rPr>
              <w:t>יאסין</w:t>
            </w:r>
            <w:r w:rsidRPr="001350E5">
              <w:rPr>
                <w:rFonts w:ascii="Arial" w:hAnsi="Arial" w:hint="cs"/>
                <w:b/>
                <w:bCs/>
                <w:sz w:val="26"/>
                <w:szCs w:val="26"/>
                <w:rtl/>
              </w:rPr>
              <w:t xml:space="preserve"> בן נבהאן</w:t>
            </w:r>
            <w:r w:rsidRPr="001350E5">
              <w:rPr>
                <w:rFonts w:ascii="Arial" w:hAnsi="Arial"/>
                <w:b/>
                <w:bCs/>
                <w:sz w:val="26"/>
                <w:szCs w:val="26"/>
                <w:rtl/>
              </w:rPr>
              <w:t xml:space="preserve"> אלסאנע</w:t>
            </w:r>
            <w:r w:rsidRPr="001350E5">
              <w:rPr>
                <w:rFonts w:ascii="Arial" w:hAnsi="Arial"/>
                <w:b/>
                <w:bCs/>
                <w:sz w:val="26"/>
                <w:szCs w:val="26"/>
                <w:rtl/>
              </w:rPr>
              <w:br/>
            </w:r>
            <w:r w:rsidRPr="001350E5">
              <w:rPr>
                <w:rFonts w:hint="cs"/>
                <w:rtl/>
              </w:rPr>
              <w:t>ע"י ב"כ עו"ד שחאדה אבו מדיעם</w:t>
            </w:r>
          </w:p>
        </w:tc>
      </w:tr>
    </w:tbl>
    <w:p w14:paraId="124C22A5" w14:textId="77777777" w:rsidR="001350E5" w:rsidRPr="001350E5" w:rsidRDefault="001350E5" w:rsidP="001350E5">
      <w:pPr>
        <w:suppressLineNumbers/>
        <w:spacing w:before="120" w:after="120" w:line="240" w:lineRule="exact"/>
        <w:ind w:left="283" w:hanging="283"/>
        <w:jc w:val="both"/>
        <w:rPr>
          <w:rFonts w:ascii="FrankRuehl" w:hAnsi="FrankRuehl" w:cs="FrankRuehl"/>
          <w:rtl/>
        </w:rPr>
      </w:pPr>
    </w:p>
    <w:p w14:paraId="0DD9CBB2" w14:textId="77777777" w:rsidR="001350E5" w:rsidRPr="001350E5" w:rsidRDefault="001350E5" w:rsidP="001350E5">
      <w:pPr>
        <w:suppressLineNumbers/>
        <w:rPr>
          <w:rtl/>
        </w:rPr>
      </w:pPr>
    </w:p>
    <w:p w14:paraId="7768152C" w14:textId="77777777" w:rsidR="007C3E7D" w:rsidRPr="007C3E7D" w:rsidRDefault="007C3E7D" w:rsidP="007C3E7D">
      <w:pPr>
        <w:suppressLineNumbers/>
        <w:spacing w:before="120" w:after="120" w:line="240" w:lineRule="exact"/>
        <w:ind w:left="283" w:hanging="283"/>
        <w:jc w:val="both"/>
        <w:rPr>
          <w:rFonts w:ascii="FrankRuehl" w:hAnsi="FrankRuehl" w:cs="FrankRuehl"/>
          <w:rtl/>
        </w:rPr>
      </w:pPr>
    </w:p>
    <w:p w14:paraId="6F012AF3" w14:textId="77777777" w:rsidR="003C4010" w:rsidRPr="003C4010" w:rsidRDefault="003C4010" w:rsidP="003C4010">
      <w:pPr>
        <w:suppressLineNumbers/>
        <w:spacing w:before="120" w:after="120" w:line="240" w:lineRule="exact"/>
        <w:ind w:left="283" w:hanging="283"/>
        <w:jc w:val="both"/>
        <w:rPr>
          <w:rFonts w:ascii="FrankRuehl" w:hAnsi="FrankRuehl" w:cs="FrankRuehl"/>
          <w:rtl/>
        </w:rPr>
      </w:pPr>
    </w:p>
    <w:p w14:paraId="1AD990C2" w14:textId="77777777" w:rsidR="008C7C31" w:rsidRDefault="008C7C31" w:rsidP="008C7C31">
      <w:pPr>
        <w:suppressLineNumbers/>
        <w:rPr>
          <w:rtl/>
        </w:rPr>
      </w:pPr>
      <w:bookmarkStart w:id="3" w:name="LawTable"/>
      <w:bookmarkEnd w:id="3"/>
    </w:p>
    <w:p w14:paraId="27932C48"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p>
    <w:p w14:paraId="54169CC6"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p>
    <w:p w14:paraId="028930E0"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r w:rsidRPr="008C7C31">
        <w:rPr>
          <w:rFonts w:ascii="FrankRuehl" w:hAnsi="FrankRuehl" w:cs="FrankRuehl"/>
          <w:rtl/>
        </w:rPr>
        <w:t xml:space="preserve">חקיקה שאוזכרה: </w:t>
      </w:r>
    </w:p>
    <w:p w14:paraId="6424A5CA"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hyperlink r:id="rId8" w:history="1">
        <w:r w:rsidRPr="008C7C31">
          <w:rPr>
            <w:rFonts w:ascii="FrankRuehl" w:hAnsi="FrankRuehl" w:cs="FrankRuehl"/>
            <w:color w:val="0000FF"/>
            <w:rtl/>
          </w:rPr>
          <w:t>פקודת הסמים המסוכנים [נוסח חדש], תשל"ג-1973</w:t>
        </w:r>
      </w:hyperlink>
      <w:r w:rsidRPr="008C7C31">
        <w:rPr>
          <w:rFonts w:ascii="FrankRuehl" w:hAnsi="FrankRuehl" w:cs="FrankRuehl"/>
          <w:rtl/>
        </w:rPr>
        <w:t xml:space="preserve">: סע'  </w:t>
      </w:r>
      <w:hyperlink r:id="rId9" w:history="1">
        <w:r w:rsidRPr="008C7C31">
          <w:rPr>
            <w:rFonts w:ascii="FrankRuehl" w:hAnsi="FrankRuehl" w:cs="FrankRuehl"/>
            <w:color w:val="0000FF"/>
            <w:rtl/>
          </w:rPr>
          <w:t>7(א)</w:t>
        </w:r>
      </w:hyperlink>
      <w:r w:rsidRPr="008C7C31">
        <w:rPr>
          <w:rFonts w:ascii="FrankRuehl" w:hAnsi="FrankRuehl" w:cs="FrankRuehl"/>
          <w:rtl/>
        </w:rPr>
        <w:t xml:space="preserve">, </w:t>
      </w:r>
      <w:hyperlink r:id="rId10" w:history="1">
        <w:r w:rsidRPr="008C7C31">
          <w:rPr>
            <w:rFonts w:ascii="FrankRuehl" w:hAnsi="FrankRuehl" w:cs="FrankRuehl"/>
            <w:color w:val="0000FF"/>
            <w:rtl/>
          </w:rPr>
          <w:t>ג</w:t>
        </w:r>
      </w:hyperlink>
    </w:p>
    <w:p w14:paraId="6CF91ADD"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hyperlink r:id="rId11" w:history="1">
        <w:r w:rsidRPr="008C7C31">
          <w:rPr>
            <w:rFonts w:ascii="FrankRuehl" w:hAnsi="FrankRuehl" w:cs="FrankRuehl"/>
            <w:color w:val="0000FF"/>
            <w:rtl/>
          </w:rPr>
          <w:t>חוק העונשין, תשל"ז-1977</w:t>
        </w:r>
      </w:hyperlink>
      <w:r w:rsidRPr="008C7C31">
        <w:rPr>
          <w:rFonts w:ascii="FrankRuehl" w:hAnsi="FrankRuehl" w:cs="FrankRuehl"/>
          <w:rtl/>
        </w:rPr>
        <w:t xml:space="preserve">: סע'  </w:t>
      </w:r>
      <w:hyperlink r:id="rId12" w:history="1">
        <w:r w:rsidRPr="008C7C31">
          <w:rPr>
            <w:rFonts w:ascii="FrankRuehl" w:hAnsi="FrankRuehl" w:cs="FrankRuehl"/>
            <w:color w:val="0000FF"/>
            <w:rtl/>
          </w:rPr>
          <w:t>275</w:t>
        </w:r>
      </w:hyperlink>
      <w:r w:rsidRPr="008C7C31">
        <w:rPr>
          <w:rFonts w:ascii="FrankRuehl" w:hAnsi="FrankRuehl" w:cs="FrankRuehl"/>
          <w:rtl/>
        </w:rPr>
        <w:t xml:space="preserve">, </w:t>
      </w:r>
      <w:hyperlink r:id="rId13" w:history="1">
        <w:r w:rsidRPr="008C7C31">
          <w:rPr>
            <w:rFonts w:ascii="FrankRuehl" w:hAnsi="FrankRuehl" w:cs="FrankRuehl"/>
            <w:color w:val="0000FF"/>
            <w:rtl/>
          </w:rPr>
          <w:t>288</w:t>
        </w:r>
      </w:hyperlink>
      <w:r w:rsidRPr="008C7C31">
        <w:rPr>
          <w:rFonts w:ascii="FrankRuehl" w:hAnsi="FrankRuehl" w:cs="FrankRuehl"/>
          <w:rtl/>
        </w:rPr>
        <w:t xml:space="preserve">, </w:t>
      </w:r>
      <w:hyperlink r:id="rId14" w:history="1">
        <w:r w:rsidRPr="008C7C31">
          <w:rPr>
            <w:rFonts w:ascii="FrankRuehl" w:hAnsi="FrankRuehl" w:cs="FrankRuehl"/>
            <w:color w:val="0000FF"/>
            <w:rtl/>
          </w:rPr>
          <w:t>288א'</w:t>
        </w:r>
      </w:hyperlink>
      <w:r w:rsidRPr="008C7C31">
        <w:rPr>
          <w:rFonts w:ascii="FrankRuehl" w:hAnsi="FrankRuehl" w:cs="FrankRuehl"/>
          <w:rtl/>
        </w:rPr>
        <w:t xml:space="preserve">, </w:t>
      </w:r>
      <w:hyperlink r:id="rId15" w:history="1">
        <w:r w:rsidRPr="008C7C31">
          <w:rPr>
            <w:rFonts w:ascii="FrankRuehl" w:hAnsi="FrankRuehl" w:cs="FrankRuehl"/>
            <w:color w:val="0000FF"/>
            <w:rtl/>
          </w:rPr>
          <w:t>382א'</w:t>
        </w:r>
      </w:hyperlink>
      <w:r w:rsidRPr="008C7C31">
        <w:rPr>
          <w:rFonts w:ascii="FrankRuehl" w:hAnsi="FrankRuehl" w:cs="FrankRuehl"/>
          <w:rtl/>
        </w:rPr>
        <w:t xml:space="preserve">, </w:t>
      </w:r>
      <w:hyperlink r:id="rId16" w:history="1">
        <w:r w:rsidRPr="008C7C31">
          <w:rPr>
            <w:rFonts w:ascii="FrankRuehl" w:hAnsi="FrankRuehl" w:cs="FrankRuehl"/>
            <w:color w:val="0000FF"/>
            <w:rtl/>
          </w:rPr>
          <w:t>ט'  ג'</w:t>
        </w:r>
      </w:hyperlink>
    </w:p>
    <w:p w14:paraId="2B887105" w14:textId="77777777" w:rsidR="008C7C31" w:rsidRPr="008C7C31" w:rsidRDefault="008C7C31" w:rsidP="008C7C31">
      <w:pPr>
        <w:suppressLineNumbers/>
        <w:spacing w:before="120" w:after="120" w:line="240" w:lineRule="exact"/>
        <w:ind w:left="283" w:hanging="283"/>
        <w:jc w:val="both"/>
        <w:rPr>
          <w:rFonts w:ascii="FrankRuehl" w:hAnsi="FrankRuehl" w:cs="FrankRuehl"/>
          <w:rtl/>
        </w:rPr>
      </w:pPr>
      <w:hyperlink r:id="rId17" w:history="1">
        <w:r w:rsidRPr="008C7C31">
          <w:rPr>
            <w:rFonts w:ascii="FrankRuehl" w:hAnsi="FrankRuehl" w:cs="FrankRuehl"/>
            <w:color w:val="0000FF"/>
            <w:rtl/>
          </w:rPr>
          <w:t>חוק המאבק בתופעת השימוש בחומרים מסכנים, תשע"ג-2013</w:t>
        </w:r>
      </w:hyperlink>
    </w:p>
    <w:p w14:paraId="2C64937A" w14:textId="77777777" w:rsidR="008C7C31" w:rsidRPr="008C7C31" w:rsidRDefault="008C7C31" w:rsidP="008C7C31">
      <w:pPr>
        <w:suppressLineNumbers/>
        <w:rPr>
          <w:rtl/>
        </w:rPr>
      </w:pPr>
      <w:bookmarkStart w:id="4" w:name="LawTable_End"/>
      <w:bookmarkEnd w:id="4"/>
    </w:p>
    <w:p w14:paraId="297A6DD0" w14:textId="77777777" w:rsidR="007C3E7D" w:rsidRPr="003C4010" w:rsidRDefault="007C3E7D" w:rsidP="003C4010">
      <w:pPr>
        <w:suppressLineNumbers/>
        <w:rPr>
          <w:rFonts w:hint="cs"/>
        </w:rPr>
      </w:pPr>
    </w:p>
    <w:tbl>
      <w:tblPr>
        <w:bidiVisual/>
        <w:tblW w:w="8820" w:type="dxa"/>
        <w:jc w:val="center"/>
        <w:tblLook w:val="01E0" w:firstRow="1" w:lastRow="1" w:firstColumn="1" w:lastColumn="1" w:noHBand="0" w:noVBand="0"/>
      </w:tblPr>
      <w:tblGrid>
        <w:gridCol w:w="8820"/>
      </w:tblGrid>
      <w:tr w:rsidR="00C01C2B" w14:paraId="25B69765" w14:textId="77777777" w:rsidTr="00C01C2B">
        <w:trPr>
          <w:jc w:val="center"/>
        </w:trPr>
        <w:tc>
          <w:tcPr>
            <w:tcW w:w="8820" w:type="dxa"/>
            <w:shd w:val="clear" w:color="auto" w:fill="auto"/>
          </w:tcPr>
          <w:p w14:paraId="58D38AC5" w14:textId="77777777" w:rsidR="001350E5" w:rsidRPr="001350E5" w:rsidRDefault="001350E5" w:rsidP="001350E5">
            <w:pPr>
              <w:bidi w:val="0"/>
              <w:jc w:val="center"/>
              <w:rPr>
                <w:rFonts w:ascii="Arial" w:hAnsi="Arial"/>
                <w:b/>
                <w:bCs/>
                <w:sz w:val="28"/>
                <w:szCs w:val="28"/>
                <w:u w:val="single"/>
              </w:rPr>
            </w:pPr>
            <w:bookmarkStart w:id="5" w:name="PsakDin" w:colFirst="0" w:colLast="0"/>
            <w:bookmarkEnd w:id="0"/>
            <w:bookmarkEnd w:id="1"/>
            <w:r w:rsidRPr="001350E5">
              <w:rPr>
                <w:rFonts w:ascii="Arial" w:hAnsi="Arial"/>
                <w:b/>
                <w:bCs/>
                <w:sz w:val="28"/>
                <w:szCs w:val="28"/>
                <w:u w:val="single"/>
                <w:rtl/>
              </w:rPr>
              <w:t>גזר דין</w:t>
            </w:r>
          </w:p>
          <w:p w14:paraId="467F88F9" w14:textId="77777777" w:rsidR="00C01C2B" w:rsidRPr="001350E5" w:rsidRDefault="00C01C2B" w:rsidP="001350E5">
            <w:pPr>
              <w:bidi w:val="0"/>
              <w:jc w:val="center"/>
              <w:rPr>
                <w:rFonts w:ascii="Arial" w:hAnsi="Arial"/>
                <w:b/>
                <w:bCs/>
                <w:sz w:val="28"/>
                <w:szCs w:val="28"/>
                <w:u w:val="single"/>
              </w:rPr>
            </w:pPr>
          </w:p>
        </w:tc>
      </w:tr>
      <w:bookmarkEnd w:id="5"/>
    </w:tbl>
    <w:p w14:paraId="68DAB67C" w14:textId="77777777" w:rsidR="00C01C2B" w:rsidRDefault="00C01C2B" w:rsidP="00C01C2B">
      <w:pPr>
        <w:spacing w:line="360" w:lineRule="auto"/>
        <w:jc w:val="both"/>
        <w:rPr>
          <w:rFonts w:ascii="Arial" w:hAnsi="Arial"/>
          <w:rtl/>
        </w:rPr>
      </w:pPr>
    </w:p>
    <w:p w14:paraId="2997A71D" w14:textId="77777777" w:rsidR="00C01C2B" w:rsidRDefault="00C01C2B" w:rsidP="00C01C2B">
      <w:pPr>
        <w:spacing w:line="360" w:lineRule="auto"/>
        <w:jc w:val="both"/>
        <w:rPr>
          <w:rFonts w:ascii="Arial" w:hAnsi="Arial"/>
          <w:rtl/>
        </w:rPr>
      </w:pPr>
    </w:p>
    <w:p w14:paraId="39F2C4E0" w14:textId="77777777" w:rsidR="00C01C2B" w:rsidRPr="00686E31" w:rsidRDefault="00C01C2B" w:rsidP="00C01C2B">
      <w:pPr>
        <w:spacing w:line="360" w:lineRule="auto"/>
        <w:jc w:val="both"/>
        <w:rPr>
          <w:rFonts w:ascii="Arial" w:hAnsi="Arial"/>
        </w:rPr>
      </w:pPr>
      <w:r w:rsidRPr="00686E31">
        <w:rPr>
          <w:rFonts w:ascii="Arial" w:hAnsi="Arial"/>
          <w:b/>
          <w:bCs/>
          <w:rtl/>
        </w:rPr>
        <w:t>כתב האישום והסדר הטיעון</w:t>
      </w:r>
    </w:p>
    <w:p w14:paraId="317787D6" w14:textId="77777777" w:rsidR="00C01C2B" w:rsidRPr="00686E31" w:rsidRDefault="00C01C2B" w:rsidP="00C01C2B">
      <w:pPr>
        <w:spacing w:line="360" w:lineRule="auto"/>
        <w:jc w:val="both"/>
        <w:rPr>
          <w:rFonts w:ascii="Arial" w:hAnsi="Arial"/>
          <w:rtl/>
        </w:rPr>
      </w:pPr>
    </w:p>
    <w:p w14:paraId="51A2FB00" w14:textId="77777777" w:rsidR="00C01C2B" w:rsidRPr="00686E31" w:rsidRDefault="00C01C2B" w:rsidP="00C01C2B">
      <w:pPr>
        <w:spacing w:line="360" w:lineRule="auto"/>
        <w:jc w:val="both"/>
        <w:rPr>
          <w:rFonts w:ascii="Arial" w:hAnsi="Arial"/>
          <w:rtl/>
        </w:rPr>
      </w:pPr>
      <w:bookmarkStart w:id="6" w:name="ABSTRACT_START"/>
      <w:bookmarkEnd w:id="6"/>
      <w:r w:rsidRPr="00686E31">
        <w:rPr>
          <w:rFonts w:ascii="Arial" w:hAnsi="Arial"/>
          <w:rtl/>
        </w:rPr>
        <w:t>הנאשם שלפני נותן את הדין בגין העבירות כדלקמן:</w:t>
      </w:r>
    </w:p>
    <w:p w14:paraId="74841C2B" w14:textId="77777777" w:rsidR="00C01C2B" w:rsidRPr="00686E31" w:rsidRDefault="00C01C2B" w:rsidP="00C01C2B">
      <w:pPr>
        <w:numPr>
          <w:ilvl w:val="0"/>
          <w:numId w:val="1"/>
        </w:numPr>
        <w:spacing w:line="360" w:lineRule="auto"/>
        <w:contextualSpacing/>
        <w:jc w:val="both"/>
        <w:rPr>
          <w:rtl/>
        </w:rPr>
      </w:pPr>
      <w:r w:rsidRPr="00686E31">
        <w:rPr>
          <w:rtl/>
        </w:rPr>
        <w:lastRenderedPageBreak/>
        <w:t xml:space="preserve">אחזקת סם מסוכן שלא לצריכה עצמית, בניגוד </w:t>
      </w:r>
      <w:hyperlink r:id="rId18" w:history="1">
        <w:r w:rsidR="005548C2" w:rsidRPr="005548C2">
          <w:rPr>
            <w:rStyle w:val="Hyperlink"/>
            <w:rtl/>
          </w:rPr>
          <w:t>לסעיף 7(א)</w:t>
        </w:r>
      </w:hyperlink>
      <w:r w:rsidRPr="00686E31">
        <w:rPr>
          <w:rtl/>
        </w:rPr>
        <w:t xml:space="preserve"> ו-(</w:t>
      </w:r>
      <w:hyperlink r:id="rId19" w:history="1">
        <w:r w:rsidR="005548C2" w:rsidRPr="005548C2">
          <w:rPr>
            <w:rStyle w:val="Hyperlink"/>
            <w:rtl/>
          </w:rPr>
          <w:t>ג</w:t>
        </w:r>
      </w:hyperlink>
      <w:r w:rsidRPr="00686E31">
        <w:rPr>
          <w:rtl/>
        </w:rPr>
        <w:t>) רישא ל</w:t>
      </w:r>
      <w:hyperlink r:id="rId20" w:history="1">
        <w:r w:rsidR="001350E5" w:rsidRPr="001350E5">
          <w:rPr>
            <w:color w:val="0000FF"/>
            <w:u w:val="single"/>
            <w:rtl/>
          </w:rPr>
          <w:t>פקודת הסמים המסוכנים</w:t>
        </w:r>
      </w:hyperlink>
      <w:r w:rsidRPr="00686E31">
        <w:rPr>
          <w:rtl/>
        </w:rPr>
        <w:t xml:space="preserve"> [נוסח חדש], תשל"ג – 1973;</w:t>
      </w:r>
    </w:p>
    <w:p w14:paraId="0B39906A" w14:textId="77777777" w:rsidR="00C01C2B" w:rsidRPr="00686E31" w:rsidRDefault="00C01C2B" w:rsidP="00C01C2B">
      <w:pPr>
        <w:numPr>
          <w:ilvl w:val="0"/>
          <w:numId w:val="1"/>
        </w:numPr>
        <w:spacing w:line="360" w:lineRule="auto"/>
        <w:contextualSpacing/>
        <w:jc w:val="both"/>
      </w:pPr>
      <w:r w:rsidRPr="00686E31">
        <w:rPr>
          <w:rtl/>
        </w:rPr>
        <w:t xml:space="preserve">הפרעה לשוטר בעת מילוי תפקידו, עבירה בניגוד </w:t>
      </w:r>
      <w:hyperlink r:id="rId21" w:history="1">
        <w:r w:rsidR="005548C2" w:rsidRPr="005548C2">
          <w:rPr>
            <w:rStyle w:val="Hyperlink"/>
            <w:rtl/>
          </w:rPr>
          <w:t>לסעיף 275</w:t>
        </w:r>
      </w:hyperlink>
      <w:r w:rsidRPr="00686E31">
        <w:rPr>
          <w:rtl/>
        </w:rPr>
        <w:t xml:space="preserve"> ל</w:t>
      </w:r>
      <w:hyperlink r:id="rId22" w:history="1">
        <w:r w:rsidR="001350E5" w:rsidRPr="001350E5">
          <w:rPr>
            <w:color w:val="0000FF"/>
            <w:u w:val="single"/>
            <w:rtl/>
          </w:rPr>
          <w:t>חוק העונשין</w:t>
        </w:r>
      </w:hyperlink>
      <w:r w:rsidRPr="00686E31">
        <w:rPr>
          <w:rtl/>
        </w:rPr>
        <w:t xml:space="preserve">, תשל"ז – 1977. </w:t>
      </w:r>
    </w:p>
    <w:p w14:paraId="3A65F079" w14:textId="77777777" w:rsidR="00C01C2B" w:rsidRPr="00686E31" w:rsidRDefault="00C01C2B" w:rsidP="00C01C2B">
      <w:pPr>
        <w:spacing w:line="360" w:lineRule="auto"/>
        <w:jc w:val="both"/>
      </w:pPr>
    </w:p>
    <w:p w14:paraId="73C7341C" w14:textId="77777777" w:rsidR="00C01C2B" w:rsidRDefault="00C01C2B" w:rsidP="00C01C2B">
      <w:pPr>
        <w:spacing w:line="360" w:lineRule="auto"/>
        <w:jc w:val="both"/>
        <w:rPr>
          <w:rtl/>
        </w:rPr>
      </w:pPr>
      <w:bookmarkStart w:id="7" w:name="ABSTRACT_END"/>
      <w:bookmarkEnd w:id="7"/>
      <w:r w:rsidRPr="00686E31">
        <w:rPr>
          <w:rtl/>
        </w:rPr>
        <w:t xml:space="preserve">נגד הנאשם הוגשו שני כתבי אישום, האחד – התיק דנן בבית משפט זה (להלן: "התיק העיקרי"), והשני – </w:t>
      </w:r>
      <w:r>
        <w:rPr>
          <w:rFonts w:hint="cs"/>
          <w:rtl/>
        </w:rPr>
        <w:t xml:space="preserve">אשר צורף לתיק זה - </w:t>
      </w:r>
      <w:hyperlink r:id="rId23" w:history="1">
        <w:r w:rsidR="001350E5" w:rsidRPr="001350E5">
          <w:rPr>
            <w:color w:val="0000FF"/>
            <w:u w:val="single"/>
            <w:rtl/>
          </w:rPr>
          <w:t>ת"פ 42964-11-20</w:t>
        </w:r>
      </w:hyperlink>
      <w:r>
        <w:rPr>
          <w:rFonts w:hint="cs"/>
          <w:rtl/>
        </w:rPr>
        <w:t xml:space="preserve">, שהתנהל </w:t>
      </w:r>
      <w:r w:rsidRPr="00686E31">
        <w:rPr>
          <w:rtl/>
        </w:rPr>
        <w:t>בבית משפט השלום בקריות (להלן: "תיק הצירוף").</w:t>
      </w:r>
    </w:p>
    <w:p w14:paraId="3C27146D" w14:textId="77777777" w:rsidR="00C01C2B" w:rsidRDefault="00C01C2B" w:rsidP="00C01C2B">
      <w:pPr>
        <w:spacing w:line="360" w:lineRule="auto"/>
        <w:jc w:val="both"/>
        <w:rPr>
          <w:rtl/>
        </w:rPr>
      </w:pPr>
    </w:p>
    <w:p w14:paraId="424775FC" w14:textId="77777777" w:rsidR="00C01C2B" w:rsidRPr="00686E31" w:rsidRDefault="00C01C2B" w:rsidP="00C01C2B">
      <w:pPr>
        <w:spacing w:line="360" w:lineRule="auto"/>
        <w:jc w:val="both"/>
        <w:rPr>
          <w:u w:val="single"/>
          <w:rtl/>
        </w:rPr>
      </w:pPr>
      <w:r>
        <w:rPr>
          <w:rFonts w:hint="cs"/>
          <w:u w:val="single"/>
          <w:rtl/>
        </w:rPr>
        <w:t>עובדות התיק העיקרי</w:t>
      </w:r>
    </w:p>
    <w:p w14:paraId="4A861CF6" w14:textId="77777777" w:rsidR="00C01C2B" w:rsidRPr="00686E31" w:rsidRDefault="00C01C2B" w:rsidP="00C01C2B">
      <w:pPr>
        <w:spacing w:line="360" w:lineRule="auto"/>
        <w:jc w:val="both"/>
        <w:rPr>
          <w:rtl/>
        </w:rPr>
      </w:pPr>
    </w:p>
    <w:p w14:paraId="1611F019" w14:textId="77777777" w:rsidR="00C01C2B" w:rsidRPr="00686E31" w:rsidRDefault="00C01C2B" w:rsidP="00C01C2B">
      <w:pPr>
        <w:spacing w:line="360" w:lineRule="auto"/>
        <w:jc w:val="both"/>
        <w:rPr>
          <w:rtl/>
        </w:rPr>
      </w:pPr>
      <w:r w:rsidRPr="00686E31">
        <w:rPr>
          <w:rFonts w:ascii="Calibri" w:hAnsi="Calibri"/>
          <w:rtl/>
        </w:rPr>
        <w:t>בהתאם לעובדות כתב האישום המתוקן כא/1, בהן הורשע הנאשם במסגרת הסדר טיעון,</w:t>
      </w:r>
      <w:r w:rsidRPr="00686E31">
        <w:rPr>
          <w:rtl/>
        </w:rPr>
        <w:t xml:space="preserve"> בתאריך 20.12.19 בסמוך לשעה 19:34 החזיק הנאשם בתוך מבנה בחצר ביתו, בית מספר 135 שכונה 8 בלקיה (להלן: "המקום")</w:t>
      </w:r>
      <w:r>
        <w:rPr>
          <w:rFonts w:hint="cs"/>
          <w:rtl/>
        </w:rPr>
        <w:t>,</w:t>
      </w:r>
      <w:r w:rsidRPr="00686E31">
        <w:rPr>
          <w:rtl/>
        </w:rPr>
        <w:t xml:space="preserve"> סם מסוכן מסוג קנבוס</w:t>
      </w:r>
      <w:r>
        <w:rPr>
          <w:rFonts w:hint="cs"/>
          <w:rtl/>
        </w:rPr>
        <w:t>,</w:t>
      </w:r>
      <w:r w:rsidRPr="00686E31">
        <w:rPr>
          <w:rtl/>
        </w:rPr>
        <w:t xml:space="preserve"> במשקל כולל של 2,300 גרם נטו, שלא לצריכתו העצמית ומבלי שהדבר הותר לו בפקודה בתקנות או ברשיון מאת המנהל.</w:t>
      </w:r>
    </w:p>
    <w:p w14:paraId="4934A3AE" w14:textId="77777777" w:rsidR="00C01C2B" w:rsidRDefault="00C01C2B" w:rsidP="00C01C2B">
      <w:pPr>
        <w:spacing w:line="360" w:lineRule="auto"/>
        <w:jc w:val="both"/>
        <w:rPr>
          <w:u w:val="single"/>
          <w:rtl/>
        </w:rPr>
      </w:pPr>
    </w:p>
    <w:p w14:paraId="037837AF" w14:textId="77777777" w:rsidR="00C01C2B" w:rsidRDefault="00C01C2B" w:rsidP="00C01C2B">
      <w:pPr>
        <w:spacing w:line="360" w:lineRule="auto"/>
        <w:jc w:val="both"/>
        <w:rPr>
          <w:u w:val="single"/>
          <w:rtl/>
        </w:rPr>
      </w:pPr>
    </w:p>
    <w:p w14:paraId="35FCF683" w14:textId="77777777" w:rsidR="00C01C2B" w:rsidRDefault="00C01C2B" w:rsidP="00C01C2B">
      <w:pPr>
        <w:spacing w:line="360" w:lineRule="auto"/>
        <w:jc w:val="both"/>
        <w:rPr>
          <w:rtl/>
        </w:rPr>
      </w:pPr>
      <w:r>
        <w:rPr>
          <w:rFonts w:hint="cs"/>
          <w:u w:val="single"/>
          <w:rtl/>
        </w:rPr>
        <w:t>עובדות תיק הצירוף</w:t>
      </w:r>
    </w:p>
    <w:p w14:paraId="4489D36F" w14:textId="77777777" w:rsidR="00C01C2B" w:rsidRDefault="00C01C2B" w:rsidP="00C01C2B">
      <w:pPr>
        <w:spacing w:line="360" w:lineRule="auto"/>
        <w:jc w:val="both"/>
        <w:rPr>
          <w:rtl/>
        </w:rPr>
      </w:pPr>
    </w:p>
    <w:p w14:paraId="76812CFA" w14:textId="77777777" w:rsidR="00C01C2B" w:rsidRDefault="00C01C2B" w:rsidP="00C01C2B">
      <w:pPr>
        <w:spacing w:line="360" w:lineRule="auto"/>
        <w:jc w:val="both"/>
        <w:rPr>
          <w:rtl/>
        </w:rPr>
      </w:pPr>
      <w:r>
        <w:rPr>
          <w:rFonts w:hint="cs"/>
          <w:rtl/>
        </w:rPr>
        <w:t xml:space="preserve">ביום 04.11.20, </w:t>
      </w:r>
      <w:r w:rsidRPr="00693690">
        <w:rPr>
          <w:rFonts w:hint="cs"/>
          <w:rtl/>
        </w:rPr>
        <w:t>בשעה</w:t>
      </w:r>
      <w:r w:rsidRPr="00693690">
        <w:t xml:space="preserve"> 15:45 </w:t>
      </w:r>
      <w:r w:rsidRPr="00693690">
        <w:rPr>
          <w:rFonts w:hint="cs"/>
          <w:rtl/>
        </w:rPr>
        <w:t>או</w:t>
      </w:r>
      <w:r w:rsidRPr="00693690">
        <w:t xml:space="preserve"> </w:t>
      </w:r>
      <w:r w:rsidRPr="00693690">
        <w:rPr>
          <w:rFonts w:hint="cs"/>
          <w:rtl/>
        </w:rPr>
        <w:t>בסמוך</w:t>
      </w:r>
      <w:r>
        <w:rPr>
          <w:rFonts w:hint="cs"/>
          <w:rtl/>
        </w:rPr>
        <w:t xml:space="preserve"> לכך, ב</w:t>
      </w:r>
      <w:r w:rsidRPr="00693690">
        <w:rPr>
          <w:rFonts w:hint="cs"/>
          <w:rtl/>
        </w:rPr>
        <w:t>צומת</w:t>
      </w:r>
      <w:r w:rsidRPr="00693690">
        <w:t xml:space="preserve"> </w:t>
      </w:r>
      <w:r w:rsidRPr="00693690">
        <w:rPr>
          <w:rFonts w:hint="cs"/>
          <w:rtl/>
        </w:rPr>
        <w:t>קר</w:t>
      </w:r>
      <w:r>
        <w:rPr>
          <w:rFonts w:hint="cs"/>
          <w:rtl/>
        </w:rPr>
        <w:t>י</w:t>
      </w:r>
      <w:r w:rsidRPr="00693690">
        <w:rPr>
          <w:rFonts w:hint="cs"/>
          <w:rtl/>
        </w:rPr>
        <w:t>ית</w:t>
      </w:r>
      <w:r w:rsidRPr="00693690">
        <w:t xml:space="preserve"> </w:t>
      </w:r>
      <w:r>
        <w:rPr>
          <w:rFonts w:hint="cs"/>
          <w:rtl/>
        </w:rPr>
        <w:t>אתא,</w:t>
      </w:r>
      <w:r w:rsidRPr="00693690">
        <w:t xml:space="preserve"> </w:t>
      </w:r>
      <w:r w:rsidRPr="00693690">
        <w:rPr>
          <w:rFonts w:hint="cs"/>
          <w:rtl/>
        </w:rPr>
        <w:t>בסמוך</w:t>
      </w:r>
      <w:r>
        <w:rPr>
          <w:rFonts w:hint="cs"/>
          <w:rtl/>
        </w:rPr>
        <w:t xml:space="preserve"> </w:t>
      </w:r>
      <w:r w:rsidRPr="00693690">
        <w:rPr>
          <w:rFonts w:hint="cs"/>
          <w:rtl/>
        </w:rPr>
        <w:t>לשווארמה</w:t>
      </w:r>
      <w:r w:rsidRPr="00693690">
        <w:t xml:space="preserve"> </w:t>
      </w:r>
      <w:r w:rsidRPr="00693690">
        <w:rPr>
          <w:rFonts w:hint="cs"/>
          <w:rtl/>
        </w:rPr>
        <w:t>חאזן</w:t>
      </w:r>
      <w:r>
        <w:rPr>
          <w:rFonts w:hint="cs"/>
          <w:rtl/>
        </w:rPr>
        <w:t xml:space="preserve"> (להלן: "מקום המפגש"), הגיע הנאשם ברכב מסוג טויוטה ל"ז 51-331-32 (להלן: "הטויוטה") ונפגש עם מעורב נוסף בתיק.</w:t>
      </w:r>
    </w:p>
    <w:p w14:paraId="54A762FD" w14:textId="77777777" w:rsidR="00C01C2B" w:rsidRDefault="00C01C2B" w:rsidP="00C01C2B">
      <w:pPr>
        <w:spacing w:line="360" w:lineRule="auto"/>
        <w:jc w:val="both"/>
        <w:rPr>
          <w:rtl/>
        </w:rPr>
      </w:pPr>
    </w:p>
    <w:p w14:paraId="348D5A9A" w14:textId="77777777" w:rsidR="00C01C2B" w:rsidRDefault="00C01C2B" w:rsidP="00C01C2B">
      <w:pPr>
        <w:spacing w:line="360" w:lineRule="auto"/>
        <w:jc w:val="both"/>
        <w:rPr>
          <w:rtl/>
        </w:rPr>
      </w:pPr>
      <w:r>
        <w:rPr>
          <w:rFonts w:hint="cs"/>
          <w:rtl/>
        </w:rPr>
        <w:t>בהמשך לכך, נסעו הנאשם והאחר לרח' חלוצי התעשייה 10 בחיפה, והנאשם החנה את רכב הטויוטה בניצב למדרכה, בזמן שהמעורב הנוסף החנה את רכבו בצורה החוסמת רכבים חונים, סמוך לטויוטה.</w:t>
      </w:r>
    </w:p>
    <w:p w14:paraId="2DD9A5DB" w14:textId="77777777" w:rsidR="00C01C2B" w:rsidRDefault="00C01C2B" w:rsidP="00C01C2B">
      <w:pPr>
        <w:spacing w:line="360" w:lineRule="auto"/>
        <w:jc w:val="both"/>
        <w:rPr>
          <w:rtl/>
        </w:rPr>
      </w:pPr>
    </w:p>
    <w:p w14:paraId="11BC8938" w14:textId="77777777" w:rsidR="00C01C2B" w:rsidRDefault="00C01C2B" w:rsidP="00C01C2B">
      <w:pPr>
        <w:spacing w:line="360" w:lineRule="auto"/>
        <w:jc w:val="both"/>
        <w:rPr>
          <w:rtl/>
        </w:rPr>
      </w:pPr>
      <w:r>
        <w:rPr>
          <w:rFonts w:hint="cs"/>
          <w:rtl/>
        </w:rPr>
        <w:t>באותו מעמד, יצא הנאשם מהטויוטה ואחז בידו בשקית המכילה סם מסוכן מסוג קנביס, במשקל 1,988.71 גרם נטו (להלן: "הסם המסוכן"), ניגש לרכבו של האחר, הכניס את השקית עם הסם לתוך תא המטען ברכבו של האחר וניסה לסגור את תא המטען, בזמן שהאחר יושב ברכבו בתא הנהג.</w:t>
      </w:r>
    </w:p>
    <w:p w14:paraId="08E8E7D6" w14:textId="77777777" w:rsidR="00C01C2B" w:rsidRDefault="00C01C2B" w:rsidP="00C01C2B">
      <w:pPr>
        <w:spacing w:line="360" w:lineRule="auto"/>
        <w:jc w:val="both"/>
        <w:rPr>
          <w:rtl/>
        </w:rPr>
      </w:pPr>
    </w:p>
    <w:p w14:paraId="6A12C2F3" w14:textId="77777777" w:rsidR="00C01C2B" w:rsidRDefault="00C01C2B" w:rsidP="00C01C2B">
      <w:pPr>
        <w:spacing w:line="360" w:lineRule="auto"/>
        <w:jc w:val="both"/>
      </w:pPr>
      <w:r>
        <w:rPr>
          <w:rFonts w:hint="cs"/>
          <w:rtl/>
        </w:rPr>
        <w:t>בהמשך, עת עוכב הנאשם לתחנת זבולון, ובשעה שהשוטר עידו טורמן (להלן: "השוטר") ערך חיפוש בטויוטה, נצמד הנאשם לגופו של השוטר, נשען בגופו על גופו של השוטר תוך שהוא אומר לו "עזוב את הרכב יא בן זונה". בתגובה לכך, הסתובב השוטר באופן שפניו היו לכיוון הנאשם, או אז, נגח הנאשם קלות, באמצעות ראשו, בראש של השוטר והמשיך להתפרע עד שהשוטר השתלט עליו ואזק אותו.</w:t>
      </w:r>
    </w:p>
    <w:p w14:paraId="6CCDC5AF" w14:textId="77777777" w:rsidR="00C01C2B" w:rsidRDefault="00C01C2B" w:rsidP="00C01C2B">
      <w:pPr>
        <w:spacing w:line="360" w:lineRule="auto"/>
        <w:jc w:val="both"/>
      </w:pPr>
    </w:p>
    <w:p w14:paraId="2D25A983" w14:textId="77777777" w:rsidR="00C01C2B" w:rsidRPr="00686E31" w:rsidRDefault="00C01C2B" w:rsidP="00C01C2B">
      <w:pPr>
        <w:spacing w:line="360" w:lineRule="auto"/>
        <w:jc w:val="both"/>
        <w:rPr>
          <w:rtl/>
        </w:rPr>
      </w:pPr>
      <w:r>
        <w:rPr>
          <w:rtl/>
        </w:rPr>
        <w:t>בין הצדדים</w:t>
      </w:r>
      <w:r>
        <w:rPr>
          <w:rFonts w:hint="cs"/>
          <w:rtl/>
        </w:rPr>
        <w:t xml:space="preserve"> </w:t>
      </w:r>
      <w:r w:rsidRPr="00686E31">
        <w:rPr>
          <w:rtl/>
        </w:rPr>
        <w:t>נערך</w:t>
      </w:r>
      <w:r>
        <w:rPr>
          <w:rFonts w:hint="cs"/>
          <w:rtl/>
        </w:rPr>
        <w:t>, בתחילה,</w:t>
      </w:r>
      <w:r w:rsidRPr="00686E31">
        <w:rPr>
          <w:rtl/>
        </w:rPr>
        <w:t xml:space="preserve"> הסדר טיעון, </w:t>
      </w:r>
      <w:r>
        <w:rPr>
          <w:rFonts w:hint="cs"/>
          <w:rtl/>
        </w:rPr>
        <w:t xml:space="preserve">שנגע לתיק העיקרי, </w:t>
      </w:r>
      <w:r w:rsidRPr="00686E31">
        <w:rPr>
          <w:rtl/>
        </w:rPr>
        <w:t>במסגרתו תוקן כתב האישום, והנאשם הודה והורשע בעבירה שבכתב האישום המתוקן.</w:t>
      </w:r>
    </w:p>
    <w:p w14:paraId="18E4BF77" w14:textId="77777777" w:rsidR="00C01C2B" w:rsidRPr="00686E31" w:rsidRDefault="00C01C2B" w:rsidP="00C01C2B">
      <w:pPr>
        <w:spacing w:line="360" w:lineRule="auto"/>
        <w:jc w:val="both"/>
        <w:rPr>
          <w:rtl/>
        </w:rPr>
      </w:pPr>
    </w:p>
    <w:p w14:paraId="1A91E68A" w14:textId="77777777" w:rsidR="00C01C2B" w:rsidRPr="00686E31" w:rsidRDefault="00C01C2B" w:rsidP="00C01C2B">
      <w:pPr>
        <w:spacing w:line="360" w:lineRule="auto"/>
        <w:jc w:val="both"/>
        <w:rPr>
          <w:rtl/>
        </w:rPr>
      </w:pPr>
      <w:r w:rsidRPr="00686E31">
        <w:rPr>
          <w:rtl/>
        </w:rPr>
        <w:t>הסדר הטיעון לא כלל הסכמה לענין העונש, אולם הוסכם, כי הנאשם יופנה להערכת שירות המבחן למבוגרים, תוך שהמאשימה אינה מתחייבת להמלצות התסקיר.</w:t>
      </w:r>
    </w:p>
    <w:p w14:paraId="6A45F959" w14:textId="77777777" w:rsidR="00C01C2B" w:rsidRPr="00686E31" w:rsidRDefault="00C01C2B" w:rsidP="00C01C2B">
      <w:pPr>
        <w:spacing w:line="360" w:lineRule="auto"/>
        <w:jc w:val="both"/>
        <w:rPr>
          <w:rtl/>
        </w:rPr>
      </w:pPr>
    </w:p>
    <w:p w14:paraId="197BB489" w14:textId="77777777" w:rsidR="00C01C2B" w:rsidRPr="00686E31" w:rsidRDefault="00C01C2B" w:rsidP="00C01C2B">
      <w:pPr>
        <w:spacing w:line="360" w:lineRule="auto"/>
        <w:jc w:val="both"/>
        <w:rPr>
          <w:rtl/>
        </w:rPr>
      </w:pPr>
      <w:r w:rsidRPr="00686E31">
        <w:rPr>
          <w:rtl/>
        </w:rPr>
        <w:t>בנוסף, הופנה הנאשם לחוות דעת הממונה על עבודות השירות בשב"ס.</w:t>
      </w:r>
    </w:p>
    <w:p w14:paraId="39C9A025" w14:textId="77777777" w:rsidR="00C01C2B" w:rsidRPr="00686E31" w:rsidRDefault="00C01C2B" w:rsidP="00C01C2B">
      <w:pPr>
        <w:spacing w:line="360" w:lineRule="auto"/>
        <w:jc w:val="both"/>
        <w:rPr>
          <w:rtl/>
        </w:rPr>
      </w:pPr>
    </w:p>
    <w:p w14:paraId="07118403" w14:textId="77777777" w:rsidR="00C01C2B" w:rsidRPr="00686E31" w:rsidRDefault="00C01C2B" w:rsidP="00C01C2B">
      <w:pPr>
        <w:spacing w:line="360" w:lineRule="auto"/>
        <w:jc w:val="both"/>
        <w:rPr>
          <w:rtl/>
        </w:rPr>
      </w:pPr>
      <w:r w:rsidRPr="00686E31">
        <w:rPr>
          <w:rtl/>
        </w:rPr>
        <w:t xml:space="preserve">תחילה, נמנע הנאשם מלהתייצב אצל שירות המבחן למבוגרים והממונה על עבודות </w:t>
      </w:r>
      <w:r>
        <w:rPr>
          <w:rtl/>
        </w:rPr>
        <w:t>השירות, ואף ניתק קשר עם בא כוחו</w:t>
      </w:r>
      <w:r>
        <w:rPr>
          <w:rFonts w:hint="cs"/>
          <w:rtl/>
        </w:rPr>
        <w:t>, אך לבסוף, התייצב אצל שירות המבחן למבוגרים בלבד.</w:t>
      </w:r>
    </w:p>
    <w:p w14:paraId="46020F07" w14:textId="77777777" w:rsidR="00C01C2B" w:rsidRPr="00686E31" w:rsidRDefault="00C01C2B" w:rsidP="00C01C2B">
      <w:pPr>
        <w:spacing w:line="360" w:lineRule="auto"/>
        <w:jc w:val="both"/>
        <w:rPr>
          <w:rtl/>
        </w:rPr>
      </w:pPr>
    </w:p>
    <w:p w14:paraId="58075243" w14:textId="77777777" w:rsidR="00C01C2B" w:rsidRDefault="00C01C2B" w:rsidP="00C01C2B">
      <w:pPr>
        <w:spacing w:line="360" w:lineRule="auto"/>
        <w:jc w:val="both"/>
        <w:rPr>
          <w:rtl/>
        </w:rPr>
      </w:pPr>
      <w:r w:rsidRPr="00686E31">
        <w:rPr>
          <w:rtl/>
        </w:rPr>
        <w:t>ביום 25.01.22, הגיש</w:t>
      </w:r>
      <w:r>
        <w:rPr>
          <w:rtl/>
        </w:rPr>
        <w:t>ה ההגנה בקשה</w:t>
      </w:r>
      <w:r>
        <w:rPr>
          <w:rFonts w:hint="cs"/>
          <w:rtl/>
        </w:rPr>
        <w:t>, בהסכמת התביעה כאן, וכן בהסכמת תביעות זבולון-חוף,</w:t>
      </w:r>
      <w:r>
        <w:rPr>
          <w:rtl/>
        </w:rPr>
        <w:t xml:space="preserve"> לצרף לתיק זה את ת</w:t>
      </w:r>
      <w:r>
        <w:rPr>
          <w:rFonts w:hint="cs"/>
          <w:rtl/>
        </w:rPr>
        <w:t>יק הצירוף</w:t>
      </w:r>
      <w:r w:rsidRPr="00686E31">
        <w:rPr>
          <w:rtl/>
        </w:rPr>
        <w:t>, המתנהל בבית משפט השלום בקריות, בו הורשע הנאשם בעבירות של הפרעה לשוטר במילוי תפקידו והחזקת סם שלא לצריכה עצמית.</w:t>
      </w:r>
    </w:p>
    <w:p w14:paraId="2BEBC290" w14:textId="77777777" w:rsidR="00C01C2B" w:rsidRDefault="00C01C2B" w:rsidP="00C01C2B">
      <w:pPr>
        <w:spacing w:line="360" w:lineRule="auto"/>
        <w:jc w:val="both"/>
        <w:rPr>
          <w:rtl/>
        </w:rPr>
      </w:pPr>
    </w:p>
    <w:p w14:paraId="0E93C936" w14:textId="77777777" w:rsidR="00C01C2B" w:rsidRDefault="00C01C2B" w:rsidP="00C01C2B">
      <w:pPr>
        <w:spacing w:line="360" w:lineRule="auto"/>
        <w:jc w:val="both"/>
        <w:rPr>
          <w:rtl/>
        </w:rPr>
      </w:pPr>
      <w:r>
        <w:rPr>
          <w:rFonts w:hint="cs"/>
          <w:rtl/>
        </w:rPr>
        <w:t xml:space="preserve">עוד באותו היום </w:t>
      </w:r>
      <w:r>
        <w:rPr>
          <w:rtl/>
        </w:rPr>
        <w:t>–</w:t>
      </w:r>
      <w:r>
        <w:rPr>
          <w:rFonts w:hint="cs"/>
          <w:rtl/>
        </w:rPr>
        <w:t xml:space="preserve"> נעתר בית המשפט לבקשה.</w:t>
      </w:r>
    </w:p>
    <w:p w14:paraId="569AC740" w14:textId="77777777" w:rsidR="00C01C2B" w:rsidRDefault="00C01C2B" w:rsidP="00C01C2B">
      <w:pPr>
        <w:spacing w:line="360" w:lineRule="auto"/>
        <w:jc w:val="both"/>
        <w:rPr>
          <w:rtl/>
        </w:rPr>
      </w:pPr>
    </w:p>
    <w:p w14:paraId="0ADAC9A8" w14:textId="77777777" w:rsidR="00C01C2B" w:rsidRDefault="00C01C2B" w:rsidP="00C01C2B">
      <w:pPr>
        <w:spacing w:line="360" w:lineRule="auto"/>
        <w:jc w:val="both"/>
        <w:rPr>
          <w:rtl/>
        </w:rPr>
      </w:pPr>
      <w:r>
        <w:rPr>
          <w:rFonts w:hint="cs"/>
          <w:rtl/>
        </w:rPr>
        <w:t>לאחר מינוי המותב, אשר דן בתיק קודם לכן, לבית המשפט המחוזי, נותב התיק לפני מותב זה.</w:t>
      </w:r>
    </w:p>
    <w:p w14:paraId="0676D8A0" w14:textId="77777777" w:rsidR="00C01C2B" w:rsidRDefault="00C01C2B" w:rsidP="00C01C2B">
      <w:pPr>
        <w:spacing w:line="360" w:lineRule="auto"/>
        <w:jc w:val="both"/>
        <w:rPr>
          <w:rtl/>
        </w:rPr>
      </w:pPr>
    </w:p>
    <w:p w14:paraId="18611425" w14:textId="77777777" w:rsidR="00C01C2B" w:rsidRDefault="00C01C2B" w:rsidP="00C01C2B">
      <w:pPr>
        <w:spacing w:line="360" w:lineRule="auto"/>
        <w:jc w:val="both"/>
        <w:rPr>
          <w:rtl/>
        </w:rPr>
      </w:pPr>
      <w:r>
        <w:rPr>
          <w:rFonts w:hint="cs"/>
          <w:rtl/>
        </w:rPr>
        <w:t>ביום 26.10.22, המועד בו נקבעה שמיעת פרשת העונש, לא התייצב הנאשם לדיון, ונמסר מפי סנגורו, כי הנאשם ניתק עמו קשר וביקש להתפטר מייצוג. בית המשפט שחרר את הסניגור מהמשך ייצוג הנאשם, ולבקשת התביעה, הורה על צו הבאה נגד הנאשם.</w:t>
      </w:r>
    </w:p>
    <w:p w14:paraId="5F4E94C0" w14:textId="77777777" w:rsidR="00C01C2B" w:rsidRDefault="00C01C2B" w:rsidP="00C01C2B">
      <w:pPr>
        <w:spacing w:line="360" w:lineRule="auto"/>
        <w:jc w:val="both"/>
        <w:rPr>
          <w:rtl/>
        </w:rPr>
      </w:pPr>
    </w:p>
    <w:p w14:paraId="64AD6443" w14:textId="77777777" w:rsidR="00C01C2B" w:rsidRDefault="00C01C2B" w:rsidP="00C01C2B">
      <w:pPr>
        <w:spacing w:line="360" w:lineRule="auto"/>
        <w:jc w:val="both"/>
        <w:rPr>
          <w:rtl/>
        </w:rPr>
      </w:pPr>
      <w:r>
        <w:rPr>
          <w:rFonts w:hint="cs"/>
          <w:rtl/>
        </w:rPr>
        <w:t xml:space="preserve">במועד שנקבע לשמיעת פרשת העונש, עתרה ההגנה לאפשר לנאשם להשלים את הליך האבחון מול שירות המבחן למבוגרים, והתביעה הביעה הסכמתה לכך, לפיכך </w:t>
      </w:r>
      <w:r>
        <w:rPr>
          <w:rtl/>
        </w:rPr>
        <w:t>–</w:t>
      </w:r>
      <w:r>
        <w:rPr>
          <w:rFonts w:hint="cs"/>
          <w:rtl/>
        </w:rPr>
        <w:t xml:space="preserve"> נדחתה שוב פרשת העונש.</w:t>
      </w:r>
    </w:p>
    <w:p w14:paraId="6AEC485C" w14:textId="77777777" w:rsidR="00C01C2B" w:rsidRDefault="00C01C2B" w:rsidP="00C01C2B">
      <w:pPr>
        <w:spacing w:line="360" w:lineRule="auto"/>
        <w:jc w:val="both"/>
        <w:rPr>
          <w:rtl/>
        </w:rPr>
      </w:pPr>
    </w:p>
    <w:p w14:paraId="05A0F274" w14:textId="77777777" w:rsidR="00C01C2B" w:rsidRDefault="00C01C2B" w:rsidP="00C01C2B">
      <w:pPr>
        <w:spacing w:line="360" w:lineRule="auto"/>
        <w:jc w:val="both"/>
        <w:rPr>
          <w:rtl/>
        </w:rPr>
      </w:pPr>
      <w:r>
        <w:rPr>
          <w:rFonts w:hint="cs"/>
          <w:rtl/>
        </w:rPr>
        <w:t>לאחר קבלת התסקיר הסופי, ביום 13.06.23, המועד בו נקבעה שמיעת פרשת העונש, שוב לא התייצב הנאשם לדיון, ובית המשפט הוציא נגדו צו הבאה ללא שחרור.</w:t>
      </w:r>
    </w:p>
    <w:p w14:paraId="0A81F787" w14:textId="77777777" w:rsidR="00C01C2B" w:rsidRDefault="00C01C2B" w:rsidP="00C01C2B">
      <w:pPr>
        <w:spacing w:line="360" w:lineRule="auto"/>
        <w:jc w:val="both"/>
        <w:rPr>
          <w:rtl/>
        </w:rPr>
      </w:pPr>
    </w:p>
    <w:p w14:paraId="3701B00A" w14:textId="77777777" w:rsidR="00C01C2B" w:rsidRPr="00686E31" w:rsidRDefault="00C01C2B" w:rsidP="00C01C2B">
      <w:pPr>
        <w:spacing w:line="360" w:lineRule="auto"/>
        <w:jc w:val="both"/>
        <w:rPr>
          <w:rtl/>
        </w:rPr>
      </w:pPr>
      <w:r>
        <w:rPr>
          <w:rFonts w:hint="cs"/>
          <w:rtl/>
        </w:rPr>
        <w:t>לבסוף, ביום 18.06.23,</w:t>
      </w:r>
      <w:r w:rsidRPr="00686E31">
        <w:rPr>
          <w:rtl/>
        </w:rPr>
        <w:t xml:space="preserve"> טענו הצדדים לעונש, ומכאן – גזר דין זה.</w:t>
      </w:r>
    </w:p>
    <w:p w14:paraId="56CB39BC" w14:textId="77777777" w:rsidR="00C01C2B" w:rsidRPr="00686E31" w:rsidRDefault="00C01C2B" w:rsidP="00C01C2B">
      <w:pPr>
        <w:spacing w:line="360" w:lineRule="auto"/>
        <w:jc w:val="both"/>
        <w:rPr>
          <w:rtl/>
        </w:rPr>
      </w:pPr>
    </w:p>
    <w:p w14:paraId="4D72D3C9" w14:textId="77777777" w:rsidR="00C01C2B" w:rsidRPr="00686E31" w:rsidRDefault="00C01C2B" w:rsidP="00C01C2B">
      <w:pPr>
        <w:spacing w:line="360" w:lineRule="auto"/>
        <w:jc w:val="both"/>
        <w:rPr>
          <w:rtl/>
        </w:rPr>
      </w:pPr>
    </w:p>
    <w:p w14:paraId="4933B4D7" w14:textId="77777777" w:rsidR="00C01C2B" w:rsidRPr="00686E31" w:rsidRDefault="00C01C2B" w:rsidP="00C01C2B">
      <w:pPr>
        <w:spacing w:line="360" w:lineRule="auto"/>
        <w:jc w:val="both"/>
        <w:rPr>
          <w:rtl/>
        </w:rPr>
      </w:pPr>
      <w:r w:rsidRPr="00686E31">
        <w:rPr>
          <w:b/>
          <w:bCs/>
          <w:rtl/>
        </w:rPr>
        <w:t>ראיות לעונש</w:t>
      </w:r>
    </w:p>
    <w:p w14:paraId="5FAD6862" w14:textId="77777777" w:rsidR="00C01C2B" w:rsidRDefault="00C01C2B" w:rsidP="00C01C2B">
      <w:pPr>
        <w:spacing w:line="360" w:lineRule="auto"/>
        <w:jc w:val="both"/>
        <w:rPr>
          <w:rtl/>
        </w:rPr>
      </w:pPr>
    </w:p>
    <w:p w14:paraId="1A8A4DFF" w14:textId="77777777" w:rsidR="00C01C2B" w:rsidRPr="00686E31" w:rsidRDefault="00C01C2B" w:rsidP="00C01C2B">
      <w:pPr>
        <w:spacing w:line="360" w:lineRule="auto"/>
        <w:jc w:val="both"/>
        <w:rPr>
          <w:rtl/>
        </w:rPr>
      </w:pPr>
      <w:r w:rsidRPr="00686E31">
        <w:rPr>
          <w:u w:val="single"/>
          <w:rtl/>
        </w:rPr>
        <w:t>התביעה</w:t>
      </w:r>
      <w:r w:rsidRPr="00686E31">
        <w:rPr>
          <w:rtl/>
        </w:rPr>
        <w:t xml:space="preserve"> הגישה, לענין העונש, גיליון רישום תעבורתי </w:t>
      </w:r>
      <w:r>
        <w:rPr>
          <w:rFonts w:hint="cs"/>
          <w:rtl/>
        </w:rPr>
        <w:t xml:space="preserve">בלבד </w:t>
      </w:r>
      <w:r w:rsidRPr="00686E31">
        <w:rPr>
          <w:rtl/>
        </w:rPr>
        <w:t xml:space="preserve">של הנאשם </w:t>
      </w:r>
      <w:r>
        <w:rPr>
          <w:rtl/>
        </w:rPr>
        <w:t>–</w:t>
      </w:r>
      <w:r w:rsidRPr="00686E31">
        <w:rPr>
          <w:rtl/>
        </w:rPr>
        <w:t xml:space="preserve"> </w:t>
      </w:r>
      <w:r>
        <w:rPr>
          <w:rFonts w:hint="cs"/>
          <w:rtl/>
        </w:rPr>
        <w:t xml:space="preserve">לחובת הנאשם, הרשעות בעבירות כדלקמן: נסיעה במהירות הנעה בין 26 ועד 40 קמ"ש מעל המהירות המותרת בשטח בין-עירוני עם שטח הפרדה; נסיעה ברכב שאינו תקין; רישיון רכב פקע פחות מששה חודשים; לוחית זיהוי אינה תקינה; נהיגה שלא בכביש; שימוש בטלפון בזמן שהרכב נע, שלא באמצעות דיבורית; נסיעה מהירות הנעה בין 21 ועד 30 קמ"ש מעל המהירות המותרת בדרך עירונית; נסיעה במהירות הנעה בין 31 ועד 40 קמ"ש העולה על המהירות המותרת בדרך עירונית; רכב לא תקין ללא מתן הודעת אי שימוש; נהיגה ברכב שניתנה עליו הודעת אי שימוש; סטיה מנתיב הנסיעה תוך הפרעה לתנועה; נהיגה במהירות העולה על 25 קמ"ש מהמהירות המותרת בדרך שאינה עירונית, בה המהירות 80 קמ"ש; אי ציות לתמרור; עצירת רכב במקום המיועד לנכה; נהיגה ללא רישיון נהיגה </w:t>
      </w:r>
      <w:r>
        <w:rPr>
          <w:rtl/>
        </w:rPr>
        <w:t>–</w:t>
      </w:r>
      <w:r>
        <w:rPr>
          <w:rFonts w:hint="cs"/>
          <w:rtl/>
        </w:rPr>
        <w:t xml:space="preserve"> מעולם לא הוציא.</w:t>
      </w:r>
    </w:p>
    <w:p w14:paraId="46DEF3AC" w14:textId="77777777" w:rsidR="00C01C2B" w:rsidRPr="00686E31" w:rsidRDefault="00C01C2B" w:rsidP="00C01C2B">
      <w:pPr>
        <w:spacing w:line="360" w:lineRule="auto"/>
        <w:jc w:val="both"/>
        <w:rPr>
          <w:rtl/>
        </w:rPr>
      </w:pPr>
    </w:p>
    <w:p w14:paraId="7236E4A0" w14:textId="77777777" w:rsidR="00C01C2B" w:rsidRDefault="00C01C2B" w:rsidP="00C01C2B">
      <w:pPr>
        <w:spacing w:line="360" w:lineRule="auto"/>
        <w:jc w:val="both"/>
        <w:rPr>
          <w:rtl/>
        </w:rPr>
      </w:pPr>
      <w:r>
        <w:rPr>
          <w:rFonts w:hint="cs"/>
          <w:u w:val="single"/>
          <w:rtl/>
        </w:rPr>
        <w:t>ההגנה</w:t>
      </w:r>
      <w:r>
        <w:rPr>
          <w:rFonts w:hint="cs"/>
          <w:rtl/>
        </w:rPr>
        <w:t xml:space="preserve"> לא הגישה ראיות לענין העונש.</w:t>
      </w:r>
    </w:p>
    <w:p w14:paraId="3EEDB17B" w14:textId="77777777" w:rsidR="00C01C2B" w:rsidRDefault="00C01C2B" w:rsidP="00C01C2B">
      <w:pPr>
        <w:spacing w:line="360" w:lineRule="auto"/>
        <w:jc w:val="both"/>
        <w:rPr>
          <w:rtl/>
        </w:rPr>
      </w:pPr>
    </w:p>
    <w:p w14:paraId="3FBE9021" w14:textId="77777777" w:rsidR="00C01C2B" w:rsidRDefault="00C01C2B" w:rsidP="00C01C2B">
      <w:pPr>
        <w:spacing w:line="360" w:lineRule="auto"/>
        <w:jc w:val="both"/>
        <w:rPr>
          <w:rtl/>
        </w:rPr>
      </w:pPr>
    </w:p>
    <w:p w14:paraId="0CAC10AB" w14:textId="77777777" w:rsidR="00C01C2B" w:rsidRDefault="00C01C2B" w:rsidP="00C01C2B">
      <w:pPr>
        <w:spacing w:line="360" w:lineRule="auto"/>
        <w:jc w:val="both"/>
        <w:rPr>
          <w:rtl/>
        </w:rPr>
      </w:pPr>
      <w:r>
        <w:rPr>
          <w:rFonts w:hint="cs"/>
          <w:b/>
          <w:bCs/>
          <w:rtl/>
        </w:rPr>
        <w:t>הערכת שירות המבחן למבוגרים</w:t>
      </w:r>
    </w:p>
    <w:p w14:paraId="400818F5" w14:textId="77777777" w:rsidR="00C01C2B" w:rsidRDefault="00C01C2B" w:rsidP="00C01C2B">
      <w:pPr>
        <w:spacing w:line="360" w:lineRule="auto"/>
        <w:jc w:val="both"/>
        <w:rPr>
          <w:rtl/>
        </w:rPr>
      </w:pPr>
    </w:p>
    <w:p w14:paraId="11B2489F" w14:textId="77777777" w:rsidR="00C01C2B" w:rsidRDefault="00C01C2B" w:rsidP="00C01C2B">
      <w:pPr>
        <w:spacing w:line="360" w:lineRule="auto"/>
        <w:jc w:val="both"/>
        <w:rPr>
          <w:rtl/>
        </w:rPr>
      </w:pPr>
      <w:r>
        <w:rPr>
          <w:rFonts w:hint="cs"/>
          <w:rtl/>
        </w:rPr>
        <w:t>בענינו של הנאשם הוגשו תסקירים, המפרטים את נסיבותיו האישיות, כבן 30, גרוש, אב לקטינה, אינו עובד בעת עריכת התסקיר.</w:t>
      </w:r>
    </w:p>
    <w:p w14:paraId="7F98B886" w14:textId="77777777" w:rsidR="00C01C2B" w:rsidRDefault="00C01C2B" w:rsidP="00C01C2B">
      <w:pPr>
        <w:spacing w:line="360" w:lineRule="auto"/>
        <w:jc w:val="both"/>
        <w:rPr>
          <w:rtl/>
        </w:rPr>
      </w:pPr>
    </w:p>
    <w:p w14:paraId="20EBF8CC" w14:textId="77777777" w:rsidR="00C01C2B" w:rsidRDefault="00C01C2B" w:rsidP="00C01C2B">
      <w:pPr>
        <w:spacing w:line="360" w:lineRule="auto"/>
        <w:jc w:val="both"/>
        <w:rPr>
          <w:rtl/>
        </w:rPr>
      </w:pPr>
      <w:r>
        <w:rPr>
          <w:rFonts w:hint="cs"/>
          <w:rtl/>
        </w:rPr>
        <w:t>הנאשם סיים 12 שנות לימוד עם תעודת בגרות מלאה.</w:t>
      </w:r>
    </w:p>
    <w:p w14:paraId="17B4775D" w14:textId="77777777" w:rsidR="00C01C2B" w:rsidRDefault="00C01C2B" w:rsidP="00C01C2B">
      <w:pPr>
        <w:spacing w:line="360" w:lineRule="auto"/>
        <w:jc w:val="both"/>
        <w:rPr>
          <w:rtl/>
        </w:rPr>
      </w:pPr>
    </w:p>
    <w:p w14:paraId="0153E8AE" w14:textId="77777777" w:rsidR="00C01C2B" w:rsidRDefault="00C01C2B" w:rsidP="00C01C2B">
      <w:pPr>
        <w:spacing w:line="360" w:lineRule="auto"/>
        <w:jc w:val="both"/>
        <w:rPr>
          <w:rtl/>
        </w:rPr>
      </w:pPr>
      <w:r>
        <w:rPr>
          <w:rFonts w:hint="cs"/>
          <w:rtl/>
        </w:rPr>
        <w:t>הנאשם מסר, כי החל ללמוד טכנאות שיניים באוקראינה, אך התקשה להסתגל לדרישות הלימודים ולמקום, לכן חזר לארץ לאחר שנה וחצי.</w:t>
      </w:r>
    </w:p>
    <w:p w14:paraId="0B12100A" w14:textId="77777777" w:rsidR="00C01C2B" w:rsidRDefault="00C01C2B" w:rsidP="00C01C2B">
      <w:pPr>
        <w:spacing w:line="360" w:lineRule="auto"/>
        <w:jc w:val="both"/>
        <w:rPr>
          <w:rtl/>
        </w:rPr>
      </w:pPr>
    </w:p>
    <w:p w14:paraId="4EFE0548" w14:textId="77777777" w:rsidR="00C01C2B" w:rsidRDefault="00C01C2B" w:rsidP="00C01C2B">
      <w:pPr>
        <w:spacing w:line="360" w:lineRule="auto"/>
        <w:jc w:val="both"/>
        <w:rPr>
          <w:rtl/>
        </w:rPr>
      </w:pPr>
      <w:r>
        <w:rPr>
          <w:rFonts w:hint="cs"/>
          <w:rtl/>
        </w:rPr>
        <w:t>הנאשם עבד במספר עבודות, כאשר האחרונה בהן היתה בסופר מרקט, אך לדבריו, אינו עובד כיום לאור סכסוך משפחתי.</w:t>
      </w:r>
    </w:p>
    <w:p w14:paraId="021D8299" w14:textId="77777777" w:rsidR="00C01C2B" w:rsidRDefault="00C01C2B" w:rsidP="00C01C2B">
      <w:pPr>
        <w:spacing w:line="360" w:lineRule="auto"/>
        <w:jc w:val="both"/>
        <w:rPr>
          <w:rtl/>
        </w:rPr>
      </w:pPr>
    </w:p>
    <w:p w14:paraId="4127E4E0" w14:textId="77777777" w:rsidR="00C01C2B" w:rsidRDefault="00C01C2B" w:rsidP="00C01C2B">
      <w:pPr>
        <w:spacing w:line="360" w:lineRule="auto"/>
        <w:jc w:val="both"/>
        <w:rPr>
          <w:rtl/>
        </w:rPr>
      </w:pPr>
      <w:r>
        <w:rPr>
          <w:rFonts w:hint="cs"/>
          <w:rtl/>
        </w:rPr>
        <w:t xml:space="preserve">הנאשם מסר, כי בשנת 2018 נישא לבת דודתו מתוך בחירה של שניהם, אך התגרשו על רקע מריבות ביניהם וכן מריבות בינו לבין אחיה של אשתו. הנאשם מסר, כי יש להם ילדה משותפת, וכי טרם הגירושין, אשתו היתה בהריון נוסף אך עברה הפלה לפתע. </w:t>
      </w:r>
    </w:p>
    <w:p w14:paraId="32842F2F" w14:textId="77777777" w:rsidR="00C01C2B" w:rsidRDefault="00C01C2B" w:rsidP="00C01C2B">
      <w:pPr>
        <w:spacing w:line="360" w:lineRule="auto"/>
        <w:jc w:val="both"/>
        <w:rPr>
          <w:rtl/>
        </w:rPr>
      </w:pPr>
    </w:p>
    <w:p w14:paraId="1412E556" w14:textId="77777777" w:rsidR="00C01C2B" w:rsidRDefault="00C01C2B" w:rsidP="00C01C2B">
      <w:pPr>
        <w:spacing w:line="360" w:lineRule="auto"/>
        <w:jc w:val="both"/>
        <w:rPr>
          <w:rtl/>
        </w:rPr>
      </w:pPr>
      <w:r>
        <w:rPr>
          <w:rFonts w:hint="cs"/>
          <w:rtl/>
        </w:rPr>
        <w:t>הנאשם מסר, כי אינו שוקע בנבכי העבר, ומשתדל להביט קדימה ולשקוע במחשבות חיוביות.</w:t>
      </w:r>
    </w:p>
    <w:p w14:paraId="33F4BDC1" w14:textId="77777777" w:rsidR="00C01C2B" w:rsidRDefault="00C01C2B" w:rsidP="00C01C2B">
      <w:pPr>
        <w:spacing w:line="360" w:lineRule="auto"/>
        <w:jc w:val="both"/>
        <w:rPr>
          <w:rtl/>
        </w:rPr>
      </w:pPr>
    </w:p>
    <w:p w14:paraId="4F2060B7" w14:textId="77777777" w:rsidR="00C01C2B" w:rsidRDefault="00C01C2B" w:rsidP="00C01C2B">
      <w:pPr>
        <w:spacing w:line="360" w:lineRule="auto"/>
        <w:jc w:val="both"/>
        <w:rPr>
          <w:rtl/>
        </w:rPr>
      </w:pPr>
      <w:r>
        <w:rPr>
          <w:rFonts w:hint="cs"/>
          <w:rtl/>
        </w:rPr>
        <w:t xml:space="preserve">בעת עריכת התסקיר </w:t>
      </w:r>
      <w:r>
        <w:rPr>
          <w:rtl/>
        </w:rPr>
        <w:t>–</w:t>
      </w:r>
      <w:r>
        <w:rPr>
          <w:rFonts w:hint="cs"/>
          <w:rtl/>
        </w:rPr>
        <w:t xml:space="preserve"> לחובת הנאשם שני תיקים פתוחים, האחד בגין עבירות סמים והפרעה לשוטר, בגינו הוגש כתב אישום (תיק הצירוף לעיל) והשני בגין עבירות של הפרעה לשוטר ואיומים.</w:t>
      </w:r>
    </w:p>
    <w:p w14:paraId="282B30E3" w14:textId="77777777" w:rsidR="00C01C2B" w:rsidRDefault="00C01C2B" w:rsidP="00C01C2B">
      <w:pPr>
        <w:spacing w:line="360" w:lineRule="auto"/>
        <w:jc w:val="both"/>
        <w:rPr>
          <w:rtl/>
        </w:rPr>
      </w:pPr>
    </w:p>
    <w:p w14:paraId="1BFF373A" w14:textId="77777777" w:rsidR="00C01C2B" w:rsidRDefault="00C01C2B" w:rsidP="00C01C2B">
      <w:pPr>
        <w:spacing w:line="360" w:lineRule="auto"/>
        <w:jc w:val="both"/>
        <w:rPr>
          <w:rtl/>
        </w:rPr>
      </w:pPr>
      <w:r>
        <w:rPr>
          <w:rFonts w:hint="cs"/>
          <w:rtl/>
        </w:rPr>
        <w:t>לחובת הנאשם, 17 הרשעות בעבירות תעבורה, וכן, תיק תעבורה נוסף הממתין לבירור דין בגין סירוב לעבור בדיקת ינשוף.</w:t>
      </w:r>
    </w:p>
    <w:p w14:paraId="28F67FD8" w14:textId="77777777" w:rsidR="00C01C2B" w:rsidRDefault="00C01C2B" w:rsidP="00C01C2B">
      <w:pPr>
        <w:spacing w:line="360" w:lineRule="auto"/>
        <w:jc w:val="both"/>
        <w:rPr>
          <w:rtl/>
        </w:rPr>
      </w:pPr>
    </w:p>
    <w:p w14:paraId="139337CB" w14:textId="77777777" w:rsidR="00C01C2B" w:rsidRDefault="00C01C2B" w:rsidP="00C01C2B">
      <w:pPr>
        <w:spacing w:line="360" w:lineRule="auto"/>
        <w:jc w:val="both"/>
        <w:rPr>
          <w:rtl/>
        </w:rPr>
      </w:pPr>
      <w:r>
        <w:rPr>
          <w:rFonts w:hint="cs"/>
          <w:rtl/>
        </w:rPr>
        <w:t xml:space="preserve">כאן המקום לציין, כי חרף העובדה, ששירות המבחן למבוגרים, כגוף טיפולי, מצא להתייחס לתיקים הנוספים שנפתחו לאחרונה וממתינים לבירור דין, הרי בהליך זה </w:t>
      </w:r>
      <w:r>
        <w:rPr>
          <w:rtl/>
        </w:rPr>
        <w:t>–</w:t>
      </w:r>
      <w:r>
        <w:rPr>
          <w:rFonts w:hint="cs"/>
          <w:rtl/>
        </w:rPr>
        <w:t xml:space="preserve"> לא יינתן להם משקל, וזאת עקב כך, שהתביעה לא הציגה הכרעת דין מרשיעה באיזה מתיקים אלה.</w:t>
      </w:r>
    </w:p>
    <w:p w14:paraId="11D034AD" w14:textId="77777777" w:rsidR="00C01C2B" w:rsidRDefault="00C01C2B" w:rsidP="00C01C2B">
      <w:pPr>
        <w:spacing w:line="360" w:lineRule="auto"/>
        <w:jc w:val="both"/>
        <w:rPr>
          <w:rtl/>
        </w:rPr>
      </w:pPr>
    </w:p>
    <w:p w14:paraId="7B8180B9" w14:textId="77777777" w:rsidR="00C01C2B" w:rsidRDefault="00C01C2B" w:rsidP="00C01C2B">
      <w:pPr>
        <w:spacing w:line="360" w:lineRule="auto"/>
        <w:jc w:val="both"/>
        <w:rPr>
          <w:rtl/>
        </w:rPr>
      </w:pPr>
      <w:r>
        <w:rPr>
          <w:rFonts w:hint="cs"/>
          <w:rtl/>
        </w:rPr>
        <w:t>הנאשם שלל שימוש בסמים ואלכוהול. הנאשם הביע נכונות למסור בדיקת שם לגילוי שרידי סם, אך לא התייצב לבדיקה אליה הוזמן. לאחר מכן, הוזמן לבדיקה נוספת אשר נמצאה נקיה משרידי סם.</w:t>
      </w:r>
    </w:p>
    <w:p w14:paraId="32343C08" w14:textId="77777777" w:rsidR="00C01C2B" w:rsidRDefault="00C01C2B" w:rsidP="00C01C2B">
      <w:pPr>
        <w:spacing w:line="360" w:lineRule="auto"/>
        <w:jc w:val="both"/>
        <w:rPr>
          <w:rtl/>
        </w:rPr>
      </w:pPr>
    </w:p>
    <w:p w14:paraId="18EFDE71" w14:textId="77777777" w:rsidR="00C01C2B" w:rsidRDefault="00C01C2B" w:rsidP="00C01C2B">
      <w:pPr>
        <w:spacing w:line="360" w:lineRule="auto"/>
        <w:jc w:val="both"/>
        <w:rPr>
          <w:rtl/>
        </w:rPr>
      </w:pPr>
      <w:r>
        <w:rPr>
          <w:rFonts w:hint="cs"/>
          <w:rtl/>
        </w:rPr>
        <w:t>בעבר מסר הנאשם, כי הוא מעונין להשתלב בהליך טיפולי אך ניתק קשר עם שירות המבחן.</w:t>
      </w:r>
    </w:p>
    <w:p w14:paraId="45355F3B" w14:textId="77777777" w:rsidR="00C01C2B" w:rsidRDefault="00C01C2B" w:rsidP="00C01C2B">
      <w:pPr>
        <w:spacing w:line="360" w:lineRule="auto"/>
        <w:jc w:val="both"/>
        <w:rPr>
          <w:rtl/>
        </w:rPr>
      </w:pPr>
    </w:p>
    <w:p w14:paraId="2B932D88" w14:textId="77777777" w:rsidR="00C01C2B" w:rsidRDefault="00C01C2B" w:rsidP="00C01C2B">
      <w:pPr>
        <w:spacing w:line="360" w:lineRule="auto"/>
        <w:jc w:val="both"/>
        <w:rPr>
          <w:rtl/>
        </w:rPr>
      </w:pPr>
      <w:r>
        <w:rPr>
          <w:rFonts w:hint="cs"/>
          <w:rtl/>
        </w:rPr>
        <w:t>בהמשך, חידש הקשר עם שירות המבחן במסגרת תיק אחר ומסר כי הקשר נותק על רקע סכסוך פעיל מול משפחת אל סאנע (כנראה המדובר בפלג אחר של המשפחה), בעקבותיו הותקף וחש מאוים.</w:t>
      </w:r>
    </w:p>
    <w:p w14:paraId="48467EBE" w14:textId="77777777" w:rsidR="00C01C2B" w:rsidRDefault="00C01C2B" w:rsidP="00C01C2B">
      <w:pPr>
        <w:spacing w:line="360" w:lineRule="auto"/>
        <w:jc w:val="both"/>
        <w:rPr>
          <w:rtl/>
        </w:rPr>
      </w:pPr>
    </w:p>
    <w:p w14:paraId="53790BAD" w14:textId="77777777" w:rsidR="00C01C2B" w:rsidRDefault="00C01C2B" w:rsidP="00C01C2B">
      <w:pPr>
        <w:spacing w:line="360" w:lineRule="auto"/>
        <w:jc w:val="both"/>
        <w:rPr>
          <w:rtl/>
        </w:rPr>
      </w:pPr>
      <w:r>
        <w:rPr>
          <w:rFonts w:hint="cs"/>
          <w:rtl/>
        </w:rPr>
        <w:t>הנאשם מודה בעבירות המיוחסות לו.</w:t>
      </w:r>
    </w:p>
    <w:p w14:paraId="65C1BEB7" w14:textId="77777777" w:rsidR="00C01C2B" w:rsidRDefault="00C01C2B" w:rsidP="00C01C2B">
      <w:pPr>
        <w:spacing w:line="360" w:lineRule="auto"/>
        <w:jc w:val="both"/>
        <w:rPr>
          <w:rtl/>
        </w:rPr>
      </w:pPr>
    </w:p>
    <w:p w14:paraId="54BE6EA3" w14:textId="77777777" w:rsidR="00C01C2B" w:rsidRDefault="00C01C2B" w:rsidP="00C01C2B">
      <w:pPr>
        <w:spacing w:line="360" w:lineRule="auto"/>
        <w:jc w:val="both"/>
        <w:rPr>
          <w:rtl/>
        </w:rPr>
      </w:pPr>
      <w:r>
        <w:rPr>
          <w:rFonts w:hint="cs"/>
          <w:rtl/>
        </w:rPr>
        <w:t>הנאשם מסר, כי לאורך הזמן בעיקר בתקופה האחרונה נתקל רבות בשוטרים ולדבריו, הם מתנהגים בחוסר צדק, נוהגים באלימות ובשל כך נפתחים נגדו הליכים פליליים.</w:t>
      </w:r>
    </w:p>
    <w:p w14:paraId="28A73C3B" w14:textId="77777777" w:rsidR="00C01C2B" w:rsidRDefault="00C01C2B" w:rsidP="00C01C2B">
      <w:pPr>
        <w:spacing w:line="360" w:lineRule="auto"/>
        <w:jc w:val="both"/>
        <w:rPr>
          <w:rtl/>
        </w:rPr>
      </w:pPr>
    </w:p>
    <w:p w14:paraId="32BE752E" w14:textId="77777777" w:rsidR="00C01C2B" w:rsidRDefault="00C01C2B" w:rsidP="00C01C2B">
      <w:pPr>
        <w:spacing w:line="360" w:lineRule="auto"/>
        <w:jc w:val="both"/>
        <w:rPr>
          <w:rtl/>
        </w:rPr>
      </w:pPr>
      <w:r>
        <w:rPr>
          <w:rFonts w:hint="cs"/>
          <w:rtl/>
        </w:rPr>
        <w:t>הנאשם מסר כי ברקע לעבירות קשיים כלכליים וכן, פיתוי להרוויח כסף קל ומהיר.</w:t>
      </w:r>
    </w:p>
    <w:p w14:paraId="4FA24611" w14:textId="77777777" w:rsidR="00C01C2B" w:rsidRDefault="00C01C2B" w:rsidP="00C01C2B">
      <w:pPr>
        <w:spacing w:line="360" w:lineRule="auto"/>
        <w:jc w:val="both"/>
        <w:rPr>
          <w:rtl/>
        </w:rPr>
      </w:pPr>
    </w:p>
    <w:p w14:paraId="1F66EAA5" w14:textId="77777777" w:rsidR="00C01C2B" w:rsidRDefault="00C01C2B" w:rsidP="00C01C2B">
      <w:pPr>
        <w:spacing w:line="360" w:lineRule="auto"/>
        <w:jc w:val="both"/>
        <w:rPr>
          <w:rtl/>
        </w:rPr>
      </w:pPr>
      <w:r>
        <w:rPr>
          <w:rFonts w:hint="cs"/>
          <w:rtl/>
        </w:rPr>
        <w:t>הנאשם תיאר מעורבות שולית עוד בגיל צעיר.</w:t>
      </w:r>
    </w:p>
    <w:p w14:paraId="4A448811" w14:textId="77777777" w:rsidR="00C01C2B" w:rsidRDefault="00C01C2B" w:rsidP="00C01C2B">
      <w:pPr>
        <w:spacing w:line="360" w:lineRule="auto"/>
        <w:jc w:val="both"/>
        <w:rPr>
          <w:rtl/>
        </w:rPr>
      </w:pPr>
    </w:p>
    <w:p w14:paraId="4224E2FF" w14:textId="77777777" w:rsidR="00C01C2B" w:rsidRDefault="00C01C2B" w:rsidP="00C01C2B">
      <w:pPr>
        <w:spacing w:line="360" w:lineRule="auto"/>
        <w:jc w:val="both"/>
        <w:rPr>
          <w:rtl/>
        </w:rPr>
      </w:pPr>
      <w:r>
        <w:rPr>
          <w:rFonts w:hint="cs"/>
          <w:rtl/>
        </w:rPr>
        <w:t>שירות המבחן התרשם מדפוסים שוליים עמוקים ושנים רבות בהם עוסק הנאשם בפלילים מבלי לשקול מעשיו וללא חשיבה על ההשלכות שלהם על סביבתו וכן התרשם מחוסר בשלות, ומקלות ראש בכל הנוגע לעבירות סמים ולחוקי החברה.</w:t>
      </w:r>
    </w:p>
    <w:p w14:paraId="1C251CEB" w14:textId="77777777" w:rsidR="00C01C2B" w:rsidRDefault="00C01C2B" w:rsidP="00C01C2B">
      <w:pPr>
        <w:spacing w:line="360" w:lineRule="auto"/>
        <w:jc w:val="both"/>
        <w:rPr>
          <w:rtl/>
        </w:rPr>
      </w:pPr>
      <w:r>
        <w:rPr>
          <w:rFonts w:hint="cs"/>
          <w:rtl/>
        </w:rPr>
        <w:t>הנאשם הביע מוטיבציה להשתלב בהליך טיפולי. לאור האמור, ביקש שירות המבחן לדחות את הדיון בענינו ולאפשר לו להשתלב בטיפול.</w:t>
      </w:r>
    </w:p>
    <w:p w14:paraId="56D31366" w14:textId="77777777" w:rsidR="00C01C2B" w:rsidRDefault="00C01C2B" w:rsidP="00C01C2B">
      <w:pPr>
        <w:spacing w:line="360" w:lineRule="auto"/>
        <w:jc w:val="both"/>
        <w:rPr>
          <w:rtl/>
        </w:rPr>
      </w:pPr>
    </w:p>
    <w:p w14:paraId="7A9C1A73" w14:textId="77777777" w:rsidR="00C01C2B" w:rsidRDefault="00C01C2B" w:rsidP="00C01C2B">
      <w:pPr>
        <w:spacing w:line="360" w:lineRule="auto"/>
        <w:jc w:val="both"/>
        <w:rPr>
          <w:rtl/>
        </w:rPr>
      </w:pPr>
      <w:r w:rsidRPr="009537FB">
        <w:rPr>
          <w:rFonts w:hint="cs"/>
          <w:u w:val="single"/>
          <w:rtl/>
        </w:rPr>
        <w:t xml:space="preserve">בתסקיר </w:t>
      </w:r>
      <w:r>
        <w:rPr>
          <w:rFonts w:hint="cs"/>
          <w:u w:val="single"/>
          <w:rtl/>
        </w:rPr>
        <w:t>מיום 09.05.22</w:t>
      </w:r>
      <w:r w:rsidRPr="00540ABA">
        <w:rPr>
          <w:rFonts w:hint="cs"/>
          <w:rtl/>
        </w:rPr>
        <w:t xml:space="preserve">, </w:t>
      </w:r>
      <w:r>
        <w:rPr>
          <w:rFonts w:hint="cs"/>
          <w:rtl/>
        </w:rPr>
        <w:t>נמסר מאת שירות המבחן כי במהלך תקופת הדחיה עמדו בקשר עם הנאשם.</w:t>
      </w:r>
    </w:p>
    <w:p w14:paraId="51AFAB48" w14:textId="77777777" w:rsidR="00C01C2B" w:rsidRDefault="00C01C2B" w:rsidP="00C01C2B">
      <w:pPr>
        <w:spacing w:line="360" w:lineRule="auto"/>
        <w:jc w:val="both"/>
        <w:rPr>
          <w:rtl/>
        </w:rPr>
      </w:pPr>
    </w:p>
    <w:p w14:paraId="5B4ACC96" w14:textId="77777777" w:rsidR="00C01C2B" w:rsidRDefault="00C01C2B" w:rsidP="00C01C2B">
      <w:pPr>
        <w:spacing w:line="360" w:lineRule="auto"/>
        <w:jc w:val="both"/>
        <w:rPr>
          <w:rtl/>
        </w:rPr>
      </w:pPr>
      <w:r>
        <w:rPr>
          <w:rFonts w:hint="cs"/>
          <w:rtl/>
        </w:rPr>
        <w:t xml:space="preserve">הנאשם הוזמן לבדיקת שתן לאיתור שרידי שם אליה לא התייצב. </w:t>
      </w:r>
    </w:p>
    <w:p w14:paraId="5F9771C1" w14:textId="77777777" w:rsidR="00C01C2B" w:rsidRDefault="00C01C2B" w:rsidP="00C01C2B">
      <w:pPr>
        <w:spacing w:line="360" w:lineRule="auto"/>
        <w:jc w:val="both"/>
        <w:rPr>
          <w:rtl/>
        </w:rPr>
      </w:pPr>
    </w:p>
    <w:p w14:paraId="4FF3DC18" w14:textId="77777777" w:rsidR="00C01C2B" w:rsidRDefault="00C01C2B" w:rsidP="00C01C2B">
      <w:pPr>
        <w:spacing w:line="360" w:lineRule="auto"/>
        <w:jc w:val="both"/>
        <w:rPr>
          <w:rtl/>
        </w:rPr>
      </w:pPr>
      <w:r>
        <w:rPr>
          <w:rFonts w:hint="cs"/>
          <w:rtl/>
        </w:rPr>
        <w:t>הנאשם הגיע לבדיקה נוספת אך לדבריו "לא הצליח" לתת שתן ונקבעה לו בדיקה נוספת.</w:t>
      </w:r>
    </w:p>
    <w:p w14:paraId="594F5C89" w14:textId="77777777" w:rsidR="00C01C2B" w:rsidRDefault="00C01C2B" w:rsidP="00C01C2B">
      <w:pPr>
        <w:spacing w:line="360" w:lineRule="auto"/>
        <w:jc w:val="both"/>
        <w:rPr>
          <w:rtl/>
        </w:rPr>
      </w:pPr>
    </w:p>
    <w:p w14:paraId="549DC91D" w14:textId="77777777" w:rsidR="00C01C2B" w:rsidRDefault="00C01C2B" w:rsidP="00C01C2B">
      <w:pPr>
        <w:spacing w:line="360" w:lineRule="auto"/>
        <w:jc w:val="both"/>
        <w:rPr>
          <w:rtl/>
        </w:rPr>
      </w:pPr>
      <w:r>
        <w:rPr>
          <w:rFonts w:hint="cs"/>
          <w:rtl/>
        </w:rPr>
        <w:t>שירות המבחן עדכן, כי הנאשם טרם השתלב בקבוצה טיפולית.</w:t>
      </w:r>
    </w:p>
    <w:p w14:paraId="4439331A" w14:textId="77777777" w:rsidR="00C01C2B" w:rsidRDefault="00C01C2B" w:rsidP="00C01C2B">
      <w:pPr>
        <w:spacing w:line="360" w:lineRule="auto"/>
        <w:jc w:val="both"/>
        <w:rPr>
          <w:rtl/>
        </w:rPr>
      </w:pPr>
    </w:p>
    <w:p w14:paraId="616A56EB" w14:textId="77777777" w:rsidR="00C01C2B" w:rsidRDefault="00C01C2B" w:rsidP="00C01C2B">
      <w:pPr>
        <w:spacing w:line="360" w:lineRule="auto"/>
        <w:jc w:val="both"/>
        <w:rPr>
          <w:rtl/>
        </w:rPr>
      </w:pPr>
      <w:r>
        <w:rPr>
          <w:rFonts w:hint="cs"/>
          <w:rtl/>
        </w:rPr>
        <w:t>שירות המבחן הביע ספק בנוגע ליכולת שיתוף הפעולה של הנאשם בהליך טיפולי ואף הביע תהיה בנוגע למצבו בתחום העיסוק בסמים.</w:t>
      </w:r>
    </w:p>
    <w:p w14:paraId="4795537B" w14:textId="77777777" w:rsidR="00C01C2B" w:rsidRDefault="00C01C2B" w:rsidP="00C01C2B">
      <w:pPr>
        <w:spacing w:line="360" w:lineRule="auto"/>
        <w:jc w:val="both"/>
        <w:rPr>
          <w:rtl/>
        </w:rPr>
      </w:pPr>
    </w:p>
    <w:p w14:paraId="46B074EB" w14:textId="77777777" w:rsidR="00C01C2B" w:rsidRDefault="00C01C2B" w:rsidP="00C01C2B">
      <w:pPr>
        <w:spacing w:line="360" w:lineRule="auto"/>
        <w:jc w:val="both"/>
        <w:rPr>
          <w:rtl/>
        </w:rPr>
      </w:pPr>
      <w:r>
        <w:rPr>
          <w:rFonts w:hint="cs"/>
          <w:rtl/>
        </w:rPr>
        <w:t>שירות המבחן המליץ על דחיה נוספת של הדיון לבחינת השתלבותו בטיפול.</w:t>
      </w:r>
    </w:p>
    <w:p w14:paraId="7A823009" w14:textId="77777777" w:rsidR="00C01C2B" w:rsidRDefault="00C01C2B" w:rsidP="00C01C2B">
      <w:pPr>
        <w:spacing w:line="360" w:lineRule="auto"/>
        <w:jc w:val="both"/>
        <w:rPr>
          <w:rtl/>
        </w:rPr>
      </w:pPr>
    </w:p>
    <w:p w14:paraId="6F79D336" w14:textId="77777777" w:rsidR="00C01C2B" w:rsidRDefault="00C01C2B" w:rsidP="00C01C2B">
      <w:pPr>
        <w:spacing w:line="360" w:lineRule="auto"/>
        <w:jc w:val="both"/>
        <w:rPr>
          <w:rtl/>
        </w:rPr>
      </w:pPr>
      <w:r w:rsidRPr="009537FB">
        <w:rPr>
          <w:rFonts w:hint="cs"/>
          <w:u w:val="single"/>
          <w:rtl/>
        </w:rPr>
        <w:t>בתסקיר מיום 06.10.22</w:t>
      </w:r>
      <w:r w:rsidRPr="009537FB">
        <w:rPr>
          <w:rFonts w:hint="cs"/>
          <w:rtl/>
        </w:rPr>
        <w:t xml:space="preserve">, </w:t>
      </w:r>
      <w:r>
        <w:rPr>
          <w:rFonts w:hint="cs"/>
          <w:rtl/>
        </w:rPr>
        <w:t>נמסר מאת שירות המבחן כי הנאשם השתלב בקבוצה טיפולית ושיתף במחירים שמשלם אודות ההליך המשפטי שמתנהל נגדו וכן הסכסוך הפעיל בו מצוי.</w:t>
      </w:r>
    </w:p>
    <w:p w14:paraId="2FA8A7E5" w14:textId="77777777" w:rsidR="00C01C2B" w:rsidRDefault="00C01C2B" w:rsidP="00C01C2B">
      <w:pPr>
        <w:spacing w:line="360" w:lineRule="auto"/>
        <w:jc w:val="both"/>
        <w:rPr>
          <w:rtl/>
        </w:rPr>
      </w:pPr>
    </w:p>
    <w:p w14:paraId="743DB79B" w14:textId="77777777" w:rsidR="00C01C2B" w:rsidRDefault="00C01C2B" w:rsidP="00C01C2B">
      <w:pPr>
        <w:spacing w:line="360" w:lineRule="auto"/>
        <w:jc w:val="both"/>
        <w:rPr>
          <w:rtl/>
        </w:rPr>
      </w:pPr>
      <w:r>
        <w:rPr>
          <w:rFonts w:hint="cs"/>
          <w:rtl/>
        </w:rPr>
        <w:t>שירות המבחן התרשם כי הנאשם מביע מוטיבציה לערוך שינוי וכי היה דומיננטי במפגשים בהם השתתף.</w:t>
      </w:r>
    </w:p>
    <w:p w14:paraId="7EB9B715" w14:textId="77777777" w:rsidR="00C01C2B" w:rsidRDefault="00C01C2B" w:rsidP="00C01C2B">
      <w:pPr>
        <w:spacing w:line="360" w:lineRule="auto"/>
        <w:jc w:val="both"/>
        <w:rPr>
          <w:rtl/>
        </w:rPr>
      </w:pPr>
    </w:p>
    <w:p w14:paraId="35B1918C" w14:textId="77777777" w:rsidR="00C01C2B" w:rsidRDefault="00C01C2B" w:rsidP="00C01C2B">
      <w:pPr>
        <w:spacing w:line="360" w:lineRule="auto"/>
        <w:jc w:val="both"/>
        <w:rPr>
          <w:rtl/>
        </w:rPr>
      </w:pPr>
      <w:r>
        <w:rPr>
          <w:rFonts w:hint="cs"/>
          <w:rtl/>
        </w:rPr>
        <w:t xml:space="preserve">הנאשם הוזמן לבדיקות שתן נוספות כאשר גם הפעם </w:t>
      </w:r>
      <w:r>
        <w:rPr>
          <w:rtl/>
        </w:rPr>
        <w:t>–</w:t>
      </w:r>
      <w:r>
        <w:rPr>
          <w:rFonts w:hint="cs"/>
          <w:rtl/>
        </w:rPr>
        <w:t xml:space="preserve"> לא הגיע לחלקן; ולחלקן </w:t>
      </w:r>
      <w:r>
        <w:rPr>
          <w:rtl/>
        </w:rPr>
        <w:t>–</w:t>
      </w:r>
      <w:r>
        <w:rPr>
          <w:rFonts w:hint="cs"/>
          <w:rtl/>
        </w:rPr>
        <w:t xml:space="preserve"> הגיע, אך מבלי למסור שתן.</w:t>
      </w:r>
    </w:p>
    <w:p w14:paraId="78297781" w14:textId="77777777" w:rsidR="00C01C2B" w:rsidRDefault="00C01C2B" w:rsidP="00C01C2B">
      <w:pPr>
        <w:spacing w:line="360" w:lineRule="auto"/>
        <w:jc w:val="both"/>
        <w:rPr>
          <w:rtl/>
        </w:rPr>
      </w:pPr>
    </w:p>
    <w:p w14:paraId="69DA9349" w14:textId="77777777" w:rsidR="00C01C2B" w:rsidRDefault="00C01C2B" w:rsidP="00C01C2B">
      <w:pPr>
        <w:spacing w:line="360" w:lineRule="auto"/>
        <w:jc w:val="both"/>
        <w:rPr>
          <w:rtl/>
        </w:rPr>
      </w:pPr>
      <w:r>
        <w:rPr>
          <w:rFonts w:hint="cs"/>
          <w:rtl/>
        </w:rPr>
        <w:t>הנאשם הציע לערוך בדיקת דם ואז מסר את תוצאותיה לשירות המבחן, אך הוברר, כי המדובר היה בבדיקת דם כללית, ולא כזאת שניתן לאתר באמצעותה שרידי סם.</w:t>
      </w:r>
    </w:p>
    <w:p w14:paraId="01514871" w14:textId="77777777" w:rsidR="00C01C2B" w:rsidRDefault="00C01C2B" w:rsidP="00C01C2B">
      <w:pPr>
        <w:spacing w:line="360" w:lineRule="auto"/>
        <w:jc w:val="both"/>
        <w:rPr>
          <w:rtl/>
        </w:rPr>
      </w:pPr>
    </w:p>
    <w:p w14:paraId="2654C043" w14:textId="77777777" w:rsidR="00C01C2B" w:rsidRDefault="00C01C2B" w:rsidP="00C01C2B">
      <w:pPr>
        <w:spacing w:line="360" w:lineRule="auto"/>
        <w:jc w:val="both"/>
        <w:rPr>
          <w:rtl/>
        </w:rPr>
      </w:pPr>
      <w:r>
        <w:rPr>
          <w:rFonts w:hint="cs"/>
          <w:rtl/>
        </w:rPr>
        <w:t>לאור האמור, הוזמן הנאשם פעם נוספת לבדיקת שתן, הגיע אליה, אך שוב - לא מסר שתן.</w:t>
      </w:r>
    </w:p>
    <w:p w14:paraId="1C60A070" w14:textId="77777777" w:rsidR="00C01C2B" w:rsidRDefault="00C01C2B" w:rsidP="00C01C2B">
      <w:pPr>
        <w:spacing w:line="360" w:lineRule="auto"/>
        <w:jc w:val="both"/>
        <w:rPr>
          <w:rtl/>
        </w:rPr>
      </w:pPr>
    </w:p>
    <w:p w14:paraId="41F79C5A" w14:textId="77777777" w:rsidR="00C01C2B" w:rsidRDefault="00C01C2B" w:rsidP="00C01C2B">
      <w:pPr>
        <w:spacing w:line="360" w:lineRule="auto"/>
        <w:jc w:val="both"/>
        <w:rPr>
          <w:rtl/>
        </w:rPr>
      </w:pPr>
      <w:r>
        <w:rPr>
          <w:rFonts w:hint="cs"/>
          <w:rtl/>
        </w:rPr>
        <w:t>הנאשם מסר, כי מרגיש נוח ובטוח בקבוצה ורואה בה מקור לביטחון ושייכות. עוד מסר, כי ברצונו לשקם את חיו ולסיים את ההליך המשפטי בצורה חיובית וטובה תוך שהביע חשש מתוצאות ההליך המשפטי.</w:t>
      </w:r>
    </w:p>
    <w:p w14:paraId="5335F89B" w14:textId="77777777" w:rsidR="00C01C2B" w:rsidRDefault="00C01C2B" w:rsidP="00C01C2B">
      <w:pPr>
        <w:spacing w:line="360" w:lineRule="auto"/>
        <w:jc w:val="both"/>
        <w:rPr>
          <w:rtl/>
        </w:rPr>
      </w:pPr>
    </w:p>
    <w:p w14:paraId="588F349D" w14:textId="77777777" w:rsidR="00C01C2B" w:rsidRDefault="00C01C2B" w:rsidP="00C01C2B">
      <w:pPr>
        <w:spacing w:line="360" w:lineRule="auto"/>
        <w:jc w:val="both"/>
        <w:rPr>
          <w:rtl/>
        </w:rPr>
      </w:pPr>
      <w:r>
        <w:rPr>
          <w:rFonts w:hint="cs"/>
          <w:rtl/>
        </w:rPr>
        <w:t>שירות המבחן מסר, כי שקל להמליץ על ענישה שיקומית, אך מאחר שהנאשם אינו מוסר בדיקות שתן ולא ברור מצבו בהתייחס לשימוש בסמים, אין ביכולתם לגבש עמדה כלשהי או להמליץ על ענישה מסוג זה.</w:t>
      </w:r>
    </w:p>
    <w:p w14:paraId="08E250DE" w14:textId="77777777" w:rsidR="00C01C2B" w:rsidRDefault="00C01C2B" w:rsidP="00C01C2B">
      <w:pPr>
        <w:spacing w:line="360" w:lineRule="auto"/>
        <w:jc w:val="both"/>
        <w:rPr>
          <w:rtl/>
        </w:rPr>
      </w:pPr>
    </w:p>
    <w:p w14:paraId="6D45025A" w14:textId="77777777" w:rsidR="00C01C2B" w:rsidRDefault="00C01C2B" w:rsidP="00C01C2B">
      <w:pPr>
        <w:spacing w:line="360" w:lineRule="auto"/>
        <w:jc w:val="both"/>
        <w:rPr>
          <w:rtl/>
        </w:rPr>
      </w:pPr>
      <w:r>
        <w:rPr>
          <w:rFonts w:hint="cs"/>
          <w:rtl/>
        </w:rPr>
        <w:t>שירות המבחן המליץ על דחיה נוספת של הדיון על מנת לאפשר לנאשם להשתלב בקבוצה טיפולית ולמסור לפחות שתי בדיקות שתן.</w:t>
      </w:r>
    </w:p>
    <w:p w14:paraId="0B782F42" w14:textId="77777777" w:rsidR="00C01C2B" w:rsidRDefault="00C01C2B" w:rsidP="00C01C2B">
      <w:pPr>
        <w:spacing w:line="360" w:lineRule="auto"/>
        <w:jc w:val="both"/>
        <w:rPr>
          <w:rtl/>
        </w:rPr>
      </w:pPr>
    </w:p>
    <w:p w14:paraId="1CB9B47F" w14:textId="77777777" w:rsidR="00C01C2B" w:rsidRDefault="00C01C2B" w:rsidP="00C01C2B">
      <w:pPr>
        <w:spacing w:line="360" w:lineRule="auto"/>
        <w:jc w:val="both"/>
        <w:rPr>
          <w:rtl/>
        </w:rPr>
      </w:pPr>
      <w:r w:rsidRPr="002B49FD">
        <w:rPr>
          <w:rFonts w:hint="cs"/>
          <w:u w:val="single"/>
          <w:rtl/>
        </w:rPr>
        <w:t xml:space="preserve">בתסקיר סופי מיום 21.05.23, </w:t>
      </w:r>
      <w:r>
        <w:rPr>
          <w:rFonts w:hint="cs"/>
          <w:rtl/>
        </w:rPr>
        <w:t>נמסר מאת שירות המבחן, כי הנאשם שיתף שאינו עובד מספר חודשים, מצוי בחובות, מתגורר בבית אמו, והפסיק את השתתפותו בקבוצה הטיפולית למשך תקופה ארוכה, לטענתו מכיוון שהיה נתון בסכסוך. הנאשם הביע צער על כך, שלא עדכן את מנחות הקבוצה בנוגע להיעדרותו מהקבוצה ובנוסף הביע אמביוולנטי</w:t>
      </w:r>
      <w:r>
        <w:rPr>
          <w:rFonts w:hint="eastAsia"/>
          <w:rtl/>
        </w:rPr>
        <w:t>ות</w:t>
      </w:r>
      <w:r>
        <w:rPr>
          <w:rFonts w:hint="cs"/>
          <w:rtl/>
        </w:rPr>
        <w:t xml:space="preserve"> בנוגע להמשך שילובו בהליך הטיפולי.</w:t>
      </w:r>
    </w:p>
    <w:p w14:paraId="1B4E247C" w14:textId="77777777" w:rsidR="00C01C2B" w:rsidRDefault="00C01C2B" w:rsidP="00C01C2B">
      <w:pPr>
        <w:spacing w:line="360" w:lineRule="auto"/>
        <w:jc w:val="both"/>
        <w:rPr>
          <w:rtl/>
        </w:rPr>
      </w:pPr>
    </w:p>
    <w:p w14:paraId="1FDA734E" w14:textId="77777777" w:rsidR="00C01C2B" w:rsidRDefault="00C01C2B" w:rsidP="00C01C2B">
      <w:pPr>
        <w:spacing w:line="360" w:lineRule="auto"/>
        <w:jc w:val="both"/>
        <w:rPr>
          <w:rtl/>
        </w:rPr>
      </w:pPr>
      <w:r>
        <w:rPr>
          <w:rFonts w:hint="cs"/>
          <w:rtl/>
        </w:rPr>
        <w:t>הנאשם מסר, שצריך מספר ימים כדי לחשוב על כך.</w:t>
      </w:r>
    </w:p>
    <w:p w14:paraId="1A862B0A" w14:textId="77777777" w:rsidR="00C01C2B" w:rsidRDefault="00C01C2B" w:rsidP="00C01C2B">
      <w:pPr>
        <w:spacing w:line="360" w:lineRule="auto"/>
        <w:jc w:val="both"/>
        <w:rPr>
          <w:rtl/>
        </w:rPr>
      </w:pPr>
    </w:p>
    <w:p w14:paraId="282DDED9" w14:textId="77777777" w:rsidR="00C01C2B" w:rsidRDefault="00C01C2B" w:rsidP="00C01C2B">
      <w:pPr>
        <w:spacing w:line="360" w:lineRule="auto"/>
        <w:jc w:val="both"/>
        <w:rPr>
          <w:rtl/>
        </w:rPr>
      </w:pPr>
      <w:r>
        <w:rPr>
          <w:rFonts w:hint="cs"/>
          <w:rtl/>
        </w:rPr>
        <w:t>לבסוף, הוחלט כי הנאשם ימשיך את שילובו בקבוצה הטיפולית ונקבעו לו שני מועדים למסירת בדיקת שתן.</w:t>
      </w:r>
    </w:p>
    <w:p w14:paraId="02CAF7DD" w14:textId="77777777" w:rsidR="00C01C2B" w:rsidRDefault="00C01C2B" w:rsidP="00C01C2B">
      <w:pPr>
        <w:spacing w:line="360" w:lineRule="auto"/>
        <w:jc w:val="both"/>
        <w:rPr>
          <w:rtl/>
        </w:rPr>
      </w:pPr>
    </w:p>
    <w:p w14:paraId="3F938245" w14:textId="77777777" w:rsidR="00C01C2B" w:rsidRDefault="00C01C2B" w:rsidP="00C01C2B">
      <w:pPr>
        <w:spacing w:line="360" w:lineRule="auto"/>
        <w:jc w:val="both"/>
        <w:rPr>
          <w:rtl/>
        </w:rPr>
      </w:pPr>
      <w:r>
        <w:rPr>
          <w:rFonts w:hint="cs"/>
          <w:rtl/>
        </w:rPr>
        <w:t>בחלוף התקופה, נערכו 14 מפגשים נוספים אך הנאשם הגיע רק לארבעה מתוכם.</w:t>
      </w:r>
    </w:p>
    <w:p w14:paraId="18F9789F" w14:textId="77777777" w:rsidR="00C01C2B" w:rsidRDefault="00C01C2B" w:rsidP="00C01C2B">
      <w:pPr>
        <w:spacing w:line="360" w:lineRule="auto"/>
        <w:jc w:val="both"/>
        <w:rPr>
          <w:rtl/>
        </w:rPr>
      </w:pPr>
    </w:p>
    <w:p w14:paraId="3595374A" w14:textId="77777777" w:rsidR="00C01C2B" w:rsidRDefault="00C01C2B" w:rsidP="00C01C2B">
      <w:pPr>
        <w:spacing w:line="360" w:lineRule="auto"/>
        <w:jc w:val="both"/>
        <w:rPr>
          <w:rtl/>
        </w:rPr>
      </w:pPr>
      <w:r>
        <w:rPr>
          <w:rFonts w:hint="cs"/>
          <w:rtl/>
        </w:rPr>
        <w:t xml:space="preserve">הנאשם חזר לקבוצה ביום 18.04.23, לאחר תקופה משמעותית בה לא נכח, ושיתף כי נערכה סולחה וכעת הוא מרגיש הקלה. </w:t>
      </w:r>
    </w:p>
    <w:p w14:paraId="3876EF52" w14:textId="77777777" w:rsidR="00C01C2B" w:rsidRDefault="00C01C2B" w:rsidP="00C01C2B">
      <w:pPr>
        <w:spacing w:line="360" w:lineRule="auto"/>
        <w:jc w:val="both"/>
        <w:rPr>
          <w:rtl/>
        </w:rPr>
      </w:pPr>
    </w:p>
    <w:p w14:paraId="45C7E3AC" w14:textId="77777777" w:rsidR="00C01C2B" w:rsidRDefault="00C01C2B" w:rsidP="00C01C2B">
      <w:pPr>
        <w:spacing w:line="360" w:lineRule="auto"/>
        <w:jc w:val="both"/>
        <w:rPr>
          <w:rtl/>
        </w:rPr>
      </w:pPr>
      <w:r>
        <w:rPr>
          <w:rFonts w:hint="cs"/>
          <w:rtl/>
        </w:rPr>
        <w:t>הנאשם הוזמן ליום עיון בשירות המבחן אך לא הגיע.</w:t>
      </w:r>
    </w:p>
    <w:p w14:paraId="207610E2" w14:textId="77777777" w:rsidR="00C01C2B" w:rsidRDefault="00C01C2B" w:rsidP="00C01C2B">
      <w:pPr>
        <w:spacing w:line="360" w:lineRule="auto"/>
        <w:jc w:val="both"/>
        <w:rPr>
          <w:rtl/>
        </w:rPr>
      </w:pPr>
    </w:p>
    <w:p w14:paraId="6C7267F2" w14:textId="77777777" w:rsidR="00C01C2B" w:rsidRDefault="00C01C2B" w:rsidP="00C01C2B">
      <w:pPr>
        <w:spacing w:line="360" w:lineRule="auto"/>
        <w:jc w:val="both"/>
        <w:rPr>
          <w:rtl/>
        </w:rPr>
      </w:pPr>
      <w:r>
        <w:rPr>
          <w:rFonts w:hint="cs"/>
          <w:rtl/>
        </w:rPr>
        <w:t>ביחס לבדיקות השתן אליהן הוזמן הנאשם, הגיע הנאשם לבדיקה הראשונה אך שוב - לא מסר שתן; ולבדיקה השניה - לא התייצב.</w:t>
      </w:r>
    </w:p>
    <w:p w14:paraId="7C0A9171" w14:textId="77777777" w:rsidR="00C01C2B" w:rsidRDefault="00C01C2B" w:rsidP="00C01C2B">
      <w:pPr>
        <w:spacing w:line="360" w:lineRule="auto"/>
        <w:jc w:val="both"/>
        <w:rPr>
          <w:rtl/>
        </w:rPr>
      </w:pPr>
      <w:r>
        <w:rPr>
          <w:rFonts w:hint="cs"/>
          <w:rtl/>
        </w:rPr>
        <w:t xml:space="preserve">לסיכום, נמסר מאת שירות המבחן כי הנאשם נכח בסך הכל ב- 9 מפגשים מתוך 28 מפגשים של הקבוצה ושיתף פעולה בהם אך בהתייחס לבדיקות השתן, הוזמן הנאשם ל- 10 בדיקות מתוכן הגיע ל- 6 בדיקות בלבד ולמעט אחת, בה מסר דגימה, שנמצאה נקיה משרידי סם, לא מסר שתן, על כן </w:t>
      </w:r>
      <w:r>
        <w:rPr>
          <w:rtl/>
        </w:rPr>
        <w:t>–</w:t>
      </w:r>
      <w:r>
        <w:rPr>
          <w:rFonts w:hint="cs"/>
          <w:rtl/>
        </w:rPr>
        <w:t xml:space="preserve"> שירות המבחן אינו יודע מה מצבו בתחום צריכת הסמים.</w:t>
      </w:r>
    </w:p>
    <w:p w14:paraId="3C7A96DC" w14:textId="77777777" w:rsidR="00C01C2B" w:rsidRDefault="00C01C2B" w:rsidP="00C01C2B">
      <w:pPr>
        <w:spacing w:line="360" w:lineRule="auto"/>
        <w:jc w:val="both"/>
        <w:rPr>
          <w:rtl/>
        </w:rPr>
      </w:pPr>
    </w:p>
    <w:p w14:paraId="45FA44AC" w14:textId="77777777" w:rsidR="00C01C2B" w:rsidRDefault="00C01C2B" w:rsidP="00C01C2B">
      <w:pPr>
        <w:spacing w:line="360" w:lineRule="auto"/>
        <w:jc w:val="both"/>
        <w:rPr>
          <w:rtl/>
        </w:rPr>
      </w:pPr>
      <w:r>
        <w:rPr>
          <w:rFonts w:hint="cs"/>
          <w:rtl/>
        </w:rPr>
        <w:t>שירות המבחן התרשם מנזקקות טיפולית ומכך שהנאשם ערך מאמצים להגיע לקבוצה, הביע שאיפות נורמטיביות לעתיד וזקוק להמשך ליווי והכוונה ורכישת כלים להתבוננות על דפוסיו המכשילים.</w:t>
      </w:r>
    </w:p>
    <w:p w14:paraId="2D2950A7" w14:textId="77777777" w:rsidR="00C01C2B" w:rsidRDefault="00C01C2B" w:rsidP="00C01C2B">
      <w:pPr>
        <w:spacing w:line="360" w:lineRule="auto"/>
        <w:jc w:val="both"/>
        <w:rPr>
          <w:rtl/>
        </w:rPr>
      </w:pPr>
    </w:p>
    <w:p w14:paraId="2507EC2A" w14:textId="77777777" w:rsidR="00C01C2B" w:rsidRDefault="00C01C2B" w:rsidP="00C01C2B">
      <w:pPr>
        <w:spacing w:line="360" w:lineRule="auto"/>
        <w:jc w:val="both"/>
        <w:rPr>
          <w:rtl/>
        </w:rPr>
      </w:pPr>
      <w:r>
        <w:rPr>
          <w:rFonts w:hint="cs"/>
          <w:rtl/>
        </w:rPr>
        <w:t>עם זאת, מצא שירות המבחן, כי הנאשם מתקשה להתמיד בהליך טיפולי. בנוסף, לאור חומרת העבירות וקשריו השוליים העמוקים, התרשם שירות המבחן, כי מדובר באדם המתקשה למצוא יציבות או מקורות תמיכה בחייו.</w:t>
      </w:r>
    </w:p>
    <w:p w14:paraId="3BFBC466" w14:textId="77777777" w:rsidR="00C01C2B" w:rsidRDefault="00C01C2B" w:rsidP="00C01C2B">
      <w:pPr>
        <w:spacing w:line="360" w:lineRule="auto"/>
        <w:jc w:val="both"/>
        <w:rPr>
          <w:rtl/>
        </w:rPr>
      </w:pPr>
    </w:p>
    <w:p w14:paraId="44AA5F49" w14:textId="77777777" w:rsidR="00C01C2B" w:rsidRDefault="00C01C2B" w:rsidP="00C01C2B">
      <w:pPr>
        <w:spacing w:line="360" w:lineRule="auto"/>
        <w:jc w:val="both"/>
        <w:rPr>
          <w:rtl/>
        </w:rPr>
      </w:pPr>
      <w:r>
        <w:rPr>
          <w:rFonts w:hint="cs"/>
          <w:rtl/>
        </w:rPr>
        <w:t>בשכלול גורמי הסיכון והסיכוי, נמנע שירות המבחן מהמלצה על ענישה שיקומית והמליץ על ענישה מוחשית של מאסר לריצוי בדרך של עבודות שירות.</w:t>
      </w:r>
    </w:p>
    <w:p w14:paraId="57165261" w14:textId="77777777" w:rsidR="00C01C2B" w:rsidRDefault="00C01C2B" w:rsidP="00C01C2B">
      <w:pPr>
        <w:spacing w:line="360" w:lineRule="auto"/>
        <w:jc w:val="both"/>
        <w:rPr>
          <w:rtl/>
        </w:rPr>
      </w:pPr>
    </w:p>
    <w:p w14:paraId="0E632B6F" w14:textId="77777777" w:rsidR="00C01C2B" w:rsidRDefault="00C01C2B" w:rsidP="00C01C2B">
      <w:pPr>
        <w:spacing w:line="360" w:lineRule="auto"/>
        <w:jc w:val="both"/>
        <w:rPr>
          <w:rtl/>
        </w:rPr>
      </w:pPr>
    </w:p>
    <w:p w14:paraId="0D85ECC9" w14:textId="77777777" w:rsidR="00C01C2B" w:rsidRPr="00361D4B" w:rsidRDefault="00C01C2B" w:rsidP="00C01C2B">
      <w:pPr>
        <w:spacing w:line="360" w:lineRule="auto"/>
        <w:jc w:val="both"/>
        <w:rPr>
          <w:b/>
          <w:bCs/>
          <w:rtl/>
        </w:rPr>
      </w:pPr>
      <w:r w:rsidRPr="00361D4B">
        <w:rPr>
          <w:rFonts w:hint="cs"/>
          <w:b/>
          <w:bCs/>
          <w:rtl/>
        </w:rPr>
        <w:t>חוות דעת הממונה על עבודות השירות</w:t>
      </w:r>
    </w:p>
    <w:p w14:paraId="65D99BFB" w14:textId="77777777" w:rsidR="00C01C2B" w:rsidRDefault="00C01C2B" w:rsidP="00C01C2B">
      <w:pPr>
        <w:spacing w:line="360" w:lineRule="auto"/>
        <w:jc w:val="both"/>
        <w:rPr>
          <w:rtl/>
        </w:rPr>
      </w:pPr>
    </w:p>
    <w:p w14:paraId="6841D887" w14:textId="77777777" w:rsidR="00C01C2B" w:rsidRDefault="00C01C2B" w:rsidP="00C01C2B">
      <w:pPr>
        <w:spacing w:line="360" w:lineRule="auto"/>
        <w:jc w:val="both"/>
        <w:rPr>
          <w:rtl/>
        </w:rPr>
      </w:pPr>
      <w:r>
        <w:rPr>
          <w:rFonts w:hint="cs"/>
          <w:rtl/>
        </w:rPr>
        <w:t>כאמור לעיל, נמנע הנאשם מלהתייצב אצל הממונה על עבודות השירות בשב"ס, חרף הזדמנויות שניתנו לו, על כן כלל לא ניתן לבחון את התאמתו לריצוי עונש בדרך זו. יצוין, כי על פי מתחם הענישה שנקבע בגין כל אחד מהאישומים, ממילא אין הדבר עוד רלבנטי.</w:t>
      </w:r>
    </w:p>
    <w:p w14:paraId="411CA5E9" w14:textId="77777777" w:rsidR="00C01C2B" w:rsidRDefault="00C01C2B" w:rsidP="00C01C2B">
      <w:pPr>
        <w:spacing w:line="360" w:lineRule="auto"/>
        <w:jc w:val="both"/>
        <w:rPr>
          <w:rtl/>
        </w:rPr>
      </w:pPr>
    </w:p>
    <w:p w14:paraId="0315A095" w14:textId="77777777" w:rsidR="00C01C2B" w:rsidRDefault="00C01C2B" w:rsidP="00C01C2B">
      <w:pPr>
        <w:spacing w:line="360" w:lineRule="auto"/>
        <w:jc w:val="both"/>
        <w:rPr>
          <w:rtl/>
        </w:rPr>
      </w:pPr>
    </w:p>
    <w:p w14:paraId="6FBE2BCC" w14:textId="77777777" w:rsidR="00C01C2B" w:rsidRPr="00361D4B" w:rsidRDefault="00C01C2B" w:rsidP="00C01C2B">
      <w:pPr>
        <w:spacing w:line="360" w:lineRule="auto"/>
        <w:jc w:val="both"/>
        <w:rPr>
          <w:b/>
          <w:bCs/>
          <w:rtl/>
        </w:rPr>
      </w:pPr>
      <w:r w:rsidRPr="00361D4B">
        <w:rPr>
          <w:rFonts w:hint="cs"/>
          <w:b/>
          <w:bCs/>
          <w:rtl/>
        </w:rPr>
        <w:t>טענות הצדדים</w:t>
      </w:r>
    </w:p>
    <w:p w14:paraId="6DA32FBD" w14:textId="77777777" w:rsidR="00C01C2B" w:rsidRDefault="00C01C2B" w:rsidP="00C01C2B">
      <w:pPr>
        <w:spacing w:line="360" w:lineRule="auto"/>
        <w:jc w:val="both"/>
        <w:rPr>
          <w:rtl/>
        </w:rPr>
      </w:pPr>
    </w:p>
    <w:p w14:paraId="286B5588" w14:textId="77777777" w:rsidR="00C01C2B" w:rsidRDefault="00C01C2B" w:rsidP="00C01C2B">
      <w:pPr>
        <w:spacing w:line="360" w:lineRule="auto"/>
        <w:jc w:val="both"/>
        <w:rPr>
          <w:rtl/>
        </w:rPr>
      </w:pPr>
      <w:r>
        <w:rPr>
          <w:rFonts w:hint="cs"/>
          <w:u w:val="single"/>
          <w:rtl/>
        </w:rPr>
        <w:t>התביעה</w:t>
      </w:r>
      <w:r>
        <w:rPr>
          <w:rFonts w:hint="cs"/>
          <w:rtl/>
        </w:rPr>
        <w:t xml:space="preserve"> הגישה טיעוניה לעונש בכתב (ת/2) והשלימה אותן על פה.</w:t>
      </w:r>
    </w:p>
    <w:p w14:paraId="38BCFD3A" w14:textId="77777777" w:rsidR="00C01C2B" w:rsidRDefault="00C01C2B" w:rsidP="00C01C2B">
      <w:pPr>
        <w:spacing w:line="360" w:lineRule="auto"/>
        <w:jc w:val="both"/>
        <w:rPr>
          <w:rtl/>
        </w:rPr>
      </w:pPr>
    </w:p>
    <w:p w14:paraId="454B6419" w14:textId="77777777" w:rsidR="00C01C2B" w:rsidRDefault="00C01C2B" w:rsidP="00C01C2B">
      <w:pPr>
        <w:spacing w:line="360" w:lineRule="auto"/>
        <w:jc w:val="both"/>
        <w:rPr>
          <w:rtl/>
        </w:rPr>
      </w:pPr>
      <w:r>
        <w:rPr>
          <w:rFonts w:hint="cs"/>
          <w:rtl/>
        </w:rPr>
        <w:t>התביעה טענה, כי הערכים המוגנים שנפגעו ממעשי הנאשם הם הגנה על שלום הציבור ובריאותו, ומניעת נזקים כלכליים עקיפים מעבירות הסמים.</w:t>
      </w:r>
    </w:p>
    <w:p w14:paraId="784BFE9A" w14:textId="77777777" w:rsidR="00C01C2B" w:rsidRDefault="00C01C2B" w:rsidP="00C01C2B">
      <w:pPr>
        <w:spacing w:line="360" w:lineRule="auto"/>
        <w:jc w:val="both"/>
        <w:rPr>
          <w:rtl/>
        </w:rPr>
      </w:pPr>
    </w:p>
    <w:p w14:paraId="16734CE3" w14:textId="77777777" w:rsidR="00C01C2B" w:rsidRDefault="00C01C2B" w:rsidP="00C01C2B">
      <w:pPr>
        <w:spacing w:line="360" w:lineRule="auto"/>
        <w:jc w:val="both"/>
        <w:rPr>
          <w:rtl/>
        </w:rPr>
      </w:pPr>
      <w:r>
        <w:rPr>
          <w:rFonts w:hint="cs"/>
          <w:rtl/>
        </w:rPr>
        <w:t>התביעה טענה כי בנוסף לנזק הגופני של אלו הצורכים את הסמים, נגע הסמים עשוי להוביל לעבריינות רכוש ואלימות על מנת להשיג את אמצעי המימון לרכוש סמים נוספים.</w:t>
      </w:r>
    </w:p>
    <w:p w14:paraId="60596C84" w14:textId="77777777" w:rsidR="00C01C2B" w:rsidRDefault="00C01C2B" w:rsidP="00C01C2B">
      <w:pPr>
        <w:spacing w:line="360" w:lineRule="auto"/>
        <w:jc w:val="both"/>
        <w:rPr>
          <w:rtl/>
        </w:rPr>
      </w:pPr>
    </w:p>
    <w:p w14:paraId="61A4EBCD" w14:textId="77777777" w:rsidR="00C01C2B" w:rsidRDefault="00C01C2B" w:rsidP="00C01C2B">
      <w:pPr>
        <w:spacing w:line="360" w:lineRule="auto"/>
        <w:jc w:val="both"/>
        <w:rPr>
          <w:rtl/>
        </w:rPr>
      </w:pPr>
      <w:r>
        <w:rPr>
          <w:rFonts w:hint="cs"/>
          <w:rtl/>
        </w:rPr>
        <w:t>התביעה הדגישה הכמות הרבה של הסמים וטענה, כי עצם הישנות העבירה מלמדת על מעורבות הנאשם בעולם הסמים ועל זמינות רבה לסם.</w:t>
      </w:r>
    </w:p>
    <w:p w14:paraId="0EF70E3D" w14:textId="77777777" w:rsidR="00C01C2B" w:rsidRDefault="00C01C2B" w:rsidP="00C01C2B">
      <w:pPr>
        <w:spacing w:line="360" w:lineRule="auto"/>
        <w:jc w:val="both"/>
        <w:rPr>
          <w:rtl/>
        </w:rPr>
      </w:pPr>
    </w:p>
    <w:p w14:paraId="36E9E9D1" w14:textId="77777777" w:rsidR="00C01C2B" w:rsidRDefault="00C01C2B" w:rsidP="00C01C2B">
      <w:pPr>
        <w:spacing w:line="360" w:lineRule="auto"/>
        <w:jc w:val="both"/>
        <w:rPr>
          <w:rtl/>
        </w:rPr>
      </w:pPr>
      <w:r>
        <w:rPr>
          <w:rFonts w:hint="cs"/>
          <w:rtl/>
        </w:rPr>
        <w:t>התביעה טענה, כי אף התנהלות הנאשם כלפי השוטר מלמדת על תעוזה רבה מצד הנאשם ועל העדר כל מורא מהחוק.</w:t>
      </w:r>
    </w:p>
    <w:p w14:paraId="46BBBE7B" w14:textId="77777777" w:rsidR="00C01C2B" w:rsidRDefault="00C01C2B" w:rsidP="00C01C2B">
      <w:pPr>
        <w:spacing w:line="360" w:lineRule="auto"/>
        <w:jc w:val="both"/>
        <w:rPr>
          <w:rtl/>
        </w:rPr>
      </w:pPr>
    </w:p>
    <w:p w14:paraId="2B87606F" w14:textId="77777777" w:rsidR="00C01C2B" w:rsidRDefault="00C01C2B" w:rsidP="00C01C2B">
      <w:pPr>
        <w:spacing w:line="360" w:lineRule="auto"/>
        <w:jc w:val="both"/>
        <w:rPr>
          <w:rtl/>
        </w:rPr>
      </w:pPr>
      <w:r>
        <w:rPr>
          <w:rFonts w:hint="cs"/>
          <w:rtl/>
        </w:rPr>
        <w:t>התביעה עתרה לשני מתחמי ענישה נפרדים כדלקמן:</w:t>
      </w:r>
    </w:p>
    <w:p w14:paraId="038B3D72" w14:textId="77777777" w:rsidR="00C01C2B" w:rsidRDefault="00C01C2B" w:rsidP="00C01C2B">
      <w:pPr>
        <w:pStyle w:val="a9"/>
        <w:numPr>
          <w:ilvl w:val="0"/>
          <w:numId w:val="2"/>
        </w:numPr>
        <w:spacing w:line="360" w:lineRule="auto"/>
        <w:jc w:val="both"/>
      </w:pPr>
      <w:r>
        <w:rPr>
          <w:rFonts w:hint="cs"/>
          <w:rtl/>
        </w:rPr>
        <w:t xml:space="preserve">בתיק העיקרי - עתרה התביעה למתחם ענישה הנע בין 10 </w:t>
      </w:r>
      <w:r>
        <w:rPr>
          <w:rtl/>
        </w:rPr>
        <w:t>–</w:t>
      </w:r>
      <w:r>
        <w:rPr>
          <w:rFonts w:hint="cs"/>
          <w:rtl/>
        </w:rPr>
        <w:t xml:space="preserve"> 18 חודשי מאסר בפועל;</w:t>
      </w:r>
    </w:p>
    <w:p w14:paraId="0FC0FDF5" w14:textId="77777777" w:rsidR="00C01C2B" w:rsidRDefault="00C01C2B" w:rsidP="00C01C2B">
      <w:pPr>
        <w:pStyle w:val="a9"/>
        <w:numPr>
          <w:ilvl w:val="0"/>
          <w:numId w:val="2"/>
        </w:numPr>
        <w:spacing w:line="360" w:lineRule="auto"/>
        <w:jc w:val="both"/>
      </w:pPr>
      <w:r>
        <w:rPr>
          <w:rFonts w:hint="cs"/>
          <w:rtl/>
        </w:rPr>
        <w:t xml:space="preserve">בתיק הצירוף - עתרה התביעה למתחם ענישה הנע בין 12 </w:t>
      </w:r>
      <w:r>
        <w:rPr>
          <w:rtl/>
        </w:rPr>
        <w:t>–</w:t>
      </w:r>
      <w:r>
        <w:rPr>
          <w:rFonts w:hint="cs"/>
          <w:rtl/>
        </w:rPr>
        <w:t xml:space="preserve"> 24 חודשי מאסר בפועל.</w:t>
      </w:r>
    </w:p>
    <w:p w14:paraId="79DB54AD" w14:textId="77777777" w:rsidR="00C01C2B" w:rsidRDefault="00C01C2B" w:rsidP="00C01C2B">
      <w:pPr>
        <w:spacing w:line="360" w:lineRule="auto"/>
        <w:jc w:val="both"/>
        <w:rPr>
          <w:rtl/>
        </w:rPr>
      </w:pPr>
    </w:p>
    <w:p w14:paraId="6E4C6549" w14:textId="77777777" w:rsidR="00C01C2B" w:rsidRDefault="00C01C2B" w:rsidP="00C01C2B">
      <w:pPr>
        <w:spacing w:line="360" w:lineRule="auto"/>
        <w:jc w:val="both"/>
        <w:rPr>
          <w:rtl/>
        </w:rPr>
      </w:pPr>
      <w:r>
        <w:rPr>
          <w:rFonts w:hint="cs"/>
          <w:rtl/>
        </w:rPr>
        <w:t>התביעה הפנתה להרשעות התעבורתיות של הנאשם המלמדות על יחסו לחוק.</w:t>
      </w:r>
    </w:p>
    <w:p w14:paraId="03D685DA" w14:textId="77777777" w:rsidR="00C01C2B" w:rsidRDefault="00C01C2B" w:rsidP="00C01C2B">
      <w:pPr>
        <w:spacing w:line="360" w:lineRule="auto"/>
        <w:jc w:val="both"/>
        <w:rPr>
          <w:rtl/>
        </w:rPr>
      </w:pPr>
    </w:p>
    <w:p w14:paraId="57D9B810" w14:textId="77777777" w:rsidR="00C01C2B" w:rsidRDefault="00C01C2B" w:rsidP="00C01C2B">
      <w:pPr>
        <w:spacing w:line="360" w:lineRule="auto"/>
        <w:jc w:val="both"/>
        <w:rPr>
          <w:rtl/>
        </w:rPr>
      </w:pPr>
      <w:r>
        <w:rPr>
          <w:rFonts w:hint="cs"/>
          <w:rtl/>
        </w:rPr>
        <w:t>התביעה הפנתה לתסקיר שירות המבחן ממנו עולה שיתוף פעולה חלקי בלבד ואי בהירות בנוגע לשימוש הנאשם בסמים. כמו כן, לא בא שירות המבחן בהמלצה שיקומית כלשהי.</w:t>
      </w:r>
    </w:p>
    <w:p w14:paraId="56771CAC" w14:textId="77777777" w:rsidR="00C01C2B" w:rsidRDefault="00C01C2B" w:rsidP="00C01C2B">
      <w:pPr>
        <w:spacing w:line="360" w:lineRule="auto"/>
        <w:jc w:val="both"/>
        <w:rPr>
          <w:rtl/>
        </w:rPr>
      </w:pPr>
    </w:p>
    <w:p w14:paraId="3293CAAD" w14:textId="77777777" w:rsidR="00C01C2B" w:rsidRDefault="00C01C2B" w:rsidP="00C01C2B">
      <w:pPr>
        <w:spacing w:line="360" w:lineRule="auto"/>
        <w:jc w:val="both"/>
        <w:rPr>
          <w:rtl/>
        </w:rPr>
      </w:pPr>
      <w:r>
        <w:rPr>
          <w:rFonts w:hint="cs"/>
          <w:rtl/>
        </w:rPr>
        <w:t>התביעה הדגישה את התנהלות הנאשם הן מול שירות המבחן, אשר התאפיינה בהיעדרויות רבות, התנהלותו בבית המשפט אשר התאפיינה אף היא בהיעדרויות מדיונים רבים, ניתוק קשר עם בא כוחו והתייצבות לדיון פרשת העונש רק לאחר שהוצאו נגדו צווי הבאה תוך שהוא מבזבז זמן שיפוטי ומביע זלזול בהליך הפלילי המתנהל נגדו.</w:t>
      </w:r>
    </w:p>
    <w:p w14:paraId="6AD320AB" w14:textId="77777777" w:rsidR="00C01C2B" w:rsidRDefault="00C01C2B" w:rsidP="00C01C2B">
      <w:pPr>
        <w:spacing w:line="360" w:lineRule="auto"/>
        <w:jc w:val="both"/>
        <w:rPr>
          <w:rtl/>
        </w:rPr>
      </w:pPr>
    </w:p>
    <w:p w14:paraId="40992773" w14:textId="77777777" w:rsidR="00C01C2B" w:rsidRDefault="00C01C2B" w:rsidP="00C01C2B">
      <w:pPr>
        <w:spacing w:line="360" w:lineRule="auto"/>
        <w:jc w:val="both"/>
      </w:pPr>
      <w:r>
        <w:rPr>
          <w:rFonts w:hint="cs"/>
          <w:rtl/>
        </w:rPr>
        <w:t xml:space="preserve"> התביעה טענה, כי יש חשיבות בהשתת פסילה משמעותית ברשיון הנהיגה, הן לאור החזקת הסם ברכב, והן לאור צורך ממשי להרחיק מהכביש כל מי שעוסק בסמים.</w:t>
      </w:r>
    </w:p>
    <w:p w14:paraId="4E8B2CD6" w14:textId="77777777" w:rsidR="00C01C2B" w:rsidRDefault="00C01C2B" w:rsidP="00C01C2B">
      <w:pPr>
        <w:spacing w:line="360" w:lineRule="auto"/>
        <w:jc w:val="both"/>
        <w:rPr>
          <w:rtl/>
        </w:rPr>
      </w:pPr>
    </w:p>
    <w:p w14:paraId="4C43E136" w14:textId="77777777" w:rsidR="00C01C2B" w:rsidRDefault="00C01C2B" w:rsidP="00C01C2B">
      <w:pPr>
        <w:spacing w:line="360" w:lineRule="auto"/>
        <w:jc w:val="both"/>
        <w:rPr>
          <w:rtl/>
        </w:rPr>
      </w:pPr>
      <w:r>
        <w:rPr>
          <w:rFonts w:hint="cs"/>
          <w:rtl/>
        </w:rPr>
        <w:t>התביעה עתרה למקם את עונשו של הנאשם בשליש התחתון של כל אחד ממתחמי הענישה , וכן להטיל עליו מאסר מותנה משמעותי, פסילת רשיון נהיגה ממשוכת בפועל ועל תנאי, קנס משמעותי והתחייבות להימנע מעבירה.</w:t>
      </w:r>
    </w:p>
    <w:p w14:paraId="6323BBCB" w14:textId="77777777" w:rsidR="00C01C2B" w:rsidRDefault="00C01C2B" w:rsidP="00C01C2B">
      <w:pPr>
        <w:spacing w:line="360" w:lineRule="auto"/>
        <w:jc w:val="both"/>
        <w:rPr>
          <w:rtl/>
        </w:rPr>
      </w:pPr>
    </w:p>
    <w:p w14:paraId="6CE83927" w14:textId="77777777" w:rsidR="00C01C2B" w:rsidRDefault="00C01C2B" w:rsidP="00C01C2B">
      <w:pPr>
        <w:spacing w:line="360" w:lineRule="auto"/>
        <w:jc w:val="both"/>
        <w:rPr>
          <w:rtl/>
        </w:rPr>
      </w:pPr>
      <w:r>
        <w:rPr>
          <w:rFonts w:hint="cs"/>
          <w:rtl/>
        </w:rPr>
        <w:t>בנוסף, עתרה התביעה ליתן צו להשמת הסמים.</w:t>
      </w:r>
    </w:p>
    <w:p w14:paraId="23E58847" w14:textId="77777777" w:rsidR="00C01C2B" w:rsidRDefault="00C01C2B" w:rsidP="00C01C2B">
      <w:pPr>
        <w:spacing w:line="360" w:lineRule="auto"/>
        <w:jc w:val="both"/>
        <w:rPr>
          <w:rtl/>
        </w:rPr>
      </w:pPr>
    </w:p>
    <w:p w14:paraId="37A9D00E" w14:textId="77777777" w:rsidR="00C01C2B" w:rsidRDefault="00C01C2B" w:rsidP="00C01C2B">
      <w:pPr>
        <w:spacing w:line="360" w:lineRule="auto"/>
        <w:jc w:val="both"/>
        <w:rPr>
          <w:rtl/>
        </w:rPr>
      </w:pPr>
      <w:r>
        <w:rPr>
          <w:rFonts w:hint="cs"/>
          <w:u w:val="single"/>
          <w:rtl/>
        </w:rPr>
        <w:t>ההגנה</w:t>
      </w:r>
      <w:r>
        <w:rPr>
          <w:rFonts w:hint="cs"/>
          <w:rtl/>
        </w:rPr>
        <w:t xml:space="preserve"> ביקשה לקחת בחשבון על נסיבותיו האישיות של הנאשם.</w:t>
      </w:r>
    </w:p>
    <w:p w14:paraId="089F6EC6" w14:textId="77777777" w:rsidR="00C01C2B" w:rsidRDefault="00C01C2B" w:rsidP="00C01C2B">
      <w:pPr>
        <w:spacing w:line="360" w:lineRule="auto"/>
        <w:jc w:val="both"/>
        <w:rPr>
          <w:rtl/>
        </w:rPr>
      </w:pPr>
    </w:p>
    <w:p w14:paraId="6769528E" w14:textId="77777777" w:rsidR="00C01C2B" w:rsidRDefault="00C01C2B" w:rsidP="00C01C2B">
      <w:pPr>
        <w:spacing w:line="360" w:lineRule="auto"/>
        <w:jc w:val="both"/>
        <w:rPr>
          <w:rtl/>
        </w:rPr>
      </w:pPr>
      <w:r>
        <w:rPr>
          <w:rFonts w:hint="cs"/>
          <w:rtl/>
        </w:rPr>
        <w:t>ההגנה ביקשה לקחת בחשבון את הודאת הנאשם במיוחס לו, החיסכון בזמן שיפוטי, נטילת האחריות על מעשיו, ובצירוף התיקים.</w:t>
      </w:r>
    </w:p>
    <w:p w14:paraId="4E910D5E" w14:textId="77777777" w:rsidR="00C01C2B" w:rsidRDefault="00C01C2B" w:rsidP="00C01C2B">
      <w:pPr>
        <w:spacing w:line="360" w:lineRule="auto"/>
        <w:jc w:val="both"/>
        <w:rPr>
          <w:rtl/>
        </w:rPr>
      </w:pPr>
    </w:p>
    <w:p w14:paraId="2DBAABB0" w14:textId="77777777" w:rsidR="00C01C2B" w:rsidRDefault="00C01C2B" w:rsidP="00C01C2B">
      <w:pPr>
        <w:spacing w:line="360" w:lineRule="auto"/>
        <w:jc w:val="both"/>
        <w:rPr>
          <w:rtl/>
        </w:rPr>
      </w:pPr>
      <w:r>
        <w:rPr>
          <w:rFonts w:hint="cs"/>
          <w:rtl/>
        </w:rPr>
        <w:t>ההגנה טענה, כי הנאשם הביע מוטיבציה להשתלב בהליך טיפולי ואף השתלב בקבוצה ייעודית והגם שלא הגיע לכל הפגישות, הרי עשה מאמצים להגיע לקבוצה ושיתף באופן פתוח אודות חייו.</w:t>
      </w:r>
    </w:p>
    <w:p w14:paraId="6D593EEC" w14:textId="77777777" w:rsidR="00C01C2B" w:rsidRDefault="00C01C2B" w:rsidP="00C01C2B">
      <w:pPr>
        <w:spacing w:line="360" w:lineRule="auto"/>
        <w:jc w:val="both"/>
        <w:rPr>
          <w:rtl/>
        </w:rPr>
      </w:pPr>
    </w:p>
    <w:p w14:paraId="13CFE896" w14:textId="77777777" w:rsidR="00C01C2B" w:rsidRDefault="00C01C2B" w:rsidP="00C01C2B">
      <w:pPr>
        <w:spacing w:line="360" w:lineRule="auto"/>
        <w:jc w:val="both"/>
        <w:rPr>
          <w:rtl/>
        </w:rPr>
      </w:pPr>
      <w:r>
        <w:rPr>
          <w:rFonts w:hint="cs"/>
          <w:rtl/>
        </w:rPr>
        <w:t>ההגנה טענה, כי הנאשם מודע לפסול שבהתנהגות שלו וזה כבר בגדר הליך שיקומי.</w:t>
      </w:r>
    </w:p>
    <w:p w14:paraId="2A1A77EB" w14:textId="77777777" w:rsidR="00C01C2B" w:rsidRDefault="00C01C2B" w:rsidP="00C01C2B">
      <w:pPr>
        <w:spacing w:line="360" w:lineRule="auto"/>
        <w:jc w:val="both"/>
        <w:rPr>
          <w:rtl/>
        </w:rPr>
      </w:pPr>
    </w:p>
    <w:p w14:paraId="54773967" w14:textId="77777777" w:rsidR="00C01C2B" w:rsidRDefault="00C01C2B" w:rsidP="00C01C2B">
      <w:pPr>
        <w:spacing w:line="360" w:lineRule="auto"/>
        <w:jc w:val="both"/>
        <w:rPr>
          <w:rtl/>
        </w:rPr>
      </w:pPr>
      <w:r>
        <w:rPr>
          <w:rFonts w:hint="cs"/>
          <w:rtl/>
        </w:rPr>
        <w:t>ההגנה טענה, כי לפני הדיון האחרון התייצב הנאשם בשירות המבחן על מנת לחדש עמם הקשר ושיתף בקשיו.</w:t>
      </w:r>
    </w:p>
    <w:p w14:paraId="7CE205BF" w14:textId="77777777" w:rsidR="00C01C2B" w:rsidRDefault="00C01C2B" w:rsidP="00C01C2B">
      <w:pPr>
        <w:spacing w:line="360" w:lineRule="auto"/>
        <w:jc w:val="both"/>
        <w:rPr>
          <w:rtl/>
        </w:rPr>
      </w:pPr>
    </w:p>
    <w:p w14:paraId="06036EB8" w14:textId="77777777" w:rsidR="00C01C2B" w:rsidRDefault="00C01C2B" w:rsidP="00C01C2B">
      <w:pPr>
        <w:spacing w:line="360" w:lineRule="auto"/>
        <w:jc w:val="both"/>
        <w:rPr>
          <w:rtl/>
        </w:rPr>
      </w:pPr>
      <w:r>
        <w:rPr>
          <w:rFonts w:hint="cs"/>
          <w:rtl/>
        </w:rPr>
        <w:t>ההגנה עתרה להטיל על הנאשם עבודות שירות.</w:t>
      </w:r>
    </w:p>
    <w:p w14:paraId="4CBB45E9" w14:textId="77777777" w:rsidR="00C01C2B" w:rsidRDefault="00C01C2B" w:rsidP="00C01C2B">
      <w:pPr>
        <w:spacing w:line="360" w:lineRule="auto"/>
        <w:jc w:val="both"/>
        <w:rPr>
          <w:rtl/>
        </w:rPr>
      </w:pPr>
    </w:p>
    <w:p w14:paraId="4775D6E8" w14:textId="77777777" w:rsidR="00C01C2B" w:rsidRDefault="00C01C2B" w:rsidP="00C01C2B">
      <w:pPr>
        <w:spacing w:line="360" w:lineRule="auto"/>
        <w:jc w:val="both"/>
        <w:rPr>
          <w:rtl/>
        </w:rPr>
      </w:pPr>
    </w:p>
    <w:p w14:paraId="0EC26544" w14:textId="77777777" w:rsidR="00C01C2B" w:rsidRDefault="00C01C2B" w:rsidP="00C01C2B">
      <w:pPr>
        <w:spacing w:line="360" w:lineRule="auto"/>
        <w:jc w:val="both"/>
        <w:rPr>
          <w:rtl/>
        </w:rPr>
      </w:pPr>
      <w:r w:rsidRPr="00CA44F0">
        <w:rPr>
          <w:rFonts w:hint="cs"/>
          <w:u w:val="single"/>
          <w:rtl/>
        </w:rPr>
        <w:t>בדברו האחרון של הנאשם,</w:t>
      </w:r>
      <w:r>
        <w:rPr>
          <w:rFonts w:hint="cs"/>
          <w:rtl/>
        </w:rPr>
        <w:t xml:space="preserve"> מסר, שהוא לא הגיע לדיונים בעבר כי הוא "לא קם בבוקר" ואז עו"ד התקשר אליו להגיד לו לבוא. הנאשם אמר שהוא מצטער, שהוא גר בלקיה ומגיע באוטובוס.</w:t>
      </w:r>
    </w:p>
    <w:p w14:paraId="52B39328" w14:textId="77777777" w:rsidR="00C01C2B" w:rsidRDefault="00C01C2B" w:rsidP="00C01C2B">
      <w:pPr>
        <w:spacing w:line="360" w:lineRule="auto"/>
        <w:jc w:val="both"/>
        <w:rPr>
          <w:rtl/>
        </w:rPr>
      </w:pPr>
    </w:p>
    <w:p w14:paraId="4E213AE0" w14:textId="77777777" w:rsidR="00C01C2B" w:rsidRDefault="00C01C2B" w:rsidP="00C01C2B">
      <w:pPr>
        <w:spacing w:line="360" w:lineRule="auto"/>
        <w:jc w:val="both"/>
        <w:rPr>
          <w:rtl/>
        </w:rPr>
      </w:pPr>
    </w:p>
    <w:p w14:paraId="6BDC78F1" w14:textId="77777777" w:rsidR="00C01C2B" w:rsidRPr="00D83D97" w:rsidRDefault="00C01C2B" w:rsidP="00C01C2B">
      <w:pPr>
        <w:spacing w:line="360" w:lineRule="auto"/>
        <w:jc w:val="both"/>
        <w:rPr>
          <w:b/>
          <w:bCs/>
          <w:rtl/>
        </w:rPr>
      </w:pPr>
      <w:r w:rsidRPr="00D83D97">
        <w:rPr>
          <w:rFonts w:hint="cs"/>
          <w:b/>
          <w:bCs/>
          <w:rtl/>
        </w:rPr>
        <w:t>דיון והכרעה</w:t>
      </w:r>
    </w:p>
    <w:p w14:paraId="0418A007" w14:textId="77777777" w:rsidR="00C01C2B" w:rsidRDefault="00C01C2B" w:rsidP="00C01C2B">
      <w:pPr>
        <w:spacing w:line="360" w:lineRule="auto"/>
        <w:jc w:val="both"/>
        <w:rPr>
          <w:rtl/>
        </w:rPr>
      </w:pPr>
    </w:p>
    <w:p w14:paraId="3FBFE45D" w14:textId="77777777" w:rsidR="00C01C2B" w:rsidRDefault="00C01C2B" w:rsidP="00C01C2B">
      <w:pPr>
        <w:spacing w:line="360" w:lineRule="auto"/>
        <w:jc w:val="both"/>
        <w:rPr>
          <w:rtl/>
        </w:rPr>
      </w:pPr>
      <w:r>
        <w:rPr>
          <w:rFonts w:hint="cs"/>
          <w:rtl/>
        </w:rPr>
        <w:t xml:space="preserve">העבירות שעבר הנאשם </w:t>
      </w:r>
      <w:r>
        <w:rPr>
          <w:rtl/>
        </w:rPr>
        <w:t>–</w:t>
      </w:r>
      <w:r>
        <w:rPr>
          <w:rFonts w:hint="cs"/>
          <w:rtl/>
        </w:rPr>
        <w:t xml:space="preserve"> חמורות.</w:t>
      </w:r>
    </w:p>
    <w:p w14:paraId="3FA8A9FD" w14:textId="77777777" w:rsidR="00C01C2B" w:rsidRDefault="00C01C2B" w:rsidP="00C01C2B">
      <w:pPr>
        <w:spacing w:line="360" w:lineRule="auto"/>
        <w:jc w:val="both"/>
        <w:rPr>
          <w:rtl/>
        </w:rPr>
      </w:pPr>
    </w:p>
    <w:p w14:paraId="448E1F75" w14:textId="77777777" w:rsidR="00C01C2B" w:rsidRDefault="00C01C2B" w:rsidP="00C01C2B">
      <w:pPr>
        <w:spacing w:line="360" w:lineRule="auto"/>
        <w:jc w:val="both"/>
        <w:rPr>
          <w:rtl/>
        </w:rPr>
      </w:pPr>
      <w:r>
        <w:rPr>
          <w:rFonts w:hint="cs"/>
          <w:rtl/>
        </w:rPr>
        <w:t>בתיק העיקרי, נתפס הנאשם מחזיק, בחצר ביתו, סם מסוכן מסוג קנביס במשקל 2.3 ק"ג.</w:t>
      </w:r>
    </w:p>
    <w:p w14:paraId="1B59AF76" w14:textId="77777777" w:rsidR="00C01C2B" w:rsidRDefault="00C01C2B" w:rsidP="00C01C2B">
      <w:pPr>
        <w:spacing w:line="360" w:lineRule="auto"/>
        <w:jc w:val="both"/>
        <w:rPr>
          <w:rtl/>
        </w:rPr>
      </w:pPr>
    </w:p>
    <w:p w14:paraId="5AAD012E" w14:textId="77777777" w:rsidR="00C01C2B" w:rsidRDefault="00C01C2B" w:rsidP="00C01C2B">
      <w:pPr>
        <w:spacing w:line="360" w:lineRule="auto"/>
        <w:jc w:val="both"/>
        <w:rPr>
          <w:rtl/>
        </w:rPr>
      </w:pPr>
      <w:r>
        <w:rPr>
          <w:rFonts w:hint="cs"/>
          <w:rtl/>
        </w:rPr>
        <w:t xml:space="preserve">במסגרת תיק הצירוף, החזיק הנאשם, ברכבו, סם מסוכן מסוג קנביס במשקל 1.988 ק"ג, העבירם לרכבו של אחר, ולאחר שעוכב לתחנת המשטרה, הפריע לשוטר לערוך חיפוש ברכב, לאחר שקילל אותו, נצמד אליו, נשען עליו, ולבסוף </w:t>
      </w:r>
      <w:r>
        <w:rPr>
          <w:rtl/>
        </w:rPr>
        <w:t>–</w:t>
      </w:r>
      <w:r>
        <w:rPr>
          <w:rFonts w:hint="cs"/>
          <w:rtl/>
        </w:rPr>
        <w:t xml:space="preserve"> אף נגח בו בראשו.</w:t>
      </w:r>
    </w:p>
    <w:p w14:paraId="3A132E35" w14:textId="77777777" w:rsidR="00C01C2B" w:rsidRDefault="00C01C2B" w:rsidP="00C01C2B">
      <w:pPr>
        <w:spacing w:line="360" w:lineRule="auto"/>
        <w:jc w:val="both"/>
        <w:rPr>
          <w:rtl/>
        </w:rPr>
      </w:pPr>
    </w:p>
    <w:p w14:paraId="0CE081B2" w14:textId="77777777" w:rsidR="00C01C2B" w:rsidRDefault="00C01C2B" w:rsidP="00C01C2B">
      <w:pPr>
        <w:spacing w:line="360" w:lineRule="auto"/>
        <w:jc w:val="both"/>
        <w:rPr>
          <w:rtl/>
        </w:rPr>
      </w:pPr>
      <w:r>
        <w:rPr>
          <w:rFonts w:hint="cs"/>
          <w:rtl/>
        </w:rPr>
        <w:t>מן הקל אל הכבד: עבירה שענינה הפרעה לשוטר, פוגעת בערכים המוגנים של שמירה על הסדר הציבורי; וכיבוד רשויות אכיפת החוק. במקרה דנן המדובר בהפרעה ברף גבוה, הנושקת לעבירה של תקיפת שוטר בעת מילוי תפקידו.</w:t>
      </w:r>
    </w:p>
    <w:p w14:paraId="1BDC465C" w14:textId="77777777" w:rsidR="00C01C2B" w:rsidRDefault="00C01C2B" w:rsidP="00C01C2B">
      <w:pPr>
        <w:spacing w:line="360" w:lineRule="auto"/>
        <w:jc w:val="both"/>
        <w:rPr>
          <w:rtl/>
        </w:rPr>
      </w:pPr>
    </w:p>
    <w:p w14:paraId="6C83EFD7" w14:textId="77777777" w:rsidR="00C01C2B" w:rsidRPr="00E94503" w:rsidRDefault="00C01C2B" w:rsidP="00C01C2B">
      <w:pPr>
        <w:spacing w:line="360" w:lineRule="auto"/>
        <w:jc w:val="both"/>
        <w:rPr>
          <w:rFonts w:ascii="Arial" w:hAnsi="Arial"/>
        </w:rPr>
      </w:pPr>
      <w:r>
        <w:rPr>
          <w:rFonts w:ascii="Arial" w:hAnsi="Arial" w:hint="cs"/>
          <w:rtl/>
        </w:rPr>
        <w:t xml:space="preserve">אשר לעבירות הסמים - </w:t>
      </w:r>
      <w:r w:rsidRPr="00E94503">
        <w:rPr>
          <w:rFonts w:ascii="Arial" w:hAnsi="Arial"/>
          <w:rtl/>
        </w:rPr>
        <w:t xml:space="preserve">נושאות </w:t>
      </w:r>
      <w:r>
        <w:rPr>
          <w:rFonts w:ascii="Arial" w:hAnsi="Arial" w:hint="cs"/>
          <w:rtl/>
        </w:rPr>
        <w:t xml:space="preserve">הן </w:t>
      </w:r>
      <w:r w:rsidRPr="00E94503">
        <w:rPr>
          <w:rFonts w:ascii="Arial" w:hAnsi="Arial"/>
          <w:rtl/>
        </w:rPr>
        <w:t>בחובן פוטנציאל לפגיעה משמעותית בחברה.</w:t>
      </w:r>
    </w:p>
    <w:p w14:paraId="1C9502B2" w14:textId="77777777" w:rsidR="00C01C2B" w:rsidRPr="00E94503" w:rsidRDefault="00C01C2B" w:rsidP="00C01C2B">
      <w:pPr>
        <w:spacing w:line="360" w:lineRule="auto"/>
        <w:jc w:val="both"/>
        <w:rPr>
          <w:rFonts w:ascii="Arial" w:hAnsi="Arial"/>
        </w:rPr>
      </w:pPr>
    </w:p>
    <w:p w14:paraId="1B95163F" w14:textId="77777777" w:rsidR="00C01C2B" w:rsidRPr="00E94503" w:rsidRDefault="00C01C2B" w:rsidP="00C01C2B">
      <w:pPr>
        <w:spacing w:line="360" w:lineRule="auto"/>
        <w:jc w:val="both"/>
        <w:rPr>
          <w:rFonts w:ascii="Arial" w:hAnsi="Arial"/>
          <w:rtl/>
        </w:rPr>
      </w:pPr>
      <w:r w:rsidRPr="00E94503">
        <w:rPr>
          <w:rFonts w:ascii="Arial" w:hAnsi="Arial"/>
          <w:rtl/>
        </w:rPr>
        <w:t>מדובר בנגע המתפשט במהירות ומשחית חייהם של אנשים, בין אם זה ציבור המשתמשים בסמים ובין אם ציבור הנפגעים מעבירות המבוצעות ע"י אלו המשתמשים בסמים.</w:t>
      </w:r>
    </w:p>
    <w:p w14:paraId="41832F7A" w14:textId="77777777" w:rsidR="00C01C2B" w:rsidRPr="00E94503" w:rsidRDefault="00C01C2B" w:rsidP="00C01C2B">
      <w:pPr>
        <w:spacing w:line="360" w:lineRule="auto"/>
        <w:jc w:val="both"/>
        <w:rPr>
          <w:rFonts w:ascii="Arial" w:hAnsi="Arial"/>
          <w:rtl/>
        </w:rPr>
      </w:pPr>
    </w:p>
    <w:p w14:paraId="60C124D3" w14:textId="77777777" w:rsidR="00C01C2B" w:rsidRPr="00E94503" w:rsidRDefault="00C01C2B" w:rsidP="00C01C2B">
      <w:pPr>
        <w:spacing w:line="360" w:lineRule="auto"/>
        <w:jc w:val="both"/>
        <w:rPr>
          <w:rFonts w:ascii="Arial" w:hAnsi="Arial"/>
        </w:rPr>
      </w:pPr>
      <w:r w:rsidRPr="00E94503">
        <w:rPr>
          <w:rFonts w:ascii="Arial" w:hAnsi="Arial"/>
          <w:rtl/>
        </w:rPr>
        <w:t>המשתמשים בסמים הופכים – מאזרחים עמלניים, המנהלים חיים מסודרים, למי שעומדים בשולי החברה, אינם תורמים לאחרים ולא זו אלא, שהטיפול בהם ופרנסתם מוטלים על אחרים.</w:t>
      </w:r>
    </w:p>
    <w:p w14:paraId="6CAE93C2" w14:textId="77777777" w:rsidR="00C01C2B" w:rsidRPr="00E94503" w:rsidRDefault="00C01C2B" w:rsidP="00C01C2B">
      <w:pPr>
        <w:spacing w:line="360" w:lineRule="auto"/>
        <w:jc w:val="both"/>
        <w:rPr>
          <w:rFonts w:ascii="Arial" w:hAnsi="Arial"/>
        </w:rPr>
      </w:pPr>
    </w:p>
    <w:p w14:paraId="006762E8" w14:textId="77777777" w:rsidR="00C01C2B" w:rsidRPr="00E94503" w:rsidRDefault="00C01C2B" w:rsidP="00C01C2B">
      <w:pPr>
        <w:spacing w:line="360" w:lineRule="auto"/>
        <w:jc w:val="both"/>
        <w:rPr>
          <w:rFonts w:ascii="Arial" w:hAnsi="Arial"/>
          <w:rtl/>
        </w:rPr>
      </w:pPr>
      <w:r w:rsidRPr="00E94503">
        <w:rPr>
          <w:rFonts w:ascii="Arial" w:hAnsi="Arial"/>
          <w:rtl/>
        </w:rPr>
        <w:t>בנוסף, כתוצאה מעבירות אלה, מועברים מיד ליד כספים בלתי מדווחים בהיקף עצום, חלקם מוצאים דרכם למימון פעילות עבריינית בתחומים שונים.</w:t>
      </w:r>
    </w:p>
    <w:p w14:paraId="194A0147" w14:textId="77777777" w:rsidR="00C01C2B" w:rsidRPr="00E94503" w:rsidRDefault="00C01C2B" w:rsidP="00C01C2B">
      <w:pPr>
        <w:spacing w:line="360" w:lineRule="auto"/>
        <w:jc w:val="both"/>
        <w:rPr>
          <w:rFonts w:ascii="Arial" w:hAnsi="Arial"/>
          <w:rtl/>
        </w:rPr>
      </w:pPr>
    </w:p>
    <w:p w14:paraId="471FAD9A" w14:textId="77777777" w:rsidR="00C01C2B" w:rsidRPr="00E94503" w:rsidRDefault="00C01C2B" w:rsidP="00C01C2B">
      <w:pPr>
        <w:spacing w:line="360" w:lineRule="auto"/>
        <w:jc w:val="both"/>
        <w:rPr>
          <w:rFonts w:ascii="Arial" w:hAnsi="Arial"/>
        </w:rPr>
      </w:pPr>
      <w:r w:rsidRPr="00E94503">
        <w:rPr>
          <w:rFonts w:ascii="Arial" w:hAnsi="Arial"/>
          <w:rtl/>
        </w:rPr>
        <w:t>כל זאת, בשל עבריינים המחזיקים או מפיצים את הסמים.</w:t>
      </w:r>
    </w:p>
    <w:p w14:paraId="2553C69E" w14:textId="77777777" w:rsidR="00C01C2B" w:rsidRPr="00E94503" w:rsidRDefault="00C01C2B" w:rsidP="00C01C2B">
      <w:pPr>
        <w:spacing w:line="360" w:lineRule="auto"/>
        <w:jc w:val="both"/>
        <w:rPr>
          <w:rFonts w:ascii="Arial" w:hAnsi="Arial"/>
          <w:rtl/>
        </w:rPr>
      </w:pPr>
    </w:p>
    <w:p w14:paraId="19F76701" w14:textId="77777777" w:rsidR="00C01C2B" w:rsidRPr="00E94503" w:rsidRDefault="00C01C2B" w:rsidP="00C01C2B">
      <w:pPr>
        <w:spacing w:line="360" w:lineRule="auto"/>
        <w:jc w:val="both"/>
        <w:rPr>
          <w:rFonts w:ascii="Arial" w:hAnsi="Arial"/>
          <w:rtl/>
        </w:rPr>
      </w:pPr>
      <w:r w:rsidRPr="00E94503">
        <w:rPr>
          <w:rFonts w:ascii="Arial" w:hAnsi="Arial"/>
          <w:rtl/>
        </w:rPr>
        <w:t>על הצורך להילחם מלחמת חורמה בתופעה הזו, וחומרת הענישה שיש לנקוט כלפי המעורבים במערך הפצת הסמים, דובר רבות בפסיקה.</w:t>
      </w:r>
    </w:p>
    <w:p w14:paraId="43374F67" w14:textId="77777777" w:rsidR="00C01C2B" w:rsidRPr="00E94503" w:rsidRDefault="00C01C2B" w:rsidP="00C01C2B">
      <w:pPr>
        <w:spacing w:line="360" w:lineRule="auto"/>
        <w:jc w:val="both"/>
        <w:rPr>
          <w:rFonts w:ascii="Arial" w:hAnsi="Arial"/>
          <w:rtl/>
        </w:rPr>
      </w:pPr>
    </w:p>
    <w:p w14:paraId="3BEE0B8B" w14:textId="77777777" w:rsidR="00C01C2B" w:rsidRPr="00E94503" w:rsidRDefault="00C01C2B" w:rsidP="00C01C2B">
      <w:pPr>
        <w:spacing w:line="360" w:lineRule="auto"/>
        <w:jc w:val="both"/>
        <w:rPr>
          <w:rFonts w:ascii="Arial" w:hAnsi="Arial"/>
          <w:rtl/>
        </w:rPr>
      </w:pPr>
      <w:r>
        <w:rPr>
          <w:rFonts w:ascii="Arial" w:hAnsi="Arial" w:hint="cs"/>
          <w:rtl/>
        </w:rPr>
        <w:t>עבירה של החזקת סמים שלא לצריכה עצמית אינה שונה, לענין זה, מיתר עבירות הפשע על בניגוד ל</w:t>
      </w:r>
      <w:hyperlink r:id="rId24" w:history="1">
        <w:r w:rsidR="001350E5" w:rsidRPr="001350E5">
          <w:rPr>
            <w:rFonts w:ascii="Arial" w:hAnsi="Arial"/>
            <w:color w:val="0000FF"/>
            <w:u w:val="single"/>
            <w:rtl/>
          </w:rPr>
          <w:t>פקודת הסמים המסוכנים</w:t>
        </w:r>
      </w:hyperlink>
      <w:r>
        <w:rPr>
          <w:rFonts w:ascii="Arial" w:hAnsi="Arial" w:hint="cs"/>
          <w:rtl/>
        </w:rPr>
        <w:t xml:space="preserve"> וראו, לענין זה, </w:t>
      </w:r>
      <w:r w:rsidRPr="00E94503">
        <w:rPr>
          <w:rFonts w:ascii="Arial" w:hAnsi="Arial"/>
          <w:rtl/>
        </w:rPr>
        <w:t xml:space="preserve">דברי בית המשפט העליון במסגרת </w:t>
      </w:r>
      <w:hyperlink r:id="rId25" w:history="1">
        <w:r w:rsidR="001350E5" w:rsidRPr="001350E5">
          <w:rPr>
            <w:rFonts w:ascii="Arial" w:hAnsi="Arial"/>
            <w:color w:val="0000FF"/>
            <w:u w:val="single"/>
            <w:rtl/>
          </w:rPr>
          <w:t>ע"פ 1345/08</w:t>
        </w:r>
      </w:hyperlink>
      <w:r w:rsidRPr="00E94503">
        <w:rPr>
          <w:rFonts w:ascii="Arial" w:hAnsi="Arial"/>
          <w:rtl/>
        </w:rPr>
        <w:t xml:space="preserve"> </w:t>
      </w:r>
      <w:r w:rsidRPr="00E94503">
        <w:rPr>
          <w:rFonts w:ascii="Arial" w:hAnsi="Arial" w:hint="cs"/>
          <w:b/>
          <w:bCs/>
          <w:rtl/>
        </w:rPr>
        <w:t>איסטחרוב נ' מדינת ישראל</w:t>
      </w:r>
      <w:r w:rsidRPr="00E94503">
        <w:rPr>
          <w:rFonts w:ascii="Arial" w:hAnsi="Arial" w:hint="cs"/>
          <w:rtl/>
        </w:rPr>
        <w:t xml:space="preserve"> (פורסם במאגרים):</w:t>
      </w:r>
    </w:p>
    <w:p w14:paraId="363DA744" w14:textId="77777777" w:rsidR="00C01C2B" w:rsidRPr="00E94503" w:rsidRDefault="00C01C2B" w:rsidP="00C01C2B">
      <w:pPr>
        <w:spacing w:line="360" w:lineRule="auto"/>
        <w:jc w:val="both"/>
        <w:rPr>
          <w:rFonts w:ascii="Arial" w:hAnsi="Arial"/>
        </w:rPr>
      </w:pPr>
    </w:p>
    <w:p w14:paraId="7646B863" w14:textId="77777777" w:rsidR="00C01C2B" w:rsidRPr="00E94503" w:rsidRDefault="00C01C2B" w:rsidP="00C01C2B">
      <w:pPr>
        <w:spacing w:line="360" w:lineRule="auto"/>
        <w:jc w:val="both"/>
        <w:rPr>
          <w:rFonts w:ascii="Aharoni" w:hAnsi="Aharoni" w:cs="Aharoni"/>
        </w:rPr>
      </w:pPr>
      <w:r w:rsidRPr="00E94503">
        <w:rPr>
          <w:rFonts w:ascii="Aharoni" w:hAnsi="Aharoni" w:cs="Aharoni"/>
          <w:rtl/>
        </w:rPr>
        <w:t xml:space="preserve">אין מנוס מהכבדת היד על המחזיקים סמים שלא לצריכה עצמית, שכל בר דעת מבין כי </w:t>
      </w:r>
      <w:r w:rsidRPr="00E94503">
        <w:rPr>
          <w:rFonts w:ascii="Aharoni" w:hAnsi="Aharoni" w:cs="Aharoni"/>
          <w:u w:val="single"/>
          <w:rtl/>
        </w:rPr>
        <w:t>נועדו לצריכת הזולת</w:t>
      </w:r>
      <w:r w:rsidRPr="00E94503">
        <w:rPr>
          <w:rFonts w:ascii="Aharoni" w:hAnsi="Aharoni" w:cs="Aharoni"/>
          <w:rtl/>
        </w:rPr>
        <w:t xml:space="preserve">, קרי, להוספת שמן על מדורת הסמים אשר להבותיה אופפות רבים וטובים, או רבים שהיו טובים. עבירה זו היא </w:t>
      </w:r>
      <w:r w:rsidRPr="00E94503">
        <w:rPr>
          <w:rFonts w:ascii="Aharoni" w:hAnsi="Aharoni" w:cs="Aharoni"/>
          <w:u w:val="single"/>
          <w:rtl/>
        </w:rPr>
        <w:t>תאומתה הסטטוטורית של עבירת הסחר בסמים</w:t>
      </w:r>
      <w:r w:rsidRPr="00E94503">
        <w:rPr>
          <w:rFonts w:ascii="Aharoni" w:hAnsi="Aharoni" w:cs="Aharoni"/>
          <w:rtl/>
        </w:rPr>
        <w:t xml:space="preserve">, אלא שלא ניתן להוכיח לגביה את הסחר עצמו, ונקבע לשתיהן עונשה זהה, </w:t>
      </w:r>
      <w:r w:rsidRPr="00E94503">
        <w:rPr>
          <w:rFonts w:ascii="Aharoni" w:hAnsi="Aharoni" w:cs="Aharoni"/>
          <w:u w:val="single"/>
          <w:rtl/>
        </w:rPr>
        <w:t>עונש מירבי של עשרים שנות מאסר</w:t>
      </w:r>
      <w:r w:rsidRPr="00E94503">
        <w:rPr>
          <w:rFonts w:ascii="Aharoni" w:hAnsi="Aharoni" w:cs="Aharoni"/>
          <w:rtl/>
        </w:rPr>
        <w:t xml:space="preserve"> וקנס פי עשרים וחמישה מזה הקבוע בסעיף 61(א)(4) ל</w:t>
      </w:r>
      <w:hyperlink r:id="rId26" w:history="1">
        <w:r w:rsidR="001350E5" w:rsidRPr="001350E5">
          <w:rPr>
            <w:rFonts w:ascii="Aharoni" w:hAnsi="Aharoni" w:cs="Aharoni"/>
            <w:color w:val="0000FF"/>
            <w:u w:val="single"/>
            <w:rtl/>
          </w:rPr>
          <w:t>חוק העונשין</w:t>
        </w:r>
      </w:hyperlink>
      <w:r w:rsidRPr="00E94503">
        <w:rPr>
          <w:rFonts w:ascii="Aharoni" w:hAnsi="Aharoni" w:cs="Aharoni"/>
          <w:rtl/>
        </w:rPr>
        <w:t xml:space="preserve">, העומד כיום על 202,000 ₪... </w:t>
      </w:r>
      <w:r w:rsidRPr="00E94503">
        <w:rPr>
          <w:rFonts w:ascii="David" w:hAnsi="David"/>
          <w:rtl/>
        </w:rPr>
        <w:t>(ההדגשות אינן במקור).</w:t>
      </w:r>
    </w:p>
    <w:p w14:paraId="121CA242" w14:textId="77777777" w:rsidR="00C01C2B" w:rsidRPr="00E94503" w:rsidRDefault="00C01C2B" w:rsidP="00C01C2B">
      <w:pPr>
        <w:spacing w:line="360" w:lineRule="auto"/>
        <w:jc w:val="both"/>
        <w:rPr>
          <w:rFonts w:ascii="Arial" w:hAnsi="Arial"/>
          <w:rtl/>
        </w:rPr>
      </w:pPr>
    </w:p>
    <w:p w14:paraId="6F896DDA" w14:textId="77777777" w:rsidR="00C01C2B" w:rsidRPr="00E94503" w:rsidRDefault="00C01C2B" w:rsidP="00C01C2B">
      <w:pPr>
        <w:spacing w:line="360" w:lineRule="auto"/>
        <w:jc w:val="both"/>
        <w:rPr>
          <w:rFonts w:ascii="Arial" w:hAnsi="Arial"/>
        </w:rPr>
      </w:pPr>
      <w:r>
        <w:rPr>
          <w:rFonts w:ascii="Arial" w:hAnsi="Arial"/>
          <w:rtl/>
        </w:rPr>
        <w:t>עוד ראו</w:t>
      </w:r>
      <w:r w:rsidRPr="00E94503">
        <w:rPr>
          <w:rFonts w:ascii="Arial" w:hAnsi="Arial"/>
          <w:rtl/>
        </w:rPr>
        <w:t xml:space="preserve"> </w:t>
      </w:r>
      <w:hyperlink r:id="rId27" w:history="1">
        <w:r w:rsidR="001350E5" w:rsidRPr="001350E5">
          <w:rPr>
            <w:rFonts w:ascii="Arial" w:hAnsi="Arial"/>
            <w:color w:val="0000FF"/>
            <w:u w:val="single"/>
            <w:rtl/>
          </w:rPr>
          <w:t>ע"פ 211/09</w:t>
        </w:r>
      </w:hyperlink>
      <w:r w:rsidRPr="00E94503">
        <w:rPr>
          <w:rFonts w:ascii="Arial" w:hAnsi="Arial"/>
          <w:rtl/>
        </w:rPr>
        <w:t xml:space="preserve"> </w:t>
      </w:r>
      <w:r w:rsidRPr="00E94503">
        <w:rPr>
          <w:rFonts w:ascii="Arial" w:hAnsi="Arial"/>
          <w:b/>
          <w:bCs/>
          <w:rtl/>
        </w:rPr>
        <w:t>אזולאי נ' מדינת ישראל</w:t>
      </w:r>
      <w:r w:rsidRPr="00E94503">
        <w:rPr>
          <w:rFonts w:ascii="Arial" w:hAnsi="Arial"/>
          <w:rtl/>
        </w:rPr>
        <w:t xml:space="preserve"> (פורסם במאגרים):</w:t>
      </w:r>
    </w:p>
    <w:p w14:paraId="06484706" w14:textId="77777777" w:rsidR="00C01C2B" w:rsidRPr="00E94503" w:rsidRDefault="00C01C2B" w:rsidP="00C01C2B">
      <w:pPr>
        <w:spacing w:line="360" w:lineRule="auto"/>
        <w:jc w:val="both"/>
        <w:rPr>
          <w:rFonts w:ascii="Arial" w:hAnsi="Arial"/>
        </w:rPr>
      </w:pPr>
    </w:p>
    <w:p w14:paraId="1DD96A5A" w14:textId="77777777" w:rsidR="00C01C2B" w:rsidRPr="00E94503" w:rsidRDefault="00C01C2B" w:rsidP="00C01C2B">
      <w:pPr>
        <w:spacing w:line="360" w:lineRule="auto"/>
        <w:jc w:val="both"/>
        <w:rPr>
          <w:rFonts w:ascii="Arial" w:hAnsi="Arial"/>
          <w:rtl/>
        </w:rPr>
      </w:pPr>
      <w:r w:rsidRPr="00E94503">
        <w:rPr>
          <w:rFonts w:ascii="Arial" w:hAnsi="Arial" w:cs="Aharoni"/>
          <w:rtl/>
        </w:rPr>
        <w:t xml:space="preserve">הענישה בעבירות מסוג זה נועדה, קודם לכל, </w:t>
      </w:r>
      <w:r w:rsidRPr="00E94503">
        <w:rPr>
          <w:rFonts w:ascii="Arial" w:hAnsi="Arial" w:cs="Aharoni"/>
          <w:u w:val="single"/>
          <w:rtl/>
        </w:rPr>
        <w:t>לשרת את מטרת הגמול לעבריין</w:t>
      </w:r>
      <w:r w:rsidRPr="00E94503">
        <w:rPr>
          <w:rFonts w:ascii="Arial" w:hAnsi="Arial" w:cs="Aharoni"/>
          <w:rtl/>
        </w:rPr>
        <w:t xml:space="preserve"> על עיסוק בסם העלול </w:t>
      </w:r>
      <w:r w:rsidRPr="00E94503">
        <w:rPr>
          <w:rFonts w:ascii="Arial" w:hAnsi="Arial" w:cs="Aharoni"/>
          <w:u w:val="single"/>
          <w:rtl/>
        </w:rPr>
        <w:t>לסכן חיי אדם ולפגוע בבריאות המשתמשים</w:t>
      </w:r>
      <w:r w:rsidRPr="00E94503">
        <w:rPr>
          <w:rFonts w:ascii="Arial" w:hAnsi="Arial" w:cs="Aharoni"/>
          <w:rtl/>
        </w:rPr>
        <w:t xml:space="preserve"> בו; שנית, על העונש </w:t>
      </w:r>
      <w:r w:rsidRPr="00E94503">
        <w:rPr>
          <w:rFonts w:ascii="Arial" w:hAnsi="Arial" w:cs="Aharoni"/>
          <w:u w:val="single"/>
          <w:rtl/>
        </w:rPr>
        <w:t>להעביר מסר חד-משמעי של הרתעה</w:t>
      </w:r>
      <w:r w:rsidRPr="00E94503">
        <w:rPr>
          <w:rFonts w:ascii="Arial" w:hAnsi="Arial" w:cs="Aharoni"/>
          <w:rtl/>
        </w:rPr>
        <w:t xml:space="preserve"> ביחס לעבריינים פוטנציאליים, ולשמש </w:t>
      </w:r>
      <w:r w:rsidRPr="00E94503">
        <w:rPr>
          <w:rFonts w:ascii="Arial" w:hAnsi="Arial" w:cs="Aharoni"/>
          <w:u w:val="single"/>
          <w:rtl/>
        </w:rPr>
        <w:t>אות אזהרה אפקטיבי</w:t>
      </w:r>
      <w:r w:rsidRPr="00E94503">
        <w:rPr>
          <w:rFonts w:ascii="Arial" w:hAnsi="Arial" w:cs="Aharoni"/>
          <w:rtl/>
        </w:rPr>
        <w:t xml:space="preserve"> לכל מי שמתכוון </w:t>
      </w:r>
      <w:r w:rsidRPr="00E94503">
        <w:rPr>
          <w:rFonts w:ascii="Arial" w:hAnsi="Arial" w:cs="Aharoni"/>
          <w:u w:val="single"/>
          <w:rtl/>
        </w:rPr>
        <w:t>לקחת חלק במערכת ההעברות והסחר בסמים</w:t>
      </w:r>
      <w:r w:rsidRPr="00E94503">
        <w:rPr>
          <w:rFonts w:ascii="Arial" w:hAnsi="Arial" w:cs="Aharoni"/>
          <w:rtl/>
        </w:rPr>
        <w:t>, תהא אשר תהא הפונקציה אותה הוא ממלא בשרשרת זו של העברת הסם מיד ליד.</w:t>
      </w:r>
    </w:p>
    <w:p w14:paraId="38D1C8E0" w14:textId="77777777" w:rsidR="00C01C2B" w:rsidRPr="00E94503" w:rsidRDefault="00C01C2B" w:rsidP="00C01C2B">
      <w:pPr>
        <w:spacing w:line="360" w:lineRule="auto"/>
        <w:jc w:val="both"/>
        <w:rPr>
          <w:rFonts w:ascii="Arial" w:hAnsi="Arial"/>
        </w:rPr>
      </w:pPr>
    </w:p>
    <w:p w14:paraId="63140C78" w14:textId="77777777" w:rsidR="00C01C2B" w:rsidRPr="00E94503" w:rsidRDefault="00C01C2B" w:rsidP="00C01C2B">
      <w:pPr>
        <w:spacing w:line="360" w:lineRule="auto"/>
        <w:jc w:val="both"/>
        <w:rPr>
          <w:rtl/>
        </w:rPr>
      </w:pPr>
    </w:p>
    <w:p w14:paraId="132F424B" w14:textId="77777777" w:rsidR="00C01C2B" w:rsidRPr="00E94503" w:rsidRDefault="00C01C2B" w:rsidP="00C01C2B">
      <w:pPr>
        <w:spacing w:line="360" w:lineRule="auto"/>
        <w:jc w:val="both"/>
        <w:rPr>
          <w:rFonts w:ascii="Arial" w:hAnsi="Arial"/>
          <w:u w:val="single"/>
          <w:rtl/>
        </w:rPr>
      </w:pPr>
      <w:r w:rsidRPr="00E94503">
        <w:rPr>
          <w:rFonts w:ascii="Arial" w:hAnsi="Arial"/>
          <w:u w:val="single"/>
          <w:rtl/>
        </w:rPr>
        <w:t>להלן, תובא סקירה קצרה של הענישה במקרים דומים:</w:t>
      </w:r>
    </w:p>
    <w:p w14:paraId="170F03E7" w14:textId="77777777" w:rsidR="00C01C2B" w:rsidRPr="00E94503" w:rsidRDefault="00C01C2B" w:rsidP="00C01C2B">
      <w:pPr>
        <w:spacing w:line="360" w:lineRule="auto"/>
        <w:jc w:val="both"/>
        <w:rPr>
          <w:rFonts w:ascii="Arial" w:hAnsi="Arial"/>
          <w:rtl/>
        </w:rPr>
      </w:pPr>
    </w:p>
    <w:p w14:paraId="3615616D" w14:textId="77777777" w:rsidR="00C01C2B" w:rsidRPr="00E94503" w:rsidRDefault="001350E5" w:rsidP="00C01C2B">
      <w:pPr>
        <w:numPr>
          <w:ilvl w:val="0"/>
          <w:numId w:val="3"/>
        </w:numPr>
        <w:spacing w:line="360" w:lineRule="auto"/>
        <w:contextualSpacing/>
        <w:jc w:val="both"/>
        <w:rPr>
          <w:rFonts w:ascii="Arial" w:hAnsi="Arial"/>
        </w:rPr>
      </w:pPr>
      <w:hyperlink r:id="rId28" w:history="1">
        <w:r w:rsidRPr="001350E5">
          <w:rPr>
            <w:rFonts w:ascii="Arial" w:hAnsi="Arial"/>
            <w:color w:val="0000FF"/>
            <w:u w:val="single"/>
            <w:rtl/>
          </w:rPr>
          <w:t>ת"פ 37744-04-21</w:t>
        </w:r>
      </w:hyperlink>
      <w:r w:rsidR="00C01C2B" w:rsidRPr="00E94503">
        <w:rPr>
          <w:rFonts w:ascii="Arial" w:hAnsi="Arial"/>
          <w:rtl/>
        </w:rPr>
        <w:t xml:space="preserve"> </w:t>
      </w:r>
      <w:r w:rsidR="00C01C2B" w:rsidRPr="00E94503">
        <w:rPr>
          <w:rFonts w:ascii="Arial" w:hAnsi="Arial"/>
          <w:b/>
          <w:bCs/>
          <w:rtl/>
        </w:rPr>
        <w:t>מדינת ישראל נ' אסנוב</w:t>
      </w:r>
      <w:r w:rsidR="00C01C2B" w:rsidRPr="00E94503">
        <w:rPr>
          <w:rFonts w:ascii="Arial" w:hAnsi="Arial"/>
          <w:rtl/>
        </w:rPr>
        <w:t xml:space="preserve"> – הנאשם הורשע, לאחר הודאתו במסגרת הסדר טיעון, בעבירה של החזקת סם שלא לצריכה עצמית. בהתאם לעובדות כתב האישום המתוקן, החזיק הנאשם בתא המטען ברכבו, שקית ובה סם מסוכן מסוג קנביס במשקל 800 גרם וכן 3 פלטות חשיש במשקל 300 גרם. מותב זה קבע מתחם ענישה הנע בין 12 ועד 24 חודשי מאסר בפועל.</w:t>
      </w:r>
    </w:p>
    <w:p w14:paraId="6D476863" w14:textId="77777777" w:rsidR="00C01C2B" w:rsidRPr="00E94503" w:rsidRDefault="001350E5" w:rsidP="00C01C2B">
      <w:pPr>
        <w:numPr>
          <w:ilvl w:val="0"/>
          <w:numId w:val="3"/>
        </w:numPr>
        <w:spacing w:line="360" w:lineRule="auto"/>
        <w:contextualSpacing/>
        <w:jc w:val="both"/>
        <w:rPr>
          <w:rFonts w:ascii="Arial" w:hAnsi="Arial"/>
          <w:rtl/>
        </w:rPr>
      </w:pPr>
      <w:hyperlink r:id="rId29" w:history="1">
        <w:r w:rsidRPr="001350E5">
          <w:rPr>
            <w:rFonts w:ascii="Arial" w:hAnsi="Arial"/>
            <w:color w:val="0000FF"/>
            <w:u w:val="single"/>
            <w:rtl/>
          </w:rPr>
          <w:t>ת"פ 10596-12-20</w:t>
        </w:r>
      </w:hyperlink>
      <w:r w:rsidR="00C01C2B" w:rsidRPr="00E94503">
        <w:rPr>
          <w:rFonts w:ascii="Arial" w:hAnsi="Arial"/>
          <w:rtl/>
        </w:rPr>
        <w:t xml:space="preserve"> </w:t>
      </w:r>
      <w:r w:rsidR="00C01C2B" w:rsidRPr="00E94503">
        <w:rPr>
          <w:rFonts w:ascii="Arial" w:hAnsi="Arial"/>
          <w:b/>
          <w:bCs/>
          <w:rtl/>
        </w:rPr>
        <w:t>מדינת ישראל נ' אבו סבית</w:t>
      </w:r>
      <w:r w:rsidR="00C01C2B" w:rsidRPr="00E94503">
        <w:rPr>
          <w:rFonts w:ascii="Arial" w:hAnsi="Arial"/>
          <w:rtl/>
        </w:rPr>
        <w:t xml:space="preserve"> – הנאשם הורשע, לאחר הודאתו במסגרת הסדר טיעון, בעבירה של החזקת סם שלא לצריכה עצמית. בהתאם לעובדות כתב האישום המתוקן, החזיק הנאשם ברכבו, בין רגליו, שקית, ובה סם מסוכן מסוג קנביס במשקל 700 גרם. בית המשפט אימץ את עתירת התביעה למתחם ענישה הנע בין 7 ועד 14 חודשי מאסר, תוך שציין, כי </w:t>
      </w:r>
      <w:r w:rsidR="00C01C2B" w:rsidRPr="00E94503">
        <w:rPr>
          <w:rFonts w:ascii="Arial" w:hAnsi="Arial"/>
          <w:u w:val="single"/>
          <w:rtl/>
        </w:rPr>
        <w:t>היה מקום לקבוע מתחם ענישה גבוה יותר</w:t>
      </w:r>
      <w:r w:rsidR="00C01C2B" w:rsidRPr="00E94503">
        <w:rPr>
          <w:rFonts w:ascii="Arial" w:hAnsi="Arial"/>
          <w:rtl/>
        </w:rPr>
        <w:t>, אולם, לא יחרוג מעתירת התביעה.</w:t>
      </w:r>
    </w:p>
    <w:p w14:paraId="677C9D57" w14:textId="77777777" w:rsidR="00C01C2B" w:rsidRPr="00E94503" w:rsidRDefault="001350E5" w:rsidP="00C01C2B">
      <w:pPr>
        <w:numPr>
          <w:ilvl w:val="0"/>
          <w:numId w:val="3"/>
        </w:numPr>
        <w:spacing w:line="360" w:lineRule="auto"/>
        <w:contextualSpacing/>
        <w:jc w:val="both"/>
        <w:rPr>
          <w:rFonts w:ascii="Arial" w:hAnsi="Arial"/>
        </w:rPr>
      </w:pPr>
      <w:hyperlink r:id="rId30" w:history="1">
        <w:r w:rsidRPr="001350E5">
          <w:rPr>
            <w:rFonts w:ascii="Arial" w:hAnsi="Arial"/>
            <w:color w:val="0000FF"/>
            <w:u w:val="single"/>
            <w:rtl/>
          </w:rPr>
          <w:t>ת"פ 29957-07-20</w:t>
        </w:r>
      </w:hyperlink>
      <w:r w:rsidR="00C01C2B" w:rsidRPr="00E94503">
        <w:rPr>
          <w:rFonts w:ascii="Arial" w:hAnsi="Arial"/>
          <w:rtl/>
        </w:rPr>
        <w:t xml:space="preserve"> </w:t>
      </w:r>
      <w:r w:rsidR="00C01C2B" w:rsidRPr="00E94503">
        <w:rPr>
          <w:rFonts w:ascii="Arial" w:hAnsi="Arial"/>
          <w:b/>
          <w:bCs/>
          <w:rtl/>
        </w:rPr>
        <w:t>מדינת ישראל נ' חננייב</w:t>
      </w:r>
      <w:r w:rsidR="00C01C2B" w:rsidRPr="00E94503">
        <w:rPr>
          <w:rFonts w:ascii="Arial" w:hAnsi="Arial"/>
          <w:rtl/>
        </w:rPr>
        <w:t xml:space="preserve"> - הנאשם הורשע, לאחר הודאתו במסגרת הסדר טיעון, בעבירה של החזקת סם שלא לצריכה עצמית. בהתאם לעובדות כתב האישום המתוקן, החזיק הנאשם, בתוך הקטנוע שלו, סם מסוכן מסוג קנביס במשקל 300 גרם, מחולק ל-30 שקיות, וכן חשיש במשקל 60.7 גרם. בית המשפט קבע מתחם ענישה הנע בין 6 ועד 18 חודשי מאסר בפועל.</w:t>
      </w:r>
    </w:p>
    <w:p w14:paraId="32AD0AB7" w14:textId="77777777" w:rsidR="00C01C2B" w:rsidRPr="00E94503" w:rsidRDefault="001350E5" w:rsidP="00C01C2B">
      <w:pPr>
        <w:numPr>
          <w:ilvl w:val="0"/>
          <w:numId w:val="3"/>
        </w:numPr>
        <w:spacing w:line="360" w:lineRule="auto"/>
        <w:contextualSpacing/>
        <w:jc w:val="both"/>
        <w:rPr>
          <w:rFonts w:ascii="Arial" w:hAnsi="Arial"/>
          <w:rtl/>
        </w:rPr>
      </w:pPr>
      <w:hyperlink r:id="rId31" w:history="1">
        <w:r w:rsidRPr="001350E5">
          <w:rPr>
            <w:rFonts w:ascii="Arial" w:hAnsi="Arial"/>
            <w:color w:val="0000FF"/>
            <w:u w:val="single"/>
            <w:rtl/>
          </w:rPr>
          <w:t>ת"פ 27506-03-21</w:t>
        </w:r>
      </w:hyperlink>
      <w:r w:rsidR="00C01C2B" w:rsidRPr="00E94503">
        <w:rPr>
          <w:rFonts w:ascii="Arial" w:hAnsi="Arial"/>
          <w:rtl/>
        </w:rPr>
        <w:t xml:space="preserve"> </w:t>
      </w:r>
      <w:r w:rsidR="00C01C2B" w:rsidRPr="00E94503">
        <w:rPr>
          <w:rFonts w:ascii="Arial" w:hAnsi="Arial"/>
          <w:b/>
          <w:bCs/>
          <w:rtl/>
        </w:rPr>
        <w:t>מדינת ישראל נ' זמירו ואח'</w:t>
      </w:r>
      <w:r w:rsidR="00C01C2B" w:rsidRPr="00E94503">
        <w:rPr>
          <w:rFonts w:ascii="Arial" w:hAnsi="Arial"/>
          <w:rtl/>
        </w:rPr>
        <w:t xml:space="preserve"> - הנאשם 1 הורשע, לאחר הודאתו במסגרת הסדר טיעון, בעבירות של החזקת סם שלא לצריכה עצמית והסתייעות ברכב לעבור עבירה. בהתאם לעובדות כתב האישום המתוקן, החזיק הנאשם ברכבו, במהלך נסיעה, שקית ובה סם מסוכן מסוג קנביס במשקל 1,080 גרם וכן, 1.58 גרם קנביס במאפרה של הרכב. בית המשפט קבע מתחם ענישה הנע בין 10 ועד 20 חודשי מאסר בפועל.</w:t>
      </w:r>
    </w:p>
    <w:p w14:paraId="3380EED7" w14:textId="77777777" w:rsidR="00C01C2B" w:rsidRDefault="00C01C2B" w:rsidP="00C01C2B">
      <w:pPr>
        <w:spacing w:line="360" w:lineRule="auto"/>
        <w:jc w:val="both"/>
        <w:rPr>
          <w:rtl/>
        </w:rPr>
      </w:pPr>
    </w:p>
    <w:p w14:paraId="74577835" w14:textId="77777777" w:rsidR="00C01C2B" w:rsidRDefault="00C01C2B" w:rsidP="00C01C2B">
      <w:pPr>
        <w:spacing w:line="360" w:lineRule="auto"/>
        <w:jc w:val="both"/>
        <w:rPr>
          <w:rtl/>
        </w:rPr>
      </w:pPr>
    </w:p>
    <w:p w14:paraId="5AAB7BBE" w14:textId="77777777" w:rsidR="00C01C2B" w:rsidRDefault="00C01C2B" w:rsidP="00C01C2B">
      <w:pPr>
        <w:spacing w:line="360" w:lineRule="auto"/>
        <w:jc w:val="both"/>
        <w:rPr>
          <w:rtl/>
        </w:rPr>
      </w:pPr>
      <w:r>
        <w:rPr>
          <w:rFonts w:hint="cs"/>
          <w:rtl/>
        </w:rPr>
        <w:t>במקרה דנן, החזיק הנאשם סמים בכמות גדולה בביתו, ואף החזיק סמים ברכבו, תוך שהגיע עמם עד לעיר קרית אתא והעבירם לאחר. כל אלה מלמדים על כך, שלנאשם נגישות וזמינות לסמים בכמויות גדולות. ביחד עם אופן התנהגותו כלפי השוטר ניתן להסיק, כי הוא מעורב לעומק בעולם הסמים המסוכנים בפרט ובעולם העברייני בכלל.</w:t>
      </w:r>
    </w:p>
    <w:p w14:paraId="7FB716D7" w14:textId="77777777" w:rsidR="00C01C2B" w:rsidRDefault="00C01C2B" w:rsidP="00C01C2B">
      <w:pPr>
        <w:spacing w:line="360" w:lineRule="auto"/>
        <w:jc w:val="both"/>
        <w:rPr>
          <w:rtl/>
        </w:rPr>
      </w:pPr>
    </w:p>
    <w:p w14:paraId="2DF428BF" w14:textId="77777777" w:rsidR="00C01C2B" w:rsidRDefault="00C01C2B" w:rsidP="00C01C2B">
      <w:pPr>
        <w:spacing w:line="360" w:lineRule="auto"/>
        <w:jc w:val="both"/>
        <w:rPr>
          <w:rtl/>
        </w:rPr>
      </w:pPr>
      <w:r>
        <w:rPr>
          <w:rFonts w:hint="cs"/>
          <w:rtl/>
        </w:rPr>
        <w:t>החזקת סמים במשקל כזה, עשויה ללמד אף על כוונת הפצה, ונסיבות תיק הצירוף, לפיו נסע הנאשם עד לצפון הרחוק ומסר סמים לאחר, תומכים במסקנה זו.</w:t>
      </w:r>
    </w:p>
    <w:p w14:paraId="0ACBFDEF" w14:textId="77777777" w:rsidR="00C01C2B" w:rsidRDefault="00C01C2B" w:rsidP="00C01C2B">
      <w:pPr>
        <w:spacing w:line="360" w:lineRule="auto"/>
        <w:jc w:val="both"/>
        <w:rPr>
          <w:rtl/>
        </w:rPr>
      </w:pPr>
    </w:p>
    <w:p w14:paraId="4ED9656F" w14:textId="77777777" w:rsidR="00C01C2B" w:rsidRDefault="00C01C2B" w:rsidP="00C01C2B">
      <w:pPr>
        <w:spacing w:line="360" w:lineRule="auto"/>
        <w:jc w:val="both"/>
        <w:rPr>
          <w:rtl/>
        </w:rPr>
      </w:pPr>
      <w:r>
        <w:rPr>
          <w:rFonts w:hint="cs"/>
          <w:rtl/>
        </w:rPr>
        <w:t>בנוסף, הפגין הנאשם תעוזה רבה, בהתנהגותו לאחר שעוכב לתחנת משטרת זבולון.</w:t>
      </w:r>
    </w:p>
    <w:p w14:paraId="0515223A" w14:textId="77777777" w:rsidR="00C01C2B" w:rsidRDefault="00C01C2B" w:rsidP="00C01C2B">
      <w:pPr>
        <w:spacing w:line="360" w:lineRule="auto"/>
        <w:jc w:val="both"/>
        <w:rPr>
          <w:rtl/>
        </w:rPr>
      </w:pPr>
    </w:p>
    <w:p w14:paraId="16CEC8D0" w14:textId="77777777" w:rsidR="00C01C2B" w:rsidRDefault="00C01C2B" w:rsidP="00C01C2B">
      <w:pPr>
        <w:spacing w:line="360" w:lineRule="auto"/>
        <w:jc w:val="both"/>
        <w:rPr>
          <w:rtl/>
        </w:rPr>
      </w:pPr>
      <w:r>
        <w:rPr>
          <w:rFonts w:hint="cs"/>
          <w:rtl/>
        </w:rPr>
        <w:t>כיצד ניתן להעלות על הדעת, שאזרח יהין להפריע לשוטר, תוך נגיחה בראשו?</w:t>
      </w:r>
    </w:p>
    <w:p w14:paraId="15FAA0D1" w14:textId="77777777" w:rsidR="00C01C2B" w:rsidRDefault="00C01C2B" w:rsidP="00C01C2B">
      <w:pPr>
        <w:spacing w:line="360" w:lineRule="auto"/>
        <w:jc w:val="both"/>
        <w:rPr>
          <w:rtl/>
        </w:rPr>
      </w:pPr>
    </w:p>
    <w:p w14:paraId="4AF82FD1" w14:textId="77777777" w:rsidR="00C01C2B" w:rsidRDefault="00C01C2B" w:rsidP="00C01C2B">
      <w:pPr>
        <w:spacing w:line="360" w:lineRule="auto"/>
        <w:jc w:val="both"/>
        <w:rPr>
          <w:rtl/>
        </w:rPr>
      </w:pPr>
      <w:r>
        <w:rPr>
          <w:rFonts w:hint="cs"/>
          <w:rtl/>
        </w:rPr>
        <w:t xml:space="preserve">בנסיבות האמורות, מוצא בית המשפט, כי עתירת התביעה למתחמי ענישה שונים, בגין כל אחד מהתיקים </w:t>
      </w:r>
      <w:r>
        <w:rPr>
          <w:rtl/>
        </w:rPr>
        <w:t>–</w:t>
      </w:r>
      <w:r>
        <w:rPr>
          <w:rFonts w:hint="cs"/>
          <w:rtl/>
        </w:rPr>
        <w:t xml:space="preserve"> נכונה בנסיבות מקרה זה.</w:t>
      </w:r>
    </w:p>
    <w:p w14:paraId="2E4F401D" w14:textId="77777777" w:rsidR="00C01C2B" w:rsidRDefault="00C01C2B" w:rsidP="00C01C2B">
      <w:pPr>
        <w:spacing w:line="360" w:lineRule="auto"/>
        <w:jc w:val="both"/>
        <w:rPr>
          <w:rtl/>
        </w:rPr>
      </w:pPr>
    </w:p>
    <w:p w14:paraId="315B748C" w14:textId="77777777" w:rsidR="00C01C2B" w:rsidRDefault="00C01C2B" w:rsidP="00C01C2B">
      <w:pPr>
        <w:spacing w:line="360" w:lineRule="auto"/>
        <w:jc w:val="both"/>
        <w:rPr>
          <w:rtl/>
        </w:rPr>
      </w:pPr>
      <w:r>
        <w:rPr>
          <w:rFonts w:hint="cs"/>
          <w:rtl/>
        </w:rPr>
        <w:t>בית המשפט מוצא לאמץ את עתירת התביעה ויקבע כי בגין התיק העיקרי יועמד מתחם הענישה כך שינוע בין 10 ועד 18 חודשי מאסר, ובגין תיק הצירוף, יועמד בין 12 ועד 24 חודשי מאסר.</w:t>
      </w:r>
    </w:p>
    <w:p w14:paraId="1C92FACD" w14:textId="77777777" w:rsidR="00C01C2B" w:rsidRDefault="00C01C2B" w:rsidP="00C01C2B">
      <w:pPr>
        <w:spacing w:line="360" w:lineRule="auto"/>
        <w:jc w:val="both"/>
        <w:rPr>
          <w:rtl/>
        </w:rPr>
      </w:pPr>
    </w:p>
    <w:p w14:paraId="4DAC3914" w14:textId="77777777" w:rsidR="00C01C2B" w:rsidRDefault="00C01C2B" w:rsidP="00C01C2B">
      <w:pPr>
        <w:spacing w:line="360" w:lineRule="auto"/>
        <w:jc w:val="both"/>
        <w:rPr>
          <w:rtl/>
        </w:rPr>
      </w:pPr>
    </w:p>
    <w:p w14:paraId="63168D5B" w14:textId="77777777" w:rsidR="00C01C2B" w:rsidRDefault="00C01C2B" w:rsidP="00C01C2B">
      <w:pPr>
        <w:spacing w:line="360" w:lineRule="auto"/>
        <w:jc w:val="both"/>
        <w:rPr>
          <w:rtl/>
        </w:rPr>
      </w:pPr>
    </w:p>
    <w:p w14:paraId="7339B4C5" w14:textId="77777777" w:rsidR="00C01C2B" w:rsidRPr="00433C96" w:rsidRDefault="00C01C2B" w:rsidP="00C01C2B">
      <w:pPr>
        <w:spacing w:line="360" w:lineRule="auto"/>
        <w:jc w:val="both"/>
        <w:rPr>
          <w:rtl/>
        </w:rPr>
      </w:pPr>
    </w:p>
    <w:p w14:paraId="07D8EC2C" w14:textId="77777777" w:rsidR="00C01C2B" w:rsidRDefault="00C01C2B" w:rsidP="00C01C2B">
      <w:pPr>
        <w:spacing w:line="360" w:lineRule="auto"/>
        <w:jc w:val="both"/>
        <w:rPr>
          <w:rtl/>
        </w:rPr>
      </w:pPr>
      <w:r>
        <w:rPr>
          <w:rFonts w:hint="cs"/>
          <w:b/>
          <w:bCs/>
          <w:rtl/>
        </w:rPr>
        <w:t>קביעת הענישה הספציפית בתוך מתחם הענישה</w:t>
      </w:r>
    </w:p>
    <w:p w14:paraId="27E8F82D" w14:textId="77777777" w:rsidR="00C01C2B" w:rsidRDefault="00C01C2B" w:rsidP="00C01C2B">
      <w:pPr>
        <w:spacing w:line="360" w:lineRule="auto"/>
        <w:jc w:val="both"/>
        <w:rPr>
          <w:rtl/>
        </w:rPr>
      </w:pPr>
    </w:p>
    <w:p w14:paraId="2F85A5EC" w14:textId="77777777" w:rsidR="00C01C2B" w:rsidRDefault="00C01C2B" w:rsidP="00C01C2B">
      <w:pPr>
        <w:spacing w:line="360" w:lineRule="auto"/>
        <w:jc w:val="both"/>
        <w:rPr>
          <w:rtl/>
        </w:rPr>
      </w:pPr>
      <w:r>
        <w:rPr>
          <w:rFonts w:hint="cs"/>
          <w:rtl/>
        </w:rPr>
        <w:t>הנאשם נעדר הרשעות קודמות בתחום הפלילי, אך לחובתו הרשעות רבות בעבירות חמורות בתחום התעבורה, שיש בהם כדי ללמד על אופן יחסו לחוק.</w:t>
      </w:r>
    </w:p>
    <w:p w14:paraId="353B24D4" w14:textId="77777777" w:rsidR="00C01C2B" w:rsidRDefault="00C01C2B" w:rsidP="00C01C2B">
      <w:pPr>
        <w:spacing w:line="360" w:lineRule="auto"/>
        <w:jc w:val="both"/>
        <w:rPr>
          <w:rtl/>
        </w:rPr>
      </w:pPr>
    </w:p>
    <w:p w14:paraId="3900A78B" w14:textId="77777777" w:rsidR="00C01C2B" w:rsidRDefault="00C01C2B" w:rsidP="00C01C2B">
      <w:pPr>
        <w:spacing w:line="360" w:lineRule="auto"/>
        <w:jc w:val="both"/>
        <w:rPr>
          <w:rtl/>
        </w:rPr>
      </w:pPr>
      <w:r>
        <w:rPr>
          <w:rFonts w:hint="cs"/>
          <w:rtl/>
        </w:rPr>
        <w:t xml:space="preserve">יתרה מכך </w:t>
      </w:r>
      <w:r>
        <w:rPr>
          <w:rtl/>
        </w:rPr>
        <w:t>–</w:t>
      </w:r>
      <w:r>
        <w:rPr>
          <w:rFonts w:hint="cs"/>
          <w:rtl/>
        </w:rPr>
        <w:t xml:space="preserve"> צירף הנאשם תיק מבית משפט השלום בקריות, אשר העבירות בו נעברו אגב ניהול התיק העיקרי נגדו.</w:t>
      </w:r>
    </w:p>
    <w:p w14:paraId="692840C2" w14:textId="77777777" w:rsidR="00C01C2B" w:rsidRDefault="00C01C2B" w:rsidP="00C01C2B">
      <w:pPr>
        <w:spacing w:line="360" w:lineRule="auto"/>
        <w:jc w:val="both"/>
        <w:rPr>
          <w:rtl/>
        </w:rPr>
      </w:pPr>
    </w:p>
    <w:p w14:paraId="48493455" w14:textId="77777777" w:rsidR="00C01C2B" w:rsidRDefault="00C01C2B" w:rsidP="00C01C2B">
      <w:pPr>
        <w:spacing w:line="360" w:lineRule="auto"/>
        <w:jc w:val="both"/>
        <w:rPr>
          <w:rtl/>
        </w:rPr>
      </w:pPr>
      <w:r>
        <w:rPr>
          <w:rFonts w:hint="cs"/>
          <w:rtl/>
        </w:rPr>
        <w:t xml:space="preserve">התנהלות זו </w:t>
      </w:r>
      <w:r>
        <w:rPr>
          <w:rtl/>
        </w:rPr>
        <w:t>–</w:t>
      </w:r>
      <w:r>
        <w:rPr>
          <w:rFonts w:hint="cs"/>
          <w:rtl/>
        </w:rPr>
        <w:t xml:space="preserve"> אף היא מעידה על היעדר מורא מהחוק ומנציגיו.</w:t>
      </w:r>
    </w:p>
    <w:p w14:paraId="3B698343" w14:textId="77777777" w:rsidR="00C01C2B" w:rsidRDefault="00C01C2B" w:rsidP="00C01C2B">
      <w:pPr>
        <w:spacing w:line="360" w:lineRule="auto"/>
        <w:jc w:val="both"/>
        <w:rPr>
          <w:rtl/>
        </w:rPr>
      </w:pPr>
    </w:p>
    <w:p w14:paraId="59DD67C5" w14:textId="77777777" w:rsidR="00C01C2B" w:rsidRDefault="00C01C2B" w:rsidP="00C01C2B">
      <w:pPr>
        <w:spacing w:line="360" w:lineRule="auto"/>
        <w:jc w:val="both"/>
        <w:rPr>
          <w:rtl/>
        </w:rPr>
      </w:pPr>
      <w:r>
        <w:rPr>
          <w:rFonts w:hint="cs"/>
          <w:rtl/>
        </w:rPr>
        <w:t xml:space="preserve">הנאשם הופנה לגורמי ההערכה המקצועיים, אך כאמור לעיל, לא התייצב לראיון ההתאמה אצל הממונה על עבודות השירות חרף ההזדמנויות שניתנו לו, ואף שיתוף הפעולה שלו מול שירות המבחן </w:t>
      </w:r>
      <w:r>
        <w:rPr>
          <w:rtl/>
        </w:rPr>
        <w:t>–</w:t>
      </w:r>
      <w:r>
        <w:rPr>
          <w:rFonts w:hint="cs"/>
          <w:rtl/>
        </w:rPr>
        <w:t xml:space="preserve"> אובחן בחוסר יציבות.</w:t>
      </w:r>
    </w:p>
    <w:p w14:paraId="1DE2E6E1" w14:textId="77777777" w:rsidR="00C01C2B" w:rsidRDefault="00C01C2B" w:rsidP="00C01C2B">
      <w:pPr>
        <w:spacing w:line="360" w:lineRule="auto"/>
        <w:jc w:val="both"/>
        <w:rPr>
          <w:rtl/>
        </w:rPr>
      </w:pPr>
    </w:p>
    <w:p w14:paraId="24C01850" w14:textId="77777777" w:rsidR="00C01C2B" w:rsidRDefault="00C01C2B" w:rsidP="00C01C2B">
      <w:pPr>
        <w:spacing w:line="360" w:lineRule="auto"/>
        <w:jc w:val="both"/>
        <w:rPr>
          <w:rtl/>
        </w:rPr>
      </w:pPr>
      <w:r>
        <w:rPr>
          <w:rFonts w:hint="cs"/>
          <w:rtl/>
        </w:rPr>
        <w:t xml:space="preserve">תחילה, נמנע הנאשם מלהתייצב לראיון שנקבע לו בשירות המבחן. אך גם לאחר התייצבותו, ולאחר הניסיונות שניתנו לו להשתלב בהליך טיפולי, לא התמיד הנאשם; ניתק קשר עם שירות המבחן; נכח בתשעה מפגשים בלבד מתוך 28 מפגשים; לא התייצב למספר בדיקות לאיתור שרידי סם אליהן הוזמן; גם כאשר התייצב </w:t>
      </w:r>
      <w:r>
        <w:rPr>
          <w:rtl/>
        </w:rPr>
        <w:t>–</w:t>
      </w:r>
      <w:r>
        <w:rPr>
          <w:rFonts w:hint="cs"/>
          <w:rtl/>
        </w:rPr>
        <w:t xml:space="preserve"> נמנע מלמסור בדיקות, למעט בדיקה אחת בתחילת ההליך הטיפולי, אשר נמצאה "נקיה". </w:t>
      </w:r>
    </w:p>
    <w:p w14:paraId="78716EFB" w14:textId="77777777" w:rsidR="00C01C2B" w:rsidRDefault="00C01C2B" w:rsidP="00C01C2B">
      <w:pPr>
        <w:spacing w:line="360" w:lineRule="auto"/>
        <w:jc w:val="both"/>
        <w:rPr>
          <w:rtl/>
        </w:rPr>
      </w:pPr>
    </w:p>
    <w:p w14:paraId="32BB7CAF" w14:textId="77777777" w:rsidR="00C01C2B" w:rsidRDefault="00C01C2B" w:rsidP="00C01C2B">
      <w:pPr>
        <w:spacing w:line="360" w:lineRule="auto"/>
        <w:jc w:val="both"/>
        <w:rPr>
          <w:rtl/>
        </w:rPr>
      </w:pPr>
      <w:r>
        <w:rPr>
          <w:rFonts w:hint="cs"/>
          <w:rtl/>
        </w:rPr>
        <w:t>בחינת אופן התנהגותו של הנאשם בשירות המבחן, במהלך כלל ההזדמנויות שניתנו לו (על ידי מותבים שונים) כאשר גם לאחר תקופה כה ארוכה אין בנמצא מידע אמין בנוגע לדפוסי המעורבות שלו בעולם הסמים ולשימוש מטעמו בסמים מסוכנים, אינה יכולה אלא להביא למסקנה, שנאשם זה היתל בשירות המבחן בפרט ובמערכת המשפט בכלל.</w:t>
      </w:r>
    </w:p>
    <w:p w14:paraId="5DAB15D2" w14:textId="77777777" w:rsidR="00C01C2B" w:rsidRDefault="00C01C2B" w:rsidP="00C01C2B">
      <w:pPr>
        <w:spacing w:line="360" w:lineRule="auto"/>
        <w:jc w:val="both"/>
        <w:rPr>
          <w:rtl/>
        </w:rPr>
      </w:pPr>
    </w:p>
    <w:p w14:paraId="077107BD" w14:textId="77777777" w:rsidR="00C01C2B" w:rsidRDefault="00C01C2B" w:rsidP="00C01C2B">
      <w:pPr>
        <w:spacing w:line="360" w:lineRule="auto"/>
        <w:jc w:val="both"/>
        <w:rPr>
          <w:rtl/>
        </w:rPr>
      </w:pPr>
      <w:r>
        <w:rPr>
          <w:rFonts w:hint="cs"/>
          <w:rtl/>
        </w:rPr>
        <w:t>בסופו של דבר, נמנע שירות המבחן מהמלצה שיקומית בעניינו.</w:t>
      </w:r>
    </w:p>
    <w:p w14:paraId="16428719" w14:textId="77777777" w:rsidR="00C01C2B" w:rsidRDefault="00C01C2B" w:rsidP="00C01C2B">
      <w:pPr>
        <w:spacing w:line="360" w:lineRule="auto"/>
        <w:jc w:val="both"/>
        <w:rPr>
          <w:rtl/>
        </w:rPr>
      </w:pPr>
    </w:p>
    <w:p w14:paraId="11458EB8" w14:textId="77777777" w:rsidR="00C01C2B" w:rsidRDefault="00C01C2B" w:rsidP="00C01C2B">
      <w:pPr>
        <w:spacing w:line="360" w:lineRule="auto"/>
        <w:jc w:val="both"/>
        <w:rPr>
          <w:rtl/>
        </w:rPr>
      </w:pPr>
      <w:r>
        <w:rPr>
          <w:rFonts w:hint="cs"/>
          <w:rtl/>
        </w:rPr>
        <w:t>לזכות הנאשם, תילקח הודאתו באשמה ונטילת האחריות מצדו, אם גם באופן פורמלי.</w:t>
      </w:r>
    </w:p>
    <w:p w14:paraId="3480EB02" w14:textId="77777777" w:rsidR="00C01C2B" w:rsidRDefault="00C01C2B" w:rsidP="00C01C2B">
      <w:pPr>
        <w:spacing w:line="360" w:lineRule="auto"/>
        <w:jc w:val="both"/>
        <w:rPr>
          <w:rtl/>
        </w:rPr>
      </w:pPr>
    </w:p>
    <w:p w14:paraId="50C46E1D" w14:textId="77777777" w:rsidR="00C01C2B" w:rsidRDefault="00C01C2B" w:rsidP="00C01C2B">
      <w:pPr>
        <w:spacing w:line="360" w:lineRule="auto"/>
        <w:jc w:val="both"/>
        <w:rPr>
          <w:rtl/>
        </w:rPr>
      </w:pPr>
      <w:r>
        <w:rPr>
          <w:rFonts w:hint="cs"/>
          <w:rtl/>
        </w:rPr>
        <w:t>בשקלול הגורמים, ימקם בית המשפט את עונשו של הנאשם בחלק התחתון של כל אחד ממתחמי הענישה, אך לא ברף התחתון ממש, ולנוכח הודאתו באשמה תינתן לו הקלה, במסגרתה תיערך חפיפה חלקית בין העונשים.</w:t>
      </w:r>
    </w:p>
    <w:p w14:paraId="1AC125D4" w14:textId="77777777" w:rsidR="00C01C2B" w:rsidRDefault="00C01C2B" w:rsidP="00C01C2B">
      <w:pPr>
        <w:spacing w:line="360" w:lineRule="auto"/>
        <w:jc w:val="both"/>
        <w:rPr>
          <w:rtl/>
        </w:rPr>
      </w:pPr>
    </w:p>
    <w:p w14:paraId="7ED500F1" w14:textId="77777777" w:rsidR="00C01C2B" w:rsidRDefault="00C01C2B" w:rsidP="00C01C2B">
      <w:pPr>
        <w:spacing w:line="360" w:lineRule="auto"/>
        <w:jc w:val="both"/>
        <w:rPr>
          <w:rtl/>
        </w:rPr>
      </w:pPr>
      <w:r>
        <w:rPr>
          <w:rFonts w:hint="cs"/>
          <w:rtl/>
        </w:rPr>
        <w:t>כמובן, יושתו על הנאשם עונשי מאסר מותנה מרתיעים, לבל ישוב על מעשיו בעתיד.</w:t>
      </w:r>
    </w:p>
    <w:p w14:paraId="4C920FF7" w14:textId="77777777" w:rsidR="00C01C2B" w:rsidRDefault="00C01C2B" w:rsidP="00C01C2B">
      <w:pPr>
        <w:spacing w:line="360" w:lineRule="auto"/>
        <w:jc w:val="both"/>
        <w:rPr>
          <w:rtl/>
        </w:rPr>
      </w:pPr>
    </w:p>
    <w:p w14:paraId="1A7B5EA9" w14:textId="77777777" w:rsidR="00C01C2B" w:rsidRPr="00565BFF" w:rsidRDefault="00C01C2B" w:rsidP="00C01C2B">
      <w:pPr>
        <w:spacing w:line="360" w:lineRule="auto"/>
        <w:jc w:val="both"/>
      </w:pPr>
      <w:r>
        <w:rPr>
          <w:rtl/>
        </w:rPr>
        <w:t>על הנאש</w:t>
      </w:r>
      <w:r w:rsidRPr="00565BFF">
        <w:rPr>
          <w:rtl/>
        </w:rPr>
        <w:t xml:space="preserve">ם יוטלו עיצומים כספיים  לאור </w:t>
      </w:r>
      <w:r>
        <w:rPr>
          <w:rFonts w:hint="cs"/>
          <w:rtl/>
        </w:rPr>
        <w:t xml:space="preserve">שווים הגדול של הסמים שנתפסו וכן לנוכח </w:t>
      </w:r>
      <w:r w:rsidRPr="00565BFF">
        <w:rPr>
          <w:rtl/>
        </w:rPr>
        <w:t>המניע הכלכלי שמאחורי עבירות הסמים.</w:t>
      </w:r>
    </w:p>
    <w:p w14:paraId="09EB2A67" w14:textId="77777777" w:rsidR="00C01C2B" w:rsidRPr="00565BFF" w:rsidRDefault="00C01C2B" w:rsidP="00C01C2B">
      <w:pPr>
        <w:spacing w:line="360" w:lineRule="auto"/>
        <w:jc w:val="both"/>
        <w:rPr>
          <w:rtl/>
        </w:rPr>
      </w:pPr>
    </w:p>
    <w:p w14:paraId="1DC65CF4" w14:textId="77777777" w:rsidR="00C01C2B" w:rsidRPr="00565BFF" w:rsidRDefault="00C01C2B" w:rsidP="00C01C2B">
      <w:pPr>
        <w:spacing w:line="360" w:lineRule="auto"/>
        <w:jc w:val="both"/>
        <w:rPr>
          <w:rtl/>
        </w:rPr>
      </w:pPr>
      <w:r w:rsidRPr="00565BFF">
        <w:rPr>
          <w:rtl/>
        </w:rPr>
        <w:t xml:space="preserve">לאור השימוש ברכב מנועי בעת </w:t>
      </w:r>
      <w:r>
        <w:rPr>
          <w:rFonts w:hint="cs"/>
          <w:rtl/>
        </w:rPr>
        <w:t>שנעברה</w:t>
      </w:r>
      <w:r w:rsidRPr="00565BFF">
        <w:rPr>
          <w:rtl/>
        </w:rPr>
        <w:t xml:space="preserve"> העבירה</w:t>
      </w:r>
      <w:r>
        <w:rPr>
          <w:rFonts w:hint="cs"/>
          <w:rtl/>
        </w:rPr>
        <w:t xml:space="preserve"> בתיק הצירוף</w:t>
      </w:r>
      <w:r w:rsidRPr="00565BFF">
        <w:rPr>
          <w:rtl/>
        </w:rPr>
        <w:t>, מוצא בית המשפט להטיל על הנאשמים פסילה בפועל ועל תנאי של רישיון הנהיגה.</w:t>
      </w:r>
    </w:p>
    <w:p w14:paraId="5DE8C492" w14:textId="77777777" w:rsidR="00C01C2B" w:rsidRPr="00565BFF" w:rsidRDefault="00C01C2B" w:rsidP="00C01C2B">
      <w:pPr>
        <w:spacing w:line="360" w:lineRule="auto"/>
        <w:rPr>
          <w:rtl/>
        </w:rPr>
      </w:pPr>
    </w:p>
    <w:p w14:paraId="45C9FD44" w14:textId="77777777" w:rsidR="00C01C2B" w:rsidRPr="00565BFF" w:rsidRDefault="00C01C2B" w:rsidP="00C01C2B">
      <w:pPr>
        <w:spacing w:line="360" w:lineRule="auto"/>
        <w:rPr>
          <w:rtl/>
        </w:rPr>
      </w:pPr>
    </w:p>
    <w:p w14:paraId="7105E694" w14:textId="77777777" w:rsidR="00C01C2B" w:rsidRPr="00565BFF" w:rsidRDefault="00C01C2B" w:rsidP="00C01C2B">
      <w:pPr>
        <w:spacing w:line="360" w:lineRule="auto"/>
        <w:jc w:val="both"/>
        <w:rPr>
          <w:rFonts w:ascii="Arial" w:hAnsi="Arial"/>
          <w:rtl/>
        </w:rPr>
      </w:pPr>
      <w:r w:rsidRPr="00565BFF">
        <w:rPr>
          <w:rFonts w:ascii="Arial" w:hAnsi="Arial"/>
          <w:b/>
          <w:bCs/>
          <w:rtl/>
        </w:rPr>
        <w:t>סיכום</w:t>
      </w:r>
    </w:p>
    <w:p w14:paraId="0A6BA38B" w14:textId="77777777" w:rsidR="00C01C2B" w:rsidRPr="00565BFF" w:rsidRDefault="00C01C2B" w:rsidP="00C01C2B">
      <w:pPr>
        <w:spacing w:line="360" w:lineRule="auto"/>
        <w:jc w:val="both"/>
        <w:rPr>
          <w:rFonts w:ascii="Arial" w:hAnsi="Arial"/>
          <w:rtl/>
        </w:rPr>
      </w:pPr>
    </w:p>
    <w:p w14:paraId="5E6DD500" w14:textId="77777777" w:rsidR="00C01C2B" w:rsidRPr="00565BFF" w:rsidRDefault="00C01C2B" w:rsidP="00C01C2B">
      <w:pPr>
        <w:spacing w:line="360" w:lineRule="auto"/>
        <w:jc w:val="both"/>
        <w:rPr>
          <w:rFonts w:ascii="Arial" w:hAnsi="Arial"/>
          <w:rtl/>
        </w:rPr>
      </w:pPr>
      <w:r w:rsidRPr="00565BFF">
        <w:rPr>
          <w:rFonts w:ascii="Arial" w:hAnsi="Arial"/>
          <w:rtl/>
        </w:rPr>
        <w:t>לאחר שבית המשפט שמע טענות הצדדים על פה; עיין בטענות התביעה לענין העונש בכתב; עיין בראיות לעונש; עיין בתסקירי שירות המבחן למבוגרים; שמע דב</w:t>
      </w:r>
      <w:r>
        <w:rPr>
          <w:rFonts w:ascii="Arial" w:hAnsi="Arial" w:hint="cs"/>
          <w:rtl/>
        </w:rPr>
        <w:t>רו</w:t>
      </w:r>
      <w:r>
        <w:rPr>
          <w:rFonts w:ascii="Arial" w:hAnsi="Arial"/>
          <w:rtl/>
        </w:rPr>
        <w:t xml:space="preserve"> האחרון של הנאשם; גוזר עליה</w:t>
      </w:r>
      <w:r>
        <w:rPr>
          <w:rFonts w:ascii="Arial" w:hAnsi="Arial" w:hint="cs"/>
          <w:rtl/>
        </w:rPr>
        <w:t>ו</w:t>
      </w:r>
      <w:r w:rsidRPr="00565BFF">
        <w:rPr>
          <w:rFonts w:ascii="Arial" w:hAnsi="Arial"/>
          <w:rtl/>
        </w:rPr>
        <w:t xml:space="preserve"> את העונשים כדלקמן:</w:t>
      </w:r>
    </w:p>
    <w:p w14:paraId="3691421C" w14:textId="77777777" w:rsidR="00C01C2B" w:rsidRDefault="00C01C2B" w:rsidP="00C01C2B">
      <w:pPr>
        <w:spacing w:line="360" w:lineRule="auto"/>
        <w:jc w:val="both"/>
        <w:rPr>
          <w:rtl/>
        </w:rPr>
      </w:pPr>
    </w:p>
    <w:p w14:paraId="7DA1EF3B" w14:textId="77777777" w:rsidR="00C01C2B" w:rsidRDefault="00C01C2B" w:rsidP="00C01C2B">
      <w:pPr>
        <w:numPr>
          <w:ilvl w:val="0"/>
          <w:numId w:val="4"/>
        </w:numPr>
        <w:spacing w:line="360" w:lineRule="auto"/>
        <w:contextualSpacing/>
        <w:jc w:val="both"/>
        <w:rPr>
          <w:rFonts w:ascii="Arial" w:hAnsi="Arial"/>
        </w:rPr>
      </w:pPr>
      <w:r>
        <w:rPr>
          <w:rFonts w:ascii="Arial" w:hAnsi="Arial" w:hint="cs"/>
          <w:rtl/>
        </w:rPr>
        <w:t>בגין העבירה נושא האישום בתיק העיקרי - 12</w:t>
      </w:r>
      <w:r>
        <w:rPr>
          <w:rFonts w:ascii="Arial" w:hAnsi="Arial"/>
          <w:rtl/>
        </w:rPr>
        <w:t xml:space="preserve"> חודשי מאסר בפועל</w:t>
      </w:r>
      <w:r w:rsidRPr="00565BFF">
        <w:rPr>
          <w:rFonts w:ascii="Arial" w:hAnsi="Arial"/>
          <w:rtl/>
        </w:rPr>
        <w:t xml:space="preserve">; </w:t>
      </w:r>
    </w:p>
    <w:p w14:paraId="48639A14" w14:textId="77777777" w:rsidR="00C01C2B" w:rsidRDefault="00C01C2B" w:rsidP="00C01C2B">
      <w:pPr>
        <w:numPr>
          <w:ilvl w:val="0"/>
          <w:numId w:val="4"/>
        </w:numPr>
        <w:spacing w:line="360" w:lineRule="auto"/>
        <w:contextualSpacing/>
        <w:jc w:val="both"/>
        <w:rPr>
          <w:rFonts w:ascii="Arial" w:hAnsi="Arial"/>
        </w:rPr>
      </w:pPr>
      <w:r>
        <w:rPr>
          <w:rFonts w:ascii="Arial" w:hAnsi="Arial" w:hint="cs"/>
          <w:rtl/>
        </w:rPr>
        <w:t xml:space="preserve">בגין העבירות נושא האישום בתיק הצירוף </w:t>
      </w:r>
      <w:r>
        <w:rPr>
          <w:rFonts w:ascii="Arial" w:hAnsi="Arial"/>
          <w:rtl/>
        </w:rPr>
        <w:t>–</w:t>
      </w:r>
      <w:r>
        <w:rPr>
          <w:rFonts w:ascii="Arial" w:hAnsi="Arial" w:hint="cs"/>
          <w:rtl/>
        </w:rPr>
        <w:t xml:space="preserve"> 14 חודשים מאסר בפועל;</w:t>
      </w:r>
    </w:p>
    <w:p w14:paraId="301ABD9E" w14:textId="77777777" w:rsidR="00C01C2B" w:rsidRPr="00565BFF" w:rsidRDefault="00C01C2B" w:rsidP="00C01C2B">
      <w:pPr>
        <w:numPr>
          <w:ilvl w:val="0"/>
          <w:numId w:val="4"/>
        </w:numPr>
        <w:spacing w:line="360" w:lineRule="auto"/>
        <w:contextualSpacing/>
        <w:jc w:val="both"/>
        <w:rPr>
          <w:rFonts w:ascii="Arial" w:hAnsi="Arial"/>
        </w:rPr>
      </w:pPr>
      <w:r>
        <w:rPr>
          <w:rFonts w:ascii="Arial" w:hAnsi="Arial" w:hint="cs"/>
          <w:rtl/>
        </w:rPr>
        <w:t xml:space="preserve">העונשים ירוצו כך שמחצית העונש הראשון תהיה חופפת לעונש השני, ובסך הכל </w:t>
      </w:r>
      <w:r>
        <w:rPr>
          <w:rFonts w:ascii="Arial" w:hAnsi="Arial"/>
          <w:rtl/>
        </w:rPr>
        <w:t>–</w:t>
      </w:r>
      <w:r>
        <w:rPr>
          <w:rFonts w:ascii="Arial" w:hAnsi="Arial" w:hint="cs"/>
          <w:rtl/>
        </w:rPr>
        <w:t xml:space="preserve"> ירצה הנאשם עונש מאסר בפועל בן 20 חודשים;</w:t>
      </w:r>
    </w:p>
    <w:p w14:paraId="0CE933C3" w14:textId="77777777" w:rsidR="00C01C2B" w:rsidRDefault="00C01C2B" w:rsidP="00C01C2B">
      <w:pPr>
        <w:numPr>
          <w:ilvl w:val="0"/>
          <w:numId w:val="4"/>
        </w:numPr>
        <w:spacing w:line="360" w:lineRule="auto"/>
        <w:contextualSpacing/>
        <w:jc w:val="both"/>
      </w:pPr>
      <w:r w:rsidRPr="00565BFF">
        <w:rPr>
          <w:rFonts w:ascii="Calibri" w:hAnsi="Calibri"/>
          <w:rtl/>
        </w:rPr>
        <w:t>12 חודשים מאסר על תנאי למשך שלוש שנים מיום שחרורו של הנאשם ממאסר, והתנאי – שהנאשם לא יעבור עבירה מסוג פשע בניגוד ל</w:t>
      </w:r>
      <w:hyperlink r:id="rId32" w:history="1">
        <w:r w:rsidR="001350E5" w:rsidRPr="001350E5">
          <w:rPr>
            <w:rFonts w:ascii="Calibri" w:hAnsi="Calibri" w:hint="eastAsia"/>
            <w:color w:val="0000FF"/>
            <w:u w:val="single"/>
            <w:rtl/>
          </w:rPr>
          <w:t>פקודת</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הסמים</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המסוכנים</w:t>
        </w:r>
      </w:hyperlink>
      <w:r w:rsidRPr="00565BFF">
        <w:rPr>
          <w:rFonts w:ascii="Calibri" w:hAnsi="Calibri"/>
          <w:rtl/>
        </w:rPr>
        <w:t xml:space="preserve"> [נוסח חדש], תשל"ג – 1973, או עבירה מסוג פשע בניגוד ל</w:t>
      </w:r>
      <w:hyperlink r:id="rId33" w:history="1">
        <w:r w:rsidR="001350E5" w:rsidRPr="001350E5">
          <w:rPr>
            <w:rFonts w:ascii="Calibri" w:hAnsi="Calibri" w:hint="eastAsia"/>
            <w:color w:val="0000FF"/>
            <w:u w:val="single"/>
            <w:rtl/>
          </w:rPr>
          <w:t>חוק</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המאבק</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בתופעת</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השימוש</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בחומרים</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מסכנים</w:t>
        </w:r>
      </w:hyperlink>
      <w:r w:rsidRPr="00565BFF">
        <w:rPr>
          <w:rFonts w:ascii="Calibri" w:hAnsi="Calibri"/>
          <w:rtl/>
        </w:rPr>
        <w:t>, תשע"ג – 2013;</w:t>
      </w:r>
    </w:p>
    <w:p w14:paraId="69737FC0" w14:textId="77777777" w:rsidR="00C01C2B" w:rsidRPr="00565BFF" w:rsidRDefault="00C01C2B" w:rsidP="00C01C2B">
      <w:pPr>
        <w:numPr>
          <w:ilvl w:val="0"/>
          <w:numId w:val="4"/>
        </w:numPr>
        <w:spacing w:line="360" w:lineRule="auto"/>
        <w:contextualSpacing/>
        <w:jc w:val="both"/>
        <w:rPr>
          <w:rtl/>
        </w:rPr>
      </w:pPr>
      <w:r>
        <w:rPr>
          <w:rFonts w:hint="cs"/>
          <w:rtl/>
        </w:rPr>
        <w:t xml:space="preserve">6 חודשים מאסר על תנאי למשך שלוש שנים מיום שחרורו של הנאשם ממאסרו, והתנאי </w:t>
      </w:r>
      <w:r>
        <w:rPr>
          <w:rtl/>
        </w:rPr>
        <w:t>–</w:t>
      </w:r>
      <w:r>
        <w:rPr>
          <w:rFonts w:hint="cs"/>
          <w:rtl/>
        </w:rPr>
        <w:t xml:space="preserve"> שהנאשם לא יעבור עבירה בניגוד ל</w:t>
      </w:r>
      <w:hyperlink r:id="rId34" w:history="1">
        <w:r w:rsidR="001350E5" w:rsidRPr="001350E5">
          <w:rPr>
            <w:color w:val="0000FF"/>
            <w:u w:val="single"/>
            <w:rtl/>
          </w:rPr>
          <w:t>חוק העונשין</w:t>
        </w:r>
      </w:hyperlink>
      <w:r>
        <w:rPr>
          <w:rFonts w:hint="cs"/>
          <w:rtl/>
        </w:rPr>
        <w:t xml:space="preserve">, תשל"ז – 1977, פרק </w:t>
      </w:r>
      <w:hyperlink r:id="rId35" w:history="1">
        <w:r w:rsidR="007C3E7D" w:rsidRPr="007C3E7D">
          <w:rPr>
            <w:rStyle w:val="Hyperlink"/>
            <w:rFonts w:hint="eastAsia"/>
            <w:rtl/>
          </w:rPr>
          <w:t>ט</w:t>
        </w:r>
        <w:r w:rsidR="007C3E7D" w:rsidRPr="007C3E7D">
          <w:rPr>
            <w:rStyle w:val="Hyperlink"/>
            <w:rtl/>
          </w:rPr>
          <w:t>' סימן ג'</w:t>
        </w:r>
      </w:hyperlink>
      <w:r>
        <w:rPr>
          <w:rFonts w:hint="cs"/>
          <w:rtl/>
        </w:rPr>
        <w:t xml:space="preserve">, או עבירה בניגוד </w:t>
      </w:r>
      <w:hyperlink r:id="rId36" w:history="1">
        <w:r w:rsidR="007C3E7D" w:rsidRPr="007C3E7D">
          <w:rPr>
            <w:rStyle w:val="Hyperlink"/>
            <w:rFonts w:hint="eastAsia"/>
            <w:rtl/>
          </w:rPr>
          <w:t>לסעיפים</w:t>
        </w:r>
        <w:r w:rsidR="007C3E7D" w:rsidRPr="007C3E7D">
          <w:rPr>
            <w:rStyle w:val="Hyperlink"/>
            <w:rtl/>
          </w:rPr>
          <w:t xml:space="preserve"> 288</w:t>
        </w:r>
      </w:hyperlink>
      <w:r>
        <w:rPr>
          <w:rFonts w:hint="cs"/>
          <w:rtl/>
        </w:rPr>
        <w:t xml:space="preserve">, </w:t>
      </w:r>
      <w:hyperlink r:id="rId37" w:history="1">
        <w:r w:rsidR="007C3E7D" w:rsidRPr="007C3E7D">
          <w:rPr>
            <w:rStyle w:val="Hyperlink"/>
            <w:rtl/>
          </w:rPr>
          <w:t>288א'</w:t>
        </w:r>
      </w:hyperlink>
      <w:r>
        <w:rPr>
          <w:rFonts w:hint="cs"/>
          <w:rtl/>
        </w:rPr>
        <w:t xml:space="preserve">, </w:t>
      </w:r>
      <w:hyperlink r:id="rId38" w:history="1">
        <w:r w:rsidR="007C3E7D" w:rsidRPr="007C3E7D">
          <w:rPr>
            <w:rStyle w:val="Hyperlink"/>
            <w:rtl/>
          </w:rPr>
          <w:t>382א'</w:t>
        </w:r>
      </w:hyperlink>
      <w:r>
        <w:rPr>
          <w:rFonts w:hint="cs"/>
          <w:rtl/>
        </w:rPr>
        <w:t xml:space="preserve"> לאותו חוק; </w:t>
      </w:r>
    </w:p>
    <w:p w14:paraId="0EF8E6A2" w14:textId="77777777" w:rsidR="00C01C2B" w:rsidRPr="00565BFF" w:rsidRDefault="00C01C2B" w:rsidP="00C01C2B">
      <w:pPr>
        <w:numPr>
          <w:ilvl w:val="0"/>
          <w:numId w:val="4"/>
        </w:numPr>
        <w:spacing w:line="360" w:lineRule="auto"/>
        <w:contextualSpacing/>
        <w:jc w:val="both"/>
        <w:rPr>
          <w:rtl/>
        </w:rPr>
      </w:pPr>
      <w:r w:rsidRPr="00565BFF">
        <w:rPr>
          <w:rFonts w:ascii="Calibri" w:hAnsi="Calibri"/>
          <w:rtl/>
        </w:rPr>
        <w:t>3 חודשים מאסר על תנאי למשך שנתיים מיום שחרורו של הנאשם ממאסר, והתנאי – שהנאשם לא יעבור עבירה מסוג עוון בניגוד ל</w:t>
      </w:r>
      <w:hyperlink r:id="rId39" w:history="1">
        <w:r w:rsidR="001350E5" w:rsidRPr="001350E5">
          <w:rPr>
            <w:rFonts w:ascii="Calibri" w:hAnsi="Calibri" w:hint="eastAsia"/>
            <w:color w:val="0000FF"/>
            <w:u w:val="single"/>
            <w:rtl/>
          </w:rPr>
          <w:t>פקודת</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הסמים</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המסוכנים</w:t>
        </w:r>
      </w:hyperlink>
      <w:r w:rsidRPr="00565BFF">
        <w:rPr>
          <w:rFonts w:ascii="Calibri" w:hAnsi="Calibri"/>
          <w:rtl/>
        </w:rPr>
        <w:t xml:space="preserve"> [נוסח חדש], תשל"ג – 1973, או עבירה מסוג עוון בניגוד ל</w:t>
      </w:r>
      <w:hyperlink r:id="rId40" w:history="1">
        <w:r w:rsidR="001350E5" w:rsidRPr="001350E5">
          <w:rPr>
            <w:rFonts w:ascii="Calibri" w:hAnsi="Calibri" w:hint="eastAsia"/>
            <w:color w:val="0000FF"/>
            <w:u w:val="single"/>
            <w:rtl/>
          </w:rPr>
          <w:t>חוק</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המאבק</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בתופעת</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השימוש</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בחומרים</w:t>
        </w:r>
        <w:r w:rsidR="001350E5" w:rsidRPr="001350E5">
          <w:rPr>
            <w:rFonts w:ascii="Calibri" w:hAnsi="Calibri"/>
            <w:color w:val="0000FF"/>
            <w:u w:val="single"/>
            <w:rtl/>
          </w:rPr>
          <w:t xml:space="preserve"> </w:t>
        </w:r>
        <w:r w:rsidR="001350E5" w:rsidRPr="001350E5">
          <w:rPr>
            <w:rFonts w:ascii="Calibri" w:hAnsi="Calibri" w:hint="eastAsia"/>
            <w:color w:val="0000FF"/>
            <w:u w:val="single"/>
            <w:rtl/>
          </w:rPr>
          <w:t>מסכנים</w:t>
        </w:r>
      </w:hyperlink>
      <w:r w:rsidRPr="00565BFF">
        <w:rPr>
          <w:rFonts w:ascii="Calibri" w:hAnsi="Calibri"/>
          <w:rtl/>
        </w:rPr>
        <w:t>, תשע"ג – 2013;</w:t>
      </w:r>
    </w:p>
    <w:p w14:paraId="7DB48E51" w14:textId="77777777" w:rsidR="00C01C2B" w:rsidRPr="00565BFF" w:rsidRDefault="00C01C2B" w:rsidP="00C01C2B">
      <w:pPr>
        <w:numPr>
          <w:ilvl w:val="0"/>
          <w:numId w:val="4"/>
        </w:numPr>
        <w:spacing w:line="360" w:lineRule="auto"/>
        <w:contextualSpacing/>
        <w:jc w:val="both"/>
        <w:rPr>
          <w:rtl/>
        </w:rPr>
      </w:pPr>
      <w:r w:rsidRPr="00565BFF">
        <w:rPr>
          <w:rtl/>
        </w:rPr>
        <w:t xml:space="preserve">קנס בסך </w:t>
      </w:r>
      <w:r>
        <w:rPr>
          <w:rFonts w:hint="cs"/>
          <w:rtl/>
        </w:rPr>
        <w:t>12</w:t>
      </w:r>
      <w:r w:rsidRPr="00565BFF">
        <w:rPr>
          <w:rtl/>
        </w:rPr>
        <w:t xml:space="preserve">,000 ₪ או </w:t>
      </w:r>
      <w:r>
        <w:rPr>
          <w:rFonts w:hint="cs"/>
          <w:rtl/>
        </w:rPr>
        <w:t>90</w:t>
      </w:r>
      <w:r w:rsidRPr="00565BFF">
        <w:rPr>
          <w:rtl/>
        </w:rPr>
        <w:t xml:space="preserve"> ימי מאסר תמורתו. הקנס ישולם בעשרה שיעורים שווים ורצופים, החל מיום 01.11.23 ובכל 10 לחודש שלאחר מכן. לא יועבר אחד התשלומים במועד – תעמוד היתרה לפירעון מידי;</w:t>
      </w:r>
    </w:p>
    <w:p w14:paraId="12C4C5D8" w14:textId="77777777" w:rsidR="00C01C2B" w:rsidRPr="00565BFF" w:rsidRDefault="00C01C2B" w:rsidP="00C01C2B">
      <w:pPr>
        <w:numPr>
          <w:ilvl w:val="0"/>
          <w:numId w:val="4"/>
        </w:numPr>
        <w:spacing w:line="360" w:lineRule="auto"/>
        <w:contextualSpacing/>
        <w:jc w:val="both"/>
      </w:pPr>
      <w:r w:rsidRPr="00565BFF">
        <w:rPr>
          <w:rtl/>
        </w:rPr>
        <w:t xml:space="preserve">פסילה בפועל מקבל או מהחזיק רשיון נהיגה לרכב מנועי למשך </w:t>
      </w:r>
      <w:r>
        <w:rPr>
          <w:rFonts w:hint="cs"/>
          <w:rtl/>
        </w:rPr>
        <w:t>18</w:t>
      </w:r>
      <w:r w:rsidRPr="00565BFF">
        <w:rPr>
          <w:rtl/>
        </w:rPr>
        <w:t xml:space="preserve"> חדשים. על הנאשם להפקיד רשיונו, או תצהיר מתאים, במזכירות בית המשפט עד ליום העבודה הבא לאחר יום שחרורו ממאסר. מובהר לנאשם, כי החל מתאריך זה – כל עוד לא הופקד הרשיון – יהיה הנאשם פסול מלנהוג, אך הפסילה לא תימנה. </w:t>
      </w:r>
    </w:p>
    <w:p w14:paraId="21E6B23B" w14:textId="77777777" w:rsidR="00C01C2B" w:rsidRDefault="00C01C2B" w:rsidP="00C01C2B">
      <w:pPr>
        <w:numPr>
          <w:ilvl w:val="0"/>
          <w:numId w:val="4"/>
        </w:numPr>
        <w:spacing w:line="360" w:lineRule="auto"/>
        <w:contextualSpacing/>
        <w:jc w:val="both"/>
      </w:pPr>
      <w:r w:rsidRPr="00565BFF">
        <w:rPr>
          <w:rtl/>
        </w:rPr>
        <w:t xml:space="preserve">פסילה מקבל ומהחזיק רשיון נהיגה לרכב מנועי בת  </w:t>
      </w:r>
      <w:r>
        <w:rPr>
          <w:rFonts w:hint="cs"/>
          <w:rtl/>
        </w:rPr>
        <w:t>12</w:t>
      </w:r>
      <w:r w:rsidRPr="00565BFF">
        <w:rPr>
          <w:rtl/>
        </w:rPr>
        <w:t xml:space="preserve">  חודשים על תנאי, תקופת התנאי</w:t>
      </w:r>
      <w:r>
        <w:rPr>
          <w:rtl/>
        </w:rPr>
        <w:t xml:space="preserve"> למשך 3 שנים מסיום הפסילה בפועל</w:t>
      </w:r>
      <w:r>
        <w:rPr>
          <w:rFonts w:hint="cs"/>
          <w:rtl/>
        </w:rPr>
        <w:t>;</w:t>
      </w:r>
    </w:p>
    <w:p w14:paraId="2A505534" w14:textId="77777777" w:rsidR="00C01C2B" w:rsidRDefault="00C01C2B" w:rsidP="00C01C2B">
      <w:pPr>
        <w:numPr>
          <w:ilvl w:val="0"/>
          <w:numId w:val="4"/>
        </w:numPr>
        <w:spacing w:line="360" w:lineRule="auto"/>
        <w:contextualSpacing/>
        <w:jc w:val="both"/>
      </w:pPr>
      <w:r w:rsidRPr="001B0B5F">
        <w:rPr>
          <w:rFonts w:ascii="Arial" w:hAnsi="Arial" w:hint="cs"/>
          <w:rtl/>
        </w:rPr>
        <w:t xml:space="preserve">הנאשם יצהיר על התחייבות בסך </w:t>
      </w:r>
      <w:r>
        <w:rPr>
          <w:rFonts w:ascii="Arial" w:hAnsi="Arial" w:hint="cs"/>
          <w:rtl/>
        </w:rPr>
        <w:t>8,000</w:t>
      </w:r>
      <w:r w:rsidRPr="001B0B5F">
        <w:rPr>
          <w:rFonts w:ascii="Arial" w:hAnsi="Arial" w:hint="cs"/>
          <w:rtl/>
        </w:rPr>
        <w:t xml:space="preserve"> ₪ להימנע, בתוך שלוש שנים מיום שחרורו ממאסר, מכל עבירה המפעילה את אחד המאסרים המותנים שהושתו על הנאשם בגזר דין זה. לא יצהיר הנאשם כאמור – ייאסר למשך 35 יום נוספים;</w:t>
      </w:r>
    </w:p>
    <w:p w14:paraId="66E18893" w14:textId="77777777" w:rsidR="00C01C2B" w:rsidRPr="00565BFF" w:rsidRDefault="00C01C2B" w:rsidP="00C01C2B">
      <w:pPr>
        <w:numPr>
          <w:ilvl w:val="0"/>
          <w:numId w:val="4"/>
        </w:numPr>
        <w:spacing w:line="360" w:lineRule="auto"/>
        <w:contextualSpacing/>
        <w:jc w:val="both"/>
      </w:pPr>
      <w:r>
        <w:rPr>
          <w:rFonts w:hint="cs"/>
          <w:rtl/>
        </w:rPr>
        <w:t>סמים מסוכנים - יושמדו בחלוף תקופת הערעור.</w:t>
      </w:r>
    </w:p>
    <w:p w14:paraId="754163B0" w14:textId="77777777" w:rsidR="00C01C2B" w:rsidRPr="00565BFF" w:rsidRDefault="00C01C2B" w:rsidP="00C01C2B">
      <w:pPr>
        <w:spacing w:line="360" w:lineRule="auto"/>
        <w:jc w:val="both"/>
        <w:rPr>
          <w:rtl/>
        </w:rPr>
      </w:pPr>
    </w:p>
    <w:p w14:paraId="689A538B" w14:textId="77777777" w:rsidR="00C01C2B" w:rsidRDefault="00C01C2B" w:rsidP="00C01C2B">
      <w:pPr>
        <w:spacing w:line="360" w:lineRule="auto"/>
        <w:jc w:val="both"/>
        <w:rPr>
          <w:rtl/>
        </w:rPr>
      </w:pPr>
      <w:r>
        <w:rPr>
          <w:rFonts w:hint="cs"/>
          <w:rtl/>
        </w:rPr>
        <w:t>עותק ההחלטה יועבר לשירות המבחן למבוגרים.</w:t>
      </w:r>
    </w:p>
    <w:p w14:paraId="0383D809" w14:textId="77777777" w:rsidR="00C01C2B" w:rsidRPr="001350E5" w:rsidRDefault="001350E5" w:rsidP="00C01C2B">
      <w:pPr>
        <w:spacing w:line="360" w:lineRule="auto"/>
        <w:jc w:val="both"/>
        <w:rPr>
          <w:color w:val="FFFFFF"/>
          <w:sz w:val="2"/>
          <w:szCs w:val="2"/>
          <w:rtl/>
        </w:rPr>
      </w:pPr>
      <w:r w:rsidRPr="001350E5">
        <w:rPr>
          <w:color w:val="FFFFFF"/>
          <w:sz w:val="2"/>
          <w:szCs w:val="2"/>
          <w:rtl/>
        </w:rPr>
        <w:t>5129371</w:t>
      </w:r>
    </w:p>
    <w:p w14:paraId="74039141" w14:textId="77777777" w:rsidR="00C01C2B" w:rsidRDefault="001350E5" w:rsidP="00C01C2B">
      <w:pPr>
        <w:spacing w:line="360" w:lineRule="auto"/>
        <w:jc w:val="both"/>
        <w:rPr>
          <w:rtl/>
        </w:rPr>
      </w:pPr>
      <w:r w:rsidRPr="001350E5">
        <w:rPr>
          <w:color w:val="FFFFFF"/>
          <w:sz w:val="2"/>
          <w:szCs w:val="2"/>
          <w:rtl/>
        </w:rPr>
        <w:t>54678313</w:t>
      </w:r>
      <w:r w:rsidR="00C01C2B">
        <w:rPr>
          <w:rFonts w:hint="cs"/>
          <w:rtl/>
        </w:rPr>
        <w:t>הודעה זכות ערעור.</w:t>
      </w:r>
    </w:p>
    <w:p w14:paraId="47E86F76" w14:textId="77777777" w:rsidR="00C01C2B" w:rsidRPr="00496A5F" w:rsidRDefault="00C01C2B" w:rsidP="00C01C2B">
      <w:pPr>
        <w:spacing w:line="360" w:lineRule="auto"/>
        <w:jc w:val="both"/>
        <w:rPr>
          <w:rtl/>
        </w:rPr>
      </w:pPr>
    </w:p>
    <w:p w14:paraId="3B08DDA8" w14:textId="77777777" w:rsidR="00C01C2B" w:rsidRDefault="001350E5" w:rsidP="00C01C2B">
      <w:pPr>
        <w:spacing w:line="360" w:lineRule="auto"/>
        <w:jc w:val="both"/>
        <w:rPr>
          <w:rFonts w:ascii="Arial" w:hAnsi="Arial"/>
          <w:rtl/>
        </w:rPr>
      </w:pPr>
      <w:bookmarkStart w:id="8" w:name="Nitan"/>
      <w:r>
        <w:rPr>
          <w:rFonts w:ascii="Arial" w:hAnsi="Arial"/>
          <w:rtl/>
        </w:rPr>
        <w:t xml:space="preserve">ניתנה היום, ו' תשרי תשפ"ד, 21 ספטמבר 2023, בהעדר הצדדים. </w:t>
      </w:r>
      <w:bookmarkEnd w:id="8"/>
    </w:p>
    <w:p w14:paraId="5E2C3D10" w14:textId="77777777" w:rsidR="00C01C2B" w:rsidRDefault="00C01C2B" w:rsidP="00C01C2B">
      <w:pPr>
        <w:spacing w:line="360" w:lineRule="auto"/>
        <w:ind w:left="3600" w:firstLine="720"/>
        <w:jc w:val="center"/>
      </w:pPr>
    </w:p>
    <w:p w14:paraId="622F7025" w14:textId="77777777" w:rsidR="00C01C2B" w:rsidRPr="005548C2" w:rsidRDefault="005548C2" w:rsidP="00C01C2B">
      <w:pPr>
        <w:spacing w:line="360" w:lineRule="auto"/>
        <w:ind w:left="3600" w:firstLine="720"/>
        <w:jc w:val="center"/>
        <w:rPr>
          <w:rFonts w:ascii="Arial" w:hAnsi="Arial"/>
          <w:color w:val="FFFFFF"/>
          <w:sz w:val="2"/>
          <w:szCs w:val="2"/>
          <w:rtl/>
        </w:rPr>
      </w:pPr>
      <w:r w:rsidRPr="005548C2">
        <w:rPr>
          <w:rFonts w:ascii="Arial" w:hAnsi="Arial"/>
          <w:color w:val="FFFFFF"/>
          <w:sz w:val="2"/>
          <w:szCs w:val="2"/>
          <w:rtl/>
        </w:rPr>
        <w:t>5129371</w:t>
      </w:r>
    </w:p>
    <w:p w14:paraId="50EE1368" w14:textId="77777777" w:rsidR="001350E5" w:rsidRDefault="005548C2" w:rsidP="001350E5">
      <w:r w:rsidRPr="005548C2">
        <w:rPr>
          <w:rFonts w:ascii="David" w:hAnsi="David"/>
          <w:color w:val="FFFFFF"/>
          <w:sz w:val="2"/>
          <w:szCs w:val="2"/>
          <w:rtl/>
        </w:rPr>
        <w:t>54678313</w:t>
      </w:r>
    </w:p>
    <w:p w14:paraId="586B600F" w14:textId="77777777" w:rsidR="001350E5" w:rsidRDefault="001350E5" w:rsidP="001350E5">
      <w:pPr>
        <w:rPr>
          <w:rtl/>
        </w:rPr>
      </w:pPr>
    </w:p>
    <w:p w14:paraId="2A511324" w14:textId="77777777" w:rsidR="001350E5" w:rsidRDefault="001350E5" w:rsidP="001350E5">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35810F1" w14:textId="77777777" w:rsidR="005548C2" w:rsidRPr="005548C2" w:rsidRDefault="005548C2" w:rsidP="005548C2">
      <w:pPr>
        <w:keepNext/>
        <w:rPr>
          <w:rFonts w:ascii="David" w:hAnsi="David" w:hint="cs"/>
          <w:color w:val="000000"/>
          <w:sz w:val="22"/>
          <w:szCs w:val="22"/>
          <w:rtl/>
        </w:rPr>
      </w:pPr>
    </w:p>
    <w:p w14:paraId="648E9E41" w14:textId="77777777" w:rsidR="005548C2" w:rsidRPr="005548C2" w:rsidRDefault="005548C2" w:rsidP="005548C2">
      <w:pPr>
        <w:keepNext/>
        <w:rPr>
          <w:rFonts w:ascii="David" w:hAnsi="David"/>
          <w:color w:val="000000"/>
          <w:sz w:val="22"/>
          <w:szCs w:val="22"/>
          <w:rtl/>
        </w:rPr>
      </w:pPr>
      <w:r w:rsidRPr="005548C2">
        <w:rPr>
          <w:rFonts w:ascii="David" w:hAnsi="David"/>
          <w:color w:val="000000"/>
          <w:sz w:val="22"/>
          <w:szCs w:val="22"/>
          <w:rtl/>
        </w:rPr>
        <w:t>רון סולקין 54678313-/</w:t>
      </w:r>
    </w:p>
    <w:p w14:paraId="4E5A0000" w14:textId="77777777" w:rsidR="001350E5" w:rsidRPr="001350E5" w:rsidRDefault="005548C2" w:rsidP="005548C2">
      <w:pPr>
        <w:rPr>
          <w:rFonts w:hint="cs"/>
          <w:color w:val="0000FF"/>
          <w:u w:val="single"/>
        </w:rPr>
      </w:pPr>
      <w:r w:rsidRPr="005548C2">
        <w:rPr>
          <w:color w:val="000000"/>
          <w:u w:val="single"/>
          <w:rtl/>
        </w:rPr>
        <w:t>נוסח מסמך זה כפוף לשינויי ניסוח ועריכה</w:t>
      </w:r>
    </w:p>
    <w:sectPr w:rsidR="001350E5" w:rsidRPr="001350E5" w:rsidSect="005548C2">
      <w:headerReference w:type="even" r:id="rId42"/>
      <w:headerReference w:type="default" r:id="rId43"/>
      <w:footerReference w:type="even" r:id="rId44"/>
      <w:footerReference w:type="default" r:id="rId45"/>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29DD8" w14:textId="77777777" w:rsidR="00026AF1" w:rsidRDefault="00026AF1" w:rsidP="00BA1A56">
      <w:r>
        <w:separator/>
      </w:r>
    </w:p>
  </w:endnote>
  <w:endnote w:type="continuationSeparator" w:id="0">
    <w:p w14:paraId="456CDCB5" w14:textId="77777777" w:rsidR="00026AF1" w:rsidRDefault="00026AF1" w:rsidP="00BA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2C5B3" w14:textId="77777777" w:rsidR="005548C2" w:rsidRDefault="005548C2" w:rsidP="005548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D73506" w14:textId="77777777" w:rsidR="001350E5" w:rsidRPr="005548C2" w:rsidRDefault="005548C2" w:rsidP="005548C2">
    <w:pPr>
      <w:pStyle w:val="a5"/>
      <w:pBdr>
        <w:top w:val="single" w:sz="4" w:space="1" w:color="auto"/>
        <w:between w:val="single" w:sz="4" w:space="0" w:color="auto"/>
      </w:pBdr>
      <w:spacing w:after="60"/>
      <w:jc w:val="center"/>
      <w:rPr>
        <w:rFonts w:ascii="FrankRuehl" w:hAnsi="FrankRuehl" w:cs="FrankRuehl"/>
        <w:color w:val="000000"/>
      </w:rPr>
    </w:pPr>
    <w:r w:rsidRPr="005548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E3716" w14:textId="77777777" w:rsidR="005548C2" w:rsidRDefault="005548C2" w:rsidP="005548C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B1BA7">
      <w:rPr>
        <w:rStyle w:val="a8"/>
        <w:rFonts w:ascii="FrankRuehl" w:hAnsi="FrankRuehl" w:cs="FrankRuehl"/>
        <w:noProof/>
        <w:rtl/>
      </w:rPr>
      <w:t>1</w:t>
    </w:r>
    <w:r>
      <w:rPr>
        <w:rStyle w:val="a8"/>
        <w:rFonts w:ascii="FrankRuehl" w:hAnsi="FrankRuehl" w:cs="FrankRuehl"/>
        <w:rtl/>
      </w:rPr>
      <w:fldChar w:fldCharType="end"/>
    </w:r>
  </w:p>
  <w:p w14:paraId="7083E902" w14:textId="77777777" w:rsidR="00C034C4" w:rsidRPr="005548C2" w:rsidRDefault="005548C2" w:rsidP="005548C2">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5548C2">
      <w:rPr>
        <w:rStyle w:val="a8"/>
        <w:rFonts w:ascii="FrankRuehl" w:hAnsi="FrankRuehl" w:cs="FrankRuehl" w:hint="cs"/>
        <w:color w:val="000000"/>
      </w:rPr>
      <w:pict w14:anchorId="587AB1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1413C" w14:textId="77777777" w:rsidR="00026AF1" w:rsidRDefault="00026AF1" w:rsidP="00BA1A56">
      <w:r>
        <w:separator/>
      </w:r>
    </w:p>
  </w:footnote>
  <w:footnote w:type="continuationSeparator" w:id="0">
    <w:p w14:paraId="76A560D1" w14:textId="77777777" w:rsidR="00026AF1" w:rsidRDefault="00026AF1" w:rsidP="00BA1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037BA" w14:textId="77777777" w:rsidR="001350E5" w:rsidRPr="005548C2" w:rsidRDefault="005548C2" w:rsidP="005548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59165-12-19</w:t>
    </w:r>
    <w:r>
      <w:rPr>
        <w:rFonts w:ascii="David" w:hAnsi="David"/>
        <w:color w:val="000000"/>
        <w:sz w:val="22"/>
        <w:szCs w:val="22"/>
        <w:rtl/>
      </w:rPr>
      <w:tab/>
      <w:t xml:space="preserve"> מדינת ישראל  נ' יאסין בן נבהאן אלסאנע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CD1D2" w14:textId="77777777" w:rsidR="001350E5" w:rsidRPr="005548C2" w:rsidRDefault="005548C2" w:rsidP="005548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59165-12-19</w:t>
    </w:r>
    <w:r>
      <w:rPr>
        <w:rFonts w:ascii="David" w:hAnsi="David"/>
        <w:color w:val="000000"/>
        <w:sz w:val="22"/>
        <w:szCs w:val="22"/>
        <w:rtl/>
      </w:rPr>
      <w:tab/>
      <w:t xml:space="preserve"> מדינת ישראל  נ' יאסין בן נבהאן אלסאנע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806B2"/>
    <w:multiLevelType w:val="hybridMultilevel"/>
    <w:tmpl w:val="6C545F50"/>
    <w:lvl w:ilvl="0" w:tplc="8FFC35D4">
      <w:start w:val="21"/>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7D682D"/>
    <w:multiLevelType w:val="hybridMultilevel"/>
    <w:tmpl w:val="F0440830"/>
    <w:lvl w:ilvl="0" w:tplc="1DB055E6">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87F64D6"/>
    <w:multiLevelType w:val="hybridMultilevel"/>
    <w:tmpl w:val="F5EAC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56147"/>
    <w:multiLevelType w:val="hybridMultilevel"/>
    <w:tmpl w:val="A38CAD84"/>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03652751">
    <w:abstractNumId w:val="0"/>
  </w:num>
  <w:num w:numId="2" w16cid:durableId="1770660638">
    <w:abstractNumId w:val="2"/>
  </w:num>
  <w:num w:numId="3" w16cid:durableId="2121605349">
    <w:abstractNumId w:val="1"/>
  </w:num>
  <w:num w:numId="4" w16cid:durableId="3840640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01C2B"/>
    <w:rsid w:val="00026AF1"/>
    <w:rsid w:val="001350E5"/>
    <w:rsid w:val="001B5A3B"/>
    <w:rsid w:val="003C4010"/>
    <w:rsid w:val="0042423C"/>
    <w:rsid w:val="005548C2"/>
    <w:rsid w:val="006B1BA7"/>
    <w:rsid w:val="007C3E7D"/>
    <w:rsid w:val="008B2BCD"/>
    <w:rsid w:val="008C7C31"/>
    <w:rsid w:val="00993986"/>
    <w:rsid w:val="00BA1A56"/>
    <w:rsid w:val="00BC68AC"/>
    <w:rsid w:val="00BF6CA5"/>
    <w:rsid w:val="00C01C2B"/>
    <w:rsid w:val="00C034C4"/>
    <w:rsid w:val="00F56D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A310A4"/>
  <w15:chartTrackingRefBased/>
  <w15:docId w15:val="{B01A393E-39A7-4DF6-8CB7-A25B00C6D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1C2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01C2B"/>
    <w:pPr>
      <w:tabs>
        <w:tab w:val="center" w:pos="4153"/>
        <w:tab w:val="right" w:pos="8306"/>
      </w:tabs>
    </w:pPr>
  </w:style>
  <w:style w:type="character" w:customStyle="1" w:styleId="a4">
    <w:name w:val="כותרת עליונה תו"/>
    <w:link w:val="a3"/>
    <w:rsid w:val="00C01C2B"/>
    <w:rPr>
      <w:rFonts w:ascii="Times New Roman" w:eastAsia="Times New Roman" w:hAnsi="Times New Roman" w:cs="David"/>
      <w:sz w:val="24"/>
      <w:szCs w:val="24"/>
    </w:rPr>
  </w:style>
  <w:style w:type="paragraph" w:styleId="a5">
    <w:name w:val="footer"/>
    <w:basedOn w:val="a"/>
    <w:link w:val="a6"/>
    <w:rsid w:val="00C01C2B"/>
    <w:pPr>
      <w:tabs>
        <w:tab w:val="center" w:pos="4153"/>
        <w:tab w:val="right" w:pos="8306"/>
      </w:tabs>
    </w:pPr>
  </w:style>
  <w:style w:type="character" w:customStyle="1" w:styleId="a6">
    <w:name w:val="כותרת תחתונה תו"/>
    <w:link w:val="a5"/>
    <w:rsid w:val="00C01C2B"/>
    <w:rPr>
      <w:rFonts w:ascii="Times New Roman" w:eastAsia="Times New Roman" w:hAnsi="Times New Roman" w:cs="David"/>
      <w:sz w:val="24"/>
      <w:szCs w:val="24"/>
    </w:rPr>
  </w:style>
  <w:style w:type="table" w:styleId="a7">
    <w:name w:val="Table Grid"/>
    <w:basedOn w:val="a1"/>
    <w:rsid w:val="00C01C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01C2B"/>
    <w:rPr>
      <w:noProof w:val="0"/>
    </w:rPr>
  </w:style>
  <w:style w:type="paragraph" w:styleId="a9">
    <w:name w:val="List Paragraph"/>
    <w:basedOn w:val="a"/>
    <w:qFormat/>
    <w:rsid w:val="00C01C2B"/>
    <w:pPr>
      <w:ind w:left="720"/>
      <w:contextualSpacing/>
    </w:pPr>
  </w:style>
  <w:style w:type="character" w:styleId="aa">
    <w:name w:val="line number"/>
    <w:rsid w:val="00C01C2B"/>
  </w:style>
  <w:style w:type="character" w:styleId="Hyperlink">
    <w:name w:val="Hyperlink"/>
    <w:rsid w:val="001350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8"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275" TargetMode="External"/><Relationship Id="rId34" Type="http://schemas.openxmlformats.org/officeDocument/2006/relationships/hyperlink" Target="http://www.nevo.co.il/law/703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case/26301928" TargetMode="External"/><Relationship Id="rId2" Type="http://schemas.openxmlformats.org/officeDocument/2006/relationships/styles" Target="styles.xml"/><Relationship Id="rId16" Type="http://schemas.openxmlformats.org/officeDocument/2006/relationships/hyperlink" Target="http://www.nevo.co.il/law/70301/iCcS" TargetMode="External"/><Relationship Id="rId29" Type="http://schemas.openxmlformats.org/officeDocument/2006/relationships/hyperlink" Target="http://www.nevo.co.il/case/272128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hyperlink" Target="http://www.nevo.co.il/law/70301/288a" TargetMode="External"/><Relationship Id="rId40" Type="http://schemas.openxmlformats.org/officeDocument/2006/relationships/hyperlink" Target="http://www.nevo.co.il/law/127622"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82a" TargetMode="External"/><Relationship Id="rId23" Type="http://schemas.openxmlformats.org/officeDocument/2006/relationships/hyperlink" Target="http://www.nevo.co.il/case/27166085" TargetMode="External"/><Relationship Id="rId28" Type="http://schemas.openxmlformats.org/officeDocument/2006/relationships/hyperlink" Target="http://www.nevo.co.il/case/27553335" TargetMode="External"/><Relationship Id="rId36" Type="http://schemas.openxmlformats.org/officeDocument/2006/relationships/hyperlink" Target="http://www.nevo.co.il/law/70301/288"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746917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88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6842867" TargetMode="External"/><Relationship Id="rId35" Type="http://schemas.openxmlformats.org/officeDocument/2006/relationships/hyperlink" Target="http://www.nevo.co.il/law/70301/iCcS" TargetMode="External"/><Relationship Id="rId43"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127622" TargetMode="External"/><Relationship Id="rId25" Type="http://schemas.openxmlformats.org/officeDocument/2006/relationships/hyperlink" Target="http://www.nevo.co.il/case/5763166" TargetMode="External"/><Relationship Id="rId33" Type="http://schemas.openxmlformats.org/officeDocument/2006/relationships/hyperlink" Target="http://www.nevo.co.il/law/127622" TargetMode="External"/><Relationship Id="rId38" Type="http://schemas.openxmlformats.org/officeDocument/2006/relationships/hyperlink" Target="http://www.nevo.co.il/law/70301/382a" TargetMode="External"/><Relationship Id="rId46" Type="http://schemas.openxmlformats.org/officeDocument/2006/relationships/fontTable" Target="fontTable.xml"/><Relationship Id="rId20" Type="http://schemas.openxmlformats.org/officeDocument/2006/relationships/hyperlink" Target="http://www.nevo.co.il/law/421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3781</Words>
  <Characters>18908</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22644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4980820</vt:i4>
      </vt:variant>
      <vt:variant>
        <vt:i4>99</vt:i4>
      </vt:variant>
      <vt:variant>
        <vt:i4>0</vt:i4>
      </vt:variant>
      <vt:variant>
        <vt:i4>5</vt:i4>
      </vt:variant>
      <vt:variant>
        <vt:lpwstr>http://www.nevo.co.il/law/127622</vt:lpwstr>
      </vt:variant>
      <vt:variant>
        <vt:lpwstr/>
      </vt:variant>
      <vt:variant>
        <vt:i4>8257637</vt:i4>
      </vt:variant>
      <vt:variant>
        <vt:i4>96</vt:i4>
      </vt:variant>
      <vt:variant>
        <vt:i4>0</vt:i4>
      </vt:variant>
      <vt:variant>
        <vt:i4>5</vt:i4>
      </vt:variant>
      <vt:variant>
        <vt:lpwstr>http://www.nevo.co.il/law/4216</vt:lpwstr>
      </vt:variant>
      <vt:variant>
        <vt:lpwstr/>
      </vt:variant>
      <vt:variant>
        <vt:i4>786516</vt:i4>
      </vt:variant>
      <vt:variant>
        <vt:i4>93</vt:i4>
      </vt:variant>
      <vt:variant>
        <vt:i4>0</vt:i4>
      </vt:variant>
      <vt:variant>
        <vt:i4>5</vt:i4>
      </vt:variant>
      <vt:variant>
        <vt:lpwstr>http://www.nevo.co.il/law/70301/382a</vt:lpwstr>
      </vt:variant>
      <vt:variant>
        <vt:lpwstr/>
      </vt:variant>
      <vt:variant>
        <vt:i4>786527</vt:i4>
      </vt:variant>
      <vt:variant>
        <vt:i4>90</vt:i4>
      </vt:variant>
      <vt:variant>
        <vt:i4>0</vt:i4>
      </vt:variant>
      <vt:variant>
        <vt:i4>5</vt:i4>
      </vt:variant>
      <vt:variant>
        <vt:lpwstr>http://www.nevo.co.il/law/70301/288a</vt:lpwstr>
      </vt:variant>
      <vt:variant>
        <vt:lpwstr/>
      </vt:variant>
      <vt:variant>
        <vt:i4>7143527</vt:i4>
      </vt:variant>
      <vt:variant>
        <vt:i4>87</vt:i4>
      </vt:variant>
      <vt:variant>
        <vt:i4>0</vt:i4>
      </vt:variant>
      <vt:variant>
        <vt:i4>5</vt:i4>
      </vt:variant>
      <vt:variant>
        <vt:lpwstr>http://www.nevo.co.il/law/70301/288</vt:lpwstr>
      </vt:variant>
      <vt:variant>
        <vt:lpwstr/>
      </vt:variant>
      <vt:variant>
        <vt:i4>4522079</vt:i4>
      </vt:variant>
      <vt:variant>
        <vt:i4>84</vt:i4>
      </vt:variant>
      <vt:variant>
        <vt:i4>0</vt:i4>
      </vt:variant>
      <vt:variant>
        <vt:i4>5</vt:i4>
      </vt:variant>
      <vt:variant>
        <vt:lpwstr>http://www.nevo.co.il/law/70301/iCcS</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4980820</vt:i4>
      </vt:variant>
      <vt:variant>
        <vt:i4>78</vt:i4>
      </vt:variant>
      <vt:variant>
        <vt:i4>0</vt:i4>
      </vt:variant>
      <vt:variant>
        <vt:i4>5</vt:i4>
      </vt:variant>
      <vt:variant>
        <vt:lpwstr>http://www.nevo.co.il/law/127622</vt:lpwstr>
      </vt:variant>
      <vt:variant>
        <vt:lpwstr/>
      </vt:variant>
      <vt:variant>
        <vt:i4>8257637</vt:i4>
      </vt:variant>
      <vt:variant>
        <vt:i4>75</vt:i4>
      </vt:variant>
      <vt:variant>
        <vt:i4>0</vt:i4>
      </vt:variant>
      <vt:variant>
        <vt:i4>5</vt:i4>
      </vt:variant>
      <vt:variant>
        <vt:lpwstr>http://www.nevo.co.il/law/4216</vt:lpwstr>
      </vt:variant>
      <vt:variant>
        <vt:lpwstr/>
      </vt:variant>
      <vt:variant>
        <vt:i4>3670132</vt:i4>
      </vt:variant>
      <vt:variant>
        <vt:i4>72</vt:i4>
      </vt:variant>
      <vt:variant>
        <vt:i4>0</vt:i4>
      </vt:variant>
      <vt:variant>
        <vt:i4>5</vt:i4>
      </vt:variant>
      <vt:variant>
        <vt:lpwstr>http://www.nevo.co.il/case/27469170</vt:lpwstr>
      </vt:variant>
      <vt:variant>
        <vt:lpwstr/>
      </vt:variant>
      <vt:variant>
        <vt:i4>4063358</vt:i4>
      </vt:variant>
      <vt:variant>
        <vt:i4>69</vt:i4>
      </vt:variant>
      <vt:variant>
        <vt:i4>0</vt:i4>
      </vt:variant>
      <vt:variant>
        <vt:i4>5</vt:i4>
      </vt:variant>
      <vt:variant>
        <vt:lpwstr>http://www.nevo.co.il/case/26842867</vt:lpwstr>
      </vt:variant>
      <vt:variant>
        <vt:lpwstr/>
      </vt:variant>
      <vt:variant>
        <vt:i4>3342458</vt:i4>
      </vt:variant>
      <vt:variant>
        <vt:i4>66</vt:i4>
      </vt:variant>
      <vt:variant>
        <vt:i4>0</vt:i4>
      </vt:variant>
      <vt:variant>
        <vt:i4>5</vt:i4>
      </vt:variant>
      <vt:variant>
        <vt:lpwstr>http://www.nevo.co.il/case/27212817</vt:lpwstr>
      </vt:variant>
      <vt:variant>
        <vt:lpwstr/>
      </vt:variant>
      <vt:variant>
        <vt:i4>3604597</vt:i4>
      </vt:variant>
      <vt:variant>
        <vt:i4>63</vt:i4>
      </vt:variant>
      <vt:variant>
        <vt:i4>0</vt:i4>
      </vt:variant>
      <vt:variant>
        <vt:i4>5</vt:i4>
      </vt:variant>
      <vt:variant>
        <vt:lpwstr>http://www.nevo.co.il/case/27553335</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7995492</vt:i4>
      </vt:variant>
      <vt:variant>
        <vt:i4>57</vt:i4>
      </vt:variant>
      <vt:variant>
        <vt:i4>0</vt:i4>
      </vt:variant>
      <vt:variant>
        <vt:i4>5</vt:i4>
      </vt:variant>
      <vt:variant>
        <vt:lpwstr>http://www.nevo.co.il/law/70301</vt:lpwstr>
      </vt:variant>
      <vt:variant>
        <vt:lpwstr/>
      </vt:variant>
      <vt:variant>
        <vt:i4>3407990</vt:i4>
      </vt:variant>
      <vt:variant>
        <vt:i4>54</vt:i4>
      </vt:variant>
      <vt:variant>
        <vt:i4>0</vt:i4>
      </vt:variant>
      <vt:variant>
        <vt:i4>5</vt:i4>
      </vt:variant>
      <vt:variant>
        <vt:lpwstr>http://www.nevo.co.il/case/5763166</vt:lpwstr>
      </vt:variant>
      <vt:variant>
        <vt:lpwstr/>
      </vt:variant>
      <vt:variant>
        <vt:i4>8257637</vt:i4>
      </vt:variant>
      <vt:variant>
        <vt:i4>51</vt:i4>
      </vt:variant>
      <vt:variant>
        <vt:i4>0</vt:i4>
      </vt:variant>
      <vt:variant>
        <vt:i4>5</vt:i4>
      </vt:variant>
      <vt:variant>
        <vt:lpwstr>http://www.nevo.co.il/law/4216</vt:lpwstr>
      </vt:variant>
      <vt:variant>
        <vt:lpwstr/>
      </vt:variant>
      <vt:variant>
        <vt:i4>3997813</vt:i4>
      </vt:variant>
      <vt:variant>
        <vt:i4>48</vt:i4>
      </vt:variant>
      <vt:variant>
        <vt:i4>0</vt:i4>
      </vt:variant>
      <vt:variant>
        <vt:i4>5</vt:i4>
      </vt:variant>
      <vt:variant>
        <vt:lpwstr>http://www.nevo.co.il/case/27166085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6422631</vt:i4>
      </vt:variant>
      <vt:variant>
        <vt:i4>42</vt:i4>
      </vt:variant>
      <vt:variant>
        <vt:i4>0</vt:i4>
      </vt:variant>
      <vt:variant>
        <vt:i4>5</vt:i4>
      </vt:variant>
      <vt:variant>
        <vt:lpwstr>http://www.nevo.co.il/law/70301/275</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4980820</vt:i4>
      </vt:variant>
      <vt:variant>
        <vt:i4>30</vt:i4>
      </vt:variant>
      <vt:variant>
        <vt:i4>0</vt:i4>
      </vt:variant>
      <vt:variant>
        <vt:i4>5</vt:i4>
      </vt:variant>
      <vt:variant>
        <vt:lpwstr>http://www.nevo.co.il/law/127622</vt:lpwstr>
      </vt:variant>
      <vt:variant>
        <vt:lpwstr/>
      </vt:variant>
      <vt:variant>
        <vt:i4>4522079</vt:i4>
      </vt:variant>
      <vt:variant>
        <vt:i4>27</vt:i4>
      </vt:variant>
      <vt:variant>
        <vt:i4>0</vt:i4>
      </vt:variant>
      <vt:variant>
        <vt:i4>5</vt:i4>
      </vt:variant>
      <vt:variant>
        <vt:lpwstr>http://www.nevo.co.il/law/70301/iCcS</vt:lpwstr>
      </vt:variant>
      <vt:variant>
        <vt:lpwstr/>
      </vt:variant>
      <vt:variant>
        <vt:i4>786516</vt:i4>
      </vt:variant>
      <vt:variant>
        <vt:i4>24</vt:i4>
      </vt:variant>
      <vt:variant>
        <vt:i4>0</vt:i4>
      </vt:variant>
      <vt:variant>
        <vt:i4>5</vt:i4>
      </vt:variant>
      <vt:variant>
        <vt:lpwstr>http://www.nevo.co.il/law/70301/382a</vt:lpwstr>
      </vt:variant>
      <vt:variant>
        <vt:lpwstr/>
      </vt:variant>
      <vt:variant>
        <vt:i4>786527</vt:i4>
      </vt:variant>
      <vt:variant>
        <vt:i4>21</vt:i4>
      </vt:variant>
      <vt:variant>
        <vt:i4>0</vt:i4>
      </vt:variant>
      <vt:variant>
        <vt:i4>5</vt:i4>
      </vt:variant>
      <vt:variant>
        <vt:lpwstr>http://www.nevo.co.il/law/70301/288a</vt:lpwstr>
      </vt:variant>
      <vt:variant>
        <vt:lpwstr/>
      </vt:variant>
      <vt:variant>
        <vt:i4>7143527</vt:i4>
      </vt:variant>
      <vt:variant>
        <vt:i4>18</vt:i4>
      </vt:variant>
      <vt:variant>
        <vt:i4>0</vt:i4>
      </vt:variant>
      <vt:variant>
        <vt:i4>5</vt:i4>
      </vt:variant>
      <vt:variant>
        <vt:lpwstr>http://www.nevo.co.il/law/70301/288</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3276923</vt:i4>
      </vt:variant>
      <vt:variant>
        <vt:i4>0</vt:i4>
      </vt:variant>
      <vt:variant>
        <vt:i4>0</vt:i4>
      </vt:variant>
      <vt:variant>
        <vt:i4>5</vt:i4>
      </vt:variant>
      <vt:variant>
        <vt:lpwstr>http://www.nevo.co.il/case/26301928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2025-04-23T00:24:00Z</dcterms:created>
  <dcterms:modified xsi:type="dcterms:W3CDTF">2025-04-23T00:24:00Z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59165</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 </vt:lpwstr>
  </property>
  <property fmtid="{D5CDD505-2E9C-101B-9397-08002B2CF9AE}" pid="9" name="APPELLEE">
    <vt:lpwstr>יאסין בן נבהאן אלסאנע</vt:lpwstr>
  </property>
  <property fmtid="{D5CDD505-2E9C-101B-9397-08002B2CF9AE}" pid="10" name="LAWYER">
    <vt:lpwstr>אינרה פרז;שחאדה אבו מדיעם</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20230921</vt:lpwstr>
  </property>
  <property fmtid="{D5CDD505-2E9C-101B-9397-08002B2CF9AE}" pid="14" name="TYPE_N_DATE">
    <vt:lpwstr>38020230921</vt:lpwstr>
  </property>
  <property fmtid="{D5CDD505-2E9C-101B-9397-08002B2CF9AE}" pid="15" name="WORDNUMPAGES">
    <vt:lpwstr>15</vt:lpwstr>
  </property>
  <property fmtid="{D5CDD505-2E9C-101B-9397-08002B2CF9AE}" pid="16" name="TYPE_ABS_DATE">
    <vt:lpwstr>380020230921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26301928;27166085;5763166;5698919;27553335;27212817;26842867;27469170</vt:lpwstr>
  </property>
  <property fmtid="{D5CDD505-2E9C-101B-9397-08002B2CF9AE}" pid="36" name="LAWLISTTMP1">
    <vt:lpwstr>4216/007.a;007.c</vt:lpwstr>
  </property>
  <property fmtid="{D5CDD505-2E9C-101B-9397-08002B2CF9AE}" pid="37" name="LAWLISTTMP2">
    <vt:lpwstr>70301/275;iCcS;288;288a;382a</vt:lpwstr>
  </property>
  <property fmtid="{D5CDD505-2E9C-101B-9397-08002B2CF9AE}" pid="38" name="LAWLISTTMP3">
    <vt:lpwstr>127622:2</vt:lpwstr>
  </property>
</Properties>
</file>