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870B12" w:rsidRPr="00060B11" w14:paraId="7B9229AF" w14:textId="77777777" w:rsidTr="00583BB9">
        <w:trPr>
          <w:trHeight w:hRule="exact" w:val="418"/>
          <w:jc w:val="center"/>
        </w:trPr>
        <w:tc>
          <w:tcPr>
            <w:tcW w:w="8721" w:type="dxa"/>
            <w:gridSpan w:val="2"/>
          </w:tcPr>
          <w:p w14:paraId="082E8432" w14:textId="77777777" w:rsidR="00870B12" w:rsidRPr="00060B11" w:rsidRDefault="00870B12" w:rsidP="00662025">
            <w:pPr>
              <w:pStyle w:val="a3"/>
              <w:jc w:val="center"/>
              <w:rPr>
                <w:rFonts w:ascii="Tahoma" w:hAnsi="Tahoma" w:cs="Tahoma"/>
                <w:color w:val="000080"/>
                <w:rtl/>
              </w:rPr>
            </w:pPr>
            <w:r w:rsidRPr="00060B11">
              <w:rPr>
                <w:rFonts w:ascii="Tahoma" w:hAnsi="Tahoma" w:cs="Tahoma"/>
                <w:b/>
                <w:bCs/>
                <w:color w:val="000080"/>
                <w:rtl/>
              </w:rPr>
              <w:t>בית משפט השלום בקריות</w:t>
            </w:r>
          </w:p>
        </w:tc>
      </w:tr>
      <w:tr w:rsidR="00870B12" w:rsidRPr="00060B11" w14:paraId="1C377384" w14:textId="77777777" w:rsidTr="00583BB9">
        <w:trPr>
          <w:trHeight w:val="337"/>
          <w:jc w:val="center"/>
        </w:trPr>
        <w:tc>
          <w:tcPr>
            <w:tcW w:w="5055" w:type="dxa"/>
          </w:tcPr>
          <w:p w14:paraId="31560F45" w14:textId="77777777" w:rsidR="00870B12" w:rsidRPr="00060B11" w:rsidRDefault="00870B12" w:rsidP="00662025">
            <w:pPr>
              <w:rPr>
                <w:rFonts w:cs="FrankRuehl"/>
                <w:sz w:val="28"/>
                <w:szCs w:val="28"/>
                <w:rtl/>
              </w:rPr>
            </w:pPr>
            <w:r w:rsidRPr="00060B11">
              <w:rPr>
                <w:rFonts w:cs="FrankRuehl"/>
                <w:sz w:val="28"/>
                <w:szCs w:val="28"/>
                <w:rtl/>
              </w:rPr>
              <w:t>ת"פ</w:t>
            </w:r>
            <w:r w:rsidRPr="00060B11">
              <w:rPr>
                <w:rFonts w:cs="FrankRuehl" w:hint="cs"/>
                <w:sz w:val="28"/>
                <w:szCs w:val="28"/>
                <w:rtl/>
              </w:rPr>
              <w:t xml:space="preserve"> </w:t>
            </w:r>
            <w:hyperlink r:id="rId7" w:history="1">
              <w:r w:rsidR="000879CC" w:rsidRPr="000879CC">
                <w:rPr>
                  <w:rFonts w:cs="FrankRuehl"/>
                  <w:color w:val="0000FF"/>
                  <w:sz w:val="28"/>
                  <w:szCs w:val="28"/>
                  <w:u w:val="single"/>
                  <w:rtl/>
                </w:rPr>
                <w:t xml:space="preserve">10814-01-20 </w:t>
              </w:r>
            </w:hyperlink>
            <w:r w:rsidRPr="00060B11">
              <w:rPr>
                <w:rFonts w:cs="FrankRuehl" w:hint="cs"/>
                <w:sz w:val="28"/>
                <w:szCs w:val="28"/>
                <w:rtl/>
              </w:rPr>
              <w:t xml:space="preserve"> </w:t>
            </w:r>
            <w:r w:rsidRPr="00060B11">
              <w:rPr>
                <w:rFonts w:cs="FrankRuehl"/>
                <w:sz w:val="28"/>
                <w:szCs w:val="28"/>
                <w:rtl/>
              </w:rPr>
              <w:t>משטרת ישראל תביעות- שלוחת זבולון נ' מזרחי</w:t>
            </w:r>
          </w:p>
          <w:p w14:paraId="4D9484BC" w14:textId="77777777" w:rsidR="00870B12" w:rsidRPr="00060B11" w:rsidRDefault="00870B12" w:rsidP="00662025">
            <w:pPr>
              <w:pStyle w:val="a3"/>
              <w:rPr>
                <w:rFonts w:cs="FrankRuehl"/>
                <w:sz w:val="28"/>
                <w:szCs w:val="28"/>
                <w:rtl/>
              </w:rPr>
            </w:pPr>
          </w:p>
        </w:tc>
        <w:tc>
          <w:tcPr>
            <w:tcW w:w="3666" w:type="dxa"/>
          </w:tcPr>
          <w:p w14:paraId="55B502C0" w14:textId="77777777" w:rsidR="00870B12" w:rsidRPr="00060B11" w:rsidRDefault="00870B12" w:rsidP="00662025">
            <w:pPr>
              <w:pStyle w:val="a3"/>
              <w:jc w:val="right"/>
              <w:rPr>
                <w:rFonts w:cs="FrankRuehl"/>
                <w:sz w:val="28"/>
                <w:szCs w:val="28"/>
                <w:rtl/>
              </w:rPr>
            </w:pPr>
          </w:p>
        </w:tc>
      </w:tr>
    </w:tbl>
    <w:p w14:paraId="16575AC9" w14:textId="77777777" w:rsidR="00870B12" w:rsidRPr="00060B11" w:rsidRDefault="00870B12" w:rsidP="00870B12">
      <w:pPr>
        <w:pStyle w:val="a3"/>
        <w:rPr>
          <w:rtl/>
        </w:rPr>
      </w:pPr>
      <w:r w:rsidRPr="00060B11">
        <w:rPr>
          <w:rFonts w:hint="cs"/>
          <w:rtl/>
        </w:rPr>
        <w:t xml:space="preserve"> </w:t>
      </w:r>
    </w:p>
    <w:p w14:paraId="30427D9A" w14:textId="77777777" w:rsidR="00870B12" w:rsidRPr="00060B11" w:rsidRDefault="00870B12" w:rsidP="00870B12">
      <w:pPr>
        <w:rPr>
          <w:rFonts w:ascii="David" w:hAnsi="David"/>
          <w:b/>
          <w:bCs/>
          <w:sz w:val="26"/>
          <w:szCs w:val="26"/>
          <w:rtl/>
        </w:rPr>
      </w:pPr>
    </w:p>
    <w:p w14:paraId="01D959B6" w14:textId="77777777" w:rsidR="00870B12" w:rsidRPr="00060B11" w:rsidRDefault="00870B12" w:rsidP="00870B12">
      <w:pPr>
        <w:rPr>
          <w:rFonts w:ascii="David" w:hAnsi="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70B12" w:rsidRPr="00060B11" w14:paraId="1F84446E" w14:textId="77777777" w:rsidTr="00870B12">
        <w:trPr>
          <w:trHeight w:val="295"/>
          <w:jc w:val="center"/>
        </w:trPr>
        <w:tc>
          <w:tcPr>
            <w:tcW w:w="923" w:type="dxa"/>
            <w:tcBorders>
              <w:top w:val="nil"/>
              <w:left w:val="nil"/>
              <w:bottom w:val="nil"/>
              <w:right w:val="nil"/>
            </w:tcBorders>
            <w:shd w:val="clear" w:color="auto" w:fill="auto"/>
          </w:tcPr>
          <w:p w14:paraId="0A5349A7" w14:textId="77777777" w:rsidR="00870B12" w:rsidRPr="00060B11" w:rsidRDefault="00870B12" w:rsidP="00870B12">
            <w:pPr>
              <w:jc w:val="both"/>
              <w:rPr>
                <w:rFonts w:ascii="David" w:hAnsi="David"/>
                <w:b/>
                <w:bCs/>
                <w:sz w:val="26"/>
                <w:szCs w:val="26"/>
              </w:rPr>
            </w:pPr>
            <w:r w:rsidRPr="00060B11">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83D376E" w14:textId="77777777" w:rsidR="00870B12" w:rsidRPr="00060B11" w:rsidRDefault="00870B12" w:rsidP="00870B12">
            <w:pPr>
              <w:jc w:val="both"/>
              <w:rPr>
                <w:rFonts w:ascii="David" w:hAnsi="David"/>
                <w:b/>
                <w:bCs/>
                <w:sz w:val="26"/>
                <w:szCs w:val="26"/>
              </w:rPr>
            </w:pPr>
            <w:r w:rsidRPr="00060B11">
              <w:rPr>
                <w:rFonts w:ascii="David" w:hAnsi="David"/>
                <w:b/>
                <w:bCs/>
                <w:sz w:val="26"/>
                <w:szCs w:val="26"/>
                <w:rtl/>
              </w:rPr>
              <w:t>כב' השופט יוסי טורס , סגן הנשיא</w:t>
            </w:r>
            <w:r w:rsidRPr="00060B11">
              <w:rPr>
                <w:rFonts w:ascii="David" w:hAnsi="David" w:hint="cs"/>
                <w:b/>
                <w:bCs/>
                <w:sz w:val="26"/>
                <w:szCs w:val="26"/>
                <w:rtl/>
              </w:rPr>
              <w:t>ה</w:t>
            </w:r>
            <w:r w:rsidRPr="00060B11">
              <w:rPr>
                <w:rFonts w:ascii="David" w:hAnsi="David"/>
                <w:b/>
                <w:bCs/>
                <w:sz w:val="26"/>
                <w:szCs w:val="26"/>
                <w:rtl/>
              </w:rPr>
              <w:t xml:space="preserve"> </w:t>
            </w:r>
          </w:p>
        </w:tc>
      </w:tr>
      <w:tr w:rsidR="00870B12" w:rsidRPr="00060B11" w14:paraId="38413841" w14:textId="77777777" w:rsidTr="00870B12">
        <w:trPr>
          <w:trHeight w:val="355"/>
          <w:jc w:val="center"/>
        </w:trPr>
        <w:tc>
          <w:tcPr>
            <w:tcW w:w="923" w:type="dxa"/>
            <w:tcBorders>
              <w:top w:val="nil"/>
              <w:left w:val="nil"/>
              <w:bottom w:val="nil"/>
              <w:right w:val="nil"/>
            </w:tcBorders>
            <w:shd w:val="clear" w:color="auto" w:fill="auto"/>
          </w:tcPr>
          <w:p w14:paraId="3041F379" w14:textId="77777777" w:rsidR="00870B12" w:rsidRPr="00060B11" w:rsidRDefault="00870B12" w:rsidP="00870B12">
            <w:pPr>
              <w:jc w:val="both"/>
              <w:rPr>
                <w:rFonts w:ascii="David" w:hAnsi="David"/>
                <w:b/>
                <w:bCs/>
                <w:sz w:val="26"/>
                <w:szCs w:val="26"/>
              </w:rPr>
            </w:pPr>
            <w:bookmarkStart w:id="0" w:name="LastJudge"/>
            <w:bookmarkEnd w:id="0"/>
          </w:p>
        </w:tc>
        <w:tc>
          <w:tcPr>
            <w:tcW w:w="4126" w:type="dxa"/>
            <w:tcBorders>
              <w:top w:val="nil"/>
              <w:left w:val="nil"/>
              <w:bottom w:val="nil"/>
              <w:right w:val="nil"/>
            </w:tcBorders>
            <w:shd w:val="clear" w:color="auto" w:fill="auto"/>
          </w:tcPr>
          <w:p w14:paraId="6D2635AE" w14:textId="77777777" w:rsidR="00870B12" w:rsidRPr="00060B11" w:rsidRDefault="00870B12" w:rsidP="00662025">
            <w:pPr>
              <w:rPr>
                <w:rFonts w:ascii="David" w:hAnsi="David"/>
                <w:b/>
                <w:bCs/>
                <w:sz w:val="26"/>
                <w:szCs w:val="26"/>
              </w:rPr>
            </w:pPr>
          </w:p>
        </w:tc>
        <w:tc>
          <w:tcPr>
            <w:tcW w:w="3771" w:type="dxa"/>
            <w:tcBorders>
              <w:top w:val="nil"/>
              <w:left w:val="nil"/>
              <w:bottom w:val="nil"/>
              <w:right w:val="nil"/>
            </w:tcBorders>
            <w:shd w:val="clear" w:color="auto" w:fill="auto"/>
          </w:tcPr>
          <w:p w14:paraId="6DE65469" w14:textId="77777777" w:rsidR="00870B12" w:rsidRPr="00060B11" w:rsidRDefault="00870B12" w:rsidP="00870B12">
            <w:pPr>
              <w:jc w:val="both"/>
              <w:rPr>
                <w:rFonts w:ascii="David" w:hAnsi="David"/>
                <w:b/>
                <w:bCs/>
                <w:sz w:val="26"/>
                <w:szCs w:val="26"/>
              </w:rPr>
            </w:pPr>
          </w:p>
        </w:tc>
      </w:tr>
      <w:tr w:rsidR="00870B12" w:rsidRPr="00060B11" w14:paraId="158F1AB6" w14:textId="77777777" w:rsidTr="00870B12">
        <w:trPr>
          <w:trHeight w:val="355"/>
          <w:jc w:val="center"/>
        </w:trPr>
        <w:tc>
          <w:tcPr>
            <w:tcW w:w="923" w:type="dxa"/>
            <w:tcBorders>
              <w:top w:val="nil"/>
              <w:left w:val="nil"/>
              <w:bottom w:val="nil"/>
              <w:right w:val="nil"/>
            </w:tcBorders>
            <w:shd w:val="clear" w:color="auto" w:fill="auto"/>
          </w:tcPr>
          <w:p w14:paraId="3917F60C" w14:textId="77777777" w:rsidR="00870B12" w:rsidRPr="00060B11" w:rsidRDefault="00870B12" w:rsidP="00870B12">
            <w:pPr>
              <w:jc w:val="both"/>
              <w:rPr>
                <w:rFonts w:ascii="David" w:hAnsi="David"/>
                <w:b/>
                <w:bCs/>
                <w:sz w:val="26"/>
                <w:szCs w:val="26"/>
              </w:rPr>
            </w:pPr>
            <w:bookmarkStart w:id="1" w:name="FirstAppellant"/>
            <w:r w:rsidRPr="00060B11">
              <w:rPr>
                <w:rFonts w:ascii="David" w:hAnsi="David"/>
                <w:b/>
                <w:bCs/>
                <w:sz w:val="26"/>
                <w:szCs w:val="26"/>
                <w:rtl/>
              </w:rPr>
              <w:t>בעניין:</w:t>
            </w:r>
          </w:p>
        </w:tc>
        <w:tc>
          <w:tcPr>
            <w:tcW w:w="4126" w:type="dxa"/>
            <w:tcBorders>
              <w:top w:val="nil"/>
              <w:left w:val="nil"/>
              <w:bottom w:val="nil"/>
              <w:right w:val="nil"/>
            </w:tcBorders>
            <w:shd w:val="clear" w:color="auto" w:fill="auto"/>
          </w:tcPr>
          <w:p w14:paraId="6746FB6E" w14:textId="77777777" w:rsidR="00870B12" w:rsidRPr="00060B11" w:rsidRDefault="00870B12" w:rsidP="00662025">
            <w:pPr>
              <w:rPr>
                <w:rFonts w:ascii="David" w:hAnsi="David"/>
                <w:b/>
                <w:bCs/>
                <w:sz w:val="26"/>
                <w:szCs w:val="26"/>
              </w:rPr>
            </w:pPr>
            <w:r w:rsidRPr="00060B11">
              <w:rPr>
                <w:rFonts w:ascii="David" w:hAnsi="David" w:hint="cs"/>
                <w:b/>
                <w:bCs/>
                <w:sz w:val="26"/>
                <w:szCs w:val="26"/>
                <w:rtl/>
              </w:rPr>
              <w:t>מדינת ישראל</w:t>
            </w:r>
          </w:p>
        </w:tc>
        <w:tc>
          <w:tcPr>
            <w:tcW w:w="3771" w:type="dxa"/>
            <w:tcBorders>
              <w:top w:val="nil"/>
              <w:left w:val="nil"/>
              <w:bottom w:val="nil"/>
              <w:right w:val="nil"/>
            </w:tcBorders>
            <w:shd w:val="clear" w:color="auto" w:fill="auto"/>
          </w:tcPr>
          <w:p w14:paraId="29289955" w14:textId="77777777" w:rsidR="00870B12" w:rsidRPr="00060B11" w:rsidRDefault="00870B12" w:rsidP="00870B12">
            <w:pPr>
              <w:jc w:val="right"/>
              <w:rPr>
                <w:rFonts w:ascii="David" w:hAnsi="David"/>
                <w:b/>
                <w:bCs/>
                <w:sz w:val="26"/>
                <w:szCs w:val="26"/>
                <w:rtl/>
              </w:rPr>
            </w:pPr>
            <w:r w:rsidRPr="00060B11">
              <w:rPr>
                <w:rFonts w:ascii="David" w:hAnsi="David"/>
                <w:b/>
                <w:bCs/>
                <w:sz w:val="26"/>
                <w:szCs w:val="26"/>
                <w:rtl/>
              </w:rPr>
              <w:t>המאשימה</w:t>
            </w:r>
          </w:p>
        </w:tc>
      </w:tr>
      <w:bookmarkEnd w:id="1"/>
      <w:tr w:rsidR="00870B12" w:rsidRPr="00060B11" w14:paraId="33653A96" w14:textId="77777777" w:rsidTr="00870B12">
        <w:trPr>
          <w:trHeight w:val="355"/>
          <w:jc w:val="center"/>
        </w:trPr>
        <w:tc>
          <w:tcPr>
            <w:tcW w:w="923" w:type="dxa"/>
            <w:tcBorders>
              <w:top w:val="nil"/>
              <w:left w:val="nil"/>
              <w:bottom w:val="nil"/>
              <w:right w:val="nil"/>
            </w:tcBorders>
            <w:shd w:val="clear" w:color="auto" w:fill="auto"/>
          </w:tcPr>
          <w:p w14:paraId="2E0080E0" w14:textId="77777777" w:rsidR="00870B12" w:rsidRPr="00060B11" w:rsidRDefault="00870B12" w:rsidP="00870B12">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45CD329" w14:textId="77777777" w:rsidR="00870B12" w:rsidRPr="00060B11" w:rsidRDefault="00870B12" w:rsidP="00870B12">
            <w:pPr>
              <w:jc w:val="center"/>
              <w:rPr>
                <w:rFonts w:ascii="David" w:hAnsi="David"/>
                <w:b/>
                <w:bCs/>
                <w:sz w:val="26"/>
                <w:szCs w:val="26"/>
                <w:rtl/>
              </w:rPr>
            </w:pPr>
          </w:p>
          <w:p w14:paraId="581DB82A" w14:textId="77777777" w:rsidR="00870B12" w:rsidRPr="00060B11" w:rsidRDefault="00870B12" w:rsidP="00870B12">
            <w:pPr>
              <w:jc w:val="center"/>
              <w:rPr>
                <w:rFonts w:ascii="David" w:hAnsi="David"/>
                <w:b/>
                <w:bCs/>
                <w:sz w:val="26"/>
                <w:szCs w:val="26"/>
                <w:rtl/>
              </w:rPr>
            </w:pPr>
            <w:r w:rsidRPr="00060B11">
              <w:rPr>
                <w:rFonts w:ascii="David" w:hAnsi="David"/>
                <w:b/>
                <w:bCs/>
                <w:sz w:val="26"/>
                <w:szCs w:val="26"/>
                <w:rtl/>
              </w:rPr>
              <w:t>נגד</w:t>
            </w:r>
          </w:p>
          <w:p w14:paraId="072F0F29" w14:textId="77777777" w:rsidR="00870B12" w:rsidRPr="00060B11" w:rsidRDefault="00870B12" w:rsidP="00870B12">
            <w:pPr>
              <w:jc w:val="both"/>
              <w:rPr>
                <w:rFonts w:ascii="David" w:hAnsi="David"/>
                <w:b/>
                <w:bCs/>
                <w:sz w:val="26"/>
                <w:szCs w:val="26"/>
              </w:rPr>
            </w:pPr>
          </w:p>
        </w:tc>
      </w:tr>
      <w:tr w:rsidR="00870B12" w:rsidRPr="00060B11" w14:paraId="0DFD9D9B" w14:textId="77777777" w:rsidTr="00870B12">
        <w:trPr>
          <w:trHeight w:val="355"/>
          <w:jc w:val="center"/>
        </w:trPr>
        <w:tc>
          <w:tcPr>
            <w:tcW w:w="923" w:type="dxa"/>
            <w:tcBorders>
              <w:top w:val="nil"/>
              <w:left w:val="nil"/>
              <w:bottom w:val="nil"/>
              <w:right w:val="nil"/>
            </w:tcBorders>
            <w:shd w:val="clear" w:color="auto" w:fill="auto"/>
          </w:tcPr>
          <w:p w14:paraId="4D856A27" w14:textId="77777777" w:rsidR="00870B12" w:rsidRPr="00060B11" w:rsidRDefault="00870B12" w:rsidP="00662025">
            <w:pPr>
              <w:rPr>
                <w:rFonts w:ascii="David" w:hAnsi="David"/>
                <w:b/>
                <w:bCs/>
                <w:sz w:val="26"/>
                <w:szCs w:val="26"/>
                <w:rtl/>
              </w:rPr>
            </w:pPr>
          </w:p>
        </w:tc>
        <w:tc>
          <w:tcPr>
            <w:tcW w:w="4126" w:type="dxa"/>
            <w:tcBorders>
              <w:top w:val="nil"/>
              <w:left w:val="nil"/>
              <w:bottom w:val="nil"/>
              <w:right w:val="nil"/>
            </w:tcBorders>
            <w:shd w:val="clear" w:color="auto" w:fill="auto"/>
          </w:tcPr>
          <w:p w14:paraId="124635F5" w14:textId="77777777" w:rsidR="00870B12" w:rsidRPr="00060B11" w:rsidRDefault="00870B12" w:rsidP="00662025">
            <w:pPr>
              <w:rPr>
                <w:rFonts w:ascii="David" w:hAnsi="David"/>
                <w:b/>
                <w:bCs/>
                <w:sz w:val="26"/>
                <w:szCs w:val="26"/>
                <w:rtl/>
              </w:rPr>
            </w:pPr>
          </w:p>
        </w:tc>
        <w:tc>
          <w:tcPr>
            <w:tcW w:w="3771" w:type="dxa"/>
            <w:tcBorders>
              <w:top w:val="nil"/>
              <w:left w:val="nil"/>
              <w:bottom w:val="nil"/>
              <w:right w:val="nil"/>
            </w:tcBorders>
            <w:shd w:val="clear" w:color="auto" w:fill="auto"/>
          </w:tcPr>
          <w:p w14:paraId="2A90BF0A" w14:textId="77777777" w:rsidR="00870B12" w:rsidRPr="00060B11" w:rsidRDefault="00870B12" w:rsidP="00870B12">
            <w:pPr>
              <w:jc w:val="right"/>
              <w:rPr>
                <w:rFonts w:ascii="David" w:hAnsi="David"/>
                <w:b/>
                <w:bCs/>
                <w:sz w:val="26"/>
                <w:szCs w:val="26"/>
              </w:rPr>
            </w:pPr>
          </w:p>
        </w:tc>
      </w:tr>
      <w:tr w:rsidR="00870B12" w:rsidRPr="00060B11" w14:paraId="1C154076" w14:textId="77777777" w:rsidTr="00870B12">
        <w:trPr>
          <w:trHeight w:val="355"/>
          <w:jc w:val="center"/>
        </w:trPr>
        <w:tc>
          <w:tcPr>
            <w:tcW w:w="923" w:type="dxa"/>
            <w:tcBorders>
              <w:top w:val="nil"/>
              <w:left w:val="nil"/>
              <w:bottom w:val="nil"/>
              <w:right w:val="nil"/>
            </w:tcBorders>
            <w:shd w:val="clear" w:color="auto" w:fill="auto"/>
          </w:tcPr>
          <w:p w14:paraId="5593F4E9" w14:textId="77777777" w:rsidR="00870B12" w:rsidRPr="00060B11" w:rsidRDefault="00870B12" w:rsidP="00870B12">
            <w:pPr>
              <w:jc w:val="both"/>
              <w:rPr>
                <w:rFonts w:ascii="David" w:hAnsi="David"/>
                <w:b/>
                <w:bCs/>
                <w:sz w:val="26"/>
                <w:szCs w:val="26"/>
                <w:rtl/>
              </w:rPr>
            </w:pPr>
          </w:p>
        </w:tc>
        <w:tc>
          <w:tcPr>
            <w:tcW w:w="4126" w:type="dxa"/>
            <w:tcBorders>
              <w:top w:val="nil"/>
              <w:left w:val="nil"/>
              <w:bottom w:val="nil"/>
              <w:right w:val="nil"/>
            </w:tcBorders>
            <w:shd w:val="clear" w:color="auto" w:fill="auto"/>
          </w:tcPr>
          <w:p w14:paraId="282771ED" w14:textId="77777777" w:rsidR="00870B12" w:rsidRPr="00060B11" w:rsidRDefault="00870B12" w:rsidP="00870B12">
            <w:pPr>
              <w:jc w:val="both"/>
              <w:rPr>
                <w:rFonts w:ascii="David" w:hAnsi="David"/>
                <w:b/>
                <w:bCs/>
                <w:sz w:val="26"/>
                <w:szCs w:val="26"/>
                <w:rtl/>
              </w:rPr>
            </w:pPr>
            <w:r w:rsidRPr="00060B11">
              <w:rPr>
                <w:rFonts w:ascii="David" w:hAnsi="David"/>
                <w:b/>
                <w:bCs/>
                <w:sz w:val="26"/>
                <w:szCs w:val="26"/>
                <w:rtl/>
              </w:rPr>
              <w:t>דביר מזרחי</w:t>
            </w:r>
          </w:p>
        </w:tc>
        <w:tc>
          <w:tcPr>
            <w:tcW w:w="3771" w:type="dxa"/>
            <w:tcBorders>
              <w:top w:val="nil"/>
              <w:left w:val="nil"/>
              <w:bottom w:val="nil"/>
              <w:right w:val="nil"/>
            </w:tcBorders>
            <w:shd w:val="clear" w:color="auto" w:fill="auto"/>
          </w:tcPr>
          <w:p w14:paraId="0C4A5E6D" w14:textId="77777777" w:rsidR="00870B12" w:rsidRPr="00060B11" w:rsidRDefault="00870B12" w:rsidP="00870B12">
            <w:pPr>
              <w:jc w:val="right"/>
              <w:rPr>
                <w:rFonts w:ascii="David" w:hAnsi="David"/>
                <w:b/>
                <w:bCs/>
                <w:sz w:val="26"/>
                <w:szCs w:val="26"/>
              </w:rPr>
            </w:pPr>
            <w:r w:rsidRPr="00060B11">
              <w:rPr>
                <w:rFonts w:ascii="David" w:hAnsi="David"/>
                <w:b/>
                <w:bCs/>
                <w:sz w:val="26"/>
                <w:szCs w:val="26"/>
                <w:rtl/>
              </w:rPr>
              <w:t>הנאש</w:t>
            </w:r>
            <w:r w:rsidRPr="00060B11">
              <w:rPr>
                <w:rFonts w:ascii="David" w:hAnsi="David" w:hint="cs"/>
                <w:b/>
                <w:bCs/>
                <w:sz w:val="26"/>
                <w:szCs w:val="26"/>
                <w:rtl/>
              </w:rPr>
              <w:t>ם</w:t>
            </w:r>
          </w:p>
        </w:tc>
      </w:tr>
    </w:tbl>
    <w:p w14:paraId="76569F91" w14:textId="77777777" w:rsidR="00583BB9" w:rsidRDefault="00583BB9" w:rsidP="00870B12">
      <w:pPr>
        <w:rPr>
          <w:rFonts w:ascii="David" w:hAnsi="David"/>
          <w:sz w:val="26"/>
          <w:szCs w:val="26"/>
          <w:rtl/>
        </w:rPr>
      </w:pPr>
    </w:p>
    <w:p w14:paraId="7434806C" w14:textId="77777777" w:rsidR="00583BB9" w:rsidRPr="00583BB9" w:rsidRDefault="00583BB9" w:rsidP="00583BB9">
      <w:pPr>
        <w:spacing w:after="120" w:line="240" w:lineRule="exact"/>
        <w:ind w:left="283" w:hanging="283"/>
        <w:jc w:val="both"/>
        <w:rPr>
          <w:rFonts w:ascii="FrankRuehl" w:hAnsi="FrankRuehl" w:cs="FrankRuehl"/>
          <w:rtl/>
        </w:rPr>
      </w:pPr>
    </w:p>
    <w:p w14:paraId="1D2FAE17" w14:textId="77777777" w:rsidR="000879CC" w:rsidRPr="000879CC" w:rsidRDefault="000879CC" w:rsidP="000879CC">
      <w:pPr>
        <w:spacing w:before="120" w:after="120" w:line="240" w:lineRule="exact"/>
        <w:ind w:left="283" w:hanging="283"/>
        <w:jc w:val="both"/>
        <w:rPr>
          <w:rFonts w:ascii="FrankRuehl" w:hAnsi="FrankRuehl" w:cs="FrankRuehl"/>
          <w:rtl/>
        </w:rPr>
      </w:pPr>
    </w:p>
    <w:p w14:paraId="49366FC3" w14:textId="77777777" w:rsidR="00646714" w:rsidRDefault="00646714" w:rsidP="00646714">
      <w:pPr>
        <w:rPr>
          <w:rFonts w:ascii="Arial" w:hAnsi="Arial"/>
          <w:rtl/>
        </w:rPr>
      </w:pPr>
      <w:bookmarkStart w:id="2" w:name="LawTable"/>
      <w:bookmarkEnd w:id="2"/>
    </w:p>
    <w:p w14:paraId="486A69A6" w14:textId="77777777" w:rsidR="00646714" w:rsidRPr="00646714" w:rsidRDefault="00646714" w:rsidP="00646714">
      <w:pPr>
        <w:spacing w:before="120" w:after="120" w:line="240" w:lineRule="exact"/>
        <w:ind w:left="283" w:hanging="283"/>
        <w:jc w:val="both"/>
        <w:rPr>
          <w:rFonts w:ascii="FrankRuehl" w:hAnsi="FrankRuehl" w:cs="FrankRuehl"/>
          <w:rtl/>
        </w:rPr>
      </w:pPr>
    </w:p>
    <w:p w14:paraId="3563EF08" w14:textId="77777777" w:rsidR="00646714" w:rsidRPr="00646714" w:rsidRDefault="00646714" w:rsidP="00646714">
      <w:pPr>
        <w:spacing w:before="120" w:after="120" w:line="240" w:lineRule="exact"/>
        <w:ind w:left="283" w:hanging="283"/>
        <w:jc w:val="both"/>
        <w:rPr>
          <w:rFonts w:ascii="FrankRuehl" w:hAnsi="FrankRuehl" w:cs="FrankRuehl"/>
          <w:rtl/>
        </w:rPr>
      </w:pPr>
    </w:p>
    <w:p w14:paraId="55D5C4B2" w14:textId="77777777" w:rsidR="00646714" w:rsidRPr="00646714" w:rsidRDefault="00646714" w:rsidP="00646714">
      <w:pPr>
        <w:spacing w:before="120" w:after="120" w:line="240" w:lineRule="exact"/>
        <w:ind w:left="283" w:hanging="283"/>
        <w:jc w:val="both"/>
        <w:rPr>
          <w:rFonts w:ascii="FrankRuehl" w:hAnsi="FrankRuehl" w:cs="FrankRuehl"/>
          <w:rtl/>
        </w:rPr>
      </w:pPr>
      <w:r w:rsidRPr="00646714">
        <w:rPr>
          <w:rFonts w:ascii="FrankRuehl" w:hAnsi="FrankRuehl" w:cs="FrankRuehl"/>
          <w:rtl/>
        </w:rPr>
        <w:t xml:space="preserve">חקיקה שאוזכרה: </w:t>
      </w:r>
    </w:p>
    <w:p w14:paraId="04E7C2C0" w14:textId="77777777" w:rsidR="00646714" w:rsidRPr="00646714" w:rsidRDefault="00646714" w:rsidP="00646714">
      <w:pPr>
        <w:spacing w:before="120" w:after="120" w:line="240" w:lineRule="exact"/>
        <w:ind w:left="283" w:hanging="283"/>
        <w:jc w:val="both"/>
        <w:rPr>
          <w:rFonts w:ascii="FrankRuehl" w:hAnsi="FrankRuehl" w:cs="FrankRuehl"/>
          <w:rtl/>
        </w:rPr>
      </w:pPr>
      <w:hyperlink r:id="rId8" w:history="1">
        <w:r w:rsidRPr="00646714">
          <w:rPr>
            <w:rFonts w:ascii="FrankRuehl" w:hAnsi="FrankRuehl" w:cs="FrankRuehl"/>
            <w:color w:val="0000FF"/>
            <w:rtl/>
          </w:rPr>
          <w:t>פקודת הסמים המסוכנים [נוסח חדש], תשל"ג-1973</w:t>
        </w:r>
      </w:hyperlink>
      <w:r w:rsidRPr="00646714">
        <w:rPr>
          <w:rFonts w:ascii="FrankRuehl" w:hAnsi="FrankRuehl" w:cs="FrankRuehl"/>
          <w:rtl/>
        </w:rPr>
        <w:t xml:space="preserve">: סע'  </w:t>
      </w:r>
      <w:hyperlink r:id="rId9" w:history="1">
        <w:r w:rsidRPr="00646714">
          <w:rPr>
            <w:rFonts w:ascii="FrankRuehl" w:hAnsi="FrankRuehl" w:cs="FrankRuehl"/>
            <w:color w:val="0000FF"/>
            <w:rtl/>
          </w:rPr>
          <w:t>6</w:t>
        </w:r>
      </w:hyperlink>
      <w:r w:rsidRPr="00646714">
        <w:rPr>
          <w:rFonts w:ascii="FrankRuehl" w:hAnsi="FrankRuehl" w:cs="FrankRuehl"/>
          <w:rtl/>
        </w:rPr>
        <w:t xml:space="preserve">, </w:t>
      </w:r>
      <w:hyperlink r:id="rId10" w:history="1">
        <w:r w:rsidRPr="00646714">
          <w:rPr>
            <w:rFonts w:ascii="FrankRuehl" w:hAnsi="FrankRuehl" w:cs="FrankRuehl"/>
            <w:color w:val="0000FF"/>
            <w:rtl/>
          </w:rPr>
          <w:t>10</w:t>
        </w:r>
      </w:hyperlink>
    </w:p>
    <w:p w14:paraId="4A26EA4F" w14:textId="77777777" w:rsidR="00646714" w:rsidRPr="00646714" w:rsidRDefault="00646714" w:rsidP="00646714">
      <w:pPr>
        <w:spacing w:before="120" w:after="120" w:line="240" w:lineRule="exact"/>
        <w:ind w:left="283" w:hanging="283"/>
        <w:jc w:val="both"/>
        <w:rPr>
          <w:rFonts w:ascii="FrankRuehl" w:hAnsi="FrankRuehl" w:cs="FrankRuehl"/>
          <w:rtl/>
        </w:rPr>
      </w:pPr>
      <w:hyperlink r:id="rId11" w:history="1">
        <w:r w:rsidRPr="00646714">
          <w:rPr>
            <w:rFonts w:ascii="FrankRuehl" w:hAnsi="FrankRuehl" w:cs="FrankRuehl"/>
            <w:color w:val="0000FF"/>
            <w:rtl/>
          </w:rPr>
          <w:t>חוק העונשין, תשל"ז-1977</w:t>
        </w:r>
      </w:hyperlink>
      <w:r w:rsidRPr="00646714">
        <w:rPr>
          <w:rFonts w:ascii="FrankRuehl" w:hAnsi="FrankRuehl" w:cs="FrankRuehl"/>
          <w:rtl/>
        </w:rPr>
        <w:t xml:space="preserve">: סע'  </w:t>
      </w:r>
      <w:hyperlink r:id="rId12" w:history="1">
        <w:r w:rsidRPr="00646714">
          <w:rPr>
            <w:rFonts w:ascii="FrankRuehl" w:hAnsi="FrankRuehl" w:cs="FrankRuehl"/>
            <w:color w:val="0000FF"/>
            <w:rtl/>
          </w:rPr>
          <w:t>40ד'</w:t>
        </w:r>
      </w:hyperlink>
      <w:r w:rsidRPr="00646714">
        <w:rPr>
          <w:rFonts w:ascii="FrankRuehl" w:hAnsi="FrankRuehl" w:cs="FrankRuehl"/>
          <w:rtl/>
        </w:rPr>
        <w:t xml:space="preserve">, </w:t>
      </w:r>
      <w:hyperlink r:id="rId13" w:history="1">
        <w:r w:rsidRPr="00646714">
          <w:rPr>
            <w:rFonts w:ascii="FrankRuehl" w:hAnsi="FrankRuehl" w:cs="FrankRuehl"/>
            <w:color w:val="0000FF"/>
            <w:rtl/>
          </w:rPr>
          <w:t>40ט'</w:t>
        </w:r>
      </w:hyperlink>
    </w:p>
    <w:p w14:paraId="51F7B922" w14:textId="77777777" w:rsidR="00646714" w:rsidRPr="00646714" w:rsidRDefault="00646714" w:rsidP="00646714">
      <w:pPr>
        <w:spacing w:before="120" w:after="120" w:line="240" w:lineRule="exact"/>
        <w:ind w:left="283" w:hanging="283"/>
        <w:jc w:val="both"/>
        <w:rPr>
          <w:rFonts w:ascii="FrankRuehl" w:hAnsi="FrankRuehl" w:cs="FrankRuehl"/>
          <w:rtl/>
        </w:rPr>
      </w:pPr>
      <w:hyperlink r:id="rId14" w:history="1">
        <w:r w:rsidRPr="00646714">
          <w:rPr>
            <w:rFonts w:ascii="FrankRuehl" w:hAnsi="FrankRuehl" w:cs="FrankRuehl"/>
            <w:color w:val="0000FF"/>
            <w:rtl/>
          </w:rPr>
          <w:t>פקודת המבחן [נוסח חדש], תשכ"ט-1969</w:t>
        </w:r>
      </w:hyperlink>
      <w:r w:rsidRPr="00646714">
        <w:rPr>
          <w:rFonts w:ascii="FrankRuehl" w:hAnsi="FrankRuehl" w:cs="FrankRuehl"/>
          <w:rtl/>
        </w:rPr>
        <w:t xml:space="preserve">: סע'  </w:t>
      </w:r>
      <w:hyperlink r:id="rId15" w:history="1">
        <w:r w:rsidRPr="00646714">
          <w:rPr>
            <w:rFonts w:ascii="FrankRuehl" w:hAnsi="FrankRuehl" w:cs="FrankRuehl"/>
            <w:color w:val="0000FF"/>
            <w:rtl/>
          </w:rPr>
          <w:t>1</w:t>
        </w:r>
      </w:hyperlink>
    </w:p>
    <w:p w14:paraId="27861E6D" w14:textId="77777777" w:rsidR="00646714" w:rsidRPr="00646714" w:rsidRDefault="00646714" w:rsidP="00646714">
      <w:pPr>
        <w:rPr>
          <w:rFonts w:ascii="Arial" w:hAnsi="Arial"/>
          <w:rtl/>
        </w:rPr>
      </w:pPr>
      <w:bookmarkStart w:id="3" w:name="LawTable_End"/>
      <w:bookmarkEnd w:id="3"/>
    </w:p>
    <w:p w14:paraId="5F4A039A" w14:textId="77777777" w:rsidR="00870B12" w:rsidRPr="000879CC" w:rsidRDefault="00870B12" w:rsidP="000879CC">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0B12" w:rsidRPr="002711A7" w14:paraId="6DBC9687" w14:textId="77777777" w:rsidTr="00870B12">
        <w:trPr>
          <w:trHeight w:val="355"/>
          <w:jc w:val="center"/>
        </w:trPr>
        <w:tc>
          <w:tcPr>
            <w:tcW w:w="8820" w:type="dxa"/>
            <w:tcBorders>
              <w:top w:val="nil"/>
              <w:left w:val="nil"/>
              <w:bottom w:val="nil"/>
              <w:right w:val="nil"/>
            </w:tcBorders>
            <w:shd w:val="clear" w:color="auto" w:fill="auto"/>
          </w:tcPr>
          <w:p w14:paraId="35791A24" w14:textId="77777777" w:rsidR="00060B11" w:rsidRPr="00060B11" w:rsidRDefault="00060B11" w:rsidP="00060B11">
            <w:pPr>
              <w:jc w:val="center"/>
              <w:rPr>
                <w:rFonts w:ascii="David" w:hAnsi="David"/>
                <w:b/>
                <w:bCs/>
                <w:sz w:val="28"/>
                <w:szCs w:val="28"/>
                <w:u w:val="single"/>
                <w:rtl/>
              </w:rPr>
            </w:pPr>
            <w:bookmarkStart w:id="4" w:name="PsakDin" w:colFirst="0" w:colLast="0"/>
            <w:r w:rsidRPr="00060B11">
              <w:rPr>
                <w:rFonts w:ascii="David" w:hAnsi="David"/>
                <w:b/>
                <w:bCs/>
                <w:sz w:val="28"/>
                <w:szCs w:val="28"/>
                <w:u w:val="single"/>
                <w:rtl/>
              </w:rPr>
              <w:t>גזר דין</w:t>
            </w:r>
          </w:p>
          <w:p w14:paraId="01EC9FD6" w14:textId="77777777" w:rsidR="00870B12" w:rsidRPr="00060B11" w:rsidRDefault="00870B12" w:rsidP="00060B11">
            <w:pPr>
              <w:jc w:val="center"/>
              <w:rPr>
                <w:rFonts w:ascii="David" w:hAnsi="David"/>
                <w:b/>
                <w:bCs/>
                <w:sz w:val="26"/>
                <w:szCs w:val="26"/>
                <w:u w:val="single"/>
                <w:rtl/>
              </w:rPr>
            </w:pPr>
          </w:p>
        </w:tc>
      </w:tr>
      <w:bookmarkEnd w:id="4"/>
    </w:tbl>
    <w:p w14:paraId="76E7A550" w14:textId="77777777" w:rsidR="00870B12" w:rsidRPr="00B05847" w:rsidRDefault="00870B12" w:rsidP="00870B12">
      <w:pPr>
        <w:rPr>
          <w:rFonts w:ascii="Arial" w:hAnsi="Arial"/>
          <w:rtl/>
        </w:rPr>
      </w:pPr>
    </w:p>
    <w:p w14:paraId="2FBDF0F7" w14:textId="77777777" w:rsidR="00870B12" w:rsidRDefault="00870B12" w:rsidP="00870B12">
      <w:pPr>
        <w:rPr>
          <w:rFonts w:ascii="Arial" w:hAnsi="Arial"/>
          <w:rtl/>
        </w:rPr>
      </w:pPr>
    </w:p>
    <w:p w14:paraId="24D1F3CC" w14:textId="77777777" w:rsidR="00870B12" w:rsidRDefault="00870B12" w:rsidP="00870B12">
      <w:pPr>
        <w:rPr>
          <w:rFonts w:ascii="Arial" w:hAnsi="Arial"/>
          <w:b/>
          <w:bCs/>
          <w:u w:val="single"/>
          <w:rtl/>
        </w:rPr>
      </w:pPr>
      <w:r>
        <w:rPr>
          <w:rFonts w:ascii="Arial" w:hAnsi="Arial" w:hint="cs"/>
          <w:b/>
          <w:bCs/>
          <w:u w:val="single"/>
          <w:rtl/>
        </w:rPr>
        <w:t>כתב האישום וההליכים</w:t>
      </w:r>
    </w:p>
    <w:p w14:paraId="25829833" w14:textId="77777777" w:rsidR="00870B12" w:rsidRDefault="00870B12" w:rsidP="00870B12">
      <w:pPr>
        <w:rPr>
          <w:rFonts w:ascii="Arial" w:hAnsi="Arial"/>
          <w:b/>
          <w:bCs/>
          <w:u w:val="single"/>
          <w:rtl/>
        </w:rPr>
      </w:pPr>
    </w:p>
    <w:p w14:paraId="1E15B41F" w14:textId="77777777" w:rsidR="00870B12" w:rsidRDefault="00870B12" w:rsidP="00870B12">
      <w:pPr>
        <w:pStyle w:val="a9"/>
        <w:numPr>
          <w:ilvl w:val="0"/>
          <w:numId w:val="1"/>
        </w:numPr>
        <w:spacing w:line="360" w:lineRule="auto"/>
        <w:jc w:val="both"/>
        <w:rPr>
          <w:rFonts w:ascii="Arial" w:hAnsi="Arial"/>
        </w:rPr>
      </w:pPr>
      <w:bookmarkStart w:id="5" w:name="ABSTRACT_START"/>
      <w:bookmarkEnd w:id="5"/>
      <w:r>
        <w:rPr>
          <w:rtl/>
        </w:rPr>
        <w:t>הנאשם הורשע על פי הודאתו</w:t>
      </w:r>
      <w:r>
        <w:rPr>
          <w:rFonts w:hint="cs"/>
          <w:rtl/>
        </w:rPr>
        <w:t xml:space="preserve"> בכתב אישום מתוקן</w:t>
      </w:r>
      <w:r>
        <w:rPr>
          <w:rtl/>
        </w:rPr>
        <w:t xml:space="preserve"> בעבירות של גידול, ייצור והכנת סמים מסוכנים, לפי </w:t>
      </w:r>
      <w:hyperlink r:id="rId16" w:history="1">
        <w:r w:rsidR="00583BB9" w:rsidRPr="00583BB9">
          <w:rPr>
            <w:rStyle w:val="Hyperlink"/>
            <w:rFonts w:cs="David"/>
            <w:rtl/>
          </w:rPr>
          <w:t>סעיף 6</w:t>
        </w:r>
      </w:hyperlink>
      <w:r>
        <w:rPr>
          <w:rtl/>
        </w:rPr>
        <w:t xml:space="preserve"> ל</w:t>
      </w:r>
      <w:hyperlink r:id="rId17" w:history="1">
        <w:r w:rsidR="00060B11" w:rsidRPr="00060B11">
          <w:rPr>
            <w:color w:val="0000FF"/>
            <w:u w:val="single"/>
            <w:rtl/>
          </w:rPr>
          <w:t>פקודת הסמים המסוכנים</w:t>
        </w:r>
      </w:hyperlink>
      <w:r>
        <w:rPr>
          <w:rtl/>
        </w:rPr>
        <w:t xml:space="preserve"> [נוסח חדש], תשל"ג- 1973 (להלן –  </w:t>
      </w:r>
      <w:r>
        <w:rPr>
          <w:rFonts w:cs="Miriam"/>
          <w:rtl/>
        </w:rPr>
        <w:t>פקודת הסמים</w:t>
      </w:r>
      <w:r>
        <w:rPr>
          <w:rtl/>
        </w:rPr>
        <w:t>)</w:t>
      </w:r>
      <w:r>
        <w:rPr>
          <w:rFonts w:hint="cs"/>
          <w:rtl/>
        </w:rPr>
        <w:t xml:space="preserve"> וכן </w:t>
      </w:r>
      <w:r>
        <w:rPr>
          <w:rtl/>
        </w:rPr>
        <w:t xml:space="preserve">החזקת כלים להכנת סם שלא לצריכה עצמית, </w:t>
      </w:r>
      <w:r>
        <w:rPr>
          <w:rFonts w:hint="cs"/>
          <w:rtl/>
        </w:rPr>
        <w:t xml:space="preserve">עבירה </w:t>
      </w:r>
      <w:r>
        <w:rPr>
          <w:rtl/>
        </w:rPr>
        <w:t xml:space="preserve">לפי </w:t>
      </w:r>
      <w:hyperlink r:id="rId18" w:history="1">
        <w:r w:rsidR="00583BB9" w:rsidRPr="00583BB9">
          <w:rPr>
            <w:rStyle w:val="Hyperlink"/>
            <w:rFonts w:cs="David"/>
            <w:rtl/>
          </w:rPr>
          <w:t>סעיף 10</w:t>
        </w:r>
      </w:hyperlink>
      <w:r>
        <w:rPr>
          <w:rtl/>
        </w:rPr>
        <w:t xml:space="preserve"> רישא לפקודת הסמים</w:t>
      </w:r>
      <w:r>
        <w:rPr>
          <w:rFonts w:hint="cs"/>
          <w:rtl/>
        </w:rPr>
        <w:t xml:space="preserve">. על פי עובדות כתב האישום המתוקן, ביום 8.9.19 שכר הנאשם דירה לשם גידול הסמים (להלן </w:t>
      </w:r>
      <w:r>
        <w:rPr>
          <w:rtl/>
        </w:rPr>
        <w:t>–</w:t>
      </w:r>
      <w:r>
        <w:rPr>
          <w:rFonts w:hint="cs"/>
          <w:rtl/>
        </w:rPr>
        <w:t xml:space="preserve"> </w:t>
      </w:r>
      <w:r w:rsidRPr="00046524">
        <w:rPr>
          <w:rFonts w:ascii="Stencil" w:hAnsi="Stencil" w:cs="Miriam"/>
          <w:rtl/>
        </w:rPr>
        <w:t>הדירה</w:t>
      </w:r>
      <w:r>
        <w:rPr>
          <w:rFonts w:hint="cs"/>
          <w:rtl/>
        </w:rPr>
        <w:t xml:space="preserve">), וצייד אותה בכלים לגידול והפקת סמים ובכלל זה 5 מנורות, 5 שנאים, 2 מפוחים, מאוורר, שעון מפסק שבת ו-44 דליים. בהמשך, ביום 23.12.19 גידל הנאשם בדירה 44 שתילים של סם מסוכן מסוג קנבוס, במשקל כולל של 13.86 ק"ג נטו. </w:t>
      </w:r>
    </w:p>
    <w:p w14:paraId="41ABC9B3" w14:textId="77777777" w:rsidR="00870B12" w:rsidRPr="00046524" w:rsidRDefault="00870B12" w:rsidP="00870B12">
      <w:pPr>
        <w:pStyle w:val="a9"/>
        <w:ind w:left="0"/>
        <w:jc w:val="both"/>
        <w:rPr>
          <w:rFonts w:ascii="Arial" w:hAnsi="Arial"/>
        </w:rPr>
      </w:pPr>
    </w:p>
    <w:p w14:paraId="7665B9F5" w14:textId="77777777" w:rsidR="00870B12" w:rsidRDefault="00870B12" w:rsidP="00870B12">
      <w:pPr>
        <w:pStyle w:val="a9"/>
        <w:numPr>
          <w:ilvl w:val="0"/>
          <w:numId w:val="1"/>
        </w:numPr>
        <w:spacing w:line="360" w:lineRule="auto"/>
        <w:jc w:val="both"/>
        <w:rPr>
          <w:rFonts w:ascii="Arial" w:hAnsi="Arial"/>
        </w:rPr>
      </w:pPr>
      <w:bookmarkStart w:id="6" w:name="ABSTRACT_END"/>
      <w:bookmarkEnd w:id="6"/>
      <w:r w:rsidRPr="00046524">
        <w:rPr>
          <w:rFonts w:ascii="David" w:hAnsi="David"/>
          <w:rtl/>
        </w:rPr>
        <w:t xml:space="preserve">הודאת </w:t>
      </w:r>
      <w:r>
        <w:rPr>
          <w:rFonts w:ascii="David" w:hAnsi="David" w:hint="cs"/>
          <w:rtl/>
        </w:rPr>
        <w:t>הנאשם</w:t>
      </w:r>
      <w:r w:rsidRPr="00046524">
        <w:rPr>
          <w:rFonts w:ascii="David" w:hAnsi="David"/>
          <w:rtl/>
        </w:rPr>
        <w:t xml:space="preserve"> באה במסגרת הסדר טיעון שכלל תיקון כתב האישום וכן הסכמה עונשית לפיה תעתור המאשימה לעונש בן </w:t>
      </w:r>
      <w:r>
        <w:rPr>
          <w:rFonts w:ascii="David" w:hAnsi="David" w:hint="cs"/>
          <w:rtl/>
        </w:rPr>
        <w:t>13</w:t>
      </w:r>
      <w:r>
        <w:rPr>
          <w:rFonts w:ascii="David" w:hAnsi="David"/>
          <w:rtl/>
        </w:rPr>
        <w:t xml:space="preserve"> חודש</w:t>
      </w:r>
      <w:r>
        <w:rPr>
          <w:rFonts w:ascii="David" w:hAnsi="David" w:hint="cs"/>
          <w:rtl/>
        </w:rPr>
        <w:t>י מאסר,</w:t>
      </w:r>
      <w:r w:rsidRPr="00046524">
        <w:rPr>
          <w:rFonts w:ascii="David" w:hAnsi="David"/>
          <w:rtl/>
        </w:rPr>
        <w:t xml:space="preserve"> ואילו </w:t>
      </w:r>
      <w:r>
        <w:rPr>
          <w:rFonts w:ascii="David" w:hAnsi="David" w:hint="cs"/>
          <w:rtl/>
        </w:rPr>
        <w:t>הנאשם</w:t>
      </w:r>
      <w:r>
        <w:rPr>
          <w:rFonts w:ascii="David" w:hAnsi="David"/>
          <w:rtl/>
        </w:rPr>
        <w:t xml:space="preserve"> יהי</w:t>
      </w:r>
      <w:r>
        <w:rPr>
          <w:rFonts w:ascii="David" w:hAnsi="David" w:hint="cs"/>
          <w:rtl/>
        </w:rPr>
        <w:t>ה</w:t>
      </w:r>
      <w:r>
        <w:rPr>
          <w:rFonts w:ascii="David" w:hAnsi="David"/>
          <w:rtl/>
        </w:rPr>
        <w:t xml:space="preserve"> רשאי</w:t>
      </w:r>
      <w:r w:rsidRPr="00046524">
        <w:rPr>
          <w:rFonts w:ascii="David" w:hAnsi="David"/>
          <w:rtl/>
        </w:rPr>
        <w:t xml:space="preserve"> לטעון לעונש באופן חופשי</w:t>
      </w:r>
      <w:r>
        <w:rPr>
          <w:rFonts w:ascii="Arial" w:hAnsi="Arial" w:hint="cs"/>
          <w:rtl/>
        </w:rPr>
        <w:t xml:space="preserve">. כן הוסכם על הפניית הנאשם לשירות המבחן לצורך עריכת תסקיר בעניינו, שמסקנותיו לא יחייבו את המאשימה. </w:t>
      </w:r>
    </w:p>
    <w:p w14:paraId="379BD55B" w14:textId="77777777" w:rsidR="00870B12" w:rsidRPr="002C2B7A" w:rsidRDefault="00870B12" w:rsidP="00870B12">
      <w:pPr>
        <w:pStyle w:val="a9"/>
        <w:rPr>
          <w:rFonts w:ascii="Arial" w:hAnsi="Arial"/>
          <w:rtl/>
        </w:rPr>
      </w:pPr>
    </w:p>
    <w:p w14:paraId="7054C684" w14:textId="77777777" w:rsidR="00870B12" w:rsidRDefault="00870B12" w:rsidP="00870B12">
      <w:pPr>
        <w:pStyle w:val="a9"/>
        <w:spacing w:line="360" w:lineRule="auto"/>
        <w:ind w:left="0"/>
        <w:jc w:val="both"/>
        <w:rPr>
          <w:rFonts w:ascii="Arial" w:hAnsi="Arial"/>
          <w:b/>
          <w:bCs/>
          <w:u w:val="single"/>
          <w:rtl/>
        </w:rPr>
      </w:pPr>
      <w:r>
        <w:rPr>
          <w:rFonts w:ascii="Arial" w:hAnsi="Arial"/>
          <w:b/>
          <w:bCs/>
          <w:u w:val="single"/>
          <w:rtl/>
        </w:rPr>
        <w:t>תסקיר</w:t>
      </w:r>
      <w:r>
        <w:rPr>
          <w:rFonts w:ascii="Arial" w:hAnsi="Arial" w:hint="cs"/>
          <w:b/>
          <w:bCs/>
          <w:u w:val="single"/>
          <w:rtl/>
        </w:rPr>
        <w:t>י</w:t>
      </w:r>
      <w:r>
        <w:rPr>
          <w:rFonts w:ascii="Arial" w:hAnsi="Arial"/>
          <w:b/>
          <w:bCs/>
          <w:u w:val="single"/>
          <w:rtl/>
        </w:rPr>
        <w:t xml:space="preserve"> שירות המבחן</w:t>
      </w:r>
    </w:p>
    <w:p w14:paraId="7F50BA93" w14:textId="77777777" w:rsidR="00870B12" w:rsidRPr="008877AA" w:rsidRDefault="00870B12" w:rsidP="00870B12">
      <w:pPr>
        <w:pStyle w:val="a9"/>
        <w:ind w:left="0"/>
        <w:jc w:val="both"/>
        <w:rPr>
          <w:rFonts w:ascii="Arial" w:hAnsi="Arial"/>
          <w:b/>
          <w:bCs/>
          <w:u w:val="single"/>
        </w:rPr>
      </w:pPr>
    </w:p>
    <w:p w14:paraId="571286B9" w14:textId="77777777" w:rsidR="00870B12" w:rsidRDefault="00870B12" w:rsidP="00870B12">
      <w:pPr>
        <w:pStyle w:val="a9"/>
        <w:numPr>
          <w:ilvl w:val="0"/>
          <w:numId w:val="1"/>
        </w:numPr>
        <w:spacing w:line="360" w:lineRule="auto"/>
        <w:jc w:val="both"/>
        <w:rPr>
          <w:rFonts w:ascii="Arial" w:hAnsi="Arial"/>
        </w:rPr>
      </w:pPr>
      <w:r>
        <w:rPr>
          <w:rFonts w:ascii="Arial" w:hAnsi="Arial" w:hint="cs"/>
          <w:rtl/>
        </w:rPr>
        <w:t xml:space="preserve">שירות המבחן הגיש שני תסקירים בעניינו של הנאשם מהן עולה כי מדובר באדם כבן 29, נעדר עבר פלילי, פרוד מאשתו ואב לילדה בת כשנה. </w:t>
      </w:r>
      <w:r>
        <w:rPr>
          <w:rtl/>
        </w:rPr>
        <w:t>שירות המבחן פירט את נסיבות חייו של הנאשם</w:t>
      </w:r>
      <w:r>
        <w:rPr>
          <w:rFonts w:hint="cs"/>
          <w:rtl/>
        </w:rPr>
        <w:t>,</w:t>
      </w:r>
      <w:r>
        <w:rPr>
          <w:rtl/>
        </w:rPr>
        <w:t xml:space="preserve"> ומפאת צנעת הפרט לא אחזור על הדברים.</w:t>
      </w:r>
      <w:r>
        <w:rPr>
          <w:rFonts w:ascii="Arial" w:hAnsi="Arial" w:hint="cs"/>
          <w:rtl/>
        </w:rPr>
        <w:t xml:space="preserve"> הנאשם קיבל אחריות על מעשיו וציין כי לאחר שחרורו מהצבא החל להשתמש בסמים על בסיס יומי. הנאשם שיתף על אודות בעיית חרדה ממנה הוא סובל והוא שולב במסגרת פיקוח מעצרים בטיפול התנהגותי- קוגניטיב</w:t>
      </w:r>
      <w:r>
        <w:rPr>
          <w:rFonts w:ascii="Arial" w:hAnsi="Arial" w:hint="eastAsia"/>
          <w:rtl/>
        </w:rPr>
        <w:t>י</w:t>
      </w:r>
      <w:r>
        <w:rPr>
          <w:rFonts w:ascii="Arial" w:hAnsi="Arial" w:hint="cs"/>
          <w:rtl/>
        </w:rPr>
        <w:t xml:space="preserve">, וכן נדרש למסור בדיקות שתן. בתחילה הוצגה בדיקת שתן ובה שרידי סם, אך בדיקות מאוחרות נמצאו נקיות. התרשמות גורמי המקצוע הייתה שהנאשם מפגין מוטיבציה גבוהה לטיפול ומשתף פעולה כנדרש. קצינת המבחן התרשמה כי הנאשם אינו בעל דפוסי חשיבה והתנהגות עבריינים וכי הוא מגלה נכונות להשתלב בטיפול. צוין כי לא ניתן לשלול סיכון להישנות עבירות דומות בעתיד, אך שילובו בטיפול עשוי להפחית סיכון זה. לפיכך, שולב הנאשם בטיפול כאמור, ונטל חלק ב-17 מפגשים פרטניים. מדיווח שהתקבל עלה כי הנאשם התנהל ברצינות, באחריות ובהתמדה, הביע מוטיבציה גבוהה לשינוי ובסיום התהליך הטיפולי התרשמה קצינת המבחן מהפחתה ברמת הסיכון להישנות עבירות בעתיד. לאור כל זאת, המליץ שירות המבחן על העדפת הפן השיקומי בעניינו של הנאשם, תוך העמדתו בצו מבחן למשך שנה, וענישה מרתיעה בדמות מאסר לריצוי בדרך של עבודות שירות בהיקף מצומצם. </w:t>
      </w:r>
    </w:p>
    <w:p w14:paraId="7CC741A4" w14:textId="77777777" w:rsidR="00870B12" w:rsidRDefault="00870B12" w:rsidP="00870B12">
      <w:pPr>
        <w:pStyle w:val="a9"/>
        <w:ind w:left="0"/>
        <w:jc w:val="both"/>
        <w:rPr>
          <w:rFonts w:ascii="Arial" w:hAnsi="Arial"/>
        </w:rPr>
      </w:pPr>
    </w:p>
    <w:p w14:paraId="032E3A00" w14:textId="77777777" w:rsidR="00870B12" w:rsidRDefault="00870B12" w:rsidP="00870B12">
      <w:pPr>
        <w:spacing w:line="360" w:lineRule="auto"/>
        <w:jc w:val="both"/>
        <w:rPr>
          <w:b/>
          <w:bCs/>
          <w:u w:val="single"/>
        </w:rPr>
      </w:pPr>
      <w:r>
        <w:rPr>
          <w:b/>
          <w:bCs/>
          <w:u w:val="single"/>
          <w:rtl/>
        </w:rPr>
        <w:t>טיעוני הצדדים לעונש והראיות</w:t>
      </w:r>
    </w:p>
    <w:p w14:paraId="1F73CA93" w14:textId="77777777" w:rsidR="00870B12" w:rsidRDefault="00870B12" w:rsidP="00870B12">
      <w:pPr>
        <w:pStyle w:val="a9"/>
        <w:ind w:left="0"/>
        <w:jc w:val="both"/>
        <w:rPr>
          <w:rFonts w:ascii="Arial" w:hAnsi="Arial"/>
        </w:rPr>
      </w:pPr>
    </w:p>
    <w:p w14:paraId="382F2233" w14:textId="77777777" w:rsidR="00870B12" w:rsidRDefault="00870B12" w:rsidP="00870B12">
      <w:pPr>
        <w:pStyle w:val="a9"/>
        <w:numPr>
          <w:ilvl w:val="0"/>
          <w:numId w:val="1"/>
        </w:numPr>
        <w:spacing w:line="360" w:lineRule="auto"/>
        <w:jc w:val="both"/>
        <w:rPr>
          <w:rFonts w:ascii="Arial" w:hAnsi="Arial"/>
        </w:rPr>
      </w:pPr>
      <w:r>
        <w:rPr>
          <w:rtl/>
        </w:rPr>
        <w:t>ב"כ המאשימה הפנ</w:t>
      </w:r>
      <w:r>
        <w:rPr>
          <w:rFonts w:hint="cs"/>
          <w:rtl/>
        </w:rPr>
        <w:t>ה</w:t>
      </w:r>
      <w:r>
        <w:rPr>
          <w:rtl/>
        </w:rPr>
        <w:t xml:space="preserve"> לעובדות כתב האישום והדגיש את חומרת העבירות</w:t>
      </w:r>
      <w:r>
        <w:rPr>
          <w:rFonts w:ascii="Arial" w:hAnsi="Arial" w:hint="cs"/>
          <w:rtl/>
        </w:rPr>
        <w:t xml:space="preserve">. </w:t>
      </w:r>
      <w:r>
        <w:rPr>
          <w:rtl/>
        </w:rPr>
        <w:t>ביחס לתסקיר נטען כי נתוני הנאשם אינם מצדיקים סטייה לקולה משיקולי שיקום</w:t>
      </w:r>
      <w:r>
        <w:rPr>
          <w:rFonts w:hint="cs"/>
          <w:rtl/>
        </w:rPr>
        <w:t xml:space="preserve"> </w:t>
      </w:r>
      <w:r>
        <w:rPr>
          <w:rtl/>
        </w:rPr>
        <w:t>ויש להעדיף את האינטרס הציבורי</w:t>
      </w:r>
      <w:r>
        <w:rPr>
          <w:rFonts w:hint="cs"/>
          <w:rtl/>
        </w:rPr>
        <w:t xml:space="preserve"> ואת שיקול ההרתעה. נטען כי מדובר בדירה ששכר הנאשם לצורך גידול הסמים, ויש לקבוע מתחם הנע בין 12 חודשי מאסר בפועל ועד 24 חודשי מאסר בפועל. המאשימה עתרה לעונש בחלקו התחתון של המתחם, הכולל מאסר בפועל למשך 13 חודשים, מאסר על תנאי, קנס ופסילת רישיון. </w:t>
      </w:r>
    </w:p>
    <w:p w14:paraId="033FE33C" w14:textId="77777777" w:rsidR="00870B12" w:rsidRPr="00734773" w:rsidRDefault="00870B12" w:rsidP="00870B12">
      <w:pPr>
        <w:pStyle w:val="a9"/>
        <w:ind w:left="0"/>
        <w:jc w:val="both"/>
        <w:rPr>
          <w:rFonts w:ascii="Arial" w:hAnsi="Arial"/>
        </w:rPr>
      </w:pPr>
    </w:p>
    <w:p w14:paraId="44FD2D11" w14:textId="77777777" w:rsidR="00870B12" w:rsidRDefault="00870B12" w:rsidP="00870B12">
      <w:pPr>
        <w:pStyle w:val="a9"/>
        <w:numPr>
          <w:ilvl w:val="0"/>
          <w:numId w:val="1"/>
        </w:numPr>
        <w:spacing w:line="360" w:lineRule="auto"/>
        <w:jc w:val="both"/>
        <w:rPr>
          <w:rFonts w:ascii="Arial" w:hAnsi="Arial"/>
        </w:rPr>
      </w:pPr>
      <w:r>
        <w:rPr>
          <w:rFonts w:ascii="Arial" w:hAnsi="Arial" w:hint="cs"/>
          <w:rtl/>
        </w:rPr>
        <w:t xml:space="preserve">ההגנה הגישה תמונה של הכלים שנתפסו בדירה ונטען כי מדובר בהיקף גידול קטן במיוחד, שהתפרש על פני תקופה של כשלושה חודשים בלבד. נטען כי מדובר בנאשם נעדר עבר פלילי, שהודה עוד בחקירתו במשטרה, חסך זמן שיפוטי רב וקיבל אחריות למעשיו. כן צוין שהנאשם שהה בתנאי מעצר בית מלא משך כחמישה חודשים ללא כל הפרות, וכי כיום הוא עובד לפרנסתו. נטען עוד שמדובר בנאשם שגדל בנסיבות חיים מורכבות, וכיום הוא מטופל, מוסר בדיקות שתן נקיות </w:t>
      </w:r>
      <w:r>
        <w:rPr>
          <w:rFonts w:ascii="Arial" w:hAnsi="Arial" w:hint="cs"/>
          <w:rtl/>
        </w:rPr>
        <w:lastRenderedPageBreak/>
        <w:t xml:space="preserve">והפרוגנוזה בעניינו חיובית. ביחס למתחם העונש ההולם הוגשה פסיקה וההגנה עתרה למתחם הנע בין של"צ ועד 9 חודשי מאסר לריצוי בדרך של עבודות שירות. בכל מקרה, עתרה ההגנה לאמץ את המלצות התסקיר, להעדיף את שיקולי השיקום בעניינו של הנאשם, וככל שהדבר נדרש, אף לחרוג מהמתחם בשל כך. </w:t>
      </w:r>
    </w:p>
    <w:p w14:paraId="3FB6CED4" w14:textId="77777777" w:rsidR="00870B12" w:rsidRPr="00E34D97" w:rsidRDefault="00870B12" w:rsidP="00870B12">
      <w:pPr>
        <w:pStyle w:val="a9"/>
        <w:ind w:left="0"/>
        <w:jc w:val="both"/>
        <w:rPr>
          <w:rFonts w:ascii="Arial" w:hAnsi="Arial"/>
        </w:rPr>
      </w:pPr>
    </w:p>
    <w:p w14:paraId="632969D7" w14:textId="77777777" w:rsidR="00870B12" w:rsidRDefault="00870B12" w:rsidP="00870B12">
      <w:pPr>
        <w:pStyle w:val="a9"/>
        <w:numPr>
          <w:ilvl w:val="0"/>
          <w:numId w:val="1"/>
        </w:numPr>
        <w:spacing w:line="360" w:lineRule="auto"/>
        <w:jc w:val="both"/>
        <w:rPr>
          <w:rFonts w:ascii="Arial" w:hAnsi="Arial"/>
        </w:rPr>
      </w:pPr>
      <w:r>
        <w:rPr>
          <w:rFonts w:ascii="Arial" w:hAnsi="Arial" w:hint="cs"/>
          <w:rtl/>
        </w:rPr>
        <w:t xml:space="preserve">הנאשם בדברו האחרון הביע חרטה, קיבל אחריות למעשיו וציין שלא ישוב עליהם. </w:t>
      </w:r>
    </w:p>
    <w:p w14:paraId="46CE3A3E" w14:textId="77777777" w:rsidR="00870B12" w:rsidRPr="00E34D97" w:rsidRDefault="00870B12" w:rsidP="00870B12">
      <w:pPr>
        <w:pStyle w:val="a9"/>
        <w:ind w:left="0"/>
        <w:jc w:val="both"/>
        <w:rPr>
          <w:rFonts w:ascii="Arial" w:hAnsi="Arial"/>
          <w:rtl/>
        </w:rPr>
      </w:pPr>
    </w:p>
    <w:p w14:paraId="709D2DE5" w14:textId="77777777" w:rsidR="00870B12" w:rsidRPr="005D0A5D" w:rsidRDefault="00870B12" w:rsidP="00870B12">
      <w:pPr>
        <w:spacing w:line="360" w:lineRule="auto"/>
        <w:contextualSpacing/>
        <w:jc w:val="both"/>
        <w:rPr>
          <w:b/>
          <w:bCs/>
          <w:u w:val="single"/>
          <w:rtl/>
        </w:rPr>
      </w:pPr>
      <w:r w:rsidRPr="005D0A5D">
        <w:rPr>
          <w:b/>
          <w:bCs/>
          <w:u w:val="single"/>
          <w:rtl/>
        </w:rPr>
        <w:t>דיון והכרעה</w:t>
      </w:r>
    </w:p>
    <w:p w14:paraId="58F68E12" w14:textId="77777777" w:rsidR="00870B12" w:rsidRDefault="00870B12" w:rsidP="00870B12">
      <w:pPr>
        <w:rPr>
          <w:b/>
          <w:bCs/>
          <w:u w:val="single"/>
          <w:rtl/>
        </w:rPr>
      </w:pPr>
      <w:r>
        <w:rPr>
          <w:b/>
          <w:bCs/>
          <w:u w:val="single"/>
          <w:rtl/>
        </w:rPr>
        <w:t>קביעת מתחם הענישה</w:t>
      </w:r>
    </w:p>
    <w:p w14:paraId="05B52754" w14:textId="77777777" w:rsidR="00870B12" w:rsidRDefault="00870B12" w:rsidP="00870B12">
      <w:pPr>
        <w:pStyle w:val="a9"/>
        <w:spacing w:line="360" w:lineRule="auto"/>
        <w:ind w:left="0"/>
        <w:jc w:val="both"/>
        <w:rPr>
          <w:rFonts w:ascii="Arial" w:hAnsi="Arial"/>
        </w:rPr>
      </w:pPr>
    </w:p>
    <w:p w14:paraId="11B26C61" w14:textId="77777777" w:rsidR="00870B12" w:rsidRDefault="00870B12" w:rsidP="00870B12">
      <w:pPr>
        <w:pStyle w:val="a9"/>
        <w:numPr>
          <w:ilvl w:val="0"/>
          <w:numId w:val="1"/>
        </w:numPr>
        <w:spacing w:line="360" w:lineRule="auto"/>
        <w:jc w:val="both"/>
        <w:rPr>
          <w:rFonts w:ascii="Arial" w:hAnsi="Arial"/>
        </w:rPr>
      </w:pPr>
      <w:r>
        <w:rPr>
          <w:rFonts w:ascii="Arial" w:hAnsi="Arial" w:hint="cs"/>
          <w:rtl/>
        </w:rPr>
        <w:t xml:space="preserve"> </w:t>
      </w:r>
      <w:r w:rsidRPr="00083FA7">
        <w:rPr>
          <w:rtl/>
        </w:rPr>
        <w:t>בהתאם לתיקון 113 ל</w:t>
      </w:r>
      <w:hyperlink r:id="rId19" w:history="1">
        <w:r w:rsidR="00060B11" w:rsidRPr="00060B11">
          <w:rPr>
            <w:color w:val="0000FF"/>
            <w:u w:val="single"/>
            <w:rtl/>
          </w:rPr>
          <w:t>חוק העונשין</w:t>
        </w:r>
      </w:hyperlink>
      <w:r w:rsidRPr="00083FA7">
        <w:rPr>
          <w:rtl/>
        </w:rPr>
        <w:t xml:space="preserve"> על בית המשפט לקבוע את מתחם הענישה ההולם את העבירה בנסיבותיה. לאחר קביעת המתחם יש להחליט אם ראוי לסטות ממנו, לקולה או לחומרה, שאחרת ייגזר העונש בגדרי המתחם שנקבע. בעת קביעת </w:t>
      </w:r>
      <w:r>
        <w:rPr>
          <w:rtl/>
        </w:rPr>
        <w:t xml:space="preserve">מתחם </w:t>
      </w:r>
      <w:r w:rsidRPr="00083FA7">
        <w:rPr>
          <w:rtl/>
        </w:rPr>
        <w:t xml:space="preserve">העונש ההולם מתחשב בית המשפט </w:t>
      </w:r>
      <w:r>
        <w:rPr>
          <w:rtl/>
        </w:rPr>
        <w:t xml:space="preserve">בעקרון המנחה בענישה – הלימה, </w:t>
      </w:r>
      <w:r w:rsidRPr="00083FA7">
        <w:rPr>
          <w:rtl/>
        </w:rPr>
        <w:t xml:space="preserve">בערך החברתי שנפגע, במידת הפגיעה בו, במדיניות הענישה הנוהגת ובנסיבות הקשורות בביצוע העבירה, על פי </w:t>
      </w:r>
      <w:hyperlink r:id="rId20" w:history="1">
        <w:r w:rsidR="00583BB9" w:rsidRPr="00583BB9">
          <w:rPr>
            <w:rStyle w:val="Hyperlink"/>
            <w:rFonts w:cs="David"/>
            <w:rtl/>
          </w:rPr>
          <w:t>סעיף 40ט'</w:t>
        </w:r>
      </w:hyperlink>
      <w:r w:rsidRPr="00083FA7">
        <w:rPr>
          <w:rtl/>
        </w:rPr>
        <w:t xml:space="preserve"> ל</w:t>
      </w:r>
      <w:hyperlink r:id="rId21" w:history="1">
        <w:r w:rsidR="00060B11" w:rsidRPr="00060B11">
          <w:rPr>
            <w:color w:val="0000FF"/>
            <w:u w:val="single"/>
            <w:rtl/>
          </w:rPr>
          <w:t>חוק העונשין</w:t>
        </w:r>
      </w:hyperlink>
      <w:r w:rsidRPr="00083FA7">
        <w:rPr>
          <w:rtl/>
        </w:rPr>
        <w:t>.</w:t>
      </w:r>
    </w:p>
    <w:p w14:paraId="04F474D2" w14:textId="77777777" w:rsidR="00870B12" w:rsidRDefault="00870B12" w:rsidP="00870B12">
      <w:pPr>
        <w:pStyle w:val="a9"/>
        <w:spacing w:line="360" w:lineRule="auto"/>
        <w:ind w:left="0"/>
        <w:jc w:val="both"/>
        <w:rPr>
          <w:rFonts w:ascii="Arial" w:hAnsi="Arial"/>
        </w:rPr>
      </w:pPr>
    </w:p>
    <w:p w14:paraId="31325CE1" w14:textId="77777777" w:rsidR="00870B12" w:rsidRDefault="00870B12" w:rsidP="00870B12">
      <w:pPr>
        <w:pStyle w:val="a9"/>
        <w:numPr>
          <w:ilvl w:val="0"/>
          <w:numId w:val="1"/>
        </w:numPr>
        <w:spacing w:line="360" w:lineRule="auto"/>
        <w:jc w:val="both"/>
        <w:rPr>
          <w:rFonts w:ascii="Arial" w:hAnsi="Arial"/>
        </w:rPr>
      </w:pPr>
      <w:r w:rsidRPr="0083183C">
        <w:rPr>
          <w:b/>
          <w:bCs/>
          <w:u w:val="single"/>
          <w:rtl/>
        </w:rPr>
        <w:t>הערכים המוגנים בבסיס העב</w:t>
      </w:r>
      <w:r>
        <w:rPr>
          <w:b/>
          <w:bCs/>
          <w:u w:val="single"/>
          <w:rtl/>
        </w:rPr>
        <w:t>יר</w:t>
      </w:r>
      <w:r>
        <w:rPr>
          <w:rFonts w:hint="cs"/>
          <w:b/>
          <w:bCs/>
          <w:u w:val="single"/>
          <w:rtl/>
        </w:rPr>
        <w:t>ות</w:t>
      </w:r>
      <w:r w:rsidRPr="0083183C">
        <w:rPr>
          <w:b/>
          <w:bCs/>
          <w:u w:val="single"/>
          <w:rtl/>
        </w:rPr>
        <w:t>:</w:t>
      </w:r>
      <w:r w:rsidRPr="0083183C">
        <w:rPr>
          <w:rtl/>
        </w:rPr>
        <w:t xml:space="preserve"> </w:t>
      </w:r>
      <w:r w:rsidRPr="00BF3082">
        <w:rPr>
          <w:rFonts w:ascii="David" w:hAnsi="David"/>
          <w:rtl/>
        </w:rPr>
        <w:t>במעשיו פגע הנאשם בערכים של בטחון הציבור ושלומו. הסכנות הטמונות בהחזקת סם, לצורך גידולו והפצתו</w:t>
      </w:r>
      <w:r>
        <w:rPr>
          <w:rFonts w:ascii="David" w:hAnsi="David"/>
          <w:rtl/>
        </w:rPr>
        <w:t>,</w:t>
      </w:r>
      <w:r w:rsidRPr="00BF3082">
        <w:rPr>
          <w:rFonts w:ascii="David" w:hAnsi="David"/>
          <w:rtl/>
        </w:rPr>
        <w:t xml:space="preserve"> ידועות ואין צורך להכביר מילים על הנזקים שעלולים להיגרם לחברה ולפרט ממעשים אלו.</w:t>
      </w:r>
      <w:r w:rsidRPr="00816D81">
        <w:rPr>
          <w:rFonts w:ascii="David" w:hAnsi="David"/>
          <w:rtl/>
        </w:rPr>
        <w:t xml:space="preserve"> פעם אחר פעם נפסק </w:t>
      </w:r>
      <w:r>
        <w:rPr>
          <w:rFonts w:ascii="David" w:hAnsi="David" w:hint="cs"/>
          <w:rtl/>
        </w:rPr>
        <w:t>ש</w:t>
      </w:r>
      <w:r w:rsidRPr="00816D81">
        <w:rPr>
          <w:rFonts w:ascii="David" w:hAnsi="David"/>
          <w:rtl/>
        </w:rPr>
        <w:t xml:space="preserve">יש לראות בחומרה רבה את עבירות הסמים אשר הפכו מכת מדינה וכי תוצאותיהן הישירות והעקיפות הן הרות אסון לשלומה של החברה, לבריאותה ולביטחונה.  </w:t>
      </w:r>
    </w:p>
    <w:p w14:paraId="7421ED3D" w14:textId="77777777" w:rsidR="00870B12" w:rsidRDefault="00870B12" w:rsidP="00870B12">
      <w:pPr>
        <w:pStyle w:val="a9"/>
        <w:ind w:left="0"/>
        <w:jc w:val="both"/>
        <w:rPr>
          <w:rFonts w:ascii="Arial" w:hAnsi="Arial"/>
        </w:rPr>
      </w:pPr>
    </w:p>
    <w:p w14:paraId="549744A1" w14:textId="77777777" w:rsidR="00870B12" w:rsidRDefault="00870B12" w:rsidP="00870B12">
      <w:pPr>
        <w:pStyle w:val="a9"/>
        <w:numPr>
          <w:ilvl w:val="0"/>
          <w:numId w:val="1"/>
        </w:numPr>
        <w:spacing w:line="360" w:lineRule="auto"/>
        <w:jc w:val="both"/>
        <w:rPr>
          <w:rFonts w:ascii="Arial" w:hAnsi="Arial"/>
        </w:rPr>
      </w:pPr>
      <w:r>
        <w:rPr>
          <w:rFonts w:ascii="Arial" w:hAnsi="Arial" w:hint="cs"/>
          <w:b/>
          <w:bCs/>
          <w:u w:val="single"/>
          <w:rtl/>
        </w:rPr>
        <w:t xml:space="preserve">נסיבות הקשורות בביצוע העבירות: </w:t>
      </w:r>
    </w:p>
    <w:p w14:paraId="4A30BDE9" w14:textId="77777777" w:rsidR="00870B12" w:rsidRDefault="00870B12" w:rsidP="00870B12">
      <w:pPr>
        <w:pStyle w:val="a9"/>
        <w:ind w:left="0"/>
        <w:jc w:val="both"/>
        <w:rPr>
          <w:rFonts w:ascii="Arial" w:hAnsi="Arial"/>
        </w:rPr>
      </w:pPr>
    </w:p>
    <w:p w14:paraId="4AF2834A" w14:textId="77777777" w:rsidR="00870B12" w:rsidRDefault="00870B12" w:rsidP="00870B12">
      <w:pPr>
        <w:pStyle w:val="a9"/>
        <w:spacing w:line="360" w:lineRule="auto"/>
        <w:ind w:left="0"/>
        <w:jc w:val="both"/>
        <w:rPr>
          <w:rtl/>
        </w:rPr>
      </w:pPr>
      <w:r w:rsidRPr="0083183C">
        <w:rPr>
          <w:rtl/>
        </w:rPr>
        <w:t xml:space="preserve">א. </w:t>
      </w:r>
      <w:r w:rsidRPr="0083183C">
        <w:rPr>
          <w:rtl/>
        </w:rPr>
        <w:tab/>
      </w:r>
      <w:r>
        <w:rPr>
          <w:u w:val="single"/>
          <w:rtl/>
        </w:rPr>
        <w:t>התכנון שקדם לביצוע העביר</w:t>
      </w:r>
      <w:r>
        <w:rPr>
          <w:rFonts w:hint="cs"/>
          <w:u w:val="single"/>
          <w:rtl/>
        </w:rPr>
        <w:t>ות</w:t>
      </w:r>
      <w:r w:rsidRPr="0083183C">
        <w:rPr>
          <w:rtl/>
        </w:rPr>
        <w:t xml:space="preserve"> –</w:t>
      </w:r>
      <w:r>
        <w:rPr>
          <w:rFonts w:hint="cs"/>
          <w:rtl/>
        </w:rPr>
        <w:t xml:space="preserve"> </w:t>
      </w:r>
      <w:r w:rsidRPr="0083183C">
        <w:rPr>
          <w:rtl/>
        </w:rPr>
        <w:t>נסיבות ביצוע העבירה מלמדות בבירור על תכנון מוקדם, שהתבטא</w:t>
      </w:r>
      <w:r w:rsidRPr="00BB3125">
        <w:rPr>
          <w:b/>
          <w:bCs/>
          <w:rtl/>
        </w:rPr>
        <w:t xml:space="preserve"> </w:t>
      </w:r>
      <w:r w:rsidRPr="0083183C">
        <w:rPr>
          <w:rtl/>
        </w:rPr>
        <w:t>ב</w:t>
      </w:r>
      <w:r>
        <w:rPr>
          <w:rFonts w:hint="cs"/>
          <w:rtl/>
        </w:rPr>
        <w:t>שכירת הדירה וב</w:t>
      </w:r>
      <w:r w:rsidRPr="0083183C">
        <w:rPr>
          <w:rtl/>
        </w:rPr>
        <w:t xml:space="preserve">הצטיידות בכלים מתאימים לצורך גידול השתילים. מדובר בשיטת גידול משוכללת יחסית שיש בה להעיד על השקעה מחשבתית וכספית. </w:t>
      </w:r>
    </w:p>
    <w:p w14:paraId="54A37A15" w14:textId="77777777" w:rsidR="00870B12" w:rsidRDefault="00870B12" w:rsidP="00870B12">
      <w:pPr>
        <w:pStyle w:val="a9"/>
        <w:ind w:left="0"/>
        <w:jc w:val="both"/>
        <w:rPr>
          <w:rtl/>
        </w:rPr>
      </w:pPr>
    </w:p>
    <w:p w14:paraId="1E8F6D6B" w14:textId="77777777" w:rsidR="00870B12" w:rsidRDefault="00870B12" w:rsidP="00870B12">
      <w:pPr>
        <w:pStyle w:val="a9"/>
        <w:spacing w:line="360" w:lineRule="auto"/>
        <w:ind w:left="0"/>
        <w:jc w:val="both"/>
        <w:rPr>
          <w:rtl/>
        </w:rPr>
      </w:pPr>
      <w:r w:rsidRPr="0083183C">
        <w:rPr>
          <w:rtl/>
        </w:rPr>
        <w:t>ב.</w:t>
      </w:r>
      <w:r>
        <w:rPr>
          <w:rtl/>
        </w:rPr>
        <w:tab/>
      </w:r>
      <w:r w:rsidRPr="0083183C">
        <w:rPr>
          <w:u w:val="single"/>
          <w:rtl/>
        </w:rPr>
        <w:t>הנזק שנגרם ושהיה צפוי להיגרם מביצוע העבירה</w:t>
      </w:r>
      <w:r>
        <w:rPr>
          <w:rtl/>
        </w:rPr>
        <w:t xml:space="preserve"> – </w:t>
      </w:r>
      <w:r w:rsidRPr="0083183C">
        <w:rPr>
          <w:rtl/>
        </w:rPr>
        <w:t>כמות הסמים שגידל</w:t>
      </w:r>
      <w:r>
        <w:rPr>
          <w:rtl/>
        </w:rPr>
        <w:t xml:space="preserve"> הנאשם </w:t>
      </w:r>
      <w:r>
        <w:rPr>
          <w:rFonts w:hint="cs"/>
          <w:rtl/>
        </w:rPr>
        <w:t>אינה מבוטלת</w:t>
      </w:r>
      <w:r>
        <w:rPr>
          <w:rtl/>
        </w:rPr>
        <w:t>. מדובר ב</w:t>
      </w:r>
      <w:r>
        <w:rPr>
          <w:rFonts w:hint="cs"/>
          <w:rtl/>
        </w:rPr>
        <w:t>-44</w:t>
      </w:r>
      <w:r w:rsidRPr="0083183C">
        <w:rPr>
          <w:rtl/>
        </w:rPr>
        <w:t xml:space="preserve"> שתילים אשר שקלו במועד התפיסה מעל</w:t>
      </w:r>
      <w:r>
        <w:rPr>
          <w:rtl/>
        </w:rPr>
        <w:t xml:space="preserve"> </w:t>
      </w:r>
      <w:r>
        <w:rPr>
          <w:rFonts w:hint="cs"/>
          <w:rtl/>
        </w:rPr>
        <w:t>13</w:t>
      </w:r>
      <w:r w:rsidRPr="0083183C">
        <w:rPr>
          <w:rtl/>
        </w:rPr>
        <w:t xml:space="preserve"> ק"ג</w:t>
      </w:r>
      <w:r>
        <w:rPr>
          <w:rFonts w:hint="cs"/>
          <w:rtl/>
        </w:rPr>
        <w:t xml:space="preserve"> ומנתון זה </w:t>
      </w:r>
      <w:r w:rsidRPr="0083183C">
        <w:rPr>
          <w:rtl/>
        </w:rPr>
        <w:t>יש להסיק את הנזק שהיה צפוי</w:t>
      </w:r>
      <w:r>
        <w:rPr>
          <w:rtl/>
        </w:rPr>
        <w:t xml:space="preserve"> להיגרם מביצוע העביר</w:t>
      </w:r>
      <w:r>
        <w:rPr>
          <w:rFonts w:hint="cs"/>
          <w:rtl/>
        </w:rPr>
        <w:t>ות</w:t>
      </w:r>
      <w:r>
        <w:rPr>
          <w:rtl/>
        </w:rPr>
        <w:t>.</w:t>
      </w:r>
    </w:p>
    <w:p w14:paraId="7F656A06" w14:textId="77777777" w:rsidR="00870B12" w:rsidRDefault="00870B12" w:rsidP="00870B12">
      <w:pPr>
        <w:pStyle w:val="a9"/>
        <w:ind w:left="0"/>
        <w:jc w:val="both"/>
        <w:rPr>
          <w:rtl/>
        </w:rPr>
      </w:pPr>
    </w:p>
    <w:p w14:paraId="70A1654F" w14:textId="77777777" w:rsidR="00870B12" w:rsidRPr="00C704C6" w:rsidRDefault="00870B12" w:rsidP="00870B12">
      <w:pPr>
        <w:pStyle w:val="a9"/>
        <w:numPr>
          <w:ilvl w:val="0"/>
          <w:numId w:val="1"/>
        </w:numPr>
        <w:spacing w:after="160" w:line="360" w:lineRule="auto"/>
        <w:jc w:val="both"/>
        <w:rPr>
          <w:rFonts w:ascii="David" w:hAnsi="David"/>
        </w:rPr>
      </w:pPr>
      <w:r w:rsidRPr="00C704C6">
        <w:rPr>
          <w:rFonts w:ascii="David" w:hAnsi="David"/>
          <w:b/>
          <w:bCs/>
          <w:rtl/>
        </w:rPr>
        <w:t>מדיניות הענישה</w:t>
      </w:r>
      <w:r w:rsidRPr="00C704C6">
        <w:rPr>
          <w:rFonts w:ascii="David" w:hAnsi="David"/>
          <w:rtl/>
        </w:rPr>
        <w:t>: הענישה המוטלת בעבירות מסוג זה משתנה ממקרה למקרה והיא תלויה בין היתר בכמות הסם (מספר השתילים והמשקל) ובנסיבותיו האישיות של הנאשם (עבר פלילי, שיקום, תסקיר חיובי וכיוצב'). נקבע לא אחת כי "</w:t>
      </w:r>
      <w:r w:rsidRPr="00C704C6">
        <w:rPr>
          <w:rFonts w:ascii="Miriam" w:hAnsi="Miriam" w:cs="Miriam" w:hint="eastAsia"/>
          <w:spacing w:val="10"/>
          <w:rtl/>
        </w:rPr>
        <w:t>על</w:t>
      </w:r>
      <w:r w:rsidRPr="00C704C6">
        <w:rPr>
          <w:rFonts w:ascii="Miriam" w:hAnsi="Miriam" w:cs="Miriam"/>
          <w:spacing w:val="10"/>
          <w:rtl/>
        </w:rPr>
        <w:t xml:space="preserve"> </w:t>
      </w:r>
      <w:r w:rsidRPr="00C704C6">
        <w:rPr>
          <w:rFonts w:ascii="Miriam" w:hAnsi="Miriam" w:cs="Miriam" w:hint="eastAsia"/>
          <w:spacing w:val="10"/>
          <w:rtl/>
        </w:rPr>
        <w:t>מנת</w:t>
      </w:r>
      <w:r w:rsidRPr="00C704C6">
        <w:rPr>
          <w:rFonts w:ascii="Miriam" w:hAnsi="Miriam" w:cs="Miriam"/>
          <w:spacing w:val="10"/>
          <w:rtl/>
        </w:rPr>
        <w:t xml:space="preserve"> </w:t>
      </w:r>
      <w:r w:rsidRPr="00C704C6">
        <w:rPr>
          <w:rFonts w:ascii="Miriam" w:hAnsi="Miriam" w:cs="Miriam" w:hint="eastAsia"/>
          <w:spacing w:val="10"/>
          <w:rtl/>
        </w:rPr>
        <w:t>להילחם</w:t>
      </w:r>
      <w:r w:rsidRPr="00C704C6">
        <w:rPr>
          <w:rFonts w:ascii="Miriam" w:hAnsi="Miriam" w:cs="Miriam"/>
          <w:spacing w:val="10"/>
          <w:rtl/>
        </w:rPr>
        <w:t xml:space="preserve"> </w:t>
      </w:r>
      <w:r w:rsidRPr="00C704C6">
        <w:rPr>
          <w:rFonts w:ascii="Miriam" w:hAnsi="Miriam" w:cs="Miriam" w:hint="eastAsia"/>
          <w:spacing w:val="10"/>
          <w:rtl/>
        </w:rPr>
        <w:t>נגד</w:t>
      </w:r>
      <w:r w:rsidRPr="00C704C6">
        <w:rPr>
          <w:rFonts w:ascii="Miriam" w:hAnsi="Miriam" w:cs="Miriam"/>
          <w:spacing w:val="10"/>
          <w:rtl/>
        </w:rPr>
        <w:t xml:space="preserve"> </w:t>
      </w:r>
      <w:r w:rsidRPr="00C704C6">
        <w:rPr>
          <w:rFonts w:ascii="Miriam" w:hAnsi="Miriam" w:cs="Miriam" w:hint="eastAsia"/>
          <w:spacing w:val="10"/>
          <w:rtl/>
        </w:rPr>
        <w:t>תופעת</w:t>
      </w:r>
      <w:r w:rsidRPr="00C704C6">
        <w:rPr>
          <w:rFonts w:ascii="Miriam" w:hAnsi="Miriam" w:cs="Miriam"/>
          <w:spacing w:val="10"/>
          <w:rtl/>
        </w:rPr>
        <w:t xml:space="preserve"> </w:t>
      </w:r>
      <w:r w:rsidRPr="00C704C6">
        <w:rPr>
          <w:rFonts w:ascii="Miriam" w:hAnsi="Miriam" w:cs="Miriam" w:hint="eastAsia"/>
          <w:spacing w:val="10"/>
          <w:rtl/>
        </w:rPr>
        <w:t>הפצת</w:t>
      </w:r>
      <w:r w:rsidRPr="00C704C6">
        <w:rPr>
          <w:rFonts w:ascii="Miriam" w:hAnsi="Miriam" w:cs="Miriam"/>
          <w:spacing w:val="10"/>
          <w:rtl/>
        </w:rPr>
        <w:t xml:space="preserve"> </w:t>
      </w:r>
      <w:r w:rsidRPr="00C704C6">
        <w:rPr>
          <w:rFonts w:ascii="Miriam" w:hAnsi="Miriam" w:cs="Miriam" w:hint="eastAsia"/>
          <w:spacing w:val="10"/>
          <w:rtl/>
        </w:rPr>
        <w:t>סמים</w:t>
      </w:r>
      <w:r w:rsidRPr="00C704C6">
        <w:rPr>
          <w:rFonts w:ascii="Miriam" w:hAnsi="Miriam" w:cs="Miriam"/>
          <w:spacing w:val="10"/>
          <w:rtl/>
        </w:rPr>
        <w:t xml:space="preserve"> </w:t>
      </w:r>
      <w:r w:rsidRPr="00C704C6">
        <w:rPr>
          <w:rFonts w:ascii="Miriam" w:hAnsi="Miriam" w:cs="Miriam" w:hint="eastAsia"/>
          <w:spacing w:val="10"/>
          <w:rtl/>
        </w:rPr>
        <w:t>מסוכנים</w:t>
      </w:r>
      <w:r w:rsidRPr="00C704C6">
        <w:rPr>
          <w:rFonts w:ascii="Miriam" w:hAnsi="Miriam" w:cs="Miriam"/>
          <w:spacing w:val="10"/>
          <w:rtl/>
        </w:rPr>
        <w:t xml:space="preserve">, </w:t>
      </w:r>
      <w:r w:rsidRPr="00C704C6">
        <w:rPr>
          <w:rFonts w:ascii="Miriam" w:hAnsi="Miriam" w:cs="Miriam" w:hint="eastAsia"/>
          <w:spacing w:val="10"/>
          <w:rtl/>
        </w:rPr>
        <w:t>המוצאת</w:t>
      </w:r>
      <w:r w:rsidRPr="00C704C6">
        <w:rPr>
          <w:rFonts w:ascii="Miriam" w:hAnsi="Miriam" w:cs="Miriam"/>
          <w:spacing w:val="10"/>
          <w:rtl/>
        </w:rPr>
        <w:t xml:space="preserve"> </w:t>
      </w:r>
      <w:r w:rsidRPr="00C704C6">
        <w:rPr>
          <w:rFonts w:ascii="Miriam" w:hAnsi="Miriam" w:cs="Miriam" w:hint="eastAsia"/>
          <w:spacing w:val="10"/>
          <w:rtl/>
        </w:rPr>
        <w:t>ביטויה</w:t>
      </w:r>
      <w:r w:rsidRPr="00C704C6">
        <w:rPr>
          <w:rFonts w:ascii="Miriam" w:hAnsi="Miriam" w:cs="Miriam"/>
          <w:spacing w:val="10"/>
          <w:rtl/>
        </w:rPr>
        <w:t xml:space="preserve"> </w:t>
      </w:r>
      <w:r w:rsidRPr="00C704C6">
        <w:rPr>
          <w:rFonts w:ascii="Miriam" w:hAnsi="Miriam" w:cs="Miriam" w:hint="eastAsia"/>
          <w:spacing w:val="10"/>
          <w:rtl/>
        </w:rPr>
        <w:t>בקבוצות</w:t>
      </w:r>
      <w:r w:rsidRPr="00C704C6">
        <w:rPr>
          <w:rFonts w:ascii="Miriam" w:hAnsi="Miriam" w:cs="Miriam"/>
          <w:spacing w:val="10"/>
          <w:rtl/>
        </w:rPr>
        <w:t xml:space="preserve"> </w:t>
      </w:r>
      <w:r w:rsidRPr="00C704C6">
        <w:rPr>
          <w:rFonts w:ascii="Miriam" w:hAnsi="Miriam" w:cs="Miriam" w:hint="eastAsia"/>
          <w:spacing w:val="10"/>
          <w:rtl/>
        </w:rPr>
        <w:t>חברתיות</w:t>
      </w:r>
      <w:r w:rsidRPr="00C704C6">
        <w:rPr>
          <w:rFonts w:ascii="Miriam" w:hAnsi="Miriam" w:cs="Miriam"/>
          <w:spacing w:val="10"/>
          <w:rtl/>
        </w:rPr>
        <w:t xml:space="preserve"> </w:t>
      </w:r>
      <w:r w:rsidRPr="00C704C6">
        <w:rPr>
          <w:rFonts w:ascii="Miriam" w:hAnsi="Miriam" w:cs="Miriam" w:hint="eastAsia"/>
          <w:spacing w:val="10"/>
          <w:rtl/>
        </w:rPr>
        <w:t>רבות</w:t>
      </w:r>
      <w:r w:rsidRPr="00C704C6">
        <w:rPr>
          <w:rFonts w:ascii="Miriam" w:hAnsi="Miriam" w:cs="Miriam"/>
          <w:spacing w:val="10"/>
          <w:rtl/>
        </w:rPr>
        <w:t xml:space="preserve"> </w:t>
      </w:r>
      <w:r w:rsidRPr="00C704C6">
        <w:rPr>
          <w:rFonts w:ascii="Miriam" w:hAnsi="Miriam" w:cs="Miriam" w:hint="eastAsia"/>
          <w:spacing w:val="10"/>
          <w:rtl/>
        </w:rPr>
        <w:t>ומגוונות</w:t>
      </w:r>
      <w:r w:rsidRPr="00C704C6">
        <w:rPr>
          <w:rFonts w:ascii="Miriam" w:hAnsi="Miriam" w:cs="Miriam"/>
          <w:spacing w:val="10"/>
          <w:rtl/>
        </w:rPr>
        <w:t xml:space="preserve"> – </w:t>
      </w:r>
      <w:r w:rsidRPr="00C704C6">
        <w:rPr>
          <w:rFonts w:ascii="Miriam" w:hAnsi="Miriam" w:cs="Miriam" w:hint="eastAsia"/>
          <w:spacing w:val="10"/>
          <w:rtl/>
        </w:rPr>
        <w:t>נדרש</w:t>
      </w:r>
      <w:r w:rsidRPr="00C704C6">
        <w:rPr>
          <w:rFonts w:ascii="Miriam" w:hAnsi="Miriam" w:cs="Miriam"/>
          <w:spacing w:val="10"/>
          <w:rtl/>
        </w:rPr>
        <w:t xml:space="preserve"> </w:t>
      </w:r>
      <w:r w:rsidRPr="00C704C6">
        <w:rPr>
          <w:rFonts w:ascii="Miriam" w:hAnsi="Miriam" w:cs="Miriam" w:hint="eastAsia"/>
          <w:spacing w:val="10"/>
          <w:rtl/>
        </w:rPr>
        <w:t>עונש</w:t>
      </w:r>
      <w:r w:rsidRPr="00C704C6">
        <w:rPr>
          <w:rFonts w:ascii="Miriam" w:hAnsi="Miriam" w:cs="Miriam"/>
          <w:spacing w:val="10"/>
          <w:rtl/>
        </w:rPr>
        <w:t xml:space="preserve"> </w:t>
      </w:r>
      <w:r w:rsidRPr="00C704C6">
        <w:rPr>
          <w:rFonts w:ascii="Miriam" w:hAnsi="Miriam" w:cs="Miriam" w:hint="eastAsia"/>
          <w:spacing w:val="10"/>
          <w:rtl/>
        </w:rPr>
        <w:t>שכולל</w:t>
      </w:r>
      <w:r w:rsidRPr="00C704C6">
        <w:rPr>
          <w:rFonts w:ascii="Miriam" w:hAnsi="Miriam" w:cs="Miriam"/>
          <w:spacing w:val="10"/>
          <w:rtl/>
        </w:rPr>
        <w:t xml:space="preserve"> </w:t>
      </w:r>
      <w:r w:rsidRPr="00C704C6">
        <w:rPr>
          <w:rFonts w:ascii="Miriam" w:hAnsi="Miriam" w:cs="Miriam" w:hint="eastAsia"/>
          <w:spacing w:val="10"/>
          <w:rtl/>
        </w:rPr>
        <w:t>ממד</w:t>
      </w:r>
      <w:r w:rsidRPr="00C704C6">
        <w:rPr>
          <w:rFonts w:ascii="Miriam" w:hAnsi="Miriam" w:cs="Miriam"/>
          <w:spacing w:val="10"/>
          <w:rtl/>
        </w:rPr>
        <w:t xml:space="preserve"> </w:t>
      </w:r>
      <w:r w:rsidRPr="00C704C6">
        <w:rPr>
          <w:rFonts w:ascii="Miriam" w:hAnsi="Miriam" w:cs="Miriam" w:hint="eastAsia"/>
          <w:spacing w:val="10"/>
          <w:rtl/>
        </w:rPr>
        <w:t>הרתעתי</w:t>
      </w:r>
      <w:r w:rsidRPr="00C704C6">
        <w:rPr>
          <w:rFonts w:ascii="Miriam" w:hAnsi="Miriam" w:cs="Miriam"/>
          <w:spacing w:val="10"/>
          <w:rtl/>
        </w:rPr>
        <w:t xml:space="preserve">. </w:t>
      </w:r>
      <w:r w:rsidRPr="00C704C6">
        <w:rPr>
          <w:rFonts w:ascii="Miriam" w:hAnsi="Miriam" w:cs="Miriam" w:hint="eastAsia"/>
          <w:spacing w:val="10"/>
          <w:rtl/>
        </w:rPr>
        <w:t>לצד</w:t>
      </w:r>
      <w:r w:rsidRPr="00C704C6">
        <w:rPr>
          <w:rFonts w:ascii="Miriam" w:hAnsi="Miriam" w:cs="Miriam"/>
          <w:spacing w:val="10"/>
          <w:rtl/>
        </w:rPr>
        <w:t xml:space="preserve"> </w:t>
      </w:r>
      <w:r w:rsidRPr="00C704C6">
        <w:rPr>
          <w:rFonts w:ascii="Miriam" w:hAnsi="Miriam" w:cs="Miriam" w:hint="eastAsia"/>
          <w:spacing w:val="10"/>
          <w:rtl/>
        </w:rPr>
        <w:t>זאת</w:t>
      </w:r>
      <w:r w:rsidRPr="00C704C6">
        <w:rPr>
          <w:rFonts w:ascii="Miriam" w:hAnsi="Miriam" w:cs="Miriam"/>
          <w:spacing w:val="10"/>
          <w:rtl/>
        </w:rPr>
        <w:t xml:space="preserve">, </w:t>
      </w:r>
      <w:r w:rsidRPr="00C704C6">
        <w:rPr>
          <w:rFonts w:ascii="Miriam" w:hAnsi="Miriam" w:cs="Miriam" w:hint="eastAsia"/>
          <w:spacing w:val="10"/>
          <w:rtl/>
        </w:rPr>
        <w:t>הגישה</w:t>
      </w:r>
      <w:r w:rsidRPr="00C704C6">
        <w:rPr>
          <w:rFonts w:ascii="Miriam" w:hAnsi="Miriam" w:cs="Miriam"/>
          <w:spacing w:val="10"/>
          <w:rtl/>
        </w:rPr>
        <w:t xml:space="preserve"> </w:t>
      </w:r>
      <w:r w:rsidRPr="00C704C6">
        <w:rPr>
          <w:rFonts w:ascii="Miriam" w:hAnsi="Miriam" w:cs="Miriam" w:hint="eastAsia"/>
          <w:spacing w:val="10"/>
          <w:rtl/>
        </w:rPr>
        <w:t>האינדיבידואלית</w:t>
      </w:r>
      <w:r w:rsidRPr="00C704C6">
        <w:rPr>
          <w:rFonts w:ascii="Miriam" w:hAnsi="Miriam" w:cs="Miriam"/>
          <w:spacing w:val="10"/>
          <w:rtl/>
        </w:rPr>
        <w:t xml:space="preserve"> </w:t>
      </w:r>
      <w:r w:rsidRPr="00C704C6">
        <w:rPr>
          <w:rFonts w:ascii="Miriam" w:hAnsi="Miriam" w:cs="Miriam" w:hint="eastAsia"/>
          <w:spacing w:val="10"/>
          <w:rtl/>
        </w:rPr>
        <w:t>בענישה</w:t>
      </w:r>
      <w:r w:rsidRPr="00C704C6">
        <w:rPr>
          <w:rFonts w:ascii="Miriam" w:hAnsi="Miriam" w:cs="Miriam"/>
          <w:spacing w:val="10"/>
          <w:rtl/>
        </w:rPr>
        <w:t xml:space="preserve"> </w:t>
      </w:r>
      <w:r w:rsidRPr="00C704C6">
        <w:rPr>
          <w:rFonts w:ascii="Miriam" w:hAnsi="Miriam" w:cs="Miriam" w:hint="eastAsia"/>
          <w:spacing w:val="10"/>
          <w:rtl/>
        </w:rPr>
        <w:t>היא</w:t>
      </w:r>
      <w:r w:rsidRPr="00C704C6">
        <w:rPr>
          <w:rFonts w:ascii="Miriam" w:hAnsi="Miriam" w:cs="Miriam"/>
          <w:spacing w:val="10"/>
          <w:rtl/>
        </w:rPr>
        <w:t xml:space="preserve"> </w:t>
      </w:r>
      <w:r w:rsidRPr="00C704C6">
        <w:rPr>
          <w:rFonts w:ascii="Miriam" w:hAnsi="Miriam" w:cs="Miriam" w:hint="eastAsia"/>
          <w:spacing w:val="10"/>
          <w:rtl/>
        </w:rPr>
        <w:t>השולטת</w:t>
      </w:r>
      <w:r w:rsidRPr="00C704C6">
        <w:rPr>
          <w:rFonts w:ascii="Miriam" w:hAnsi="Miriam" w:cs="Miriam"/>
          <w:spacing w:val="10"/>
          <w:rtl/>
        </w:rPr>
        <w:t xml:space="preserve"> </w:t>
      </w:r>
      <w:r w:rsidRPr="00C704C6">
        <w:rPr>
          <w:rFonts w:ascii="Miriam" w:hAnsi="Miriam" w:cs="Miriam" w:hint="eastAsia"/>
          <w:spacing w:val="10"/>
          <w:rtl/>
        </w:rPr>
        <w:t>בשיטת</w:t>
      </w:r>
      <w:r w:rsidRPr="00C704C6">
        <w:rPr>
          <w:rFonts w:ascii="Miriam" w:hAnsi="Miriam" w:cs="Miriam"/>
          <w:spacing w:val="10"/>
          <w:rtl/>
        </w:rPr>
        <w:t xml:space="preserve"> </w:t>
      </w:r>
      <w:r w:rsidRPr="00C704C6">
        <w:rPr>
          <w:rFonts w:ascii="Miriam" w:hAnsi="Miriam" w:cs="Miriam" w:hint="eastAsia"/>
          <w:spacing w:val="10"/>
          <w:rtl/>
        </w:rPr>
        <w:t>משפטנו</w:t>
      </w:r>
      <w:r w:rsidRPr="00C704C6">
        <w:rPr>
          <w:rFonts w:ascii="David" w:hAnsi="David"/>
          <w:spacing w:val="10"/>
          <w:rtl/>
        </w:rPr>
        <w:t>" (</w:t>
      </w:r>
      <w:hyperlink r:id="rId22" w:history="1">
        <w:r w:rsidR="00060B11" w:rsidRPr="00060B11">
          <w:rPr>
            <w:rFonts w:ascii="David" w:hAnsi="David" w:cs="Times New Roman"/>
            <w:color w:val="0000FF"/>
            <w:spacing w:val="10"/>
            <w:u w:val="single"/>
            <w:rtl/>
          </w:rPr>
          <w:t>ע"פ 5807/17</w:t>
        </w:r>
      </w:hyperlink>
      <w:r w:rsidRPr="00C704C6">
        <w:rPr>
          <w:rFonts w:ascii="David" w:hAnsi="David"/>
          <w:spacing w:val="10"/>
          <w:rtl/>
        </w:rPr>
        <w:t xml:space="preserve"> </w:t>
      </w:r>
      <w:r w:rsidRPr="00C704C6">
        <w:rPr>
          <w:rFonts w:ascii="David" w:hAnsi="David"/>
          <w:b/>
          <w:bCs/>
          <w:rtl/>
        </w:rPr>
        <w:t>דרחי ואח' נ' מדינת ישראל</w:t>
      </w:r>
      <w:r w:rsidRPr="00C704C6">
        <w:rPr>
          <w:rFonts w:ascii="David" w:hAnsi="David"/>
          <w:rtl/>
        </w:rPr>
        <w:t xml:space="preserve"> (18.6.2018)). ביחס לעבירות גידול נקבע כי: </w:t>
      </w:r>
    </w:p>
    <w:p w14:paraId="7AB86EB9" w14:textId="77777777" w:rsidR="00870B12" w:rsidRPr="00C704C6" w:rsidRDefault="00870B12" w:rsidP="00870B12">
      <w:pPr>
        <w:pStyle w:val="a9"/>
        <w:spacing w:after="160"/>
        <w:ind w:left="0" w:right="1134"/>
        <w:jc w:val="both"/>
        <w:rPr>
          <w:rFonts w:ascii="David" w:hAnsi="David"/>
        </w:rPr>
      </w:pPr>
    </w:p>
    <w:p w14:paraId="107CA61F" w14:textId="77777777" w:rsidR="00870B12" w:rsidRPr="00C704C6" w:rsidRDefault="00870B12" w:rsidP="00870B12">
      <w:pPr>
        <w:pStyle w:val="a9"/>
        <w:ind w:left="1134" w:right="1134"/>
        <w:jc w:val="both"/>
        <w:rPr>
          <w:rFonts w:ascii="David" w:hAnsi="David"/>
          <w:rtl/>
        </w:rPr>
      </w:pPr>
      <w:r w:rsidRPr="00C704C6">
        <w:rPr>
          <w:rFonts w:ascii="David" w:hAnsi="David"/>
          <w:rtl/>
        </w:rPr>
        <w:t>"</w:t>
      </w:r>
      <w:r w:rsidRPr="00C704C6">
        <w:rPr>
          <w:rFonts w:ascii="Miriam" w:hAnsi="Miriam" w:cs="Miriam" w:hint="eastAsia"/>
          <w:rtl/>
        </w:rPr>
        <w:t>דומה</w:t>
      </w:r>
      <w:r w:rsidRPr="00C704C6">
        <w:rPr>
          <w:rFonts w:ascii="Miriam" w:hAnsi="Miriam" w:cs="Miriam"/>
          <w:rtl/>
        </w:rPr>
        <w:t xml:space="preserve"> </w:t>
      </w:r>
      <w:r w:rsidRPr="00C704C6">
        <w:rPr>
          <w:rFonts w:ascii="Miriam" w:hAnsi="Miriam" w:cs="Miriam" w:hint="eastAsia"/>
          <w:rtl/>
        </w:rPr>
        <w:t>שמעבדות</w:t>
      </w:r>
      <w:r w:rsidRPr="00C704C6">
        <w:rPr>
          <w:rFonts w:ascii="Miriam" w:hAnsi="Miriam" w:cs="Miriam"/>
          <w:rtl/>
        </w:rPr>
        <w:t xml:space="preserve"> </w:t>
      </w:r>
      <w:r w:rsidRPr="00C704C6">
        <w:rPr>
          <w:rFonts w:ascii="Miriam" w:hAnsi="Miriam" w:cs="Miriam" w:hint="eastAsia"/>
          <w:rtl/>
        </w:rPr>
        <w:t>הסם</w:t>
      </w:r>
      <w:r w:rsidRPr="00C704C6">
        <w:rPr>
          <w:rFonts w:ascii="Miriam" w:hAnsi="Miriam" w:cs="Miriam"/>
          <w:rtl/>
        </w:rPr>
        <w:t xml:space="preserve"> </w:t>
      </w:r>
      <w:r w:rsidRPr="00C704C6">
        <w:rPr>
          <w:rFonts w:ascii="Miriam" w:hAnsi="Miriam" w:cs="Miriam" w:hint="eastAsia"/>
          <w:rtl/>
        </w:rPr>
        <w:t>הפכו</w:t>
      </w:r>
      <w:r w:rsidRPr="00C704C6">
        <w:rPr>
          <w:rFonts w:ascii="Miriam" w:hAnsi="Miriam" w:cs="Miriam"/>
          <w:rtl/>
        </w:rPr>
        <w:t xml:space="preserve"> </w:t>
      </w:r>
      <w:r w:rsidRPr="00C704C6">
        <w:rPr>
          <w:rFonts w:ascii="Miriam" w:hAnsi="Miriam" w:cs="Miriam" w:hint="eastAsia"/>
          <w:rtl/>
        </w:rPr>
        <w:t>למכת</w:t>
      </w:r>
      <w:r w:rsidRPr="00C704C6">
        <w:rPr>
          <w:rFonts w:ascii="Miriam" w:hAnsi="Miriam" w:cs="Miriam"/>
          <w:rtl/>
        </w:rPr>
        <w:t xml:space="preserve"> </w:t>
      </w:r>
      <w:r w:rsidRPr="00C704C6">
        <w:rPr>
          <w:rFonts w:ascii="Miriam" w:hAnsi="Miriam" w:cs="Miriam" w:hint="eastAsia"/>
          <w:rtl/>
        </w:rPr>
        <w:t>מדינה</w:t>
      </w:r>
      <w:r w:rsidRPr="00C704C6">
        <w:rPr>
          <w:rFonts w:ascii="Miriam" w:hAnsi="Miriam" w:cs="Miriam"/>
          <w:rtl/>
        </w:rPr>
        <w:t xml:space="preserve">. </w:t>
      </w:r>
      <w:r w:rsidRPr="00C704C6">
        <w:rPr>
          <w:rFonts w:ascii="Miriam" w:hAnsi="Miriam" w:cs="Miriam" w:hint="eastAsia"/>
          <w:rtl/>
        </w:rPr>
        <w:t>נראה</w:t>
      </w:r>
      <w:r w:rsidRPr="00C704C6">
        <w:rPr>
          <w:rFonts w:ascii="Miriam" w:hAnsi="Miriam" w:cs="Miriam"/>
          <w:rtl/>
        </w:rPr>
        <w:t xml:space="preserve"> </w:t>
      </w:r>
      <w:r w:rsidRPr="00C704C6">
        <w:rPr>
          <w:rFonts w:ascii="Miriam" w:hAnsi="Miriam" w:cs="Miriam" w:hint="eastAsia"/>
          <w:rtl/>
        </w:rPr>
        <w:t>שהקלות</w:t>
      </w:r>
      <w:r w:rsidRPr="00C704C6">
        <w:rPr>
          <w:rFonts w:ascii="Miriam" w:hAnsi="Miriam" w:cs="Miriam"/>
          <w:rtl/>
        </w:rPr>
        <w:t xml:space="preserve"> </w:t>
      </w:r>
      <w:r w:rsidRPr="00C704C6">
        <w:rPr>
          <w:rFonts w:ascii="Miriam" w:hAnsi="Miriam" w:cs="Miriam" w:hint="eastAsia"/>
          <w:rtl/>
        </w:rPr>
        <w:t>שבגידול</w:t>
      </w:r>
      <w:r w:rsidRPr="00C704C6">
        <w:rPr>
          <w:rFonts w:ascii="Miriam" w:hAnsi="Miriam" w:cs="Miriam"/>
          <w:rtl/>
        </w:rPr>
        <w:t xml:space="preserve"> </w:t>
      </w:r>
      <w:r w:rsidRPr="00C704C6">
        <w:rPr>
          <w:rFonts w:ascii="Miriam" w:hAnsi="Miriam" w:cs="Miriam" w:hint="eastAsia"/>
          <w:rtl/>
        </w:rPr>
        <w:t>הסם</w:t>
      </w:r>
      <w:r w:rsidRPr="00C704C6">
        <w:rPr>
          <w:rFonts w:ascii="Miriam" w:hAnsi="Miriam" w:cs="Miriam"/>
          <w:rtl/>
        </w:rPr>
        <w:t xml:space="preserve">, </w:t>
      </w:r>
      <w:r w:rsidRPr="00C704C6">
        <w:rPr>
          <w:rFonts w:ascii="Miriam" w:hAnsi="Miriam" w:cs="Miriam" w:hint="eastAsia"/>
          <w:rtl/>
        </w:rPr>
        <w:t>הבטחון</w:t>
      </w:r>
      <w:r w:rsidRPr="00C704C6">
        <w:rPr>
          <w:rFonts w:ascii="Miriam" w:hAnsi="Miriam" w:cs="Miriam"/>
          <w:rtl/>
        </w:rPr>
        <w:t xml:space="preserve"> </w:t>
      </w:r>
      <w:r w:rsidRPr="00C704C6">
        <w:rPr>
          <w:rFonts w:ascii="Miriam" w:hAnsi="Miriam" w:cs="Miriam" w:hint="eastAsia"/>
          <w:rtl/>
        </w:rPr>
        <w:t>היחסי</w:t>
      </w:r>
      <w:r w:rsidRPr="00C704C6">
        <w:rPr>
          <w:rFonts w:ascii="Miriam" w:hAnsi="Miriam" w:cs="Miriam"/>
          <w:rtl/>
        </w:rPr>
        <w:t xml:space="preserve"> </w:t>
      </w:r>
      <w:r w:rsidRPr="00C704C6">
        <w:rPr>
          <w:rFonts w:ascii="Miriam" w:hAnsi="Miriam" w:cs="Miriam" w:hint="eastAsia"/>
          <w:rtl/>
        </w:rPr>
        <w:t>באי</w:t>
      </w:r>
      <w:r w:rsidRPr="00C704C6">
        <w:rPr>
          <w:rFonts w:ascii="Miriam" w:hAnsi="Miriam" w:cs="Miriam"/>
          <w:rtl/>
        </w:rPr>
        <w:t xml:space="preserve"> </w:t>
      </w:r>
      <w:r w:rsidRPr="00C704C6">
        <w:rPr>
          <w:rFonts w:ascii="Miriam" w:hAnsi="Miriam" w:cs="Miriam" w:hint="eastAsia"/>
          <w:rtl/>
        </w:rPr>
        <w:t>חשיפת</w:t>
      </w:r>
      <w:r w:rsidRPr="00C704C6">
        <w:rPr>
          <w:rFonts w:ascii="Miriam" w:hAnsi="Miriam" w:cs="Miriam"/>
          <w:rtl/>
        </w:rPr>
        <w:t xml:space="preserve"> </w:t>
      </w:r>
      <w:r w:rsidRPr="00C704C6">
        <w:rPr>
          <w:rFonts w:ascii="Miriam" w:hAnsi="Miriam" w:cs="Miriam" w:hint="eastAsia"/>
          <w:rtl/>
        </w:rPr>
        <w:t>העבירה</w:t>
      </w:r>
      <w:r w:rsidRPr="00C704C6">
        <w:rPr>
          <w:rFonts w:ascii="Miriam" w:hAnsi="Miriam" w:cs="Miriam"/>
          <w:rtl/>
        </w:rPr>
        <w:t xml:space="preserve"> </w:t>
      </w:r>
      <w:r w:rsidRPr="00C704C6">
        <w:rPr>
          <w:rFonts w:ascii="Miriam" w:hAnsi="Miriam" w:cs="Miriam" w:hint="eastAsia"/>
          <w:rtl/>
        </w:rPr>
        <w:t>כאשר</w:t>
      </w:r>
      <w:r w:rsidRPr="00C704C6">
        <w:rPr>
          <w:rFonts w:ascii="Miriam" w:hAnsi="Miriam" w:cs="Miriam"/>
          <w:rtl/>
        </w:rPr>
        <w:t xml:space="preserve"> </w:t>
      </w:r>
      <w:r w:rsidRPr="00C704C6">
        <w:rPr>
          <w:rFonts w:ascii="Miriam" w:hAnsi="Miriam" w:cs="Miriam" w:hint="eastAsia"/>
          <w:rtl/>
        </w:rPr>
        <w:t>מדובר</w:t>
      </w:r>
      <w:r w:rsidRPr="00C704C6">
        <w:rPr>
          <w:rFonts w:ascii="Miriam" w:hAnsi="Miriam" w:cs="Miriam"/>
          <w:rtl/>
        </w:rPr>
        <w:t xml:space="preserve"> </w:t>
      </w:r>
      <w:r w:rsidRPr="00C704C6">
        <w:rPr>
          <w:rFonts w:ascii="Miriam" w:hAnsi="Miriam" w:cs="Miriam" w:hint="eastAsia"/>
          <w:rtl/>
        </w:rPr>
        <w:t>בפעילות</w:t>
      </w:r>
      <w:r w:rsidRPr="00C704C6">
        <w:rPr>
          <w:rFonts w:ascii="Miriam" w:hAnsi="Miriam" w:cs="Miriam"/>
          <w:rtl/>
        </w:rPr>
        <w:t xml:space="preserve"> </w:t>
      </w:r>
      <w:r w:rsidRPr="00C704C6">
        <w:rPr>
          <w:rFonts w:ascii="Miriam" w:hAnsi="Miriam" w:cs="Miriam" w:hint="eastAsia"/>
          <w:rtl/>
        </w:rPr>
        <w:t>בתוך</w:t>
      </w:r>
      <w:r w:rsidRPr="00C704C6">
        <w:rPr>
          <w:rFonts w:ascii="Miriam" w:hAnsi="Miriam" w:cs="Miriam"/>
          <w:rtl/>
        </w:rPr>
        <w:t xml:space="preserve"> </w:t>
      </w:r>
      <w:r w:rsidRPr="00C704C6">
        <w:rPr>
          <w:rFonts w:ascii="Miriam" w:hAnsi="Miriam" w:cs="Miriam" w:hint="eastAsia"/>
          <w:rtl/>
        </w:rPr>
        <w:t>תחומי</w:t>
      </w:r>
      <w:r w:rsidRPr="00C704C6">
        <w:rPr>
          <w:rFonts w:ascii="Miriam" w:hAnsi="Miriam" w:cs="Miriam"/>
          <w:rtl/>
        </w:rPr>
        <w:t xml:space="preserve"> </w:t>
      </w:r>
      <w:r w:rsidRPr="00C704C6">
        <w:rPr>
          <w:rFonts w:ascii="Miriam" w:hAnsi="Miriam" w:cs="Miriam" w:hint="eastAsia"/>
          <w:rtl/>
        </w:rPr>
        <w:t>הבית</w:t>
      </w:r>
      <w:r w:rsidRPr="00C704C6">
        <w:rPr>
          <w:rFonts w:ascii="Miriam" w:hAnsi="Miriam" w:cs="Miriam"/>
          <w:rtl/>
        </w:rPr>
        <w:t xml:space="preserve"> </w:t>
      </w:r>
      <w:r w:rsidRPr="00C704C6">
        <w:rPr>
          <w:rFonts w:ascii="Miriam" w:hAnsi="Miriam" w:cs="Miriam" w:hint="eastAsia"/>
          <w:rtl/>
        </w:rPr>
        <w:t>והפוטנציאל</w:t>
      </w:r>
      <w:r w:rsidRPr="00C704C6">
        <w:rPr>
          <w:rFonts w:ascii="Miriam" w:hAnsi="Miriam" w:cs="Miriam"/>
          <w:rtl/>
        </w:rPr>
        <w:t xml:space="preserve"> </w:t>
      </w:r>
      <w:r w:rsidRPr="00C704C6">
        <w:rPr>
          <w:rFonts w:ascii="Miriam" w:hAnsi="Miriam" w:cs="Miriam" w:hint="eastAsia"/>
          <w:rtl/>
        </w:rPr>
        <w:t>הגלום</w:t>
      </w:r>
      <w:r w:rsidRPr="00C704C6">
        <w:rPr>
          <w:rFonts w:ascii="Miriam" w:hAnsi="Miriam" w:cs="Miriam"/>
          <w:rtl/>
        </w:rPr>
        <w:t xml:space="preserve"> </w:t>
      </w:r>
      <w:r w:rsidRPr="00C704C6">
        <w:rPr>
          <w:rFonts w:ascii="Miriam" w:hAnsi="Miriam" w:cs="Miriam" w:hint="eastAsia"/>
          <w:rtl/>
        </w:rPr>
        <w:t>בה</w:t>
      </w:r>
      <w:r w:rsidRPr="00C704C6">
        <w:rPr>
          <w:rFonts w:ascii="Miriam" w:hAnsi="Miriam" w:cs="Miriam"/>
          <w:rtl/>
        </w:rPr>
        <w:t xml:space="preserve"> </w:t>
      </w:r>
      <w:r w:rsidRPr="00C704C6">
        <w:rPr>
          <w:rFonts w:ascii="Miriam" w:hAnsi="Miriam" w:cs="Miriam" w:hint="eastAsia"/>
          <w:rtl/>
        </w:rPr>
        <w:t>משמשים</w:t>
      </w:r>
      <w:r w:rsidRPr="00C704C6">
        <w:rPr>
          <w:rFonts w:ascii="Miriam" w:hAnsi="Miriam" w:cs="Miriam"/>
          <w:rtl/>
        </w:rPr>
        <w:t xml:space="preserve"> </w:t>
      </w:r>
      <w:r w:rsidRPr="00C704C6">
        <w:rPr>
          <w:rFonts w:ascii="Miriam" w:hAnsi="Miriam" w:cs="Miriam" w:hint="eastAsia"/>
          <w:rtl/>
        </w:rPr>
        <w:t>קרקע</w:t>
      </w:r>
      <w:r w:rsidRPr="00C704C6">
        <w:rPr>
          <w:rFonts w:ascii="Miriam" w:hAnsi="Miriam" w:cs="Miriam"/>
          <w:rtl/>
        </w:rPr>
        <w:t xml:space="preserve"> </w:t>
      </w:r>
      <w:r w:rsidRPr="00C704C6">
        <w:rPr>
          <w:rFonts w:ascii="Miriam" w:hAnsi="Miriam" w:cs="Miriam" w:hint="eastAsia"/>
          <w:rtl/>
        </w:rPr>
        <w:t>נוחה</w:t>
      </w:r>
      <w:r w:rsidRPr="00C704C6">
        <w:rPr>
          <w:rFonts w:ascii="Miriam" w:hAnsi="Miriam" w:cs="Miriam"/>
          <w:rtl/>
        </w:rPr>
        <w:t xml:space="preserve"> </w:t>
      </w:r>
      <w:r w:rsidRPr="00C704C6">
        <w:rPr>
          <w:rFonts w:ascii="Miriam" w:hAnsi="Miriam" w:cs="Miriam" w:hint="eastAsia"/>
          <w:rtl/>
        </w:rPr>
        <w:t>להפיכתה</w:t>
      </w:r>
      <w:r w:rsidRPr="00C704C6">
        <w:rPr>
          <w:rFonts w:ascii="Miriam" w:hAnsi="Miriam" w:cs="Miriam"/>
          <w:rtl/>
        </w:rPr>
        <w:t xml:space="preserve"> </w:t>
      </w:r>
      <w:r w:rsidRPr="00C704C6">
        <w:rPr>
          <w:rFonts w:ascii="Miriam" w:hAnsi="Miriam" w:cs="Miriam" w:hint="eastAsia"/>
          <w:rtl/>
        </w:rPr>
        <w:t>לנפוצה</w:t>
      </w:r>
      <w:r w:rsidRPr="00C704C6">
        <w:rPr>
          <w:rFonts w:ascii="Miriam" w:hAnsi="Miriam" w:cs="Miriam"/>
          <w:rtl/>
        </w:rPr>
        <w:t xml:space="preserve">. </w:t>
      </w:r>
      <w:r w:rsidRPr="00C704C6">
        <w:rPr>
          <w:rFonts w:ascii="Miriam" w:hAnsi="Miriam" w:cs="Miriam" w:hint="eastAsia"/>
          <w:rtl/>
        </w:rPr>
        <w:t>נפוצות</w:t>
      </w:r>
      <w:r w:rsidRPr="00C704C6">
        <w:rPr>
          <w:rFonts w:ascii="Miriam" w:hAnsi="Miriam" w:cs="Miriam"/>
          <w:rtl/>
        </w:rPr>
        <w:t xml:space="preserve"> </w:t>
      </w:r>
      <w:r w:rsidRPr="00C704C6">
        <w:rPr>
          <w:rFonts w:ascii="Miriam" w:hAnsi="Miriam" w:cs="Miriam" w:hint="eastAsia"/>
          <w:rtl/>
        </w:rPr>
        <w:t>העבירה</w:t>
      </w:r>
      <w:r w:rsidRPr="00C704C6">
        <w:rPr>
          <w:rFonts w:ascii="Miriam" w:hAnsi="Miriam" w:cs="Miriam"/>
          <w:rtl/>
        </w:rPr>
        <w:t xml:space="preserve"> </w:t>
      </w:r>
      <w:r w:rsidRPr="00C704C6">
        <w:rPr>
          <w:rFonts w:ascii="Miriam" w:hAnsi="Miriam" w:cs="Miriam" w:hint="eastAsia"/>
          <w:rtl/>
        </w:rPr>
        <w:t>מחייבת</w:t>
      </w:r>
      <w:r w:rsidRPr="00C704C6">
        <w:rPr>
          <w:rFonts w:ascii="Miriam" w:hAnsi="Miriam" w:cs="Miriam"/>
          <w:rtl/>
        </w:rPr>
        <w:t xml:space="preserve"> </w:t>
      </w:r>
      <w:r w:rsidRPr="00C704C6">
        <w:rPr>
          <w:rFonts w:ascii="Miriam" w:hAnsi="Miriam" w:cs="Miriam" w:hint="eastAsia"/>
          <w:rtl/>
        </w:rPr>
        <w:t>אמירה</w:t>
      </w:r>
      <w:r w:rsidRPr="00C704C6">
        <w:rPr>
          <w:rFonts w:ascii="Miriam" w:hAnsi="Miriam" w:cs="Miriam"/>
          <w:rtl/>
        </w:rPr>
        <w:t xml:space="preserve"> </w:t>
      </w:r>
      <w:r w:rsidRPr="00C704C6">
        <w:rPr>
          <w:rFonts w:ascii="Miriam" w:hAnsi="Miriam" w:cs="Miriam" w:hint="eastAsia"/>
          <w:rtl/>
        </w:rPr>
        <w:t>ברורה</w:t>
      </w:r>
      <w:r w:rsidRPr="00C704C6">
        <w:rPr>
          <w:rFonts w:ascii="Miriam" w:hAnsi="Miriam" w:cs="Miriam"/>
          <w:rtl/>
        </w:rPr>
        <w:t xml:space="preserve"> </w:t>
      </w:r>
      <w:r w:rsidRPr="00C704C6">
        <w:rPr>
          <w:rFonts w:ascii="Miriam" w:hAnsi="Miriam" w:cs="Miriam" w:hint="eastAsia"/>
          <w:rtl/>
        </w:rPr>
        <w:t>ונורמטיבית</w:t>
      </w:r>
      <w:r w:rsidRPr="00C704C6">
        <w:rPr>
          <w:rFonts w:ascii="Miriam" w:hAnsi="Miriam" w:cs="Miriam"/>
          <w:rtl/>
        </w:rPr>
        <w:t xml:space="preserve"> </w:t>
      </w:r>
      <w:r w:rsidRPr="00C704C6">
        <w:rPr>
          <w:rFonts w:ascii="Miriam" w:hAnsi="Miriam" w:cs="Miriam" w:hint="eastAsia"/>
          <w:rtl/>
        </w:rPr>
        <w:t>של</w:t>
      </w:r>
      <w:r w:rsidRPr="00C704C6">
        <w:rPr>
          <w:rFonts w:ascii="Miriam" w:hAnsi="Miriam" w:cs="Miriam"/>
          <w:rtl/>
        </w:rPr>
        <w:t xml:space="preserve"> </w:t>
      </w:r>
      <w:r w:rsidRPr="00C704C6">
        <w:rPr>
          <w:rFonts w:ascii="Miriam" w:hAnsi="Miriam" w:cs="Miriam" w:hint="eastAsia"/>
          <w:rtl/>
        </w:rPr>
        <w:t>בתי</w:t>
      </w:r>
      <w:r w:rsidRPr="00C704C6">
        <w:rPr>
          <w:rFonts w:ascii="Miriam" w:hAnsi="Miriam" w:cs="Miriam"/>
          <w:rtl/>
        </w:rPr>
        <w:t xml:space="preserve"> </w:t>
      </w:r>
      <w:r w:rsidRPr="00C704C6">
        <w:rPr>
          <w:rFonts w:ascii="Miriam" w:hAnsi="Miriam" w:cs="Miriam" w:hint="eastAsia"/>
          <w:rtl/>
        </w:rPr>
        <w:t>המשפט</w:t>
      </w:r>
      <w:r w:rsidRPr="00C704C6">
        <w:rPr>
          <w:rFonts w:ascii="Miriam" w:hAnsi="Miriam" w:cs="Miriam"/>
          <w:rtl/>
        </w:rPr>
        <w:t xml:space="preserve"> </w:t>
      </w:r>
      <w:r w:rsidRPr="00C704C6">
        <w:rPr>
          <w:rFonts w:ascii="Miriam" w:hAnsi="Miriam" w:cs="Miriam" w:hint="eastAsia"/>
          <w:rtl/>
        </w:rPr>
        <w:t>העוסקים</w:t>
      </w:r>
      <w:r w:rsidRPr="00C704C6">
        <w:rPr>
          <w:rFonts w:ascii="Miriam" w:hAnsi="Miriam" w:cs="Miriam"/>
          <w:rtl/>
        </w:rPr>
        <w:t xml:space="preserve"> </w:t>
      </w:r>
      <w:r w:rsidRPr="00C704C6">
        <w:rPr>
          <w:rFonts w:ascii="Miriam" w:hAnsi="Miriam" w:cs="Miriam" w:hint="eastAsia"/>
          <w:rtl/>
        </w:rPr>
        <w:t>בתחום</w:t>
      </w:r>
      <w:r w:rsidRPr="00C704C6">
        <w:rPr>
          <w:rFonts w:ascii="Miriam" w:hAnsi="Miriam" w:cs="Miriam"/>
          <w:rtl/>
        </w:rPr>
        <w:t xml:space="preserve"> </w:t>
      </w:r>
      <w:r w:rsidRPr="00C704C6">
        <w:rPr>
          <w:rFonts w:ascii="Miriam" w:hAnsi="Miriam" w:cs="Miriam" w:hint="eastAsia"/>
          <w:rtl/>
        </w:rPr>
        <w:t>זה</w:t>
      </w:r>
      <w:r w:rsidRPr="00C704C6">
        <w:rPr>
          <w:rFonts w:ascii="Miriam" w:hAnsi="Miriam" w:cs="Miriam"/>
          <w:rtl/>
        </w:rPr>
        <w:t>."</w:t>
      </w:r>
      <w:r w:rsidRPr="00C704C6">
        <w:rPr>
          <w:rFonts w:ascii="David" w:hAnsi="David"/>
          <w:rtl/>
        </w:rPr>
        <w:t xml:space="preserve"> (</w:t>
      </w:r>
      <w:hyperlink r:id="rId23" w:history="1">
        <w:r w:rsidR="00060B11" w:rsidRPr="00060B11">
          <w:rPr>
            <w:rFonts w:ascii="David" w:hAnsi="David" w:cs="Times New Roman"/>
            <w:color w:val="0000FF"/>
            <w:u w:val="single"/>
            <w:rtl/>
          </w:rPr>
          <w:t>עפ"ג 42358-10-14</w:t>
        </w:r>
      </w:hyperlink>
      <w:r w:rsidRPr="00C704C6">
        <w:rPr>
          <w:rFonts w:ascii="David" w:hAnsi="David"/>
          <w:rtl/>
        </w:rPr>
        <w:t xml:space="preserve"> </w:t>
      </w:r>
      <w:r w:rsidRPr="00C704C6">
        <w:rPr>
          <w:rFonts w:ascii="David" w:hAnsi="David"/>
          <w:b/>
          <w:bCs/>
          <w:rtl/>
        </w:rPr>
        <w:t xml:space="preserve">גיא נ' מדינת ישראל </w:t>
      </w:r>
      <w:r w:rsidRPr="00C704C6">
        <w:rPr>
          <w:rFonts w:ascii="David" w:hAnsi="David"/>
          <w:rtl/>
        </w:rPr>
        <w:t>(18.2.2015)).</w:t>
      </w:r>
    </w:p>
    <w:p w14:paraId="18FDB0EE" w14:textId="77777777" w:rsidR="00870B12" w:rsidRPr="00C704C6" w:rsidRDefault="00870B12" w:rsidP="00870B12">
      <w:pPr>
        <w:pStyle w:val="a9"/>
        <w:ind w:left="1134" w:right="1134"/>
        <w:jc w:val="both"/>
        <w:rPr>
          <w:rFonts w:ascii="David" w:hAnsi="David"/>
        </w:rPr>
      </w:pPr>
    </w:p>
    <w:p w14:paraId="577960BE" w14:textId="77777777" w:rsidR="00870B12" w:rsidRDefault="00870B12" w:rsidP="00870B12">
      <w:pPr>
        <w:pStyle w:val="a9"/>
        <w:numPr>
          <w:ilvl w:val="0"/>
          <w:numId w:val="1"/>
        </w:numPr>
        <w:spacing w:line="360" w:lineRule="auto"/>
        <w:jc w:val="both"/>
        <w:rPr>
          <w:rFonts w:ascii="Arial" w:hAnsi="Arial"/>
          <w:b/>
          <w:bCs/>
        </w:rPr>
      </w:pPr>
      <w:r w:rsidRPr="003F506A">
        <w:rPr>
          <w:rFonts w:ascii="David" w:hAnsi="David"/>
          <w:rtl/>
        </w:rPr>
        <w:t xml:space="preserve">לצורך בחינת מדיניות הענישה הנוהגת בעבירות דומות ניתן להפנות לפסקי הדין הבאים: </w:t>
      </w:r>
      <w:hyperlink r:id="rId24" w:history="1">
        <w:r w:rsidR="00060B11" w:rsidRPr="00060B11">
          <w:rPr>
            <w:rFonts w:ascii="David" w:hAnsi="David" w:cs="Times New Roman"/>
            <w:color w:val="0000FF"/>
            <w:u w:val="single"/>
            <w:rtl/>
          </w:rPr>
          <w:t>רע"פ 314/16</w:t>
        </w:r>
      </w:hyperlink>
      <w:r w:rsidRPr="00C704C6">
        <w:rPr>
          <w:rFonts w:ascii="David" w:hAnsi="David"/>
          <w:rtl/>
        </w:rPr>
        <w:t xml:space="preserve"> </w:t>
      </w:r>
      <w:r w:rsidRPr="00C704C6">
        <w:rPr>
          <w:rFonts w:ascii="David" w:hAnsi="David"/>
          <w:b/>
          <w:bCs/>
          <w:rtl/>
        </w:rPr>
        <w:t>בן</w:t>
      </w:r>
      <w:r w:rsidRPr="00C704C6">
        <w:rPr>
          <w:rFonts w:ascii="David" w:hAnsi="David"/>
          <w:rtl/>
        </w:rPr>
        <w:t xml:space="preserve"> </w:t>
      </w:r>
      <w:r w:rsidRPr="00C704C6">
        <w:rPr>
          <w:rFonts w:ascii="David" w:hAnsi="David"/>
          <w:b/>
          <w:bCs/>
          <w:rtl/>
        </w:rPr>
        <w:t>צבי נ' מדינת ישראל</w:t>
      </w:r>
      <w:r w:rsidRPr="00C704C6">
        <w:rPr>
          <w:rFonts w:ascii="David" w:hAnsi="David"/>
          <w:rtl/>
        </w:rPr>
        <w:t xml:space="preserve"> (22.2.2016), בו הוחמר עונשו של נאשם ל-10 חודשי מאסר בשל גידול תשעה שתילי קנבוס במשקל של 2.5 קילו; </w:t>
      </w:r>
      <w:r w:rsidRPr="00C704C6">
        <w:rPr>
          <w:rFonts w:ascii="David" w:hAnsi="David"/>
          <w:b/>
          <w:bCs/>
          <w:rtl/>
        </w:rPr>
        <w:t>מדינת ישראל נגד טולידו</w:t>
      </w:r>
      <w:r w:rsidRPr="00C704C6">
        <w:rPr>
          <w:rFonts w:ascii="David" w:hAnsi="David"/>
          <w:rtl/>
        </w:rPr>
        <w:t xml:space="preserve"> (17.1.2017), בו הוטלו על נאשם 4 חודשי מאסר בעבודות שירות בגין גידול 93 שתילים של קנבוס וזאת לאחר שהנאשם עבר הליך טיפול משמעותי; </w:t>
      </w:r>
      <w:hyperlink r:id="rId25" w:history="1">
        <w:r w:rsidR="00060B11" w:rsidRPr="00060B11">
          <w:rPr>
            <w:rFonts w:ascii="David" w:hAnsi="David" w:cs="Times New Roman"/>
            <w:color w:val="0000FF"/>
            <w:u w:val="single"/>
            <w:rtl/>
          </w:rPr>
          <w:t>עפ"ג 62171-05-17</w:t>
        </w:r>
      </w:hyperlink>
      <w:r w:rsidRPr="00C704C6">
        <w:rPr>
          <w:rFonts w:ascii="David" w:hAnsi="David"/>
          <w:rtl/>
        </w:rPr>
        <w:t xml:space="preserve"> </w:t>
      </w:r>
      <w:r w:rsidRPr="00C704C6">
        <w:rPr>
          <w:rFonts w:ascii="David" w:hAnsi="David"/>
          <w:b/>
          <w:bCs/>
          <w:rtl/>
        </w:rPr>
        <w:t>חן נ' מדינת ישראל</w:t>
      </w:r>
      <w:r w:rsidRPr="00C704C6">
        <w:rPr>
          <w:rFonts w:ascii="David" w:hAnsi="David"/>
          <w:rtl/>
        </w:rPr>
        <w:t xml:space="preserve"> (10.7.2017), בו הוטלו על נאשם שגידל 19 שתילים 12 חודשי מאסר. אציין כי בית המשפט המחוזי אישר במסגרת ערעור הנאשם את מתחם הענישה שקבע בית משפט השלום (8-20 חודשי מאסר); </w:t>
      </w:r>
      <w:hyperlink r:id="rId26" w:history="1">
        <w:r w:rsidR="00060B11" w:rsidRPr="00060B11">
          <w:rPr>
            <w:rFonts w:ascii="David" w:hAnsi="David" w:cs="Times New Roman"/>
            <w:color w:val="0000FF"/>
            <w:u w:val="single"/>
            <w:rtl/>
          </w:rPr>
          <w:t>ע"פ 6180/16</w:t>
        </w:r>
      </w:hyperlink>
      <w:r w:rsidRPr="00C704C6">
        <w:rPr>
          <w:rFonts w:ascii="David" w:hAnsi="David"/>
          <w:rtl/>
        </w:rPr>
        <w:t xml:space="preserve"> </w:t>
      </w:r>
      <w:r w:rsidRPr="00C704C6">
        <w:rPr>
          <w:rFonts w:ascii="David" w:hAnsi="David"/>
          <w:b/>
          <w:bCs/>
          <w:rtl/>
        </w:rPr>
        <w:t>אלחרוני נ' מדינת ישראל</w:t>
      </w:r>
      <w:r w:rsidRPr="00C704C6">
        <w:rPr>
          <w:rFonts w:ascii="David" w:hAnsi="David"/>
          <w:rtl/>
        </w:rPr>
        <w:t xml:space="preserve"> (26.10.2016), שם נקבע מתחם ענישה שבין 12 חודשי מאסר ועד 24 חודשי מאסר לעבירה של גידול סם בהיקף של 275 שתילים במשקל של כ-80 ק"ג. על הנאשם הוטל עונש מאסר בן 20 חודשים (וכן הופעל מע"ת במצטבר). הערעור לבית המשפט העליון נדחה; </w:t>
      </w:r>
      <w:hyperlink r:id="rId27" w:history="1">
        <w:r w:rsidR="00060B11" w:rsidRPr="00060B11">
          <w:rPr>
            <w:rFonts w:ascii="David" w:hAnsi="David" w:cs="Times New Roman"/>
            <w:color w:val="0000FF"/>
            <w:u w:val="single"/>
            <w:rtl/>
          </w:rPr>
          <w:t>רע"פ 7819/15</w:t>
        </w:r>
      </w:hyperlink>
      <w:r w:rsidRPr="00C704C6">
        <w:rPr>
          <w:rFonts w:ascii="David" w:hAnsi="David"/>
          <w:rtl/>
        </w:rPr>
        <w:t xml:space="preserve"> </w:t>
      </w:r>
      <w:r w:rsidRPr="00C704C6">
        <w:rPr>
          <w:rFonts w:ascii="David" w:hAnsi="David"/>
          <w:b/>
          <w:bCs/>
          <w:rtl/>
        </w:rPr>
        <w:t>סלור נ' מדינת ישראל</w:t>
      </w:r>
      <w:r w:rsidRPr="00C704C6">
        <w:rPr>
          <w:rFonts w:ascii="David" w:hAnsi="David"/>
          <w:rtl/>
        </w:rPr>
        <w:t xml:space="preserve"> (22.5.2016), בו הוטלו על הנאשם 9 חודשי מאסר בפועל בשל גידול 45 שתילי קנבוס במשקל של 7.4 ק"ג. בית משפט השלום קבע כי מתחם העונש ההולם נע בין 7 לבין 18 חודשי מאסר בפועל. ערעור הנאשם על חומרת העונש נדחה הן בבית המשפט המחוזי והן בבית המשפט העליון; </w:t>
      </w:r>
      <w:hyperlink r:id="rId28" w:history="1">
        <w:r w:rsidR="00060B11" w:rsidRPr="00060B11">
          <w:rPr>
            <w:rFonts w:ascii="David" w:hAnsi="David" w:cs="Times New Roman"/>
            <w:color w:val="0000FF"/>
            <w:u w:val="single"/>
            <w:rtl/>
          </w:rPr>
          <w:t>רע"פ 6987/13</w:t>
        </w:r>
      </w:hyperlink>
      <w:r w:rsidRPr="00C704C6">
        <w:rPr>
          <w:rFonts w:ascii="David" w:hAnsi="David"/>
          <w:rtl/>
        </w:rPr>
        <w:t xml:space="preserve"> </w:t>
      </w:r>
      <w:r w:rsidRPr="00C704C6">
        <w:rPr>
          <w:rFonts w:ascii="David" w:hAnsi="David"/>
          <w:b/>
          <w:bCs/>
          <w:rtl/>
        </w:rPr>
        <w:t>אברמוב נ' מדינת ישראל</w:t>
      </w:r>
      <w:r w:rsidRPr="00C704C6">
        <w:rPr>
          <w:rFonts w:ascii="David" w:hAnsi="David"/>
          <w:rtl/>
        </w:rPr>
        <w:t xml:space="preserve"> (21.10.2013), בו הוטלו על הנאשם 12 חודשי מאסר בפועל בשל גידול  סם </w:t>
      </w:r>
      <w:r>
        <w:rPr>
          <w:rFonts w:ascii="David" w:hAnsi="David"/>
          <w:rtl/>
        </w:rPr>
        <w:t>מסוג קנביס במשקל כולל של 10 ק"ג</w:t>
      </w:r>
      <w:r w:rsidRPr="00C704C6">
        <w:rPr>
          <w:rFonts w:ascii="David" w:hAnsi="David"/>
          <w:rtl/>
        </w:rPr>
        <w:t xml:space="preserve">; </w:t>
      </w:r>
      <w:hyperlink r:id="rId29" w:history="1">
        <w:r w:rsidR="00060B11" w:rsidRPr="00060B11">
          <w:rPr>
            <w:rFonts w:ascii="David" w:hAnsi="David"/>
            <w:color w:val="0000FF"/>
            <w:u w:val="single"/>
            <w:rtl/>
          </w:rPr>
          <w:t>ת"פ 1788-06-17</w:t>
        </w:r>
      </w:hyperlink>
      <w:r w:rsidRPr="00C704C6">
        <w:rPr>
          <w:rFonts w:ascii="David" w:hAnsi="David"/>
          <w:rtl/>
        </w:rPr>
        <w:t xml:space="preserve"> </w:t>
      </w:r>
      <w:r w:rsidRPr="00C704C6">
        <w:rPr>
          <w:rFonts w:ascii="David" w:hAnsi="David"/>
          <w:b/>
          <w:bCs/>
          <w:rtl/>
        </w:rPr>
        <w:t>מדינת ישראל נ' אברהם אבירם גבאי</w:t>
      </w:r>
      <w:r w:rsidRPr="00C704C6">
        <w:rPr>
          <w:rFonts w:ascii="David" w:hAnsi="David"/>
          <w:rtl/>
        </w:rPr>
        <w:t xml:space="preserve"> (21.5.2018)</w:t>
      </w:r>
      <w:r>
        <w:rPr>
          <w:rFonts w:ascii="David" w:hAnsi="David" w:hint="cs"/>
          <w:rtl/>
        </w:rPr>
        <w:t>,</w:t>
      </w:r>
      <w:r w:rsidRPr="00C704C6">
        <w:rPr>
          <w:rFonts w:ascii="David" w:hAnsi="David"/>
          <w:rtl/>
        </w:rPr>
        <w:t xml:space="preserve"> בו הוטלו על נאשם 6 חודשי מאסר בעבודות שירות בגין גידול קנבוס במשקל 4.8 ק"ג; </w:t>
      </w:r>
      <w:hyperlink r:id="rId30" w:history="1">
        <w:r w:rsidR="00060B11" w:rsidRPr="00060B11">
          <w:rPr>
            <w:rFonts w:ascii="David" w:hAnsi="David"/>
            <w:color w:val="0000FF"/>
            <w:u w:val="single"/>
            <w:rtl/>
          </w:rPr>
          <w:t>ת"פ 1969-02-17</w:t>
        </w:r>
      </w:hyperlink>
      <w:r w:rsidRPr="00C704C6">
        <w:rPr>
          <w:rFonts w:ascii="David" w:hAnsi="David"/>
          <w:rtl/>
        </w:rPr>
        <w:t xml:space="preserve"> </w:t>
      </w:r>
      <w:r w:rsidRPr="00C704C6">
        <w:rPr>
          <w:rFonts w:ascii="David" w:hAnsi="David"/>
          <w:b/>
          <w:bCs/>
          <w:rtl/>
        </w:rPr>
        <w:t>מדינת ישראל נ' אלישייב</w:t>
      </w:r>
      <w:r w:rsidRPr="00C704C6">
        <w:rPr>
          <w:rFonts w:ascii="David" w:hAnsi="David"/>
          <w:rtl/>
        </w:rPr>
        <w:t xml:space="preserve"> (21.2.2018)</w:t>
      </w:r>
      <w:r>
        <w:rPr>
          <w:rFonts w:ascii="David" w:hAnsi="David" w:hint="cs"/>
          <w:rtl/>
        </w:rPr>
        <w:t>,</w:t>
      </w:r>
      <w:r w:rsidRPr="00C704C6">
        <w:rPr>
          <w:rFonts w:ascii="David" w:hAnsi="David"/>
          <w:rtl/>
        </w:rPr>
        <w:t xml:space="preserve"> בו הוטלו על נאשם 6 חודשי מאסר בעבודות</w:t>
      </w:r>
      <w:r w:rsidRPr="00C704C6">
        <w:rPr>
          <w:rtl/>
        </w:rPr>
        <w:t xml:space="preserve"> </w:t>
      </w:r>
      <w:r>
        <w:rPr>
          <w:rtl/>
        </w:rPr>
        <w:t>שירות בגין גידול 52 שתילי קנבוס במשקל 1.2 ק"ג</w:t>
      </w:r>
      <w:r>
        <w:rPr>
          <w:rFonts w:hint="cs"/>
          <w:rtl/>
        </w:rPr>
        <w:t>,</w:t>
      </w:r>
      <w:r>
        <w:rPr>
          <w:rtl/>
        </w:rPr>
        <w:t xml:space="preserve"> וכן החזקת כלים להכנת סם שלא לצריכה עצמית; </w:t>
      </w:r>
      <w:hyperlink r:id="rId31" w:history="1">
        <w:r w:rsidR="00060B11" w:rsidRPr="00060B11">
          <w:rPr>
            <w:color w:val="0000FF"/>
            <w:u w:val="single"/>
            <w:rtl/>
          </w:rPr>
          <w:t>עפ"ג 22919-08-18</w:t>
        </w:r>
      </w:hyperlink>
      <w:r>
        <w:rPr>
          <w:rtl/>
        </w:rPr>
        <w:t xml:space="preserve"> </w:t>
      </w:r>
      <w:r>
        <w:rPr>
          <w:b/>
          <w:bCs/>
          <w:rtl/>
        </w:rPr>
        <w:t>מדינת ישראל נ' חכים</w:t>
      </w:r>
      <w:r>
        <w:rPr>
          <w:rtl/>
        </w:rPr>
        <w:t xml:space="preserve"> (29.5.2018)</w:t>
      </w:r>
      <w:r>
        <w:rPr>
          <w:rFonts w:hint="cs"/>
          <w:rtl/>
        </w:rPr>
        <w:t>,</w:t>
      </w:r>
      <w:r>
        <w:rPr>
          <w:rtl/>
        </w:rPr>
        <w:t xml:space="preserve"> הוטלו על נאשם 6 חודשי מאסר בעבודות שירות בגין גידול קנבוס במשקל של 33.2 ק"ג. בית המשפט המחוזי ציין כי העונש חורג במידה ניכרת מהמתחם וזאת לנוכח נסיבות חריגות ומיוחדות.  </w:t>
      </w:r>
    </w:p>
    <w:p w14:paraId="66814166" w14:textId="77777777" w:rsidR="00870B12" w:rsidRDefault="00870B12" w:rsidP="00870B12">
      <w:pPr>
        <w:pStyle w:val="a9"/>
        <w:ind w:left="0"/>
        <w:jc w:val="both"/>
        <w:rPr>
          <w:rFonts w:ascii="Arial" w:hAnsi="Arial"/>
          <w:b/>
          <w:bCs/>
        </w:rPr>
      </w:pPr>
    </w:p>
    <w:p w14:paraId="07B6C0DF" w14:textId="77777777" w:rsidR="00870B12" w:rsidRDefault="00870B12" w:rsidP="00870B12">
      <w:pPr>
        <w:numPr>
          <w:ilvl w:val="0"/>
          <w:numId w:val="1"/>
        </w:numPr>
        <w:spacing w:line="360" w:lineRule="auto"/>
        <w:jc w:val="both"/>
        <w:rPr>
          <w:rFonts w:ascii="David" w:hAnsi="David"/>
        </w:rPr>
      </w:pPr>
      <w:r>
        <w:rPr>
          <w:rFonts w:ascii="David" w:hAnsi="David"/>
          <w:rtl/>
        </w:rPr>
        <w:t xml:space="preserve">לאור כל זאת, אני בדעה כי מתחם הענישה ההולם את העבירות בנסיבותיו של מקרה זה, נע בין </w:t>
      </w:r>
      <w:r>
        <w:rPr>
          <w:rFonts w:ascii="David" w:hAnsi="David" w:hint="cs"/>
          <w:rtl/>
        </w:rPr>
        <w:t>8</w:t>
      </w:r>
      <w:r>
        <w:rPr>
          <w:rFonts w:ascii="David" w:hAnsi="David"/>
          <w:rtl/>
        </w:rPr>
        <w:t xml:space="preserve"> חודשי מאסר בפועל ועד 20 חודשי מאסר בפועל.</w:t>
      </w:r>
    </w:p>
    <w:p w14:paraId="0911E430" w14:textId="77777777" w:rsidR="00870B12" w:rsidRDefault="00870B12" w:rsidP="00870B12">
      <w:pPr>
        <w:jc w:val="both"/>
        <w:rPr>
          <w:rFonts w:ascii="David" w:hAnsi="David"/>
          <w:rtl/>
        </w:rPr>
      </w:pPr>
    </w:p>
    <w:p w14:paraId="0E6BA942" w14:textId="77777777" w:rsidR="00870B12" w:rsidRPr="00CA1905" w:rsidRDefault="00870B12" w:rsidP="00870B12">
      <w:pPr>
        <w:spacing w:after="160" w:line="360" w:lineRule="auto"/>
        <w:jc w:val="both"/>
        <w:rPr>
          <w:rFonts w:ascii="David" w:hAnsi="David"/>
          <w:b/>
          <w:bCs/>
          <w:u w:val="single"/>
        </w:rPr>
      </w:pPr>
      <w:r>
        <w:rPr>
          <w:rFonts w:ascii="David" w:hAnsi="David"/>
          <w:b/>
          <w:bCs/>
          <w:u w:val="single"/>
          <w:rtl/>
        </w:rPr>
        <w:t>קביעת עונשו של הנאשם</w:t>
      </w:r>
    </w:p>
    <w:p w14:paraId="5348F5B5" w14:textId="77777777" w:rsidR="00870B12" w:rsidRDefault="00870B12" w:rsidP="00870B12">
      <w:pPr>
        <w:pStyle w:val="a9"/>
        <w:numPr>
          <w:ilvl w:val="0"/>
          <w:numId w:val="1"/>
        </w:numPr>
        <w:spacing w:line="360" w:lineRule="auto"/>
        <w:jc w:val="both"/>
      </w:pPr>
      <w:r w:rsidRPr="00012526">
        <w:rPr>
          <w:rFonts w:ascii="David" w:hAnsi="David"/>
          <w:color w:val="000000"/>
          <w:shd w:val="clear" w:color="auto" w:fill="FFFFFF"/>
          <w:rtl/>
        </w:rPr>
        <w:t>קביעת עונשו של הנאשם מעמתת בין שיקולי הענישה</w:t>
      </w:r>
      <w:r>
        <w:rPr>
          <w:rFonts w:ascii="David" w:hAnsi="David" w:hint="cs"/>
          <w:color w:val="000000"/>
          <w:shd w:val="clear" w:color="auto" w:fill="FFFFFF"/>
          <w:rtl/>
        </w:rPr>
        <w:t xml:space="preserve"> השונים </w:t>
      </w:r>
      <w:r>
        <w:rPr>
          <w:rFonts w:ascii="David" w:hAnsi="David"/>
          <w:color w:val="000000"/>
          <w:shd w:val="clear" w:color="auto" w:fill="FFFFFF"/>
          <w:rtl/>
        </w:rPr>
        <w:t>–</w:t>
      </w:r>
      <w:r>
        <w:rPr>
          <w:rFonts w:ascii="David" w:hAnsi="David" w:hint="cs"/>
          <w:color w:val="000000"/>
          <w:shd w:val="clear" w:color="auto" w:fill="FFFFFF"/>
          <w:rtl/>
        </w:rPr>
        <w:t xml:space="preserve"> הלימה ושיקום</w:t>
      </w:r>
      <w:r w:rsidRPr="00012526">
        <w:rPr>
          <w:rFonts w:ascii="David" w:hAnsi="David"/>
          <w:color w:val="000000"/>
          <w:shd w:val="clear" w:color="auto" w:fill="FFFFFF"/>
          <w:rtl/>
        </w:rPr>
        <w:t xml:space="preserve">. </w:t>
      </w:r>
      <w:r>
        <w:rPr>
          <w:rFonts w:ascii="David" w:hAnsi="David" w:hint="cs"/>
          <w:color w:val="000000"/>
          <w:shd w:val="clear" w:color="auto" w:fill="FFFFFF"/>
          <w:rtl/>
        </w:rPr>
        <w:t xml:space="preserve">כידוע, </w:t>
      </w:r>
      <w:r w:rsidRPr="00012526">
        <w:rPr>
          <w:rFonts w:ascii="David" w:hAnsi="David"/>
          <w:color w:val="000000"/>
          <w:shd w:val="clear" w:color="auto" w:fill="FFFFFF"/>
          <w:rtl/>
        </w:rPr>
        <w:t xml:space="preserve"> </w:t>
      </w:r>
      <w:r>
        <w:rPr>
          <w:rtl/>
        </w:rPr>
        <w:t xml:space="preserve">בהתאם </w:t>
      </w:r>
      <w:hyperlink r:id="rId32" w:history="1">
        <w:r w:rsidR="00583BB9" w:rsidRPr="00583BB9">
          <w:rPr>
            <w:rStyle w:val="Hyperlink"/>
            <w:rFonts w:cs="David"/>
            <w:rtl/>
          </w:rPr>
          <w:t>לסעיף 40ד'</w:t>
        </w:r>
      </w:hyperlink>
      <w:r>
        <w:rPr>
          <w:rtl/>
        </w:rPr>
        <w:t xml:space="preserve"> ל</w:t>
      </w:r>
      <w:hyperlink r:id="rId33" w:history="1">
        <w:r w:rsidR="00060B11" w:rsidRPr="00060B11">
          <w:rPr>
            <w:color w:val="0000FF"/>
            <w:u w:val="single"/>
            <w:rtl/>
          </w:rPr>
          <w:t>חוק העונשין</w:t>
        </w:r>
      </w:hyperlink>
      <w:r>
        <w:rPr>
          <w:rtl/>
        </w:rPr>
        <w:t xml:space="preserve">, רשאי בית המשפט לחרוג לקולה ממתחם הענישה שקבע, אם מצא כי </w:t>
      </w:r>
      <w:r w:rsidRPr="00012526">
        <w:rPr>
          <w:rFonts w:cs="Miriam"/>
          <w:rtl/>
        </w:rPr>
        <w:t>"הנאשם השתקם או כי יש סיכוי של ממש שישתקם"</w:t>
      </w:r>
      <w:r>
        <w:rPr>
          <w:rtl/>
        </w:rPr>
        <w:t xml:space="preserve">. בעניין זה נקבע כי </w:t>
      </w:r>
      <w:r w:rsidRPr="00012526">
        <w:rPr>
          <w:rFonts w:cs="Miriam"/>
          <w:rtl/>
        </w:rPr>
        <w:t xml:space="preserve">"על קיומו של פוטנציאל זה, ניתן ללמוד, בין היתר, מעברו של הנאשם; משיתוף הפעולה שלו עם רשויות החוק ועם שירות המבחן; ומקיומה של תמיכה והתגייסות משפחתית לצידו של הנאשם." </w:t>
      </w:r>
      <w:r>
        <w:rPr>
          <w:rtl/>
        </w:rPr>
        <w:t>(</w:t>
      </w:r>
      <w:hyperlink r:id="rId34" w:history="1">
        <w:r w:rsidR="00060B11" w:rsidRPr="00060B11">
          <w:rPr>
            <w:color w:val="0000FF"/>
            <w:u w:val="single"/>
            <w:rtl/>
          </w:rPr>
          <w:t>רע"פ 7683/13</w:t>
        </w:r>
      </w:hyperlink>
      <w:r>
        <w:rPr>
          <w:rtl/>
        </w:rPr>
        <w:t xml:space="preserve"> </w:t>
      </w:r>
      <w:r w:rsidRPr="00012526">
        <w:rPr>
          <w:b/>
          <w:bCs/>
          <w:rtl/>
        </w:rPr>
        <w:t>דוד פרלמן נ' מדינת ישראל</w:t>
      </w:r>
      <w:r>
        <w:rPr>
          <w:rtl/>
        </w:rPr>
        <w:t xml:space="preserve"> (23.2.2014)). </w:t>
      </w:r>
      <w:r w:rsidRPr="00012526">
        <w:rPr>
          <w:rFonts w:ascii="David" w:hAnsi="David"/>
          <w:color w:val="000000"/>
          <w:shd w:val="clear" w:color="auto" w:fill="FFFFFF"/>
          <w:rtl/>
        </w:rPr>
        <w:t xml:space="preserve">אומר כבר עתה, כי לאחר ששקלתי את מכלול הנסיבות, </w:t>
      </w:r>
      <w:r>
        <w:rPr>
          <w:rFonts w:ascii="David" w:hAnsi="David" w:hint="cs"/>
          <w:color w:val="000000"/>
          <w:shd w:val="clear" w:color="auto" w:fill="FFFFFF"/>
          <w:rtl/>
        </w:rPr>
        <w:t>כמו גם</w:t>
      </w:r>
      <w:r w:rsidRPr="00012526">
        <w:rPr>
          <w:rFonts w:ascii="David" w:hAnsi="David"/>
          <w:color w:val="000000"/>
          <w:shd w:val="clear" w:color="auto" w:fill="FFFFFF"/>
          <w:rtl/>
        </w:rPr>
        <w:t xml:space="preserve"> את מסקנות שירות המבחן, סברתי </w:t>
      </w:r>
      <w:r>
        <w:rPr>
          <w:rFonts w:ascii="David" w:hAnsi="David" w:hint="cs"/>
          <w:color w:val="000000"/>
          <w:shd w:val="clear" w:color="auto" w:fill="FFFFFF"/>
          <w:rtl/>
        </w:rPr>
        <w:t>שיש</w:t>
      </w:r>
      <w:r w:rsidRPr="00012526">
        <w:rPr>
          <w:rFonts w:ascii="David" w:hAnsi="David"/>
          <w:color w:val="000000"/>
          <w:shd w:val="clear" w:color="auto" w:fill="FFFFFF"/>
          <w:rtl/>
        </w:rPr>
        <w:t xml:space="preserve"> מקום במקרה זה לחרוג ממתח</w:t>
      </w:r>
      <w:r>
        <w:rPr>
          <w:rFonts w:ascii="David" w:hAnsi="David"/>
          <w:color w:val="000000"/>
          <w:shd w:val="clear" w:color="auto" w:fill="FFFFFF"/>
          <w:rtl/>
        </w:rPr>
        <w:t xml:space="preserve">ם הענישה, </w:t>
      </w:r>
      <w:r>
        <w:rPr>
          <w:rFonts w:ascii="David" w:hAnsi="David" w:hint="cs"/>
          <w:color w:val="000000"/>
          <w:shd w:val="clear" w:color="auto" w:fill="FFFFFF"/>
          <w:rtl/>
        </w:rPr>
        <w:t xml:space="preserve">אך </w:t>
      </w:r>
      <w:r w:rsidRPr="00012526">
        <w:rPr>
          <w:rFonts w:ascii="David" w:hAnsi="David"/>
          <w:color w:val="000000"/>
          <w:shd w:val="clear" w:color="auto" w:fill="FFFFFF"/>
          <w:rtl/>
        </w:rPr>
        <w:t>לא עד כדי הימנעות מעונש מאסר.</w:t>
      </w:r>
      <w:r>
        <w:rPr>
          <w:rFonts w:ascii="David" w:hAnsi="David"/>
          <w:color w:val="000000"/>
          <w:shd w:val="clear" w:color="auto" w:fill="FFFFFF"/>
          <w:rtl/>
        </w:rPr>
        <w:t xml:space="preserve"> </w:t>
      </w:r>
      <w:r>
        <w:rPr>
          <w:rtl/>
        </w:rPr>
        <w:t>שיקולי השיקום יובאו בחשבון בכך שלא יוטל על הנאשם עונש מאסר בכליאה, אלא בעבודות שירות</w:t>
      </w:r>
      <w:r>
        <w:rPr>
          <w:rFonts w:hint="cs"/>
          <w:rtl/>
        </w:rPr>
        <w:t xml:space="preserve"> ובתקופה קצרה מתחתית המתחם</w:t>
      </w:r>
      <w:r>
        <w:rPr>
          <w:rtl/>
        </w:rPr>
        <w:t xml:space="preserve">. </w:t>
      </w:r>
      <w:r w:rsidRPr="00012526">
        <w:rPr>
          <w:rFonts w:ascii="David" w:hAnsi="David"/>
          <w:color w:val="000000"/>
          <w:shd w:val="clear" w:color="auto" w:fill="FFFFFF"/>
          <w:rtl/>
        </w:rPr>
        <w:t xml:space="preserve">אסביר להלן עמדתי. </w:t>
      </w:r>
    </w:p>
    <w:p w14:paraId="31070B74" w14:textId="77777777" w:rsidR="00870B12" w:rsidRPr="00012526" w:rsidRDefault="00870B12" w:rsidP="00870B12">
      <w:pPr>
        <w:pStyle w:val="a9"/>
        <w:ind w:left="0"/>
        <w:jc w:val="both"/>
      </w:pPr>
    </w:p>
    <w:p w14:paraId="764F2DCA" w14:textId="77777777" w:rsidR="00870B12" w:rsidRDefault="00870B12" w:rsidP="00870B12">
      <w:pPr>
        <w:pStyle w:val="a9"/>
        <w:numPr>
          <w:ilvl w:val="0"/>
          <w:numId w:val="1"/>
        </w:numPr>
        <w:spacing w:line="360" w:lineRule="auto"/>
        <w:jc w:val="both"/>
      </w:pPr>
      <w:r>
        <w:rPr>
          <w:rFonts w:hint="cs"/>
          <w:rtl/>
        </w:rPr>
        <w:t xml:space="preserve">הנאשם הוא צעיר ועברו הפלילי נקי. </w:t>
      </w:r>
      <w:r>
        <w:rPr>
          <w:rtl/>
        </w:rPr>
        <w:t xml:space="preserve">שירות המבחן התרשם </w:t>
      </w:r>
      <w:r>
        <w:rPr>
          <w:rFonts w:hint="cs"/>
          <w:rtl/>
        </w:rPr>
        <w:t>שהוא</w:t>
      </w:r>
      <w:r>
        <w:rPr>
          <w:rtl/>
        </w:rPr>
        <w:t xml:space="preserve"> עושה מאמצים לתפקד</w:t>
      </w:r>
      <w:r>
        <w:rPr>
          <w:rFonts w:hint="cs"/>
          <w:rtl/>
        </w:rPr>
        <w:t xml:space="preserve"> בחברה,</w:t>
      </w:r>
      <w:r>
        <w:rPr>
          <w:rtl/>
        </w:rPr>
        <w:t xml:space="preserve"> הוא מגויס להליך הטיפולי ומגלה מוטיבציה לשינוי. מזה תקופה </w:t>
      </w:r>
      <w:r>
        <w:rPr>
          <w:rFonts w:hint="cs"/>
          <w:rtl/>
        </w:rPr>
        <w:t>הוא</w:t>
      </w:r>
      <w:r>
        <w:rPr>
          <w:rtl/>
        </w:rPr>
        <w:t xml:space="preserve"> נקי מסמים</w:t>
      </w:r>
      <w:r>
        <w:rPr>
          <w:rFonts w:hint="cs"/>
          <w:rtl/>
        </w:rPr>
        <w:t>, מקפיד על ההליך הטיפולי ו</w:t>
      </w:r>
      <w:r>
        <w:rPr>
          <w:rtl/>
        </w:rPr>
        <w:t>הפרוגנוזה לגביו חיובית. לאור כך, המליץ שירות המבחן על העמדת</w:t>
      </w:r>
      <w:r>
        <w:rPr>
          <w:rFonts w:hint="cs"/>
          <w:rtl/>
        </w:rPr>
        <w:t>ו</w:t>
      </w:r>
      <w:r>
        <w:rPr>
          <w:rtl/>
        </w:rPr>
        <w:t xml:space="preserve"> בצו מבחן והעדפת הפן השיקומי</w:t>
      </w:r>
      <w:r>
        <w:rPr>
          <w:rFonts w:hint="cs"/>
          <w:rtl/>
        </w:rPr>
        <w:t xml:space="preserve"> בעניינו</w:t>
      </w:r>
      <w:r>
        <w:rPr>
          <w:rtl/>
        </w:rPr>
        <w:t>. המלצה זו מקובלת עלי.</w:t>
      </w:r>
      <w:r>
        <w:rPr>
          <w:rFonts w:hint="cs"/>
          <w:rtl/>
        </w:rPr>
        <w:t xml:space="preserve"> עם זאת, יש ממש בעמדת המאשימה.</w:t>
      </w:r>
      <w:r>
        <w:rPr>
          <w:rtl/>
        </w:rPr>
        <w:t xml:space="preserve"> העבירה שעבר </w:t>
      </w:r>
      <w:r>
        <w:rPr>
          <w:rFonts w:hint="cs"/>
          <w:rtl/>
        </w:rPr>
        <w:t xml:space="preserve">הנאשם </w:t>
      </w:r>
      <w:r>
        <w:rPr>
          <w:rtl/>
        </w:rPr>
        <w:t>חמורה</w:t>
      </w:r>
      <w:r>
        <w:rPr>
          <w:rFonts w:hint="cs"/>
          <w:rtl/>
        </w:rPr>
        <w:t>,</w:t>
      </w:r>
      <w:r>
        <w:rPr>
          <w:rtl/>
        </w:rPr>
        <w:t xml:space="preserve"> וכ</w:t>
      </w:r>
      <w:r>
        <w:rPr>
          <w:rFonts w:hint="cs"/>
          <w:rtl/>
        </w:rPr>
        <w:t>כ</w:t>
      </w:r>
      <w:r>
        <w:rPr>
          <w:rtl/>
        </w:rPr>
        <w:t xml:space="preserve">לל ראויה לתגובה עונשית חמורה. חומרת העבירה תביא </w:t>
      </w:r>
      <w:r>
        <w:rPr>
          <w:rFonts w:hint="cs"/>
          <w:rtl/>
        </w:rPr>
        <w:t xml:space="preserve">לעיתים </w:t>
      </w:r>
      <w:r>
        <w:rPr>
          <w:rtl/>
        </w:rPr>
        <w:t xml:space="preserve">למסקנה לפיה יש להעדיף את עקרון ההלימה על פני שיקומו של נאשם, שכן </w:t>
      </w:r>
      <w:r>
        <w:rPr>
          <w:rFonts w:hint="cs"/>
          <w:rtl/>
        </w:rPr>
        <w:t>השיקום</w:t>
      </w:r>
      <w:r>
        <w:rPr>
          <w:rtl/>
        </w:rPr>
        <w:t xml:space="preserve"> אינו חזות הכל ויש שנכון להעדיף שיקולים אחרים (</w:t>
      </w:r>
      <w:hyperlink r:id="rId35" w:history="1">
        <w:r w:rsidR="00060B11" w:rsidRPr="00060B11">
          <w:rPr>
            <w:color w:val="0000FF"/>
            <w:u w:val="single"/>
            <w:rtl/>
          </w:rPr>
          <w:t>ע"פ 5376/15</w:t>
        </w:r>
      </w:hyperlink>
      <w:r>
        <w:rPr>
          <w:rtl/>
        </w:rPr>
        <w:t xml:space="preserve"> </w:t>
      </w:r>
      <w:r w:rsidRPr="00DA64D4">
        <w:rPr>
          <w:b/>
          <w:bCs/>
          <w:rtl/>
        </w:rPr>
        <w:t>ניסים ביטון נ' מדינת ישראל</w:t>
      </w:r>
      <w:r>
        <w:rPr>
          <w:rtl/>
        </w:rPr>
        <w:t xml:space="preserve"> (11.2.</w:t>
      </w:r>
      <w:r>
        <w:rPr>
          <w:rFonts w:hint="cs"/>
          <w:rtl/>
        </w:rPr>
        <w:t>2016</w:t>
      </w:r>
      <w:r>
        <w:rPr>
          <w:rtl/>
        </w:rPr>
        <w:t>)). עם זאת, במקרה זה ראוי להעדיף את שיקולי השיקום על פני ההלימה.</w:t>
      </w:r>
      <w:r>
        <w:rPr>
          <w:rFonts w:hint="cs"/>
          <w:rtl/>
        </w:rPr>
        <w:t xml:space="preserve"> </w:t>
      </w:r>
      <w:r>
        <w:rPr>
          <w:rtl/>
        </w:rPr>
        <w:t xml:space="preserve">עונש מאסר </w:t>
      </w:r>
      <w:r>
        <w:rPr>
          <w:rFonts w:hint="cs"/>
          <w:rtl/>
        </w:rPr>
        <w:t>לריצוי בדרך של</w:t>
      </w:r>
      <w:r>
        <w:rPr>
          <w:rtl/>
        </w:rPr>
        <w:t xml:space="preserve"> עבודות שירות, בצד צו מבחן</w:t>
      </w:r>
      <w:r>
        <w:rPr>
          <w:rFonts w:hint="cs"/>
          <w:rtl/>
        </w:rPr>
        <w:t xml:space="preserve"> וענישה צופה פני עתיד</w:t>
      </w:r>
      <w:r>
        <w:rPr>
          <w:rtl/>
        </w:rPr>
        <w:t xml:space="preserve">, הולם לדעתי נכונה את נתוני המקרה. </w:t>
      </w:r>
      <w:r>
        <w:rPr>
          <w:rFonts w:hint="cs"/>
          <w:rtl/>
        </w:rPr>
        <w:t>יש</w:t>
      </w:r>
      <w:r>
        <w:rPr>
          <w:rtl/>
        </w:rPr>
        <w:t xml:space="preserve"> בו להוות ענישה מוחשית משמעותית, בצד המשך ההליך הטיפולי. זו אף הייתה המלצת שירות המבחן</w:t>
      </w:r>
      <w:r>
        <w:rPr>
          <w:rFonts w:hint="cs"/>
          <w:rtl/>
        </w:rPr>
        <w:t xml:space="preserve">, שהוא </w:t>
      </w:r>
      <w:r w:rsidRPr="00DE0C7F">
        <w:rPr>
          <w:rtl/>
        </w:rPr>
        <w:t xml:space="preserve">כידוע, הגוף המקצועי האמון על שיקום נאשמים ועל הערכת הסיכויים לכך. קצין המבחן משמש כזרועו הארוכה של בית המשפט לעניין זה, ועל אף שאין הכרח לאמץ את המלצתו, ברי </w:t>
      </w:r>
      <w:r>
        <w:rPr>
          <w:rFonts w:hint="cs"/>
          <w:rtl/>
        </w:rPr>
        <w:t>ש</w:t>
      </w:r>
      <w:r w:rsidRPr="00DE0C7F">
        <w:rPr>
          <w:rtl/>
        </w:rPr>
        <w:t>להמלצת שירות המבחן משקל ממשי בבוא בית המשפט לגזור את דינו של נאשם (</w:t>
      </w:r>
      <w:hyperlink r:id="rId36" w:history="1">
        <w:r w:rsidR="00060B11" w:rsidRPr="00060B11">
          <w:rPr>
            <w:color w:val="0000FF"/>
            <w:u w:val="single"/>
            <w:rtl/>
          </w:rPr>
          <w:t>ע"פ 3472/11</w:t>
        </w:r>
      </w:hyperlink>
      <w:r w:rsidRPr="00DE0C7F">
        <w:rPr>
          <w:rtl/>
        </w:rPr>
        <w:t xml:space="preserve"> </w:t>
      </w:r>
      <w:r w:rsidRPr="00DE0C7F">
        <w:rPr>
          <w:b/>
          <w:bCs/>
          <w:rtl/>
        </w:rPr>
        <w:t>פלוני נ' מדינת ישראל</w:t>
      </w:r>
      <w:r w:rsidRPr="00DE0C7F">
        <w:rPr>
          <w:rtl/>
        </w:rPr>
        <w:t xml:space="preserve"> (3.9.2012))</w:t>
      </w:r>
      <w:r>
        <w:rPr>
          <w:rtl/>
        </w:rPr>
        <w:t xml:space="preserve">. </w:t>
      </w:r>
    </w:p>
    <w:p w14:paraId="569C979E" w14:textId="77777777" w:rsidR="00870B12" w:rsidRDefault="00870B12" w:rsidP="00870B12">
      <w:pPr>
        <w:pStyle w:val="a9"/>
        <w:ind w:left="0"/>
        <w:jc w:val="both"/>
      </w:pPr>
    </w:p>
    <w:p w14:paraId="50715E57" w14:textId="77777777" w:rsidR="00870B12" w:rsidRDefault="00870B12" w:rsidP="00870B12">
      <w:pPr>
        <w:pStyle w:val="a9"/>
        <w:numPr>
          <w:ilvl w:val="0"/>
          <w:numId w:val="1"/>
        </w:numPr>
        <w:spacing w:line="360" w:lineRule="auto"/>
        <w:jc w:val="both"/>
      </w:pPr>
      <w:r>
        <w:rPr>
          <w:rFonts w:hint="cs"/>
          <w:rtl/>
        </w:rPr>
        <w:t>אציין עוד כי</w:t>
      </w:r>
      <w:r>
        <w:rPr>
          <w:rtl/>
        </w:rPr>
        <w:t xml:space="preserve"> </w:t>
      </w:r>
      <w:r w:rsidRPr="00EC4324">
        <w:rPr>
          <w:rtl/>
        </w:rPr>
        <w:t xml:space="preserve"> עונש מאסר בכליאה</w:t>
      </w:r>
      <w:r>
        <w:rPr>
          <w:rFonts w:hint="cs"/>
          <w:rtl/>
        </w:rPr>
        <w:t xml:space="preserve"> כעתירת המאשימה,</w:t>
      </w:r>
      <w:r w:rsidRPr="00EC4324">
        <w:rPr>
          <w:rtl/>
        </w:rPr>
        <w:t xml:space="preserve"> </w:t>
      </w:r>
      <w:r>
        <w:rPr>
          <w:rFonts w:hint="cs"/>
          <w:rtl/>
        </w:rPr>
        <w:t xml:space="preserve">אף אם הולם הוא את חומרת העבירות, אינו </w:t>
      </w:r>
      <w:r w:rsidRPr="00EC4324">
        <w:rPr>
          <w:rtl/>
        </w:rPr>
        <w:t xml:space="preserve">הולם את נתוני המקרה </w:t>
      </w:r>
      <w:r>
        <w:rPr>
          <w:rFonts w:hint="cs"/>
          <w:rtl/>
        </w:rPr>
        <w:t xml:space="preserve">המסוים </w:t>
      </w:r>
      <w:r w:rsidRPr="00EC4324">
        <w:rPr>
          <w:rtl/>
        </w:rPr>
        <w:t xml:space="preserve">ויש להימנע ממנו (להשפעותיו השליליות של עונש מאסר ראו </w:t>
      </w:r>
      <w:r w:rsidRPr="00DA64D4">
        <w:rPr>
          <w:b/>
          <w:bCs/>
          <w:rtl/>
        </w:rPr>
        <w:t>דו"ח הועדה הציבורית לבחינת מדיניות הענישה והטיפול בעבריינים</w:t>
      </w:r>
      <w:r w:rsidRPr="00EC4324">
        <w:rPr>
          <w:rtl/>
        </w:rPr>
        <w:t xml:space="preserve">, 2015 </w:t>
      </w:r>
      <w:r w:rsidRPr="00DA64D4">
        <w:rPr>
          <w:rtl/>
        </w:rPr>
        <w:t xml:space="preserve">(המכונה "דו"ח ועדת דורנר"); כן ראו, </w:t>
      </w:r>
      <w:hyperlink r:id="rId37" w:history="1">
        <w:r w:rsidR="00060B11" w:rsidRPr="00060B11">
          <w:rPr>
            <w:color w:val="0000FF"/>
            <w:u w:val="single"/>
            <w:rtl/>
          </w:rPr>
          <w:t>בג"צ 1892/14</w:t>
        </w:r>
      </w:hyperlink>
      <w:r w:rsidRPr="00DA64D4">
        <w:rPr>
          <w:rtl/>
        </w:rPr>
        <w:t xml:space="preserve"> </w:t>
      </w:r>
      <w:r w:rsidRPr="00DA64D4">
        <w:rPr>
          <w:b/>
          <w:bCs/>
          <w:rtl/>
        </w:rPr>
        <w:t>האגודה לזכויות האדם בישראל ואח' נ' השר לבטחון פנים ואח'</w:t>
      </w:r>
      <w:r w:rsidRPr="00DA64D4">
        <w:rPr>
          <w:rtl/>
        </w:rPr>
        <w:t xml:space="preserve"> (13.6.17), פסקה קכו' לפסק דינו של המשנה לנשיאה רובינשטיין). עונש מאסר בכליאה אף לא יאפשר הטלת צו מבחן ותוצאה זו אינה תואמת את נתוני ענייננו (ראו </w:t>
      </w:r>
      <w:hyperlink r:id="rId38" w:history="1">
        <w:r w:rsidR="00583BB9" w:rsidRPr="00583BB9">
          <w:rPr>
            <w:rStyle w:val="Hyperlink"/>
            <w:rFonts w:cs="David"/>
            <w:rtl/>
          </w:rPr>
          <w:t>סעיף 1</w:t>
        </w:r>
      </w:hyperlink>
      <w:r w:rsidRPr="00DA64D4">
        <w:rPr>
          <w:rtl/>
        </w:rPr>
        <w:t xml:space="preserve"> ל</w:t>
      </w:r>
      <w:hyperlink r:id="rId39" w:history="1">
        <w:r w:rsidR="00060B11" w:rsidRPr="00060B11">
          <w:rPr>
            <w:color w:val="0000FF"/>
            <w:u w:val="single"/>
            <w:rtl/>
          </w:rPr>
          <w:t>פקודת המבחן</w:t>
        </w:r>
      </w:hyperlink>
      <w:r w:rsidRPr="00DA64D4">
        <w:rPr>
          <w:rtl/>
        </w:rPr>
        <w:t xml:space="preserve">). </w:t>
      </w:r>
      <w:r>
        <w:rPr>
          <w:rtl/>
        </w:rPr>
        <w:t xml:space="preserve">תמיכה בהליך שיקומו של הנאשם תניב תוצאה חיובית לא רק עבורו אלא גם עבור החברה כולה </w:t>
      </w:r>
      <w:r>
        <w:rPr>
          <w:rFonts w:hint="cs"/>
          <w:rtl/>
        </w:rPr>
        <w:t>(</w:t>
      </w:r>
      <w:hyperlink r:id="rId40" w:history="1">
        <w:r w:rsidR="00060B11" w:rsidRPr="00060B11">
          <w:rPr>
            <w:color w:val="0000FF"/>
            <w:u w:val="single"/>
            <w:rtl/>
          </w:rPr>
          <w:t>ע"פ 4944/15</w:t>
        </w:r>
      </w:hyperlink>
      <w:r>
        <w:rPr>
          <w:rtl/>
        </w:rPr>
        <w:t xml:space="preserve"> </w:t>
      </w:r>
      <w:r w:rsidRPr="00DA64D4">
        <w:rPr>
          <w:b/>
          <w:bCs/>
          <w:rtl/>
        </w:rPr>
        <w:t>חסדי חן שרעבי ואח' נ' מדינת ישראל</w:t>
      </w:r>
      <w:r>
        <w:rPr>
          <w:rtl/>
        </w:rPr>
        <w:t xml:space="preserve"> (4.2.</w:t>
      </w:r>
      <w:r>
        <w:rPr>
          <w:rFonts w:hint="cs"/>
          <w:rtl/>
        </w:rPr>
        <w:t>2016</w:t>
      </w:r>
      <w:r>
        <w:rPr>
          <w:rtl/>
        </w:rPr>
        <w:t xml:space="preserve">); </w:t>
      </w:r>
      <w:hyperlink r:id="rId41" w:history="1">
        <w:r w:rsidR="00060B11" w:rsidRPr="00060B11">
          <w:rPr>
            <w:color w:val="0000FF"/>
            <w:u w:val="single"/>
            <w:rtl/>
          </w:rPr>
          <w:t>ע"פ 779/15</w:t>
        </w:r>
      </w:hyperlink>
      <w:r>
        <w:rPr>
          <w:rtl/>
        </w:rPr>
        <w:t xml:space="preserve"> </w:t>
      </w:r>
      <w:r w:rsidRPr="00DA64D4">
        <w:rPr>
          <w:b/>
          <w:bCs/>
          <w:rtl/>
        </w:rPr>
        <w:t>פלוני נ' מדינת ישראל</w:t>
      </w:r>
      <w:r>
        <w:rPr>
          <w:rtl/>
        </w:rPr>
        <w:t xml:space="preserve"> (12.4.</w:t>
      </w:r>
      <w:r>
        <w:rPr>
          <w:rFonts w:hint="cs"/>
          <w:rtl/>
        </w:rPr>
        <w:t>2015</w:t>
      </w:r>
      <w:r>
        <w:rPr>
          <w:rtl/>
        </w:rPr>
        <w:t xml:space="preserve">)). </w:t>
      </w:r>
      <w:r>
        <w:rPr>
          <w:rFonts w:ascii="Arial" w:hAnsi="Arial" w:hint="cs"/>
          <w:rtl/>
        </w:rPr>
        <w:t xml:space="preserve">מזה תקופה לא מבוטלת משולב הנאשם בהליך טיפולי משמעותי. קצינת המבחן התרשמה מרצינותו של הנאשם והתמדתו, צוין כי הטיפול הביא להפחתה ברמת הסיכון להישנות עבירות ואף הועיל לנאשם בהתמודדות עם מצבו האישי והנפשי. יש לברך על כך ובנקודת זמן זו נכון יהיה שלא להחמיר עם הנאשם, ולהושיט לו יד על מנת לסייע לו בהמשך הדרך. </w:t>
      </w:r>
      <w:r>
        <w:rPr>
          <w:rFonts w:ascii="Arial" w:hAnsi="Arial"/>
          <w:rtl/>
        </w:rPr>
        <w:t xml:space="preserve">לדידי, </w:t>
      </w:r>
      <w:r>
        <w:rPr>
          <w:rFonts w:ascii="Arial" w:hAnsi="Arial" w:hint="cs"/>
          <w:rtl/>
        </w:rPr>
        <w:t xml:space="preserve">כאמור, </w:t>
      </w:r>
      <w:r>
        <w:rPr>
          <w:rFonts w:ascii="Arial" w:hAnsi="Arial"/>
          <w:rtl/>
        </w:rPr>
        <w:t xml:space="preserve">עונש מאסר </w:t>
      </w:r>
      <w:r>
        <w:rPr>
          <w:rFonts w:ascii="Arial" w:hAnsi="Arial" w:hint="cs"/>
          <w:rtl/>
        </w:rPr>
        <w:t xml:space="preserve">לא קצר </w:t>
      </w:r>
      <w:r>
        <w:rPr>
          <w:rFonts w:ascii="Arial" w:hAnsi="Arial"/>
          <w:rtl/>
        </w:rPr>
        <w:t xml:space="preserve">בעבודות שירות בשילוב </w:t>
      </w:r>
      <w:r>
        <w:rPr>
          <w:rFonts w:ascii="Arial" w:hAnsi="Arial" w:hint="cs"/>
          <w:rtl/>
        </w:rPr>
        <w:t>צו מבחן וענישה נלוות</w:t>
      </w:r>
      <w:r>
        <w:rPr>
          <w:rFonts w:ascii="Arial" w:hAnsi="Arial"/>
          <w:rtl/>
        </w:rPr>
        <w:t>, ייצור תמהיל עונשי ראוי ומידתי שדי בו על מנת להשיג ענישה ההולמת את נסיבות העניין הכוללות.</w:t>
      </w:r>
    </w:p>
    <w:p w14:paraId="283D168F" w14:textId="77777777" w:rsidR="00870B12" w:rsidRDefault="00870B12" w:rsidP="00870B12">
      <w:pPr>
        <w:numPr>
          <w:ilvl w:val="0"/>
          <w:numId w:val="1"/>
        </w:numPr>
        <w:spacing w:before="120" w:after="120" w:line="360" w:lineRule="auto"/>
        <w:contextualSpacing/>
        <w:jc w:val="both"/>
      </w:pPr>
      <w:r w:rsidRPr="00C95B30">
        <w:rPr>
          <w:rtl/>
        </w:rPr>
        <w:t>סיכומו של דבר, לאחר שבחנתי את מכלול השיקולים, הן לקולה והן לחומרה, אני מטיל על הנאשם את העונשים הבאים:</w:t>
      </w:r>
    </w:p>
    <w:p w14:paraId="4A973574" w14:textId="77777777" w:rsidR="00870B12" w:rsidRPr="00AB20D0" w:rsidRDefault="00870B12" w:rsidP="00870B12">
      <w:pPr>
        <w:pStyle w:val="a9"/>
        <w:numPr>
          <w:ilvl w:val="0"/>
          <w:numId w:val="2"/>
        </w:numPr>
        <w:spacing w:before="120" w:after="120" w:line="360" w:lineRule="auto"/>
        <w:jc w:val="both"/>
        <w:rPr>
          <w:b/>
          <w:bCs/>
          <w:rtl/>
        </w:rPr>
      </w:pPr>
      <w:r>
        <w:rPr>
          <w:rFonts w:hint="cs"/>
          <w:b/>
          <w:bCs/>
          <w:rtl/>
        </w:rPr>
        <w:t>5</w:t>
      </w:r>
      <w:r>
        <w:rPr>
          <w:b/>
          <w:bCs/>
          <w:rtl/>
        </w:rPr>
        <w:t xml:space="preserve"> חודשי מאסר</w:t>
      </w:r>
      <w:r>
        <w:rPr>
          <w:rtl/>
        </w:rPr>
        <w:t>. הנאשם יישא עונש זה בעבודות שירות בהתאם לחוות דעת הממונה</w:t>
      </w:r>
      <w:r w:rsidRPr="00611B40">
        <w:rPr>
          <w:rFonts w:hint="cs"/>
          <w:rtl/>
        </w:rPr>
        <w:t>.</w:t>
      </w:r>
      <w:r w:rsidRPr="00611B40">
        <w:rPr>
          <w:rtl/>
        </w:rPr>
        <w:t xml:space="preserve"> </w:t>
      </w:r>
      <w:r>
        <w:rPr>
          <w:rtl/>
        </w:rPr>
        <w:t xml:space="preserve">  מובהר לנאשם </w:t>
      </w:r>
      <w:r>
        <w:rPr>
          <w:rFonts w:hint="cs"/>
          <w:rtl/>
        </w:rPr>
        <w:t>ש</w:t>
      </w:r>
      <w:r>
        <w:rPr>
          <w:rtl/>
        </w:rPr>
        <w:t xml:space="preserve">עליו לבצע את העבודות לשביעות רצון הממונה וכי אם לא יעשה כן ניתן יהיה להפקיע </w:t>
      </w:r>
      <w:r>
        <w:rPr>
          <w:rFonts w:hint="cs"/>
          <w:rtl/>
        </w:rPr>
        <w:t xml:space="preserve">מנהלית </w:t>
      </w:r>
      <w:r>
        <w:rPr>
          <w:rtl/>
        </w:rPr>
        <w:t>את העבודות והוא יאלץ לשאת ביתרת התקופה בבית מאסר.</w:t>
      </w:r>
      <w:r>
        <w:rPr>
          <w:rFonts w:hint="cs"/>
          <w:rtl/>
        </w:rPr>
        <w:t xml:space="preserve"> </w:t>
      </w:r>
      <w:r w:rsidRPr="00AB20D0">
        <w:rPr>
          <w:rFonts w:hint="cs"/>
          <w:b/>
          <w:bCs/>
          <w:rtl/>
        </w:rPr>
        <w:t>אני נעתר לבקשת הנאשם לדחיית תחילת ריצוי העונש. הממונה יקבע מועד חדש לתחילת ריצוי העונש לחודש 9/21 ויודיע את המועד בתוך 10 ימים.</w:t>
      </w:r>
    </w:p>
    <w:p w14:paraId="25EA8440" w14:textId="77777777" w:rsidR="00870B12" w:rsidRDefault="00870B12" w:rsidP="00870B12">
      <w:pPr>
        <w:pStyle w:val="a9"/>
        <w:spacing w:before="120" w:after="120" w:line="360" w:lineRule="auto"/>
        <w:jc w:val="both"/>
        <w:rPr>
          <w:rtl/>
        </w:rPr>
      </w:pPr>
    </w:p>
    <w:p w14:paraId="30E04E50" w14:textId="77777777" w:rsidR="00870B12" w:rsidRPr="00611B40" w:rsidRDefault="00870B12" w:rsidP="00870B12">
      <w:pPr>
        <w:pStyle w:val="a9"/>
        <w:spacing w:before="120" w:after="120" w:line="360" w:lineRule="auto"/>
        <w:jc w:val="both"/>
        <w:rPr>
          <w:u w:val="single"/>
        </w:rPr>
      </w:pPr>
      <w:r>
        <w:rPr>
          <w:u w:val="single"/>
          <w:rtl/>
        </w:rPr>
        <w:t>מובהר לנאשם ש</w:t>
      </w:r>
      <w:r>
        <w:rPr>
          <w:rFonts w:hint="cs"/>
          <w:u w:val="single"/>
          <w:rtl/>
        </w:rPr>
        <w:t xml:space="preserve">בהתאם לחוות דעת הממונה, </w:t>
      </w:r>
      <w:r>
        <w:rPr>
          <w:u w:val="single"/>
          <w:rtl/>
        </w:rPr>
        <w:t>כתנאי לנשיא</w:t>
      </w:r>
      <w:r>
        <w:rPr>
          <w:rFonts w:hint="cs"/>
          <w:u w:val="single"/>
          <w:rtl/>
        </w:rPr>
        <w:t>ת</w:t>
      </w:r>
      <w:r>
        <w:rPr>
          <w:u w:val="single"/>
          <w:rtl/>
        </w:rPr>
        <w:t xml:space="preserve"> </w:t>
      </w:r>
      <w:r>
        <w:rPr>
          <w:rFonts w:hint="cs"/>
          <w:u w:val="single"/>
          <w:rtl/>
        </w:rPr>
        <w:t>ה</w:t>
      </w:r>
      <w:r w:rsidRPr="00611B40">
        <w:rPr>
          <w:u w:val="single"/>
          <w:rtl/>
        </w:rPr>
        <w:t>עונש בעבודות שירות עליו להיות במעקב רופא פסיכיאטר ולדווח על כל שינוי במצבו</w:t>
      </w:r>
      <w:r w:rsidRPr="00611B40">
        <w:rPr>
          <w:rFonts w:hint="cs"/>
          <w:u w:val="single"/>
          <w:rtl/>
        </w:rPr>
        <w:t>.</w:t>
      </w:r>
    </w:p>
    <w:p w14:paraId="28291C58" w14:textId="77777777" w:rsidR="00870B12" w:rsidRDefault="00870B12" w:rsidP="00870B12">
      <w:pPr>
        <w:pStyle w:val="a9"/>
        <w:spacing w:before="120" w:after="120"/>
        <w:jc w:val="both"/>
      </w:pPr>
    </w:p>
    <w:p w14:paraId="4C31282C" w14:textId="77777777" w:rsidR="00870B12" w:rsidRDefault="00870B12" w:rsidP="00870B12">
      <w:pPr>
        <w:pStyle w:val="a9"/>
        <w:numPr>
          <w:ilvl w:val="0"/>
          <w:numId w:val="2"/>
        </w:numPr>
        <w:spacing w:before="120" w:after="120" w:line="360" w:lineRule="auto"/>
        <w:jc w:val="both"/>
      </w:pPr>
      <w:r w:rsidRPr="00CA7A4A">
        <w:rPr>
          <w:b/>
          <w:bCs/>
          <w:rtl/>
        </w:rPr>
        <w:t xml:space="preserve">אני מעמיד את הנאשם </w:t>
      </w:r>
      <w:r w:rsidRPr="00CA7A4A">
        <w:rPr>
          <w:rFonts w:hint="cs"/>
          <w:b/>
          <w:bCs/>
          <w:rtl/>
        </w:rPr>
        <w:t>בפיקוח שירות ה</w:t>
      </w:r>
      <w:r w:rsidRPr="00CA7A4A">
        <w:rPr>
          <w:b/>
          <w:bCs/>
          <w:rtl/>
        </w:rPr>
        <w:t xml:space="preserve">מבחן למשך </w:t>
      </w:r>
      <w:r w:rsidRPr="00CA7A4A">
        <w:rPr>
          <w:rFonts w:hint="cs"/>
          <w:b/>
          <w:bCs/>
          <w:rtl/>
        </w:rPr>
        <w:t>12</w:t>
      </w:r>
      <w:r w:rsidRPr="00CA7A4A">
        <w:rPr>
          <w:b/>
          <w:bCs/>
          <w:rtl/>
        </w:rPr>
        <w:t xml:space="preserve"> חודשים.</w:t>
      </w:r>
      <w:r>
        <w:rPr>
          <w:rtl/>
        </w:rPr>
        <w:t xml:space="preserve"> הוסבר לנאשם בלשון פשוטה שעליו לקיים את הוראות שירות המבחן וכי הפרה של </w:t>
      </w:r>
      <w:r>
        <w:rPr>
          <w:rFonts w:hint="cs"/>
          <w:rtl/>
        </w:rPr>
        <w:t>ה</w:t>
      </w:r>
      <w:r>
        <w:rPr>
          <w:rtl/>
        </w:rPr>
        <w:t>צו עלולה להוביל להפקעתו ולהטלת עונשים נוספים.</w:t>
      </w:r>
    </w:p>
    <w:p w14:paraId="14DEEF69" w14:textId="77777777" w:rsidR="00870B12" w:rsidRDefault="00870B12" w:rsidP="00870B12">
      <w:pPr>
        <w:pStyle w:val="a9"/>
        <w:spacing w:before="120" w:after="120"/>
        <w:jc w:val="both"/>
      </w:pPr>
    </w:p>
    <w:p w14:paraId="4793574D" w14:textId="77777777" w:rsidR="00870B12" w:rsidRDefault="00870B12" w:rsidP="00870B12">
      <w:pPr>
        <w:pStyle w:val="a9"/>
        <w:numPr>
          <w:ilvl w:val="0"/>
          <w:numId w:val="2"/>
        </w:numPr>
        <w:spacing w:before="120" w:after="120" w:line="360" w:lineRule="auto"/>
        <w:jc w:val="both"/>
      </w:pPr>
      <w:r>
        <w:rPr>
          <w:rtl/>
        </w:rPr>
        <w:t xml:space="preserve">מאסר על תנאי לתקופה של 4 חודשים והתנאי הוא שהנאשם לא יעבור במשך </w:t>
      </w:r>
      <w:r>
        <w:rPr>
          <w:rFonts w:hint="cs"/>
          <w:rtl/>
        </w:rPr>
        <w:t>שנתיים</w:t>
      </w:r>
      <w:r>
        <w:rPr>
          <w:rtl/>
        </w:rPr>
        <w:t xml:space="preserve"> כל </w:t>
      </w:r>
      <w:r>
        <w:rPr>
          <w:rFonts w:hint="cs"/>
          <w:rtl/>
        </w:rPr>
        <w:t>ע</w:t>
      </w:r>
      <w:r>
        <w:rPr>
          <w:rtl/>
        </w:rPr>
        <w:t xml:space="preserve">בירה על פקודת הסמים שהיא פשע. </w:t>
      </w:r>
    </w:p>
    <w:p w14:paraId="7A88FBBD" w14:textId="77777777" w:rsidR="00870B12" w:rsidRDefault="00870B12" w:rsidP="00870B12">
      <w:pPr>
        <w:pStyle w:val="a9"/>
        <w:rPr>
          <w:rtl/>
        </w:rPr>
      </w:pPr>
    </w:p>
    <w:p w14:paraId="742E6889" w14:textId="77777777" w:rsidR="00870B12" w:rsidRDefault="00870B12" w:rsidP="00870B12">
      <w:pPr>
        <w:pStyle w:val="a9"/>
        <w:numPr>
          <w:ilvl w:val="0"/>
          <w:numId w:val="2"/>
        </w:numPr>
        <w:spacing w:before="120" w:after="120" w:line="360" w:lineRule="auto"/>
        <w:jc w:val="both"/>
      </w:pPr>
      <w:r>
        <w:rPr>
          <w:rtl/>
        </w:rPr>
        <w:t xml:space="preserve">קנס בסך </w:t>
      </w:r>
      <w:r>
        <w:rPr>
          <w:rFonts w:hint="cs"/>
          <w:rtl/>
        </w:rPr>
        <w:t>5</w:t>
      </w:r>
      <w:r>
        <w:rPr>
          <w:rtl/>
        </w:rPr>
        <w:t xml:space="preserve">,000 ש"ח ₪. הקנס ישולם ב- 10 תשלומים חודשיים רצופים ושווים החל מיום </w:t>
      </w:r>
      <w:r>
        <w:rPr>
          <w:rFonts w:hint="cs"/>
          <w:rtl/>
        </w:rPr>
        <w:t xml:space="preserve">1.10.2021. </w:t>
      </w:r>
      <w:r>
        <w:rPr>
          <w:rtl/>
        </w:rPr>
        <w:t>היה והקנס או חלקו לא ישולם במועד</w:t>
      </w:r>
      <w:r>
        <w:rPr>
          <w:rFonts w:hint="cs"/>
          <w:rtl/>
        </w:rPr>
        <w:t>,</w:t>
      </w:r>
      <w:r>
        <w:rPr>
          <w:rtl/>
        </w:rPr>
        <w:t xml:space="preserve"> תעמוד יתרת הקנס לתשלום מידי.</w:t>
      </w:r>
    </w:p>
    <w:p w14:paraId="336D38BF" w14:textId="77777777" w:rsidR="00870B12" w:rsidRPr="00C704C6" w:rsidRDefault="00870B12" w:rsidP="00870B12">
      <w:pPr>
        <w:pStyle w:val="a9"/>
        <w:ind w:left="0"/>
        <w:jc w:val="both"/>
        <w:rPr>
          <w:rtl/>
        </w:rPr>
      </w:pPr>
    </w:p>
    <w:p w14:paraId="0026BD4D" w14:textId="77777777" w:rsidR="00870B12" w:rsidRDefault="00870B12" w:rsidP="00870B12">
      <w:pPr>
        <w:spacing w:before="120" w:after="120" w:line="360" w:lineRule="auto"/>
        <w:ind w:left="360"/>
        <w:contextualSpacing/>
        <w:jc w:val="both"/>
        <w:rPr>
          <w:b/>
          <w:bCs/>
          <w:u w:val="single"/>
        </w:rPr>
      </w:pPr>
      <w:r>
        <w:rPr>
          <w:b/>
          <w:bCs/>
          <w:u w:val="single"/>
          <w:rtl/>
        </w:rPr>
        <w:t xml:space="preserve">בחלוף תקופת הערעור, ניתן להשמיד את המוצגים - הסמים והציוד הנלווה. </w:t>
      </w:r>
    </w:p>
    <w:p w14:paraId="6938D224" w14:textId="77777777" w:rsidR="00870B12" w:rsidRPr="006E1C95" w:rsidRDefault="00870B12" w:rsidP="00870B12">
      <w:pPr>
        <w:spacing w:before="120" w:after="120"/>
        <w:ind w:left="1800"/>
        <w:contextualSpacing/>
        <w:jc w:val="both"/>
        <w:rPr>
          <w:b/>
          <w:bCs/>
          <w:u w:val="single"/>
          <w:rtl/>
        </w:rPr>
      </w:pPr>
    </w:p>
    <w:p w14:paraId="43E29E7F" w14:textId="77777777" w:rsidR="00870B12" w:rsidRDefault="00870B12" w:rsidP="00870B12">
      <w:pPr>
        <w:spacing w:before="120" w:after="120" w:line="360" w:lineRule="auto"/>
        <w:ind w:left="360"/>
        <w:contextualSpacing/>
        <w:jc w:val="both"/>
        <w:rPr>
          <w:b/>
          <w:bCs/>
          <w:u w:val="single"/>
          <w:rtl/>
        </w:rPr>
      </w:pPr>
      <w:r>
        <w:rPr>
          <w:b/>
          <w:bCs/>
          <w:u w:val="single"/>
          <w:rtl/>
        </w:rPr>
        <w:t>המזכירות: להמציא את גזר הדין לממונה על עבודות השירות</w:t>
      </w:r>
      <w:r>
        <w:rPr>
          <w:rFonts w:hint="cs"/>
          <w:b/>
          <w:bCs/>
          <w:u w:val="single"/>
          <w:rtl/>
        </w:rPr>
        <w:t xml:space="preserve"> ולשירות המבחן</w:t>
      </w:r>
      <w:r>
        <w:rPr>
          <w:b/>
          <w:bCs/>
          <w:u w:val="single"/>
          <w:rtl/>
        </w:rPr>
        <w:t>.</w:t>
      </w:r>
    </w:p>
    <w:p w14:paraId="67E75A2E" w14:textId="77777777" w:rsidR="00870B12" w:rsidRDefault="00870B12" w:rsidP="00870B12">
      <w:pPr>
        <w:ind w:left="360"/>
        <w:rPr>
          <w:rtl/>
        </w:rPr>
      </w:pPr>
    </w:p>
    <w:p w14:paraId="317B9411" w14:textId="77777777" w:rsidR="00870B12" w:rsidRDefault="00870B12" w:rsidP="00870B12">
      <w:pPr>
        <w:spacing w:before="120" w:after="120" w:line="360" w:lineRule="auto"/>
        <w:ind w:left="360"/>
        <w:contextualSpacing/>
        <w:jc w:val="both"/>
        <w:rPr>
          <w:b/>
          <w:bCs/>
          <w:u w:val="single"/>
        </w:rPr>
      </w:pPr>
      <w:r>
        <w:rPr>
          <w:b/>
          <w:bCs/>
          <w:u w:val="single"/>
          <w:rtl/>
        </w:rPr>
        <w:t xml:space="preserve">זכות ערעור תוך 45 יום. </w:t>
      </w:r>
    </w:p>
    <w:p w14:paraId="6CEC2597" w14:textId="77777777" w:rsidR="00870B12" w:rsidRDefault="00870B12" w:rsidP="00870B12">
      <w:pPr>
        <w:rPr>
          <w:rtl/>
        </w:rPr>
      </w:pPr>
    </w:p>
    <w:p w14:paraId="3A6B14C2" w14:textId="77777777" w:rsidR="00870B12" w:rsidRPr="00060B11" w:rsidRDefault="00060B11" w:rsidP="00870B12">
      <w:pPr>
        <w:rPr>
          <w:color w:val="FFFFFF"/>
          <w:sz w:val="2"/>
          <w:szCs w:val="2"/>
          <w:rtl/>
        </w:rPr>
      </w:pPr>
      <w:r w:rsidRPr="00060B11">
        <w:rPr>
          <w:color w:val="FFFFFF"/>
          <w:sz w:val="2"/>
          <w:szCs w:val="2"/>
          <w:rtl/>
        </w:rPr>
        <w:t>5129371</w:t>
      </w:r>
    </w:p>
    <w:p w14:paraId="3908168A" w14:textId="77777777" w:rsidR="00870B12" w:rsidRPr="00060B11" w:rsidRDefault="00060B11" w:rsidP="00870B12">
      <w:pPr>
        <w:rPr>
          <w:color w:val="FFFFFF"/>
          <w:sz w:val="2"/>
          <w:szCs w:val="2"/>
          <w:rtl/>
        </w:rPr>
      </w:pPr>
      <w:r w:rsidRPr="00060B11">
        <w:rPr>
          <w:color w:val="FFFFFF"/>
          <w:sz w:val="2"/>
          <w:szCs w:val="2"/>
          <w:rtl/>
        </w:rPr>
        <w:t>54678313</w:t>
      </w:r>
    </w:p>
    <w:p w14:paraId="06559197" w14:textId="77777777" w:rsidR="00870B12" w:rsidRDefault="00060B11" w:rsidP="00870B12">
      <w:pPr>
        <w:rPr>
          <w:rFonts w:cs="FrankRuehl"/>
          <w:sz w:val="28"/>
          <w:szCs w:val="28"/>
          <w:rtl/>
        </w:rPr>
      </w:pPr>
      <w:bookmarkStart w:id="7" w:name="Nitan"/>
      <w:r>
        <w:rPr>
          <w:rFonts w:ascii="Arial" w:hAnsi="Arial"/>
          <w:rtl/>
        </w:rPr>
        <w:t xml:space="preserve">ניתן היום,  י' אב תשפ"א, 19 יולי 2021, במעמד הצדדים. </w:t>
      </w:r>
      <w:bookmarkEnd w:id="7"/>
    </w:p>
    <w:p w14:paraId="1BBEFF16" w14:textId="77777777" w:rsidR="00870B12" w:rsidRDefault="00870B12" w:rsidP="00060B1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94CAF6F" w14:textId="77777777" w:rsidR="00870B12" w:rsidRDefault="00870B12" w:rsidP="00870B12">
      <w:pPr>
        <w:jc w:val="center"/>
        <w:rPr>
          <w:rFonts w:ascii="Arial" w:hAnsi="Arial" w:cs="FrankRuehl"/>
          <w:sz w:val="28"/>
          <w:szCs w:val="28"/>
          <w:rtl/>
        </w:rPr>
      </w:pPr>
    </w:p>
    <w:p w14:paraId="5DF2F0E4" w14:textId="77777777" w:rsidR="00870B12" w:rsidRDefault="00870B12" w:rsidP="00870B12">
      <w:pPr>
        <w:rPr>
          <w:rFonts w:cs="FrankRuehl"/>
          <w:sz w:val="28"/>
          <w:szCs w:val="28"/>
          <w:rtl/>
        </w:rPr>
      </w:pPr>
    </w:p>
    <w:p w14:paraId="4C10442D" w14:textId="77777777" w:rsidR="00006687" w:rsidRPr="00060B11" w:rsidRDefault="00006687" w:rsidP="00060B11">
      <w:pPr>
        <w:keepNext/>
        <w:rPr>
          <w:rFonts w:ascii="David" w:hAnsi="David"/>
          <w:color w:val="000000"/>
          <w:sz w:val="22"/>
          <w:szCs w:val="22"/>
          <w:rtl/>
        </w:rPr>
      </w:pPr>
    </w:p>
    <w:p w14:paraId="27145B06" w14:textId="77777777" w:rsidR="00060B11" w:rsidRPr="00060B11" w:rsidRDefault="00060B11" w:rsidP="00060B11">
      <w:pPr>
        <w:keepNext/>
        <w:rPr>
          <w:rFonts w:ascii="David" w:hAnsi="David"/>
          <w:color w:val="000000"/>
          <w:sz w:val="22"/>
          <w:szCs w:val="22"/>
          <w:rtl/>
        </w:rPr>
      </w:pPr>
      <w:r w:rsidRPr="00060B11">
        <w:rPr>
          <w:rFonts w:ascii="David" w:hAnsi="David"/>
          <w:color w:val="000000"/>
          <w:sz w:val="22"/>
          <w:szCs w:val="22"/>
          <w:rtl/>
        </w:rPr>
        <w:t>יוסי טורס 54678313</w:t>
      </w:r>
    </w:p>
    <w:p w14:paraId="52F4C581" w14:textId="77777777" w:rsidR="00060B11" w:rsidRDefault="00060B11" w:rsidP="00060B11">
      <w:r w:rsidRPr="00060B11">
        <w:rPr>
          <w:color w:val="000000"/>
          <w:rtl/>
        </w:rPr>
        <w:t>נוסח מסמך זה כפוף לשינויי ניסוח ועריכה</w:t>
      </w:r>
    </w:p>
    <w:p w14:paraId="1349B4EA" w14:textId="77777777" w:rsidR="00060B11" w:rsidRDefault="00060B11" w:rsidP="00060B11">
      <w:pPr>
        <w:rPr>
          <w:rtl/>
        </w:rPr>
      </w:pPr>
    </w:p>
    <w:p w14:paraId="0DAE40B0" w14:textId="77777777" w:rsidR="00060B11" w:rsidRDefault="00060B11" w:rsidP="00060B11">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70F464F2" w14:textId="77777777" w:rsidR="00060B11" w:rsidRPr="00060B11" w:rsidRDefault="00060B11" w:rsidP="00060B11">
      <w:pPr>
        <w:jc w:val="center"/>
        <w:rPr>
          <w:color w:val="0000FF"/>
          <w:u w:val="single"/>
        </w:rPr>
      </w:pPr>
    </w:p>
    <w:sectPr w:rsidR="00060B11" w:rsidRPr="00060B11" w:rsidSect="00060B11">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DBA3E" w14:textId="77777777" w:rsidR="0099734B" w:rsidRDefault="0099734B" w:rsidP="00343B82">
      <w:r>
        <w:separator/>
      </w:r>
    </w:p>
  </w:endnote>
  <w:endnote w:type="continuationSeparator" w:id="0">
    <w:p w14:paraId="75C327EF" w14:textId="77777777" w:rsidR="0099734B" w:rsidRDefault="0099734B" w:rsidP="00343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tencil">
    <w:panose1 w:val="040409050D0802020404"/>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17779" w14:textId="77777777" w:rsidR="00060B11" w:rsidRDefault="00060B11" w:rsidP="00060B1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212569" w14:textId="77777777" w:rsidR="00662025" w:rsidRPr="00060B11" w:rsidRDefault="00060B11" w:rsidP="00060B1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1386A" w14:textId="77777777" w:rsidR="00060B11" w:rsidRDefault="00060B11" w:rsidP="00060B1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34A1D">
      <w:rPr>
        <w:rFonts w:ascii="FrankRuehl" w:hAnsi="FrankRuehl" w:cs="FrankRuehl"/>
        <w:noProof/>
        <w:rtl/>
      </w:rPr>
      <w:t>1</w:t>
    </w:r>
    <w:r>
      <w:rPr>
        <w:rFonts w:ascii="FrankRuehl" w:hAnsi="FrankRuehl" w:cs="FrankRuehl"/>
        <w:rtl/>
      </w:rPr>
      <w:fldChar w:fldCharType="end"/>
    </w:r>
  </w:p>
  <w:p w14:paraId="6B9DFE8A" w14:textId="77777777" w:rsidR="00662025" w:rsidRPr="00060B11" w:rsidRDefault="00060B11" w:rsidP="00060B1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C7DE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21785" w14:textId="77777777" w:rsidR="0099734B" w:rsidRDefault="0099734B" w:rsidP="00343B82">
      <w:r>
        <w:separator/>
      </w:r>
    </w:p>
  </w:footnote>
  <w:footnote w:type="continuationSeparator" w:id="0">
    <w:p w14:paraId="46A3CA74" w14:textId="77777777" w:rsidR="0099734B" w:rsidRDefault="0099734B" w:rsidP="00343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863F3" w14:textId="77777777" w:rsidR="00060B11" w:rsidRPr="00060B11" w:rsidRDefault="00060B11" w:rsidP="00060B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10814-01-20</w:t>
    </w:r>
    <w:r>
      <w:rPr>
        <w:rFonts w:ascii="David" w:hAnsi="David"/>
        <w:color w:val="000000"/>
        <w:sz w:val="22"/>
        <w:szCs w:val="22"/>
        <w:rtl/>
      </w:rPr>
      <w:tab/>
      <w:t xml:space="preserve"> מדינת ישראל נ' דביר מזרחי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54764" w14:textId="77777777" w:rsidR="00060B11" w:rsidRPr="00060B11" w:rsidRDefault="00060B11" w:rsidP="00060B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10814-01-20</w:t>
    </w:r>
    <w:r>
      <w:rPr>
        <w:rFonts w:ascii="David" w:hAnsi="David"/>
        <w:color w:val="000000"/>
        <w:sz w:val="22"/>
        <w:szCs w:val="22"/>
        <w:rtl/>
      </w:rPr>
      <w:tab/>
      <w:t xml:space="preserve"> מדינת ישראל נ' דביר מזרחי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FF3536"/>
    <w:multiLevelType w:val="hybridMultilevel"/>
    <w:tmpl w:val="DB82C62C"/>
    <w:lvl w:ilvl="0" w:tplc="915E4504">
      <w:start w:val="1"/>
      <w:numFmt w:val="decimal"/>
      <w:lvlText w:val="%1."/>
      <w:lvlJc w:val="left"/>
      <w:pPr>
        <w:tabs>
          <w:tab w:val="num" w:pos="567"/>
        </w:tabs>
        <w:ind w:left="0" w:firstLine="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46B0A"/>
    <w:multiLevelType w:val="hybridMultilevel"/>
    <w:tmpl w:val="53B6E36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641280">
    <w:abstractNumId w:val="0"/>
  </w:num>
  <w:num w:numId="2" w16cid:durableId="113576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0B12"/>
    <w:rsid w:val="00006687"/>
    <w:rsid w:val="00060B11"/>
    <w:rsid w:val="000879CC"/>
    <w:rsid w:val="000A1981"/>
    <w:rsid w:val="000C3B04"/>
    <w:rsid w:val="001B5A3B"/>
    <w:rsid w:val="00343B82"/>
    <w:rsid w:val="00583BB9"/>
    <w:rsid w:val="00646714"/>
    <w:rsid w:val="00662025"/>
    <w:rsid w:val="00870B12"/>
    <w:rsid w:val="008F0379"/>
    <w:rsid w:val="0099734B"/>
    <w:rsid w:val="00B34A1D"/>
    <w:rsid w:val="00D357E5"/>
    <w:rsid w:val="00F64F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3269D4"/>
  <w15:chartTrackingRefBased/>
  <w15:docId w15:val="{783BC931-0DAD-4F50-AF2F-8214B5D71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0B1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0B12"/>
    <w:pPr>
      <w:tabs>
        <w:tab w:val="center" w:pos="4153"/>
        <w:tab w:val="right" w:pos="8306"/>
      </w:tabs>
    </w:pPr>
  </w:style>
  <w:style w:type="character" w:customStyle="1" w:styleId="a4">
    <w:name w:val="כותרת עליונה תו"/>
    <w:link w:val="a3"/>
    <w:rsid w:val="00870B12"/>
    <w:rPr>
      <w:rFonts w:ascii="Times New Roman" w:eastAsia="Times New Roman" w:hAnsi="Times New Roman" w:cs="David"/>
      <w:sz w:val="24"/>
      <w:szCs w:val="24"/>
    </w:rPr>
  </w:style>
  <w:style w:type="paragraph" w:styleId="a5">
    <w:name w:val="footer"/>
    <w:basedOn w:val="a"/>
    <w:link w:val="a6"/>
    <w:rsid w:val="00870B12"/>
    <w:pPr>
      <w:tabs>
        <w:tab w:val="center" w:pos="4153"/>
        <w:tab w:val="right" w:pos="8306"/>
      </w:tabs>
    </w:pPr>
  </w:style>
  <w:style w:type="character" w:customStyle="1" w:styleId="a6">
    <w:name w:val="כותרת תחתונה תו"/>
    <w:link w:val="a5"/>
    <w:rsid w:val="00870B12"/>
    <w:rPr>
      <w:rFonts w:ascii="Times New Roman" w:eastAsia="Times New Roman" w:hAnsi="Times New Roman" w:cs="David"/>
      <w:sz w:val="24"/>
      <w:szCs w:val="24"/>
    </w:rPr>
  </w:style>
  <w:style w:type="table" w:styleId="a7">
    <w:name w:val="Table Grid"/>
    <w:basedOn w:val="a1"/>
    <w:rsid w:val="00870B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0B12"/>
  </w:style>
  <w:style w:type="paragraph" w:styleId="a9">
    <w:name w:val="List Paragraph"/>
    <w:basedOn w:val="a"/>
    <w:qFormat/>
    <w:rsid w:val="00870B12"/>
    <w:pPr>
      <w:ind w:left="720"/>
      <w:contextualSpacing/>
    </w:pPr>
  </w:style>
  <w:style w:type="character" w:styleId="Hyperlink">
    <w:name w:val="Hyperlink"/>
    <w:rsid w:val="00870B1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1477668" TargetMode="External"/><Relationship Id="rId39" Type="http://schemas.openxmlformats.org/officeDocument/2006/relationships/hyperlink" Target="http://www.nevo.co.il/law/7155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0459128"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case/26334908"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26958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0881083" TargetMode="External"/><Relationship Id="rId32" Type="http://schemas.openxmlformats.org/officeDocument/2006/relationships/hyperlink" Target="http://www.nevo.co.il/law/70301/40d" TargetMode="External"/><Relationship Id="rId37" Type="http://schemas.openxmlformats.org/officeDocument/2006/relationships/hyperlink" Target="http://www.nevo.co.il/case/13055183" TargetMode="External"/><Relationship Id="rId40" Type="http://schemas.openxmlformats.org/officeDocument/2006/relationships/hyperlink" Target="http://www.nevo.co.il/case/20450193"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1553/1" TargetMode="External"/><Relationship Id="rId23" Type="http://schemas.openxmlformats.org/officeDocument/2006/relationships/hyperlink" Target="http://www.nevo.co.il/case/18119161" TargetMode="External"/><Relationship Id="rId28" Type="http://schemas.openxmlformats.org/officeDocument/2006/relationships/hyperlink" Target="http://www.nevo.co.il/case/8291661" TargetMode="External"/><Relationship Id="rId36" Type="http://schemas.openxmlformats.org/officeDocument/2006/relationships/hyperlink" Target="http://www.nevo.co.il/case/6244964" TargetMode="External"/><Relationship Id="rId10" Type="http://schemas.openxmlformats.org/officeDocument/2006/relationships/hyperlink" Target="http://www.nevo.co.il/law/4216/10"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4911109"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71553" TargetMode="External"/><Relationship Id="rId22" Type="http://schemas.openxmlformats.org/officeDocument/2006/relationships/hyperlink" Target="http://www.nevo.co.il/case/22841413" TargetMode="External"/><Relationship Id="rId27" Type="http://schemas.openxmlformats.org/officeDocument/2006/relationships/hyperlink" Target="http://www.nevo.co.il/case/20685141" TargetMode="External"/><Relationship Id="rId30" Type="http://schemas.openxmlformats.org/officeDocument/2006/relationships/hyperlink" Target="http://www.nevo.co.il/case/22212088" TargetMode="External"/><Relationship Id="rId35" Type="http://schemas.openxmlformats.org/officeDocument/2006/relationships/hyperlink" Target="http://www.nevo.co.il/case/20490021"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 TargetMode="Externa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2656269"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1553/1" TargetMode="External"/><Relationship Id="rId46" Type="http://schemas.openxmlformats.org/officeDocument/2006/relationships/footer" Target="footer2.xml"/><Relationship Id="rId20" Type="http://schemas.openxmlformats.org/officeDocument/2006/relationships/hyperlink" Target="http://www.nevo.co.il/law/70301/40i" TargetMode="External"/><Relationship Id="rId41" Type="http://schemas.openxmlformats.org/officeDocument/2006/relationships/hyperlink" Target="http://www.nevo.co.il/case/2000941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2287</Words>
  <Characters>11439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13699</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3801200</vt:i4>
      </vt:variant>
      <vt:variant>
        <vt:i4>102</vt:i4>
      </vt:variant>
      <vt:variant>
        <vt:i4>0</vt:i4>
      </vt:variant>
      <vt:variant>
        <vt:i4>5</vt:i4>
      </vt:variant>
      <vt:variant>
        <vt:lpwstr>http://www.nevo.co.il/case/20009419</vt:lpwstr>
      </vt:variant>
      <vt:variant>
        <vt:lpwstr/>
      </vt:variant>
      <vt:variant>
        <vt:i4>4128880</vt:i4>
      </vt:variant>
      <vt:variant>
        <vt:i4>99</vt:i4>
      </vt:variant>
      <vt:variant>
        <vt:i4>0</vt:i4>
      </vt:variant>
      <vt:variant>
        <vt:i4>5</vt:i4>
      </vt:variant>
      <vt:variant>
        <vt:lpwstr>http://www.nevo.co.il/case/20450193</vt:lpwstr>
      </vt:variant>
      <vt:variant>
        <vt:lpwstr/>
      </vt:variant>
      <vt:variant>
        <vt:i4>8257634</vt:i4>
      </vt:variant>
      <vt:variant>
        <vt:i4>96</vt:i4>
      </vt:variant>
      <vt:variant>
        <vt:i4>0</vt:i4>
      </vt:variant>
      <vt:variant>
        <vt:i4>5</vt:i4>
      </vt:variant>
      <vt:variant>
        <vt:lpwstr>http://www.nevo.co.il/law/71553</vt:lpwstr>
      </vt:variant>
      <vt:variant>
        <vt:lpwstr/>
      </vt:variant>
      <vt:variant>
        <vt:i4>5308497</vt:i4>
      </vt:variant>
      <vt:variant>
        <vt:i4>93</vt:i4>
      </vt:variant>
      <vt:variant>
        <vt:i4>0</vt:i4>
      </vt:variant>
      <vt:variant>
        <vt:i4>5</vt:i4>
      </vt:variant>
      <vt:variant>
        <vt:lpwstr>http://www.nevo.co.il/law/71553/1</vt:lpwstr>
      </vt:variant>
      <vt:variant>
        <vt:lpwstr/>
      </vt:variant>
      <vt:variant>
        <vt:i4>3932275</vt:i4>
      </vt:variant>
      <vt:variant>
        <vt:i4>90</vt:i4>
      </vt:variant>
      <vt:variant>
        <vt:i4>0</vt:i4>
      </vt:variant>
      <vt:variant>
        <vt:i4>5</vt:i4>
      </vt:variant>
      <vt:variant>
        <vt:lpwstr>http://www.nevo.co.il/case/13055183</vt:lpwstr>
      </vt:variant>
      <vt:variant>
        <vt:lpwstr/>
      </vt:variant>
      <vt:variant>
        <vt:i4>4128884</vt:i4>
      </vt:variant>
      <vt:variant>
        <vt:i4>87</vt:i4>
      </vt:variant>
      <vt:variant>
        <vt:i4>0</vt:i4>
      </vt:variant>
      <vt:variant>
        <vt:i4>5</vt:i4>
      </vt:variant>
      <vt:variant>
        <vt:lpwstr>http://www.nevo.co.il/case/6244964</vt:lpwstr>
      </vt:variant>
      <vt:variant>
        <vt:lpwstr/>
      </vt:variant>
      <vt:variant>
        <vt:i4>3407997</vt:i4>
      </vt:variant>
      <vt:variant>
        <vt:i4>84</vt:i4>
      </vt:variant>
      <vt:variant>
        <vt:i4>0</vt:i4>
      </vt:variant>
      <vt:variant>
        <vt:i4>5</vt:i4>
      </vt:variant>
      <vt:variant>
        <vt:lpwstr>http://www.nevo.co.il/case/20490021</vt:lpwstr>
      </vt:variant>
      <vt:variant>
        <vt:lpwstr/>
      </vt:variant>
      <vt:variant>
        <vt:i4>4063344</vt:i4>
      </vt:variant>
      <vt:variant>
        <vt:i4>81</vt:i4>
      </vt:variant>
      <vt:variant>
        <vt:i4>0</vt:i4>
      </vt:variant>
      <vt:variant>
        <vt:i4>5</vt:i4>
      </vt:variant>
      <vt:variant>
        <vt:lpwstr>http://www.nevo.co.il/case/10459128</vt:lpwstr>
      </vt:variant>
      <vt:variant>
        <vt:lpwstr/>
      </vt:variant>
      <vt:variant>
        <vt:i4>7995492</vt:i4>
      </vt:variant>
      <vt:variant>
        <vt:i4>78</vt:i4>
      </vt:variant>
      <vt:variant>
        <vt:i4>0</vt:i4>
      </vt:variant>
      <vt:variant>
        <vt:i4>5</vt:i4>
      </vt:variant>
      <vt:variant>
        <vt:lpwstr>http://www.nevo.co.il/law/70301</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3801200</vt:i4>
      </vt:variant>
      <vt:variant>
        <vt:i4>72</vt:i4>
      </vt:variant>
      <vt:variant>
        <vt:i4>0</vt:i4>
      </vt:variant>
      <vt:variant>
        <vt:i4>5</vt:i4>
      </vt:variant>
      <vt:variant>
        <vt:lpwstr>http://www.nevo.co.il/case/24911109</vt:lpwstr>
      </vt:variant>
      <vt:variant>
        <vt:lpwstr/>
      </vt:variant>
      <vt:variant>
        <vt:i4>3801207</vt:i4>
      </vt:variant>
      <vt:variant>
        <vt:i4>69</vt:i4>
      </vt:variant>
      <vt:variant>
        <vt:i4>0</vt:i4>
      </vt:variant>
      <vt:variant>
        <vt:i4>5</vt:i4>
      </vt:variant>
      <vt:variant>
        <vt:lpwstr>http://www.nevo.co.il/case/22212088</vt:lpwstr>
      </vt:variant>
      <vt:variant>
        <vt:lpwstr/>
      </vt:variant>
      <vt:variant>
        <vt:i4>3604599</vt:i4>
      </vt:variant>
      <vt:variant>
        <vt:i4>66</vt:i4>
      </vt:variant>
      <vt:variant>
        <vt:i4>0</vt:i4>
      </vt:variant>
      <vt:variant>
        <vt:i4>5</vt:i4>
      </vt:variant>
      <vt:variant>
        <vt:lpwstr>http://www.nevo.co.il/case/22695863</vt:lpwstr>
      </vt:variant>
      <vt:variant>
        <vt:lpwstr/>
      </vt:variant>
      <vt:variant>
        <vt:i4>3539057</vt:i4>
      </vt:variant>
      <vt:variant>
        <vt:i4>63</vt:i4>
      </vt:variant>
      <vt:variant>
        <vt:i4>0</vt:i4>
      </vt:variant>
      <vt:variant>
        <vt:i4>5</vt:i4>
      </vt:variant>
      <vt:variant>
        <vt:lpwstr>http://www.nevo.co.il/case/8291661</vt:lpwstr>
      </vt:variant>
      <vt:variant>
        <vt:lpwstr/>
      </vt:variant>
      <vt:variant>
        <vt:i4>3473533</vt:i4>
      </vt:variant>
      <vt:variant>
        <vt:i4>60</vt:i4>
      </vt:variant>
      <vt:variant>
        <vt:i4>0</vt:i4>
      </vt:variant>
      <vt:variant>
        <vt:i4>5</vt:i4>
      </vt:variant>
      <vt:variant>
        <vt:lpwstr>http://www.nevo.co.il/case/20685141</vt:lpwstr>
      </vt:variant>
      <vt:variant>
        <vt:lpwstr/>
      </vt:variant>
      <vt:variant>
        <vt:i4>3604596</vt:i4>
      </vt:variant>
      <vt:variant>
        <vt:i4>57</vt:i4>
      </vt:variant>
      <vt:variant>
        <vt:i4>0</vt:i4>
      </vt:variant>
      <vt:variant>
        <vt:i4>5</vt:i4>
      </vt:variant>
      <vt:variant>
        <vt:lpwstr>http://www.nevo.co.il/case/21477668</vt:lpwstr>
      </vt:variant>
      <vt:variant>
        <vt:lpwstr/>
      </vt:variant>
      <vt:variant>
        <vt:i4>3407985</vt:i4>
      </vt:variant>
      <vt:variant>
        <vt:i4>54</vt:i4>
      </vt:variant>
      <vt:variant>
        <vt:i4>0</vt:i4>
      </vt:variant>
      <vt:variant>
        <vt:i4>5</vt:i4>
      </vt:variant>
      <vt:variant>
        <vt:lpwstr>http://www.nevo.co.il/case/22656269</vt:lpwstr>
      </vt:variant>
      <vt:variant>
        <vt:lpwstr/>
      </vt:variant>
      <vt:variant>
        <vt:i4>3342460</vt:i4>
      </vt:variant>
      <vt:variant>
        <vt:i4>51</vt:i4>
      </vt:variant>
      <vt:variant>
        <vt:i4>0</vt:i4>
      </vt:variant>
      <vt:variant>
        <vt:i4>5</vt:i4>
      </vt:variant>
      <vt:variant>
        <vt:lpwstr>http://www.nevo.co.il/case/20881083</vt:lpwstr>
      </vt:variant>
      <vt:variant>
        <vt:lpwstr/>
      </vt:variant>
      <vt:variant>
        <vt:i4>4128892</vt:i4>
      </vt:variant>
      <vt:variant>
        <vt:i4>48</vt:i4>
      </vt:variant>
      <vt:variant>
        <vt:i4>0</vt:i4>
      </vt:variant>
      <vt:variant>
        <vt:i4>5</vt:i4>
      </vt:variant>
      <vt:variant>
        <vt:lpwstr>http://www.nevo.co.il/case/18119161</vt:lpwstr>
      </vt:variant>
      <vt:variant>
        <vt:lpwstr/>
      </vt:variant>
      <vt:variant>
        <vt:i4>3801206</vt:i4>
      </vt:variant>
      <vt:variant>
        <vt:i4>45</vt:i4>
      </vt:variant>
      <vt:variant>
        <vt:i4>0</vt:i4>
      </vt:variant>
      <vt:variant>
        <vt:i4>5</vt:i4>
      </vt:variant>
      <vt:variant>
        <vt:lpwstr>http://www.nevo.co.il/case/22841413</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5177418</vt:i4>
      </vt:variant>
      <vt:variant>
        <vt:i4>33</vt:i4>
      </vt:variant>
      <vt:variant>
        <vt:i4>0</vt:i4>
      </vt:variant>
      <vt:variant>
        <vt:i4>5</vt:i4>
      </vt:variant>
      <vt:variant>
        <vt:lpwstr>http://www.nevo.co.il/law/4216/10</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5308497</vt:i4>
      </vt:variant>
      <vt:variant>
        <vt:i4>24</vt:i4>
      </vt:variant>
      <vt:variant>
        <vt:i4>0</vt:i4>
      </vt:variant>
      <vt:variant>
        <vt:i4>5</vt:i4>
      </vt:variant>
      <vt:variant>
        <vt:lpwstr>http://www.nevo.co.il/law/71553/1</vt:lpwstr>
      </vt:variant>
      <vt:variant>
        <vt:lpwstr/>
      </vt:variant>
      <vt:variant>
        <vt:i4>8257634</vt:i4>
      </vt:variant>
      <vt:variant>
        <vt:i4>21</vt:i4>
      </vt:variant>
      <vt:variant>
        <vt:i4>0</vt:i4>
      </vt:variant>
      <vt:variant>
        <vt:i4>5</vt:i4>
      </vt:variant>
      <vt:variant>
        <vt:lpwstr>http://www.nevo.co.il/law/71553</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3473528</vt:i4>
      </vt:variant>
      <vt:variant>
        <vt:i4>0</vt:i4>
      </vt:variant>
      <vt:variant>
        <vt:i4>0</vt:i4>
      </vt:variant>
      <vt:variant>
        <vt:i4>5</vt:i4>
      </vt:variant>
      <vt:variant>
        <vt:lpwstr>http://www.nevo.co.il/case/26334908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2025-04-23T00:25:00Z</dcterms:created>
  <dcterms:modified xsi:type="dcterms:W3CDTF">2025-04-23T00:25:00Z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10814</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דביר מזרחי</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20210719</vt:lpwstr>
  </property>
  <property fmtid="{D5CDD505-2E9C-101B-9397-08002B2CF9AE}" pid="13" name="TYPE_N_DATE">
    <vt:lpwstr>38020210719</vt:lpwstr>
  </property>
  <property fmtid="{D5CDD505-2E9C-101B-9397-08002B2CF9AE}" pid="14" name="WORDNUMPAGES">
    <vt:lpwstr>7</vt:lpwstr>
  </property>
  <property fmtid="{D5CDD505-2E9C-101B-9397-08002B2CF9AE}" pid="15" name="TYPE_ABS_DATE">
    <vt:lpwstr>380020210719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26334908;22841413;18119161;20881083;22656269;21477668;20685141;8291661;22695863;22212088;24911109;10459128;20490021;6244964;13055183;20450193;20009419</vt:lpwstr>
  </property>
  <property fmtid="{D5CDD505-2E9C-101B-9397-08002B2CF9AE}" pid="36" name="LAWLISTTMP1">
    <vt:lpwstr>4216/006;010</vt:lpwstr>
  </property>
  <property fmtid="{D5CDD505-2E9C-101B-9397-08002B2CF9AE}" pid="37" name="LAWLISTTMP2">
    <vt:lpwstr>70301/040i;040d</vt:lpwstr>
  </property>
  <property fmtid="{D5CDD505-2E9C-101B-9397-08002B2CF9AE}" pid="38" name="LAWLISTTMP3">
    <vt:lpwstr>71553/001</vt:lpwstr>
  </property>
</Properties>
</file>