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4397E" w:rsidRPr="00C1081B" w14:paraId="3B06AB13" w14:textId="77777777" w:rsidTr="00002473">
        <w:trPr>
          <w:trHeight w:hRule="exact" w:val="418"/>
          <w:jc w:val="center"/>
        </w:trPr>
        <w:tc>
          <w:tcPr>
            <w:tcW w:w="8721" w:type="dxa"/>
            <w:gridSpan w:val="2"/>
          </w:tcPr>
          <w:p w14:paraId="4BBA0961" w14:textId="77777777" w:rsidR="0034397E" w:rsidRPr="00C1081B" w:rsidRDefault="0034397E" w:rsidP="00422998">
            <w:pPr>
              <w:pStyle w:val="a3"/>
              <w:jc w:val="center"/>
              <w:rPr>
                <w:rFonts w:ascii="Tahoma" w:hAnsi="Tahoma" w:cs="Tahoma"/>
                <w:color w:val="000080"/>
                <w:rtl/>
              </w:rPr>
            </w:pPr>
            <w:bookmarkStart w:id="0" w:name="FirstLawyer"/>
            <w:bookmarkStart w:id="1" w:name="LastJudge"/>
            <w:r w:rsidRPr="00C1081B">
              <w:rPr>
                <w:rFonts w:ascii="Tahoma" w:hAnsi="Tahoma" w:cs="FrankRuehl"/>
                <w:b/>
                <w:bCs/>
                <w:color w:val="000080"/>
                <w:sz w:val="28"/>
                <w:szCs w:val="28"/>
                <w:rtl/>
              </w:rPr>
              <w:t>בית משפט השלום בירושלים</w:t>
            </w:r>
          </w:p>
        </w:tc>
      </w:tr>
      <w:tr w:rsidR="0034397E" w:rsidRPr="00C1081B" w14:paraId="740539C8" w14:textId="77777777" w:rsidTr="00002473">
        <w:trPr>
          <w:trHeight w:val="337"/>
          <w:jc w:val="center"/>
        </w:trPr>
        <w:tc>
          <w:tcPr>
            <w:tcW w:w="5055" w:type="dxa"/>
          </w:tcPr>
          <w:p w14:paraId="09DDD3C5" w14:textId="77777777" w:rsidR="0034397E" w:rsidRPr="00C1081B" w:rsidRDefault="0034397E" w:rsidP="00422998">
            <w:pPr>
              <w:rPr>
                <w:rFonts w:cs="FrankRuehl"/>
                <w:sz w:val="28"/>
                <w:szCs w:val="28"/>
                <w:rtl/>
              </w:rPr>
            </w:pPr>
            <w:r w:rsidRPr="00C1081B">
              <w:rPr>
                <w:rFonts w:cs="FrankRuehl"/>
                <w:sz w:val="28"/>
                <w:szCs w:val="28"/>
                <w:rtl/>
              </w:rPr>
              <w:t>ת"פ</w:t>
            </w:r>
            <w:r w:rsidRPr="00C1081B">
              <w:rPr>
                <w:rFonts w:cs="FrankRuehl" w:hint="cs"/>
                <w:sz w:val="28"/>
                <w:szCs w:val="28"/>
                <w:rtl/>
              </w:rPr>
              <w:t xml:space="preserve"> </w:t>
            </w:r>
            <w:hyperlink r:id="rId7" w:history="1">
              <w:r w:rsidR="00B85C01" w:rsidRPr="00B85C01">
                <w:rPr>
                  <w:rFonts w:cs="FrankRuehl"/>
                  <w:color w:val="0000FF"/>
                  <w:sz w:val="28"/>
                  <w:szCs w:val="28"/>
                  <w:u w:val="single"/>
                  <w:rtl/>
                </w:rPr>
                <w:t xml:space="preserve">25269-01-20 </w:t>
              </w:r>
            </w:hyperlink>
            <w:r w:rsidRPr="00C1081B">
              <w:rPr>
                <w:rFonts w:cs="FrankRuehl" w:hint="cs"/>
                <w:sz w:val="28"/>
                <w:szCs w:val="28"/>
                <w:rtl/>
              </w:rPr>
              <w:t xml:space="preserve"> </w:t>
            </w:r>
            <w:r w:rsidRPr="00C1081B">
              <w:rPr>
                <w:rFonts w:cs="FrankRuehl"/>
                <w:sz w:val="28"/>
                <w:szCs w:val="28"/>
                <w:rtl/>
              </w:rPr>
              <w:t>מדינת ישראל נ' אלמודאי ואח'</w:t>
            </w:r>
          </w:p>
          <w:p w14:paraId="1E11D435" w14:textId="77777777" w:rsidR="0034397E" w:rsidRPr="00C1081B" w:rsidRDefault="0034397E" w:rsidP="00422998">
            <w:pPr>
              <w:pStyle w:val="a3"/>
              <w:rPr>
                <w:rFonts w:cs="FrankRuehl"/>
                <w:sz w:val="28"/>
                <w:szCs w:val="28"/>
                <w:rtl/>
              </w:rPr>
            </w:pPr>
          </w:p>
        </w:tc>
        <w:tc>
          <w:tcPr>
            <w:tcW w:w="3666" w:type="dxa"/>
          </w:tcPr>
          <w:p w14:paraId="2D06AC1A" w14:textId="77777777" w:rsidR="0034397E" w:rsidRPr="00C1081B" w:rsidRDefault="0034397E" w:rsidP="00422998">
            <w:pPr>
              <w:pStyle w:val="a3"/>
              <w:jc w:val="right"/>
              <w:rPr>
                <w:rFonts w:cs="FrankRuehl"/>
                <w:sz w:val="28"/>
                <w:szCs w:val="28"/>
                <w:rtl/>
              </w:rPr>
            </w:pPr>
          </w:p>
        </w:tc>
      </w:tr>
    </w:tbl>
    <w:p w14:paraId="0786B3C8" w14:textId="77777777" w:rsidR="0034397E" w:rsidRPr="00C1081B" w:rsidRDefault="0034397E" w:rsidP="0034397E">
      <w:pPr>
        <w:pStyle w:val="a3"/>
        <w:rPr>
          <w:rtl/>
        </w:rPr>
      </w:pPr>
      <w:r w:rsidRPr="00C1081B">
        <w:rPr>
          <w:rFonts w:hint="cs"/>
          <w:rtl/>
        </w:rPr>
        <w:t xml:space="preserve"> </w:t>
      </w:r>
    </w:p>
    <w:p w14:paraId="55ABB887" w14:textId="77777777" w:rsidR="0034397E" w:rsidRPr="00C1081B" w:rsidRDefault="0034397E" w:rsidP="0034397E">
      <w:pPr>
        <w:rPr>
          <w:rtl/>
        </w:rPr>
      </w:pPr>
    </w:p>
    <w:p w14:paraId="37D2E7B6" w14:textId="77777777" w:rsidR="0034397E" w:rsidRPr="00C1081B" w:rsidRDefault="0034397E" w:rsidP="0034397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4397E" w:rsidRPr="00C1081B" w14:paraId="51A331B0" w14:textId="77777777" w:rsidTr="0034397E">
        <w:trPr>
          <w:trHeight w:val="295"/>
          <w:jc w:val="center"/>
        </w:trPr>
        <w:tc>
          <w:tcPr>
            <w:tcW w:w="923" w:type="dxa"/>
            <w:tcBorders>
              <w:top w:val="nil"/>
              <w:left w:val="nil"/>
              <w:bottom w:val="nil"/>
              <w:right w:val="nil"/>
            </w:tcBorders>
            <w:shd w:val="clear" w:color="auto" w:fill="auto"/>
          </w:tcPr>
          <w:p w14:paraId="311014B3" w14:textId="77777777" w:rsidR="0034397E" w:rsidRPr="00C1081B" w:rsidRDefault="0034397E" w:rsidP="0034397E">
            <w:pPr>
              <w:jc w:val="both"/>
              <w:rPr>
                <w:rFonts w:ascii="David" w:hAnsi="David" w:cs="FrankRuehl"/>
                <w:b/>
                <w:bCs/>
                <w:sz w:val="28"/>
                <w:szCs w:val="28"/>
              </w:rPr>
            </w:pPr>
            <w:r w:rsidRPr="00C1081B">
              <w:rPr>
                <w:rFonts w:ascii="David" w:hAnsi="David" w:cs="FrankRuehl"/>
                <w:b/>
                <w:bCs/>
                <w:sz w:val="28"/>
                <w:szCs w:val="28"/>
                <w:rtl/>
              </w:rPr>
              <w:t xml:space="preserve">בפני </w:t>
            </w:r>
          </w:p>
        </w:tc>
        <w:tc>
          <w:tcPr>
            <w:tcW w:w="7897" w:type="dxa"/>
            <w:gridSpan w:val="2"/>
            <w:tcBorders>
              <w:top w:val="nil"/>
              <w:left w:val="nil"/>
              <w:bottom w:val="nil"/>
              <w:right w:val="nil"/>
            </w:tcBorders>
            <w:shd w:val="clear" w:color="auto" w:fill="auto"/>
          </w:tcPr>
          <w:p w14:paraId="50F6D9DD" w14:textId="77777777" w:rsidR="0034397E" w:rsidRPr="00C1081B" w:rsidRDefault="0034397E" w:rsidP="00422998">
            <w:pPr>
              <w:rPr>
                <w:rFonts w:ascii="David" w:hAnsi="David" w:cs="FrankRuehl"/>
                <w:b/>
                <w:bCs/>
                <w:sz w:val="28"/>
                <w:szCs w:val="28"/>
                <w:rtl/>
              </w:rPr>
            </w:pPr>
            <w:r w:rsidRPr="00C1081B">
              <w:rPr>
                <w:rFonts w:ascii="David" w:hAnsi="David" w:cs="FrankRuehl"/>
                <w:b/>
                <w:bCs/>
                <w:sz w:val="28"/>
                <w:szCs w:val="28"/>
                <w:rtl/>
              </w:rPr>
              <w:t>כבוד השופט  דוד שאול גבאי ריכטר</w:t>
            </w:r>
          </w:p>
          <w:p w14:paraId="2910CE06" w14:textId="77777777" w:rsidR="0034397E" w:rsidRPr="00C1081B" w:rsidRDefault="0034397E" w:rsidP="00422998">
            <w:pPr>
              <w:rPr>
                <w:rFonts w:ascii="David" w:hAnsi="David" w:cs="FrankRuehl"/>
                <w:b/>
                <w:bCs/>
                <w:sz w:val="28"/>
                <w:szCs w:val="28"/>
                <w:rtl/>
              </w:rPr>
            </w:pPr>
          </w:p>
          <w:p w14:paraId="04BC94C0" w14:textId="77777777" w:rsidR="0034397E" w:rsidRPr="00C1081B" w:rsidRDefault="0034397E" w:rsidP="0034397E">
            <w:pPr>
              <w:jc w:val="both"/>
              <w:rPr>
                <w:rFonts w:ascii="David" w:hAnsi="David" w:cs="FrankRuehl"/>
                <w:b/>
                <w:bCs/>
                <w:sz w:val="28"/>
                <w:szCs w:val="28"/>
              </w:rPr>
            </w:pPr>
          </w:p>
        </w:tc>
      </w:tr>
      <w:tr w:rsidR="0034397E" w:rsidRPr="00C1081B" w14:paraId="2BBCF22C" w14:textId="77777777" w:rsidTr="0034397E">
        <w:trPr>
          <w:trHeight w:val="355"/>
          <w:jc w:val="center"/>
        </w:trPr>
        <w:tc>
          <w:tcPr>
            <w:tcW w:w="923" w:type="dxa"/>
            <w:tcBorders>
              <w:top w:val="nil"/>
              <w:left w:val="nil"/>
              <w:bottom w:val="nil"/>
              <w:right w:val="nil"/>
            </w:tcBorders>
            <w:shd w:val="clear" w:color="auto" w:fill="auto"/>
          </w:tcPr>
          <w:p w14:paraId="7CB5FFA8" w14:textId="77777777" w:rsidR="0034397E" w:rsidRPr="00C1081B" w:rsidRDefault="0034397E" w:rsidP="0034397E">
            <w:pPr>
              <w:jc w:val="both"/>
              <w:rPr>
                <w:rFonts w:ascii="David" w:hAnsi="David" w:cs="FrankRuehl"/>
                <w:b/>
                <w:bCs/>
                <w:sz w:val="28"/>
                <w:szCs w:val="28"/>
              </w:rPr>
            </w:pPr>
            <w:bookmarkStart w:id="2" w:name="FirstAppellant"/>
            <w:r w:rsidRPr="00C1081B">
              <w:rPr>
                <w:rFonts w:ascii="David" w:hAnsi="David" w:cs="FrankRuehl"/>
                <w:b/>
                <w:bCs/>
                <w:sz w:val="28"/>
                <w:szCs w:val="28"/>
                <w:rtl/>
              </w:rPr>
              <w:t>בעניין:</w:t>
            </w:r>
          </w:p>
        </w:tc>
        <w:tc>
          <w:tcPr>
            <w:tcW w:w="4126" w:type="dxa"/>
            <w:tcBorders>
              <w:top w:val="nil"/>
              <w:left w:val="nil"/>
              <w:bottom w:val="nil"/>
              <w:right w:val="nil"/>
            </w:tcBorders>
            <w:shd w:val="clear" w:color="auto" w:fill="auto"/>
          </w:tcPr>
          <w:p w14:paraId="6D1DBE40" w14:textId="77777777" w:rsidR="0034397E" w:rsidRPr="00C1081B" w:rsidRDefault="0034397E" w:rsidP="00422998">
            <w:pPr>
              <w:rPr>
                <w:rFonts w:ascii="David" w:hAnsi="David" w:cs="FrankRuehl"/>
                <w:b/>
                <w:bCs/>
                <w:sz w:val="28"/>
                <w:szCs w:val="28"/>
              </w:rPr>
            </w:pPr>
            <w:r w:rsidRPr="00C1081B">
              <w:rPr>
                <w:rFonts w:ascii="David" w:hAnsi="David" w:cs="FrankRuehl"/>
                <w:b/>
                <w:bCs/>
                <w:sz w:val="28"/>
                <w:szCs w:val="28"/>
                <w:rtl/>
              </w:rPr>
              <w:t>מדינת ישראל</w:t>
            </w:r>
            <w:r w:rsidRPr="00C1081B">
              <w:rPr>
                <w:rFonts w:ascii="David" w:hAnsi="David" w:cs="FrankRuehl"/>
                <w:b/>
                <w:bCs/>
                <w:sz w:val="28"/>
                <w:szCs w:val="28"/>
                <w:rtl/>
              </w:rPr>
              <w:br/>
            </w:r>
            <w:r w:rsidRPr="00C1081B">
              <w:rPr>
                <w:rFonts w:ascii="David" w:hAnsi="David" w:cs="FrankRuehl" w:hint="cs"/>
                <w:b/>
                <w:bCs/>
                <w:sz w:val="28"/>
                <w:szCs w:val="28"/>
                <w:rtl/>
              </w:rPr>
              <w:t>ע"י ב"כ הגב' שירן סיני, מתביעות ירושלים</w:t>
            </w:r>
          </w:p>
        </w:tc>
        <w:tc>
          <w:tcPr>
            <w:tcW w:w="3771" w:type="dxa"/>
            <w:tcBorders>
              <w:top w:val="nil"/>
              <w:left w:val="nil"/>
              <w:bottom w:val="nil"/>
              <w:right w:val="nil"/>
            </w:tcBorders>
            <w:shd w:val="clear" w:color="auto" w:fill="auto"/>
          </w:tcPr>
          <w:p w14:paraId="29187E95" w14:textId="77777777" w:rsidR="0034397E" w:rsidRPr="00C1081B" w:rsidRDefault="0034397E" w:rsidP="0034397E">
            <w:pPr>
              <w:jc w:val="both"/>
              <w:rPr>
                <w:rFonts w:ascii="David" w:hAnsi="David" w:cs="FrankRuehl"/>
                <w:b/>
                <w:bCs/>
                <w:sz w:val="28"/>
                <w:szCs w:val="28"/>
              </w:rPr>
            </w:pPr>
          </w:p>
        </w:tc>
      </w:tr>
      <w:bookmarkEnd w:id="2"/>
      <w:tr w:rsidR="0034397E" w:rsidRPr="00C1081B" w14:paraId="77AC134F" w14:textId="77777777" w:rsidTr="0034397E">
        <w:trPr>
          <w:trHeight w:val="355"/>
          <w:jc w:val="center"/>
        </w:trPr>
        <w:tc>
          <w:tcPr>
            <w:tcW w:w="923" w:type="dxa"/>
            <w:tcBorders>
              <w:top w:val="nil"/>
              <w:left w:val="nil"/>
              <w:bottom w:val="nil"/>
              <w:right w:val="nil"/>
            </w:tcBorders>
            <w:shd w:val="clear" w:color="auto" w:fill="auto"/>
          </w:tcPr>
          <w:p w14:paraId="0AA345DF" w14:textId="77777777" w:rsidR="0034397E" w:rsidRPr="00C1081B" w:rsidRDefault="0034397E" w:rsidP="0034397E">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34BC4538" w14:textId="77777777" w:rsidR="0034397E" w:rsidRPr="00C1081B" w:rsidRDefault="0034397E" w:rsidP="0034397E">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35B83A94" w14:textId="77777777" w:rsidR="0034397E" w:rsidRPr="00C1081B" w:rsidRDefault="0034397E" w:rsidP="0034397E">
            <w:pPr>
              <w:jc w:val="right"/>
              <w:rPr>
                <w:rFonts w:ascii="David" w:hAnsi="David" w:cs="FrankRuehl"/>
                <w:b/>
                <w:bCs/>
                <w:sz w:val="28"/>
                <w:szCs w:val="28"/>
                <w:rtl/>
              </w:rPr>
            </w:pPr>
            <w:r w:rsidRPr="00C1081B">
              <w:rPr>
                <w:rFonts w:ascii="David" w:hAnsi="David" w:cs="FrankRuehl"/>
                <w:b/>
                <w:bCs/>
                <w:sz w:val="28"/>
                <w:szCs w:val="28"/>
                <w:rtl/>
              </w:rPr>
              <w:t>המאשימה</w:t>
            </w:r>
          </w:p>
        </w:tc>
      </w:tr>
      <w:tr w:rsidR="0034397E" w:rsidRPr="00C1081B" w14:paraId="11E229C5" w14:textId="77777777" w:rsidTr="0034397E">
        <w:trPr>
          <w:trHeight w:val="355"/>
          <w:jc w:val="center"/>
        </w:trPr>
        <w:tc>
          <w:tcPr>
            <w:tcW w:w="923" w:type="dxa"/>
            <w:tcBorders>
              <w:top w:val="nil"/>
              <w:left w:val="nil"/>
              <w:bottom w:val="nil"/>
              <w:right w:val="nil"/>
            </w:tcBorders>
            <w:shd w:val="clear" w:color="auto" w:fill="auto"/>
          </w:tcPr>
          <w:p w14:paraId="1F6DABD9" w14:textId="77777777" w:rsidR="0034397E" w:rsidRPr="00C1081B" w:rsidRDefault="0034397E" w:rsidP="0034397E">
            <w:pPr>
              <w:jc w:val="both"/>
              <w:rPr>
                <w:rFonts w:ascii="David" w:hAnsi="David" w:cs="FrankRuehl"/>
                <w:b/>
                <w:bCs/>
                <w:sz w:val="28"/>
                <w:szCs w:val="28"/>
                <w:rtl/>
              </w:rPr>
            </w:pPr>
          </w:p>
        </w:tc>
        <w:tc>
          <w:tcPr>
            <w:tcW w:w="7897" w:type="dxa"/>
            <w:gridSpan w:val="2"/>
            <w:tcBorders>
              <w:top w:val="nil"/>
              <w:left w:val="nil"/>
              <w:bottom w:val="nil"/>
              <w:right w:val="nil"/>
            </w:tcBorders>
            <w:shd w:val="clear" w:color="auto" w:fill="auto"/>
          </w:tcPr>
          <w:p w14:paraId="4D6657E8" w14:textId="77777777" w:rsidR="0034397E" w:rsidRPr="00C1081B" w:rsidRDefault="0034397E" w:rsidP="0034397E">
            <w:pPr>
              <w:jc w:val="center"/>
              <w:rPr>
                <w:rFonts w:ascii="David" w:hAnsi="David" w:cs="FrankRuehl"/>
                <w:b/>
                <w:bCs/>
                <w:sz w:val="28"/>
                <w:szCs w:val="28"/>
                <w:rtl/>
              </w:rPr>
            </w:pPr>
          </w:p>
          <w:p w14:paraId="6A474256" w14:textId="77777777" w:rsidR="0034397E" w:rsidRPr="00C1081B" w:rsidRDefault="0034397E" w:rsidP="0034397E">
            <w:pPr>
              <w:jc w:val="center"/>
              <w:rPr>
                <w:rFonts w:ascii="David" w:hAnsi="David" w:cs="FrankRuehl"/>
                <w:b/>
                <w:bCs/>
                <w:sz w:val="28"/>
                <w:szCs w:val="28"/>
                <w:rtl/>
              </w:rPr>
            </w:pPr>
            <w:r w:rsidRPr="00C1081B">
              <w:rPr>
                <w:rFonts w:ascii="David" w:hAnsi="David" w:cs="FrankRuehl"/>
                <w:b/>
                <w:bCs/>
                <w:sz w:val="28"/>
                <w:szCs w:val="28"/>
                <w:rtl/>
              </w:rPr>
              <w:t>נגד</w:t>
            </w:r>
          </w:p>
          <w:p w14:paraId="4AC8BC07" w14:textId="77777777" w:rsidR="0034397E" w:rsidRPr="00C1081B" w:rsidRDefault="0034397E" w:rsidP="0034397E">
            <w:pPr>
              <w:jc w:val="both"/>
              <w:rPr>
                <w:rFonts w:ascii="David" w:hAnsi="David" w:cs="FrankRuehl"/>
                <w:b/>
                <w:bCs/>
                <w:sz w:val="28"/>
                <w:szCs w:val="28"/>
              </w:rPr>
            </w:pPr>
          </w:p>
        </w:tc>
      </w:tr>
      <w:tr w:rsidR="0034397E" w:rsidRPr="00C1081B" w14:paraId="2370837E" w14:textId="77777777" w:rsidTr="0034397E">
        <w:trPr>
          <w:trHeight w:val="355"/>
          <w:jc w:val="center"/>
        </w:trPr>
        <w:tc>
          <w:tcPr>
            <w:tcW w:w="923" w:type="dxa"/>
            <w:tcBorders>
              <w:top w:val="nil"/>
              <w:left w:val="nil"/>
              <w:bottom w:val="nil"/>
              <w:right w:val="nil"/>
            </w:tcBorders>
            <w:shd w:val="clear" w:color="auto" w:fill="auto"/>
          </w:tcPr>
          <w:p w14:paraId="2C691A26" w14:textId="77777777" w:rsidR="0034397E" w:rsidRPr="00C1081B" w:rsidRDefault="0034397E" w:rsidP="00422998">
            <w:pPr>
              <w:rPr>
                <w:rFonts w:ascii="David" w:hAnsi="David" w:cs="FrankRuehl"/>
                <w:b/>
                <w:bCs/>
                <w:sz w:val="28"/>
                <w:szCs w:val="28"/>
                <w:rtl/>
              </w:rPr>
            </w:pPr>
          </w:p>
        </w:tc>
        <w:tc>
          <w:tcPr>
            <w:tcW w:w="4126" w:type="dxa"/>
            <w:tcBorders>
              <w:top w:val="nil"/>
              <w:left w:val="nil"/>
              <w:bottom w:val="nil"/>
              <w:right w:val="nil"/>
            </w:tcBorders>
            <w:shd w:val="clear" w:color="auto" w:fill="auto"/>
          </w:tcPr>
          <w:p w14:paraId="571CE464" w14:textId="77777777" w:rsidR="0034397E" w:rsidRPr="00C1081B" w:rsidRDefault="0034397E" w:rsidP="00422998">
            <w:pPr>
              <w:rPr>
                <w:rFonts w:ascii="David" w:hAnsi="David" w:cs="FrankRuehl"/>
                <w:b/>
                <w:bCs/>
                <w:sz w:val="28"/>
                <w:szCs w:val="28"/>
                <w:rtl/>
              </w:rPr>
            </w:pPr>
            <w:r w:rsidRPr="00C1081B">
              <w:rPr>
                <w:rFonts w:ascii="David" w:hAnsi="David" w:cs="FrankRuehl" w:hint="cs"/>
                <w:b/>
                <w:bCs/>
                <w:sz w:val="28"/>
                <w:szCs w:val="28"/>
                <w:rtl/>
              </w:rPr>
              <w:t>רון קדמי</w:t>
            </w:r>
          </w:p>
          <w:p w14:paraId="0A72C033" w14:textId="77777777" w:rsidR="0034397E" w:rsidRPr="00C1081B" w:rsidRDefault="0034397E" w:rsidP="00422998">
            <w:pPr>
              <w:rPr>
                <w:rFonts w:ascii="David" w:hAnsi="David" w:cs="FrankRuehl"/>
                <w:b/>
                <w:bCs/>
                <w:sz w:val="28"/>
                <w:szCs w:val="28"/>
                <w:rtl/>
              </w:rPr>
            </w:pPr>
            <w:r w:rsidRPr="00C1081B">
              <w:rPr>
                <w:rFonts w:ascii="David" w:hAnsi="David" w:cs="FrankRuehl" w:hint="cs"/>
                <w:b/>
                <w:bCs/>
                <w:sz w:val="28"/>
                <w:szCs w:val="28"/>
                <w:rtl/>
              </w:rPr>
              <w:t xml:space="preserve">ע"י ב"כ עוה"ד חן הולנדר </w:t>
            </w:r>
          </w:p>
        </w:tc>
        <w:tc>
          <w:tcPr>
            <w:tcW w:w="3771" w:type="dxa"/>
            <w:tcBorders>
              <w:top w:val="nil"/>
              <w:left w:val="nil"/>
              <w:bottom w:val="nil"/>
              <w:right w:val="nil"/>
            </w:tcBorders>
            <w:shd w:val="clear" w:color="auto" w:fill="auto"/>
          </w:tcPr>
          <w:p w14:paraId="6F441F45" w14:textId="77777777" w:rsidR="0034397E" w:rsidRPr="00C1081B" w:rsidRDefault="0034397E" w:rsidP="0034397E">
            <w:pPr>
              <w:jc w:val="right"/>
              <w:rPr>
                <w:rFonts w:ascii="David" w:hAnsi="David" w:cs="FrankRuehl"/>
                <w:b/>
                <w:bCs/>
                <w:sz w:val="28"/>
                <w:szCs w:val="28"/>
              </w:rPr>
            </w:pPr>
          </w:p>
        </w:tc>
      </w:tr>
      <w:tr w:rsidR="0034397E" w:rsidRPr="00C1081B" w14:paraId="64C0940E" w14:textId="77777777" w:rsidTr="0034397E">
        <w:trPr>
          <w:trHeight w:val="355"/>
          <w:jc w:val="center"/>
        </w:trPr>
        <w:tc>
          <w:tcPr>
            <w:tcW w:w="923" w:type="dxa"/>
            <w:tcBorders>
              <w:top w:val="nil"/>
              <w:left w:val="nil"/>
              <w:bottom w:val="nil"/>
              <w:right w:val="nil"/>
            </w:tcBorders>
            <w:shd w:val="clear" w:color="auto" w:fill="auto"/>
          </w:tcPr>
          <w:p w14:paraId="2E714221" w14:textId="77777777" w:rsidR="0034397E" w:rsidRPr="00C1081B" w:rsidRDefault="0034397E" w:rsidP="0034397E">
            <w:pPr>
              <w:jc w:val="both"/>
              <w:rPr>
                <w:rFonts w:ascii="David" w:hAnsi="David" w:cs="FrankRuehl"/>
                <w:b/>
                <w:bCs/>
                <w:sz w:val="28"/>
                <w:szCs w:val="28"/>
                <w:rtl/>
              </w:rPr>
            </w:pPr>
          </w:p>
        </w:tc>
        <w:tc>
          <w:tcPr>
            <w:tcW w:w="4126" w:type="dxa"/>
            <w:tcBorders>
              <w:top w:val="nil"/>
              <w:left w:val="nil"/>
              <w:bottom w:val="nil"/>
              <w:right w:val="nil"/>
            </w:tcBorders>
            <w:shd w:val="clear" w:color="auto" w:fill="auto"/>
          </w:tcPr>
          <w:p w14:paraId="4A02BF29" w14:textId="77777777" w:rsidR="0034397E" w:rsidRPr="00C1081B" w:rsidRDefault="0034397E" w:rsidP="0034397E">
            <w:pPr>
              <w:jc w:val="both"/>
              <w:rPr>
                <w:rFonts w:ascii="David" w:hAnsi="David" w:cs="FrankRuehl"/>
                <w:b/>
                <w:bCs/>
                <w:sz w:val="28"/>
                <w:szCs w:val="28"/>
                <w:rtl/>
              </w:rPr>
            </w:pPr>
          </w:p>
        </w:tc>
        <w:tc>
          <w:tcPr>
            <w:tcW w:w="3771" w:type="dxa"/>
            <w:tcBorders>
              <w:top w:val="nil"/>
              <w:left w:val="nil"/>
              <w:bottom w:val="nil"/>
              <w:right w:val="nil"/>
            </w:tcBorders>
            <w:shd w:val="clear" w:color="auto" w:fill="auto"/>
          </w:tcPr>
          <w:p w14:paraId="666C5332" w14:textId="77777777" w:rsidR="0034397E" w:rsidRPr="00C1081B" w:rsidRDefault="0034397E" w:rsidP="0034397E">
            <w:pPr>
              <w:jc w:val="right"/>
              <w:rPr>
                <w:rFonts w:ascii="David" w:hAnsi="David" w:cs="FrankRuehl"/>
                <w:b/>
                <w:bCs/>
                <w:sz w:val="28"/>
                <w:szCs w:val="28"/>
              </w:rPr>
            </w:pPr>
            <w:r w:rsidRPr="00C1081B">
              <w:rPr>
                <w:rFonts w:ascii="David" w:hAnsi="David" w:cs="FrankRuehl"/>
                <w:b/>
                <w:bCs/>
                <w:sz w:val="28"/>
                <w:szCs w:val="28"/>
                <w:rtl/>
              </w:rPr>
              <w:t>הנאש</w:t>
            </w:r>
            <w:r w:rsidRPr="00C1081B">
              <w:rPr>
                <w:rFonts w:ascii="David" w:hAnsi="David" w:cs="FrankRuehl" w:hint="cs"/>
                <w:b/>
                <w:bCs/>
                <w:sz w:val="28"/>
                <w:szCs w:val="28"/>
                <w:rtl/>
              </w:rPr>
              <w:t>ם</w:t>
            </w:r>
          </w:p>
        </w:tc>
      </w:tr>
    </w:tbl>
    <w:p w14:paraId="4AFCD6B2" w14:textId="77777777" w:rsidR="00002473" w:rsidRDefault="00002473" w:rsidP="00C1081B">
      <w:pPr>
        <w:rPr>
          <w:rFonts w:cs="FrankRuehl"/>
          <w:sz w:val="28"/>
          <w:szCs w:val="28"/>
          <w:rtl/>
        </w:rPr>
      </w:pPr>
    </w:p>
    <w:p w14:paraId="60C53CEF" w14:textId="77777777" w:rsidR="00002473" w:rsidRPr="00002473" w:rsidRDefault="00002473" w:rsidP="00002473">
      <w:pPr>
        <w:spacing w:after="120" w:line="240" w:lineRule="exact"/>
        <w:ind w:left="283" w:hanging="283"/>
        <w:jc w:val="both"/>
        <w:rPr>
          <w:rFonts w:ascii="FrankRuehl" w:hAnsi="FrankRuehl" w:cs="FrankRuehl"/>
          <w:rtl/>
        </w:rPr>
      </w:pPr>
    </w:p>
    <w:p w14:paraId="09BF879A" w14:textId="77777777" w:rsidR="00B85C01" w:rsidRPr="00B85C01" w:rsidRDefault="00B85C01" w:rsidP="00B85C01">
      <w:pPr>
        <w:spacing w:before="120" w:after="120" w:line="240" w:lineRule="exact"/>
        <w:ind w:left="283" w:hanging="283"/>
        <w:jc w:val="both"/>
        <w:rPr>
          <w:rFonts w:ascii="FrankRuehl" w:hAnsi="FrankRuehl" w:cs="FrankRuehl"/>
          <w:rtl/>
        </w:rPr>
      </w:pPr>
    </w:p>
    <w:p w14:paraId="13C1CC34" w14:textId="77777777" w:rsidR="00EC5846" w:rsidRDefault="00EC5846" w:rsidP="00EC5846">
      <w:pPr>
        <w:rPr>
          <w:rFonts w:cs="FrankRuehl"/>
          <w:sz w:val="28"/>
          <w:szCs w:val="28"/>
          <w:rtl/>
        </w:rPr>
      </w:pPr>
      <w:bookmarkStart w:id="3" w:name="LawTable"/>
      <w:bookmarkEnd w:id="3"/>
    </w:p>
    <w:p w14:paraId="0CC3B5A5" w14:textId="77777777" w:rsidR="00EC5846" w:rsidRPr="00EC5846" w:rsidRDefault="00EC5846" w:rsidP="00EC5846">
      <w:pPr>
        <w:spacing w:before="120" w:after="120" w:line="240" w:lineRule="exact"/>
        <w:ind w:left="283" w:hanging="283"/>
        <w:jc w:val="both"/>
        <w:rPr>
          <w:rFonts w:ascii="FrankRuehl" w:hAnsi="FrankRuehl" w:cs="FrankRuehl"/>
          <w:rtl/>
        </w:rPr>
      </w:pPr>
    </w:p>
    <w:p w14:paraId="4B1C2ABF" w14:textId="77777777" w:rsidR="00EC5846" w:rsidRPr="00EC5846" w:rsidRDefault="00EC5846" w:rsidP="00EC5846">
      <w:pPr>
        <w:spacing w:before="120" w:after="120" w:line="240" w:lineRule="exact"/>
        <w:ind w:left="283" w:hanging="283"/>
        <w:jc w:val="both"/>
        <w:rPr>
          <w:rFonts w:ascii="FrankRuehl" w:hAnsi="FrankRuehl" w:cs="FrankRuehl"/>
          <w:rtl/>
        </w:rPr>
      </w:pPr>
    </w:p>
    <w:p w14:paraId="12A0B6E2" w14:textId="77777777" w:rsidR="00EC5846" w:rsidRPr="00EC5846" w:rsidRDefault="00EC5846" w:rsidP="00EC5846">
      <w:pPr>
        <w:spacing w:before="120" w:after="120" w:line="240" w:lineRule="exact"/>
        <w:ind w:left="283" w:hanging="283"/>
        <w:jc w:val="both"/>
        <w:rPr>
          <w:rFonts w:ascii="FrankRuehl" w:hAnsi="FrankRuehl" w:cs="FrankRuehl"/>
          <w:rtl/>
        </w:rPr>
      </w:pPr>
      <w:r w:rsidRPr="00EC5846">
        <w:rPr>
          <w:rFonts w:ascii="FrankRuehl" w:hAnsi="FrankRuehl" w:cs="FrankRuehl"/>
          <w:rtl/>
        </w:rPr>
        <w:t xml:space="preserve">חקיקה שאוזכרה: </w:t>
      </w:r>
    </w:p>
    <w:p w14:paraId="3A94B93E" w14:textId="77777777" w:rsidR="00EC5846" w:rsidRPr="00EC5846" w:rsidRDefault="00EC5846" w:rsidP="00EC5846">
      <w:pPr>
        <w:spacing w:before="120" w:after="120" w:line="240" w:lineRule="exact"/>
        <w:ind w:left="283" w:hanging="283"/>
        <w:jc w:val="both"/>
        <w:rPr>
          <w:rFonts w:ascii="FrankRuehl" w:hAnsi="FrankRuehl" w:cs="FrankRuehl"/>
          <w:rtl/>
        </w:rPr>
      </w:pPr>
      <w:hyperlink r:id="rId8" w:history="1">
        <w:r w:rsidRPr="00EC5846">
          <w:rPr>
            <w:rFonts w:ascii="FrankRuehl" w:hAnsi="FrankRuehl" w:cs="FrankRuehl"/>
            <w:color w:val="0000FF"/>
            <w:rtl/>
          </w:rPr>
          <w:t>פקודת הסמים המסוכנים [נוסח חדש], תשל"ג-1973</w:t>
        </w:r>
      </w:hyperlink>
      <w:r w:rsidRPr="00EC5846">
        <w:rPr>
          <w:rFonts w:ascii="FrankRuehl" w:hAnsi="FrankRuehl" w:cs="FrankRuehl"/>
          <w:rtl/>
        </w:rPr>
        <w:t xml:space="preserve">: סע'  </w:t>
      </w:r>
      <w:hyperlink r:id="rId9" w:history="1">
        <w:r w:rsidRPr="00EC5846">
          <w:rPr>
            <w:rFonts w:ascii="FrankRuehl" w:hAnsi="FrankRuehl" w:cs="FrankRuehl"/>
            <w:color w:val="0000FF"/>
            <w:rtl/>
          </w:rPr>
          <w:t>7.א.</w:t>
        </w:r>
      </w:hyperlink>
      <w:r w:rsidRPr="00EC5846">
        <w:rPr>
          <w:rFonts w:ascii="FrankRuehl" w:hAnsi="FrankRuehl" w:cs="FrankRuehl"/>
          <w:rtl/>
        </w:rPr>
        <w:t xml:space="preserve">, </w:t>
      </w:r>
      <w:hyperlink r:id="rId10" w:history="1">
        <w:r w:rsidRPr="00EC5846">
          <w:rPr>
            <w:rFonts w:ascii="FrankRuehl" w:hAnsi="FrankRuehl" w:cs="FrankRuehl"/>
            <w:color w:val="0000FF"/>
            <w:rtl/>
          </w:rPr>
          <w:t>7.ג</w:t>
        </w:r>
      </w:hyperlink>
      <w:r w:rsidRPr="00EC5846">
        <w:rPr>
          <w:rFonts w:ascii="FrankRuehl" w:hAnsi="FrankRuehl" w:cs="FrankRuehl"/>
          <w:rtl/>
        </w:rPr>
        <w:t xml:space="preserve">, </w:t>
      </w:r>
      <w:hyperlink r:id="rId11" w:history="1">
        <w:r w:rsidRPr="00EC5846">
          <w:rPr>
            <w:rFonts w:ascii="FrankRuehl" w:hAnsi="FrankRuehl" w:cs="FrankRuehl"/>
            <w:color w:val="0000FF"/>
            <w:rtl/>
          </w:rPr>
          <w:t>13</w:t>
        </w:r>
      </w:hyperlink>
      <w:r w:rsidRPr="00EC5846">
        <w:rPr>
          <w:rFonts w:ascii="FrankRuehl" w:hAnsi="FrankRuehl" w:cs="FrankRuehl"/>
          <w:rtl/>
        </w:rPr>
        <w:t xml:space="preserve">, </w:t>
      </w:r>
      <w:hyperlink r:id="rId12" w:history="1">
        <w:r w:rsidRPr="00EC5846">
          <w:rPr>
            <w:rFonts w:ascii="FrankRuehl" w:hAnsi="FrankRuehl" w:cs="FrankRuehl"/>
            <w:color w:val="0000FF"/>
            <w:rtl/>
          </w:rPr>
          <w:t>19.א</w:t>
        </w:r>
      </w:hyperlink>
    </w:p>
    <w:p w14:paraId="769361C0" w14:textId="77777777" w:rsidR="00EC5846" w:rsidRPr="00EC5846" w:rsidRDefault="00EC5846" w:rsidP="00EC5846">
      <w:pPr>
        <w:spacing w:before="120" w:after="120" w:line="240" w:lineRule="exact"/>
        <w:ind w:left="283" w:hanging="283"/>
        <w:jc w:val="both"/>
        <w:rPr>
          <w:rFonts w:ascii="FrankRuehl" w:hAnsi="FrankRuehl" w:cs="FrankRuehl"/>
          <w:rtl/>
        </w:rPr>
      </w:pPr>
      <w:hyperlink r:id="rId13" w:history="1">
        <w:r w:rsidRPr="00EC5846">
          <w:rPr>
            <w:rFonts w:ascii="FrankRuehl" w:hAnsi="FrankRuehl" w:cs="FrankRuehl"/>
            <w:color w:val="0000FF"/>
            <w:rtl/>
          </w:rPr>
          <w:t>חוק העונשין, תשל"ז-1977</w:t>
        </w:r>
      </w:hyperlink>
      <w:r w:rsidRPr="00EC5846">
        <w:rPr>
          <w:rFonts w:ascii="FrankRuehl" w:hAnsi="FrankRuehl" w:cs="FrankRuehl"/>
          <w:rtl/>
        </w:rPr>
        <w:t xml:space="preserve">: סע'  </w:t>
      </w:r>
      <w:hyperlink r:id="rId14" w:history="1">
        <w:r w:rsidRPr="00EC5846">
          <w:rPr>
            <w:rFonts w:ascii="FrankRuehl" w:hAnsi="FrankRuehl" w:cs="FrankRuehl"/>
            <w:color w:val="0000FF"/>
            <w:rtl/>
          </w:rPr>
          <w:t>29</w:t>
        </w:r>
      </w:hyperlink>
      <w:r w:rsidRPr="00EC5846">
        <w:rPr>
          <w:rFonts w:ascii="FrankRuehl" w:hAnsi="FrankRuehl" w:cs="FrankRuehl"/>
          <w:rtl/>
        </w:rPr>
        <w:t xml:space="preserve">, </w:t>
      </w:r>
      <w:hyperlink r:id="rId15" w:history="1">
        <w:r w:rsidRPr="00EC5846">
          <w:rPr>
            <w:rFonts w:ascii="FrankRuehl" w:hAnsi="FrankRuehl" w:cs="FrankRuehl"/>
            <w:color w:val="0000FF"/>
            <w:rtl/>
          </w:rPr>
          <w:t>40ט'</w:t>
        </w:r>
      </w:hyperlink>
      <w:r w:rsidRPr="00EC5846">
        <w:rPr>
          <w:rFonts w:ascii="FrankRuehl" w:hAnsi="FrankRuehl" w:cs="FrankRuehl"/>
          <w:rtl/>
        </w:rPr>
        <w:t xml:space="preserve">, </w:t>
      </w:r>
      <w:hyperlink r:id="rId16" w:history="1">
        <w:r w:rsidRPr="00EC5846">
          <w:rPr>
            <w:rFonts w:ascii="FrankRuehl" w:hAnsi="FrankRuehl" w:cs="FrankRuehl"/>
            <w:color w:val="0000FF"/>
            <w:rtl/>
          </w:rPr>
          <w:t>40יא</w:t>
        </w:r>
      </w:hyperlink>
    </w:p>
    <w:p w14:paraId="0F1A07FA" w14:textId="77777777" w:rsidR="00EC5846" w:rsidRPr="00EC5846" w:rsidRDefault="00EC5846" w:rsidP="00EC5846">
      <w:pPr>
        <w:rPr>
          <w:rFonts w:cs="FrankRuehl"/>
          <w:sz w:val="28"/>
          <w:szCs w:val="28"/>
          <w:rtl/>
        </w:rPr>
      </w:pPr>
      <w:bookmarkStart w:id="4" w:name="LawTable_End"/>
      <w:bookmarkEnd w:id="4"/>
    </w:p>
    <w:p w14:paraId="74B0B3CB" w14:textId="77777777" w:rsidR="0034397E" w:rsidRPr="00B85C01" w:rsidRDefault="0034397E" w:rsidP="00B85C01">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397E" w:rsidRPr="00583D16" w14:paraId="66F7A1C5" w14:textId="77777777" w:rsidTr="0034397E">
        <w:trPr>
          <w:trHeight w:val="355"/>
          <w:jc w:val="center"/>
        </w:trPr>
        <w:tc>
          <w:tcPr>
            <w:tcW w:w="8820" w:type="dxa"/>
            <w:tcBorders>
              <w:top w:val="nil"/>
              <w:left w:val="nil"/>
              <w:bottom w:val="nil"/>
              <w:right w:val="nil"/>
            </w:tcBorders>
            <w:shd w:val="clear" w:color="auto" w:fill="auto"/>
          </w:tcPr>
          <w:p w14:paraId="39EE78DE" w14:textId="77777777" w:rsidR="00C1081B" w:rsidRPr="00C1081B" w:rsidRDefault="00C1081B" w:rsidP="00C1081B">
            <w:pPr>
              <w:jc w:val="center"/>
              <w:rPr>
                <w:rFonts w:ascii="David" w:hAnsi="David" w:cs="FrankRuehl"/>
                <w:b/>
                <w:bCs/>
                <w:sz w:val="28"/>
                <w:szCs w:val="28"/>
                <w:u w:val="single"/>
                <w:rtl/>
              </w:rPr>
            </w:pPr>
            <w:bookmarkStart w:id="5" w:name="PsakDin" w:colFirst="0" w:colLast="0"/>
            <w:bookmarkEnd w:id="0"/>
            <w:bookmarkEnd w:id="1"/>
            <w:r w:rsidRPr="00C1081B">
              <w:rPr>
                <w:rFonts w:ascii="David" w:hAnsi="David" w:cs="FrankRuehl"/>
                <w:b/>
                <w:bCs/>
                <w:sz w:val="28"/>
                <w:szCs w:val="28"/>
                <w:u w:val="single"/>
                <w:rtl/>
              </w:rPr>
              <w:t>גזר דין</w:t>
            </w:r>
          </w:p>
          <w:p w14:paraId="0C9FBBE3" w14:textId="77777777" w:rsidR="0034397E" w:rsidRPr="00C1081B" w:rsidRDefault="0034397E" w:rsidP="00C1081B">
            <w:pPr>
              <w:jc w:val="center"/>
              <w:rPr>
                <w:rFonts w:ascii="David" w:hAnsi="David" w:cs="FrankRuehl"/>
                <w:b/>
                <w:bCs/>
                <w:sz w:val="28"/>
                <w:szCs w:val="28"/>
                <w:u w:val="single"/>
                <w:rtl/>
              </w:rPr>
            </w:pPr>
          </w:p>
        </w:tc>
      </w:tr>
      <w:bookmarkEnd w:id="5"/>
    </w:tbl>
    <w:p w14:paraId="4505E625" w14:textId="77777777" w:rsidR="0034397E" w:rsidRPr="000454A8" w:rsidRDefault="0034397E" w:rsidP="0034397E">
      <w:pPr>
        <w:rPr>
          <w:rFonts w:ascii="Arial" w:hAnsi="Arial"/>
          <w:sz w:val="26"/>
          <w:szCs w:val="26"/>
          <w:rtl/>
        </w:rPr>
      </w:pPr>
    </w:p>
    <w:p w14:paraId="0E5B02A5" w14:textId="77777777" w:rsidR="0034397E" w:rsidRDefault="0034397E" w:rsidP="0034397E">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54812851" w14:textId="77777777" w:rsidR="0034397E" w:rsidRDefault="0034397E" w:rsidP="0034397E">
      <w:pPr>
        <w:spacing w:line="360" w:lineRule="auto"/>
        <w:jc w:val="both"/>
        <w:rPr>
          <w:rFonts w:cs="FrankRuehl"/>
          <w:sz w:val="28"/>
          <w:szCs w:val="28"/>
          <w:rtl/>
        </w:rPr>
      </w:pPr>
      <w:bookmarkStart w:id="6" w:name="ABSTRACT_START"/>
      <w:bookmarkEnd w:id="6"/>
      <w:r>
        <w:rPr>
          <w:rFonts w:cs="FrankRuehl"/>
          <w:sz w:val="28"/>
          <w:szCs w:val="28"/>
          <w:rtl/>
        </w:rPr>
        <w:t xml:space="preserve">הנאשם הורשע על </w:t>
      </w:r>
      <w:r>
        <w:rPr>
          <w:rFonts w:cs="FrankRuehl" w:hint="cs"/>
          <w:sz w:val="28"/>
          <w:szCs w:val="28"/>
          <w:rtl/>
        </w:rPr>
        <w:t xml:space="preserve">פי הודאתו בכתב האישום המתוקן (ממנו נמחקו אישומים 3, 4 ו </w:t>
      </w:r>
      <w:r>
        <w:rPr>
          <w:rFonts w:cs="FrankRuehl"/>
          <w:sz w:val="28"/>
          <w:szCs w:val="28"/>
          <w:rtl/>
        </w:rPr>
        <w:t>–</w:t>
      </w:r>
      <w:r>
        <w:rPr>
          <w:rFonts w:cs="FrankRuehl" w:hint="cs"/>
          <w:sz w:val="28"/>
          <w:szCs w:val="28"/>
          <w:rtl/>
        </w:rPr>
        <w:t xml:space="preserve"> 6), במסגרת הסדר טיעון, ללא הסכמה עונשית.</w:t>
      </w:r>
    </w:p>
    <w:p w14:paraId="79F483FD" w14:textId="77777777" w:rsidR="0034397E" w:rsidRDefault="0034397E" w:rsidP="0034397E">
      <w:pPr>
        <w:spacing w:line="360" w:lineRule="auto"/>
        <w:jc w:val="both"/>
        <w:rPr>
          <w:rFonts w:cs="FrankRuehl"/>
          <w:sz w:val="28"/>
          <w:szCs w:val="28"/>
          <w:rtl/>
        </w:rPr>
      </w:pPr>
      <w:bookmarkStart w:id="7" w:name="ABSTRACT_END"/>
      <w:bookmarkEnd w:id="7"/>
    </w:p>
    <w:p w14:paraId="34787593" w14:textId="77777777" w:rsidR="0034397E" w:rsidRDefault="0034397E" w:rsidP="0034397E">
      <w:pPr>
        <w:spacing w:line="360" w:lineRule="auto"/>
        <w:jc w:val="both"/>
        <w:rPr>
          <w:rFonts w:cs="FrankRuehl"/>
          <w:sz w:val="28"/>
          <w:szCs w:val="28"/>
          <w:rtl/>
        </w:rPr>
      </w:pPr>
      <w:r w:rsidRPr="003272A1">
        <w:rPr>
          <w:rFonts w:cs="FrankRuehl" w:hint="cs"/>
          <w:b/>
          <w:bCs/>
          <w:sz w:val="28"/>
          <w:szCs w:val="28"/>
          <w:rtl/>
        </w:rPr>
        <w:t>על פי עובדות האישום הראשון</w:t>
      </w:r>
      <w:r w:rsidRPr="00A85955">
        <w:rPr>
          <w:rFonts w:cs="FrankRuehl" w:hint="cs"/>
          <w:sz w:val="28"/>
          <w:szCs w:val="28"/>
          <w:rtl/>
        </w:rPr>
        <w:t>,</w:t>
      </w:r>
      <w:r>
        <w:rPr>
          <w:rFonts w:cs="FrankRuehl" w:hint="cs"/>
          <w:sz w:val="28"/>
          <w:szCs w:val="28"/>
          <w:rtl/>
        </w:rPr>
        <w:t xml:space="preserve"> ביום 9.7.2019, בתוך רכב, החזיק הנאשם בצוותא יחד עם אחר,  בשקית בתוך מכנסיו, 45.43 גרם נטו קנבוס. בהמשך, ביום 30.7.2019, החזיק הנאשם בביתו, </w:t>
      </w:r>
      <w:r>
        <w:rPr>
          <w:rFonts w:cs="FrankRuehl" w:hint="cs"/>
          <w:sz w:val="28"/>
          <w:szCs w:val="28"/>
          <w:rtl/>
        </w:rPr>
        <w:lastRenderedPageBreak/>
        <w:t xml:space="preserve">בתוך נרתיק, 1.61 גרם נטו קנבוס. בגין כל אלה, הורשע הנאשם בעבירות של החזקת סמים שלא לצריכה עצמית, לפי סעיפים </w:t>
      </w:r>
      <w:hyperlink r:id="rId17" w:history="1">
        <w:r w:rsidR="00002473" w:rsidRPr="00002473">
          <w:rPr>
            <w:rStyle w:val="Hyperlink"/>
            <w:rFonts w:cs="FrankRuehl"/>
            <w:sz w:val="28"/>
            <w:szCs w:val="28"/>
            <w:rtl/>
          </w:rPr>
          <w:t>7(א) + 7(ג)</w:t>
        </w:r>
      </w:hyperlink>
      <w:r>
        <w:rPr>
          <w:rFonts w:cs="FrankRuehl" w:hint="cs"/>
          <w:sz w:val="28"/>
          <w:szCs w:val="28"/>
          <w:rtl/>
        </w:rPr>
        <w:t xml:space="preserve"> רישא ל</w:t>
      </w:r>
      <w:hyperlink r:id="rId18" w:history="1">
        <w:r w:rsidR="00C1081B" w:rsidRPr="00C1081B">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 (</w:t>
      </w:r>
      <w:r>
        <w:rPr>
          <w:rFonts w:cs="FrankRuehl" w:hint="cs"/>
          <w:b/>
          <w:bCs/>
          <w:sz w:val="28"/>
          <w:szCs w:val="28"/>
          <w:rtl/>
        </w:rPr>
        <w:t>פקודת הסמים</w:t>
      </w:r>
      <w:r>
        <w:rPr>
          <w:rFonts w:cs="FrankRuehl" w:hint="cs"/>
          <w:sz w:val="28"/>
          <w:szCs w:val="28"/>
          <w:rtl/>
        </w:rPr>
        <w:t xml:space="preserve">) + </w:t>
      </w:r>
      <w:hyperlink r:id="rId19" w:history="1">
        <w:r w:rsidR="00002473" w:rsidRPr="00002473">
          <w:rPr>
            <w:rStyle w:val="Hyperlink"/>
            <w:rFonts w:cs="FrankRuehl" w:hint="eastAsia"/>
            <w:sz w:val="28"/>
            <w:szCs w:val="28"/>
            <w:rtl/>
          </w:rPr>
          <w:t>סעיף</w:t>
        </w:r>
        <w:r w:rsidR="00002473" w:rsidRPr="00002473">
          <w:rPr>
            <w:rStyle w:val="Hyperlink"/>
            <w:rFonts w:cs="FrankRuehl"/>
            <w:sz w:val="28"/>
            <w:szCs w:val="28"/>
            <w:rtl/>
          </w:rPr>
          <w:t xml:space="preserve"> 29</w:t>
        </w:r>
      </w:hyperlink>
      <w:r>
        <w:rPr>
          <w:rFonts w:cs="FrankRuehl" w:hint="cs"/>
          <w:sz w:val="28"/>
          <w:szCs w:val="28"/>
          <w:rtl/>
        </w:rPr>
        <w:t xml:space="preserve"> ל</w:t>
      </w:r>
      <w:hyperlink r:id="rId20" w:history="1">
        <w:r w:rsidR="00C1081B" w:rsidRPr="00C1081B">
          <w:rPr>
            <w:rFonts w:cs="FrankRuehl"/>
            <w:color w:val="0000FF"/>
            <w:sz w:val="28"/>
            <w:szCs w:val="28"/>
            <w:u w:val="single"/>
            <w:rtl/>
          </w:rPr>
          <w:t>חוק העונשין</w:t>
        </w:r>
      </w:hyperlink>
      <w:r>
        <w:rPr>
          <w:rFonts w:cs="FrankRuehl" w:hint="cs"/>
          <w:sz w:val="28"/>
          <w:szCs w:val="28"/>
          <w:rtl/>
        </w:rPr>
        <w:t xml:space="preserve">, התשל"ז </w:t>
      </w:r>
      <w:r>
        <w:rPr>
          <w:rFonts w:cs="FrankRuehl"/>
          <w:sz w:val="28"/>
          <w:szCs w:val="28"/>
          <w:rtl/>
        </w:rPr>
        <w:t>–</w:t>
      </w:r>
      <w:r>
        <w:rPr>
          <w:rFonts w:cs="FrankRuehl" w:hint="cs"/>
          <w:sz w:val="28"/>
          <w:szCs w:val="28"/>
          <w:rtl/>
        </w:rPr>
        <w:t xml:space="preserve"> 1977 (</w:t>
      </w:r>
      <w:r>
        <w:rPr>
          <w:rFonts w:cs="FrankRuehl" w:hint="cs"/>
          <w:b/>
          <w:bCs/>
          <w:sz w:val="28"/>
          <w:szCs w:val="28"/>
          <w:rtl/>
        </w:rPr>
        <w:t>חוק העונשין</w:t>
      </w:r>
      <w:r>
        <w:rPr>
          <w:rFonts w:cs="FrankRuehl" w:hint="cs"/>
          <w:sz w:val="28"/>
          <w:szCs w:val="28"/>
          <w:rtl/>
        </w:rPr>
        <w:t xml:space="preserve">) ובעבירה של החזקת סמים לצריכה עצית, לפי סעיפים </w:t>
      </w:r>
      <w:hyperlink r:id="rId21" w:history="1">
        <w:r w:rsidR="00002473" w:rsidRPr="00002473">
          <w:rPr>
            <w:rStyle w:val="Hyperlink"/>
            <w:rFonts w:cs="FrankRuehl"/>
            <w:sz w:val="28"/>
            <w:szCs w:val="28"/>
            <w:rtl/>
          </w:rPr>
          <w:t>7(א) + 7(ג)</w:t>
        </w:r>
      </w:hyperlink>
      <w:r>
        <w:rPr>
          <w:rFonts w:cs="FrankRuehl" w:hint="cs"/>
          <w:sz w:val="28"/>
          <w:szCs w:val="28"/>
          <w:rtl/>
        </w:rPr>
        <w:t xml:space="preserve"> סיפא לפקודת הסמים המסוכנים.</w:t>
      </w:r>
    </w:p>
    <w:p w14:paraId="0C435B34" w14:textId="77777777" w:rsidR="0034397E" w:rsidRDefault="0034397E" w:rsidP="0034397E">
      <w:pPr>
        <w:spacing w:line="360" w:lineRule="auto"/>
        <w:jc w:val="both"/>
        <w:rPr>
          <w:rFonts w:cs="FrankRuehl"/>
          <w:sz w:val="28"/>
          <w:szCs w:val="28"/>
          <w:rtl/>
        </w:rPr>
      </w:pPr>
      <w:r w:rsidRPr="003272A1">
        <w:rPr>
          <w:rFonts w:cs="FrankRuehl" w:hint="cs"/>
          <w:b/>
          <w:bCs/>
          <w:sz w:val="28"/>
          <w:szCs w:val="28"/>
          <w:rtl/>
        </w:rPr>
        <w:t>על פי עובדות האישום השני</w:t>
      </w:r>
      <w:r>
        <w:rPr>
          <w:rFonts w:cs="FrankRuehl" w:hint="cs"/>
          <w:sz w:val="28"/>
          <w:szCs w:val="28"/>
          <w:rtl/>
        </w:rPr>
        <w:t>, ביום 10.12.2018, מכר הנאשם לת"א 5 גרם נטו קנבוס, תמורת</w:t>
      </w:r>
      <w:r>
        <w:rPr>
          <w:rFonts w:cs="FrankRuehl"/>
          <w:sz w:val="28"/>
          <w:szCs w:val="28"/>
          <w:rtl/>
        </w:rPr>
        <w:br/>
      </w:r>
      <w:r>
        <w:rPr>
          <w:rFonts w:cs="FrankRuehl" w:hint="cs"/>
          <w:sz w:val="28"/>
          <w:szCs w:val="28"/>
          <w:rtl/>
        </w:rPr>
        <w:t xml:space="preserve">400 ₪. בגין כך, הורשע הנאשם בעבירה של סחר בסם מסוכן, לפי סעיפים </w:t>
      </w:r>
      <w:hyperlink r:id="rId22" w:history="1">
        <w:r w:rsidR="00002473" w:rsidRPr="00002473">
          <w:rPr>
            <w:rStyle w:val="Hyperlink"/>
            <w:rFonts w:cs="FrankRuehl"/>
            <w:sz w:val="28"/>
            <w:szCs w:val="28"/>
            <w:rtl/>
          </w:rPr>
          <w:t>13 + 19א</w:t>
        </w:r>
      </w:hyperlink>
      <w:r>
        <w:rPr>
          <w:rFonts w:cs="FrankRuehl" w:hint="cs"/>
          <w:sz w:val="28"/>
          <w:szCs w:val="28"/>
          <w:rtl/>
        </w:rPr>
        <w:t xml:space="preserve"> לפקודת הסמים.</w:t>
      </w:r>
    </w:p>
    <w:p w14:paraId="0F0E825B" w14:textId="77777777" w:rsidR="0034397E" w:rsidRDefault="0034397E" w:rsidP="0034397E">
      <w:pPr>
        <w:spacing w:line="360" w:lineRule="auto"/>
        <w:jc w:val="both"/>
        <w:rPr>
          <w:rFonts w:cs="FrankRuehl"/>
          <w:sz w:val="28"/>
          <w:szCs w:val="28"/>
          <w:rtl/>
        </w:rPr>
      </w:pPr>
      <w:r w:rsidRPr="003272A1">
        <w:rPr>
          <w:rFonts w:cs="FrankRuehl" w:hint="cs"/>
          <w:b/>
          <w:bCs/>
          <w:sz w:val="28"/>
          <w:szCs w:val="28"/>
          <w:rtl/>
        </w:rPr>
        <w:t>על פי עובדות האישום החמישי</w:t>
      </w:r>
      <w:r>
        <w:rPr>
          <w:rFonts w:cs="FrankRuehl" w:hint="cs"/>
          <w:sz w:val="28"/>
          <w:szCs w:val="28"/>
          <w:rtl/>
        </w:rPr>
        <w:t xml:space="preserve">, ביום 19.6.2019, בשעות הערב מכר הנאשם לא"נ 5 גרם קנבוס תמורת 350 ₪. בגין כך, הורשע הנאשם בעבירה של סחר בסם מסוכן, לפי סעיפים </w:t>
      </w:r>
      <w:hyperlink r:id="rId23" w:history="1">
        <w:r w:rsidR="00002473" w:rsidRPr="00002473">
          <w:rPr>
            <w:rStyle w:val="Hyperlink"/>
            <w:rFonts w:cs="FrankRuehl"/>
            <w:sz w:val="28"/>
            <w:szCs w:val="28"/>
            <w:rtl/>
          </w:rPr>
          <w:t>13 + 19א</w:t>
        </w:r>
      </w:hyperlink>
      <w:r>
        <w:rPr>
          <w:rFonts w:cs="FrankRuehl" w:hint="cs"/>
          <w:sz w:val="28"/>
          <w:szCs w:val="28"/>
          <w:rtl/>
        </w:rPr>
        <w:t xml:space="preserve"> לפקודת הסמים.</w:t>
      </w:r>
    </w:p>
    <w:p w14:paraId="3AAB93D5" w14:textId="77777777" w:rsidR="0034397E" w:rsidRDefault="0034397E" w:rsidP="0034397E">
      <w:pPr>
        <w:spacing w:line="360" w:lineRule="auto"/>
        <w:jc w:val="both"/>
        <w:rPr>
          <w:rFonts w:cs="FrankRuehl"/>
          <w:sz w:val="28"/>
          <w:szCs w:val="28"/>
          <w:rtl/>
        </w:rPr>
      </w:pPr>
      <w:r w:rsidRPr="003272A1">
        <w:rPr>
          <w:rFonts w:cs="FrankRuehl" w:hint="cs"/>
          <w:b/>
          <w:bCs/>
          <w:sz w:val="28"/>
          <w:szCs w:val="28"/>
          <w:rtl/>
        </w:rPr>
        <w:t>על פי עובדות האישום השביעי</w:t>
      </w:r>
      <w:r>
        <w:rPr>
          <w:rFonts w:cs="FrankRuehl" w:hint="cs"/>
          <w:sz w:val="28"/>
          <w:szCs w:val="28"/>
          <w:rtl/>
        </w:rPr>
        <w:t xml:space="preserve">, ביום 3.2.2019 מכר הנאשם לת"א, המוזכר באישום השני, 3 גרם נטו קנבוס וקיבל תמורתם 225 ₪. באותן נסיבות, מכר הנאשם ללקוחות נוספים 12 גרם קנבוס. בכך סחר הנאשם בסך של 15 גרם נטו קנבוס תמורת 1,125 ₪. בגין כל אלה, הורשע הנאשם בעבירה של סחר בסם מסוכן, לפי סעיפים </w:t>
      </w:r>
      <w:hyperlink r:id="rId24" w:history="1">
        <w:r w:rsidR="00002473" w:rsidRPr="00002473">
          <w:rPr>
            <w:rStyle w:val="Hyperlink"/>
            <w:rFonts w:cs="FrankRuehl"/>
            <w:sz w:val="28"/>
            <w:szCs w:val="28"/>
            <w:rtl/>
          </w:rPr>
          <w:t>13 + 19א</w:t>
        </w:r>
      </w:hyperlink>
      <w:r>
        <w:rPr>
          <w:rFonts w:cs="FrankRuehl" w:hint="cs"/>
          <w:sz w:val="28"/>
          <w:szCs w:val="28"/>
          <w:rtl/>
        </w:rPr>
        <w:t xml:space="preserve"> לפקודת הסמים.</w:t>
      </w:r>
    </w:p>
    <w:p w14:paraId="635323C0" w14:textId="77777777" w:rsidR="0034397E" w:rsidRDefault="0034397E" w:rsidP="0034397E">
      <w:pPr>
        <w:spacing w:line="360" w:lineRule="auto"/>
        <w:jc w:val="both"/>
        <w:rPr>
          <w:rFonts w:cs="FrankRuehl"/>
          <w:sz w:val="28"/>
          <w:szCs w:val="28"/>
          <w:rtl/>
        </w:rPr>
      </w:pPr>
    </w:p>
    <w:p w14:paraId="078F60A2" w14:textId="77777777" w:rsidR="0034397E" w:rsidRDefault="0034397E" w:rsidP="0034397E">
      <w:pPr>
        <w:spacing w:line="360" w:lineRule="auto"/>
        <w:jc w:val="both"/>
        <w:rPr>
          <w:rFonts w:cs="FrankRuehl"/>
          <w:sz w:val="28"/>
          <w:szCs w:val="28"/>
          <w:rtl/>
        </w:rPr>
      </w:pPr>
      <w:r w:rsidRPr="00C74577">
        <w:rPr>
          <w:rFonts w:cs="FrankRuehl" w:hint="cs"/>
          <w:b/>
          <w:bCs/>
          <w:sz w:val="28"/>
          <w:szCs w:val="28"/>
          <w:rtl/>
        </w:rPr>
        <w:t>יוצא אפוא, כי הנאשם הורשע בעבירה אחת של החזקת סמים שלא לצריכה עצמית, עבירה אחת של החזקת סמים לצריכה עצמית ושלוש עבירות של סחר בסמים</w:t>
      </w:r>
      <w:r>
        <w:rPr>
          <w:rFonts w:cs="FrankRuehl" w:hint="cs"/>
          <w:sz w:val="28"/>
          <w:szCs w:val="28"/>
          <w:rtl/>
        </w:rPr>
        <w:t>.</w:t>
      </w:r>
    </w:p>
    <w:p w14:paraId="227ADF33" w14:textId="77777777" w:rsidR="0034397E" w:rsidRDefault="0034397E" w:rsidP="0034397E">
      <w:pPr>
        <w:spacing w:line="360" w:lineRule="auto"/>
        <w:jc w:val="both"/>
        <w:rPr>
          <w:rFonts w:cs="FrankRuehl"/>
          <w:sz w:val="28"/>
          <w:szCs w:val="28"/>
          <w:rtl/>
        </w:rPr>
      </w:pPr>
    </w:p>
    <w:p w14:paraId="5ED171C8" w14:textId="77777777" w:rsidR="0034397E" w:rsidRDefault="0034397E" w:rsidP="0034397E">
      <w:pPr>
        <w:spacing w:line="360" w:lineRule="auto"/>
        <w:jc w:val="both"/>
        <w:rPr>
          <w:rFonts w:cs="FrankRuehl"/>
          <w:b/>
          <w:bCs/>
          <w:sz w:val="28"/>
          <w:szCs w:val="28"/>
          <w:u w:val="single"/>
        </w:rPr>
      </w:pPr>
    </w:p>
    <w:p w14:paraId="2406DFB9" w14:textId="77777777" w:rsidR="0034397E" w:rsidRDefault="0034397E" w:rsidP="0034397E">
      <w:pPr>
        <w:spacing w:line="360" w:lineRule="auto"/>
        <w:jc w:val="both"/>
        <w:rPr>
          <w:rFonts w:cs="FrankRuehl"/>
          <w:b/>
          <w:bCs/>
          <w:sz w:val="28"/>
          <w:szCs w:val="28"/>
          <w:u w:val="single"/>
          <w:rtl/>
        </w:rPr>
      </w:pPr>
      <w:r>
        <w:rPr>
          <w:rFonts w:cs="FrankRuehl"/>
          <w:b/>
          <w:bCs/>
          <w:sz w:val="28"/>
          <w:szCs w:val="28"/>
          <w:u w:val="single"/>
          <w:rtl/>
        </w:rPr>
        <w:t>מהלך הדיון</w:t>
      </w:r>
    </w:p>
    <w:p w14:paraId="36C17C6C" w14:textId="77777777" w:rsidR="0034397E" w:rsidRPr="00C74577" w:rsidRDefault="0034397E" w:rsidP="0034397E">
      <w:pPr>
        <w:spacing w:line="360" w:lineRule="auto"/>
        <w:jc w:val="both"/>
        <w:rPr>
          <w:rFonts w:cs="FrankRuehl"/>
          <w:sz w:val="28"/>
          <w:szCs w:val="28"/>
        </w:rPr>
      </w:pPr>
      <w:r>
        <w:rPr>
          <w:rFonts w:cs="FrankRuehl" w:hint="cs"/>
          <w:sz w:val="28"/>
          <w:szCs w:val="28"/>
          <w:rtl/>
        </w:rPr>
        <w:t xml:space="preserve">הנאשם נעצר במסגרת "מעצר ימים" בתיק זה בין התאריכים 30.7.2020 </w:t>
      </w:r>
      <w:r>
        <w:rPr>
          <w:rFonts w:cs="FrankRuehl"/>
          <w:sz w:val="28"/>
          <w:szCs w:val="28"/>
          <w:rtl/>
        </w:rPr>
        <w:t>–</w:t>
      </w:r>
      <w:r>
        <w:rPr>
          <w:rFonts w:cs="FrankRuehl" w:hint="cs"/>
          <w:sz w:val="28"/>
          <w:szCs w:val="28"/>
          <w:rtl/>
        </w:rPr>
        <w:t xml:space="preserve"> 6.8.2020 אז שוחרר בתנאים מגבילים. ביום 24.5.2020 הורשע הנאשם על פי הודאתו, בכתב האישום המתוקן, במסגרת הסדר טיעון, ללא הסכמה עונשית ונשלח לשירות המבחן שהגיש תסקירים בעניינו.</w:t>
      </w:r>
    </w:p>
    <w:p w14:paraId="37CF0843" w14:textId="77777777" w:rsidR="0034397E" w:rsidRPr="004730F2" w:rsidRDefault="0034397E" w:rsidP="0034397E">
      <w:pPr>
        <w:spacing w:line="360" w:lineRule="auto"/>
        <w:jc w:val="both"/>
        <w:rPr>
          <w:rFonts w:cs="FrankRuehl"/>
          <w:sz w:val="28"/>
          <w:szCs w:val="28"/>
        </w:rPr>
      </w:pPr>
    </w:p>
    <w:p w14:paraId="1C7CC1B1" w14:textId="77777777" w:rsidR="0034397E" w:rsidRDefault="0034397E" w:rsidP="0034397E">
      <w:pPr>
        <w:spacing w:line="360" w:lineRule="auto"/>
        <w:jc w:val="both"/>
        <w:rPr>
          <w:rFonts w:cs="FrankRuehl"/>
          <w:b/>
          <w:bCs/>
          <w:sz w:val="28"/>
          <w:szCs w:val="28"/>
          <w:u w:val="single"/>
        </w:rPr>
      </w:pPr>
    </w:p>
    <w:p w14:paraId="791F647C" w14:textId="77777777" w:rsidR="0034397E" w:rsidRDefault="0034397E" w:rsidP="0034397E">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445EEA4C" w14:textId="77777777" w:rsidR="0034397E" w:rsidRDefault="0034397E" w:rsidP="0034397E">
      <w:pPr>
        <w:spacing w:line="360" w:lineRule="auto"/>
        <w:jc w:val="both"/>
        <w:rPr>
          <w:rFonts w:cs="FrankRuehl"/>
          <w:sz w:val="28"/>
          <w:szCs w:val="28"/>
        </w:rPr>
      </w:pPr>
      <w:r>
        <w:rPr>
          <w:rFonts w:cs="FrankRuehl" w:hint="cs"/>
          <w:sz w:val="28"/>
          <w:szCs w:val="28"/>
          <w:rtl/>
        </w:rPr>
        <w:t xml:space="preserve">בעניינו של הנאשם הוגשו שלושה תסקירים. </w:t>
      </w:r>
      <w:r>
        <w:rPr>
          <w:rFonts w:cs="FrankRuehl"/>
          <w:sz w:val="28"/>
          <w:szCs w:val="28"/>
          <w:rtl/>
        </w:rPr>
        <w:t>מהתסקיר</w:t>
      </w:r>
      <w:r>
        <w:rPr>
          <w:rFonts w:cs="FrankRuehl" w:hint="cs"/>
          <w:sz w:val="28"/>
          <w:szCs w:val="28"/>
          <w:rtl/>
        </w:rPr>
        <w:t>ים</w:t>
      </w:r>
      <w:r>
        <w:rPr>
          <w:rFonts w:cs="FrankRuehl"/>
          <w:sz w:val="28"/>
          <w:szCs w:val="28"/>
          <w:rtl/>
        </w:rPr>
        <w:t xml:space="preserve"> עולה</w:t>
      </w:r>
      <w:r>
        <w:rPr>
          <w:rFonts w:cs="FrankRuehl" w:hint="cs"/>
          <w:sz w:val="28"/>
          <w:szCs w:val="28"/>
          <w:rtl/>
        </w:rPr>
        <w:t xml:space="preserve">, כי הוא בן 25, רווק, מתגורר עם הוריו בירושלים, נעדר עבר פלילי. מקורות חייו של הנאשם עולה, כי סיים 12 שנות לימוד עם תעודת בגרות חלקית, ולאחר לימודיו השלים לימודי תעודה בתחום מנהל עסקים. בגיל המתאים, </w:t>
      </w:r>
      <w:r>
        <w:rPr>
          <w:rFonts w:cs="FrankRuehl" w:hint="cs"/>
          <w:sz w:val="28"/>
          <w:szCs w:val="28"/>
          <w:rtl/>
        </w:rPr>
        <w:lastRenderedPageBreak/>
        <w:t>התגייס לצה"ל, אך בזמן שירותו אביו עבר תאונת עבודה והוא החליט להשתחרר על מנת לסייע בכלכלת משפחתו. לאחר כחודש חזר לשירותו הצבאי, נשפט בגין היעדרו</w:t>
      </w:r>
      <w:r>
        <w:rPr>
          <w:rFonts w:cs="FrankRuehl" w:hint="eastAsia"/>
          <w:sz w:val="28"/>
          <w:szCs w:val="28"/>
          <w:rtl/>
        </w:rPr>
        <w:t>ת</w:t>
      </w:r>
      <w:r>
        <w:rPr>
          <w:rFonts w:cs="FrankRuehl" w:hint="cs"/>
          <w:sz w:val="28"/>
          <w:szCs w:val="28"/>
          <w:rtl/>
        </w:rPr>
        <w:t xml:space="preserve"> ולדבריו, סיים שירות מלא. לאחר שחרורו, השתלב הנאשם בשוק העבודה בעבודות מזדמנות, וכעת עובד כאחראי משמרת בבית קפה בירושלים. ביחס לעבירה הנוכחית, שירות המבחן התרשם כי הנאשם קיבל אחריות מלאה על מעשיו, הביע חרטה וצער על ביצועה. לדבריו, רכש כמות סמים גדולה לשימושו ולשימוש חבריו, ואת עבירות הסחר ביצע מתוך קלות ראש ורצון לחיסכון כספי, אך שלל רצון להפקת רווחים. הנאשם מסר כי התנסה בסמים לראשונה בגיל 21, לאחר שחרורו מצה"ל, בנסיבות חברתיות בלבד, ושלוש בדיקות לגילוי שרידי סם שמסר במסגרת השירות, נמצאו נקיות מסמים. במהלך ההליך הפלילי, אמור היה הנאשם להשתלב בקבוצה טיפולית לאחר שהביע נכונות לכך. אלא שבשל מצב דברים שאינו תלוי בו, הדבר טרם נעשה, הגם שהנאשם ממשיך לרצות בכך. שירות המבחן התרשם כי הנאשם בעל ערכים תקינים ושאיפות נורמטיביות, וכי העבירות שביצע אינן מאפיינות את אורחותיו. השירות המליץ על הטלת של"ץ בהיקף 350 שעות, צו מבחן למשך שנה וענישה צופה פני עתיד. שירות המבחן סבר כי עונש של של"ץ יוכל לאפשר לנאשם להמשיך לכלכל את עצמו ולבנות את עתידו.</w:t>
      </w:r>
    </w:p>
    <w:p w14:paraId="084F4C31" w14:textId="77777777" w:rsidR="0034397E" w:rsidRDefault="0034397E" w:rsidP="0034397E">
      <w:pPr>
        <w:spacing w:line="360" w:lineRule="auto"/>
        <w:jc w:val="both"/>
        <w:rPr>
          <w:rFonts w:cs="FrankRuehl"/>
          <w:b/>
          <w:bCs/>
          <w:sz w:val="28"/>
          <w:szCs w:val="28"/>
          <w:u w:val="single"/>
        </w:rPr>
      </w:pPr>
    </w:p>
    <w:p w14:paraId="652A9A76" w14:textId="77777777" w:rsidR="0034397E" w:rsidRDefault="0034397E" w:rsidP="0034397E">
      <w:pPr>
        <w:spacing w:line="360" w:lineRule="auto"/>
        <w:jc w:val="both"/>
        <w:rPr>
          <w:rFonts w:cs="FrankRuehl"/>
          <w:b/>
          <w:bCs/>
          <w:sz w:val="28"/>
          <w:szCs w:val="28"/>
          <w:u w:val="single"/>
        </w:rPr>
      </w:pPr>
      <w:r>
        <w:rPr>
          <w:rFonts w:cs="FrankRuehl"/>
          <w:b/>
          <w:bCs/>
          <w:sz w:val="28"/>
          <w:szCs w:val="28"/>
          <w:u w:val="single"/>
          <w:rtl/>
        </w:rPr>
        <w:t>ראיות לעונש</w:t>
      </w:r>
    </w:p>
    <w:p w14:paraId="2E749695" w14:textId="77777777" w:rsidR="0034397E" w:rsidRDefault="0034397E" w:rsidP="0034397E">
      <w:pPr>
        <w:spacing w:line="360" w:lineRule="auto"/>
        <w:jc w:val="both"/>
        <w:rPr>
          <w:rFonts w:cs="FrankRuehl"/>
          <w:sz w:val="28"/>
          <w:szCs w:val="28"/>
          <w:rtl/>
        </w:rPr>
      </w:pPr>
      <w:r>
        <w:rPr>
          <w:rFonts w:cs="FrankRuehl" w:hint="cs"/>
          <w:sz w:val="28"/>
          <w:szCs w:val="28"/>
          <w:rtl/>
        </w:rPr>
        <w:t xml:space="preserve">במסגרת הראיות לעונש הגיש הסניגור רישיון לשימוש בקנביס לצרכים רפואיים. </w:t>
      </w:r>
    </w:p>
    <w:p w14:paraId="49C19351" w14:textId="77777777" w:rsidR="0034397E" w:rsidRDefault="0034397E" w:rsidP="0034397E">
      <w:pPr>
        <w:spacing w:line="360" w:lineRule="auto"/>
        <w:jc w:val="both"/>
        <w:rPr>
          <w:rFonts w:cs="FrankRuehl"/>
          <w:b/>
          <w:bCs/>
          <w:sz w:val="28"/>
          <w:szCs w:val="28"/>
          <w:u w:val="single"/>
          <w:rtl/>
        </w:rPr>
      </w:pPr>
    </w:p>
    <w:p w14:paraId="223D6551" w14:textId="77777777" w:rsidR="0034397E" w:rsidRDefault="0034397E" w:rsidP="0034397E">
      <w:pPr>
        <w:spacing w:line="360" w:lineRule="auto"/>
        <w:jc w:val="both"/>
        <w:rPr>
          <w:rFonts w:cs="FrankRuehl"/>
          <w:b/>
          <w:bCs/>
          <w:sz w:val="28"/>
          <w:szCs w:val="28"/>
          <w:u w:val="single"/>
          <w:rtl/>
        </w:rPr>
      </w:pPr>
      <w:r>
        <w:rPr>
          <w:rFonts w:cs="FrankRuehl"/>
          <w:b/>
          <w:bCs/>
          <w:sz w:val="28"/>
          <w:szCs w:val="28"/>
          <w:u w:val="single"/>
          <w:rtl/>
        </w:rPr>
        <w:t>טיעונים לעונש</w:t>
      </w:r>
    </w:p>
    <w:p w14:paraId="28649491" w14:textId="77777777" w:rsidR="0034397E" w:rsidRDefault="0034397E" w:rsidP="0034397E">
      <w:pPr>
        <w:spacing w:line="360" w:lineRule="auto"/>
        <w:jc w:val="both"/>
        <w:rPr>
          <w:rFonts w:cs="FrankRuehl"/>
          <w:sz w:val="28"/>
          <w:szCs w:val="28"/>
          <w:rtl/>
        </w:rPr>
      </w:pPr>
      <w:r>
        <w:rPr>
          <w:rFonts w:cs="FrankRuehl"/>
          <w:sz w:val="28"/>
          <w:szCs w:val="28"/>
          <w:rtl/>
        </w:rPr>
        <w:t xml:space="preserve">הצדדים לא הגיעו להסכמה עונשית. </w:t>
      </w:r>
    </w:p>
    <w:p w14:paraId="35A444BC" w14:textId="77777777" w:rsidR="0034397E" w:rsidRDefault="0034397E" w:rsidP="0034397E">
      <w:pPr>
        <w:spacing w:line="360" w:lineRule="auto"/>
        <w:jc w:val="both"/>
        <w:rPr>
          <w:rFonts w:cs="FrankRuehl"/>
          <w:sz w:val="28"/>
          <w:szCs w:val="28"/>
          <w:rtl/>
        </w:rPr>
      </w:pPr>
      <w:r>
        <w:rPr>
          <w:rFonts w:cs="FrankRuehl"/>
          <w:sz w:val="28"/>
          <w:szCs w:val="28"/>
          <w:rtl/>
        </w:rPr>
        <w:t xml:space="preserve">מחד, ב"כ המאשימה טענה </w:t>
      </w:r>
      <w:r>
        <w:rPr>
          <w:rFonts w:cs="FrankRuehl" w:hint="cs"/>
          <w:sz w:val="28"/>
          <w:szCs w:val="28"/>
          <w:rtl/>
        </w:rPr>
        <w:t xml:space="preserve">כי מתחמי הענישה כוללים מאסר בפועל </w:t>
      </w:r>
      <w:r>
        <w:rPr>
          <w:rFonts w:cs="FrankRuehl"/>
          <w:sz w:val="28"/>
          <w:szCs w:val="28"/>
          <w:rtl/>
        </w:rPr>
        <w:t xml:space="preserve"> </w:t>
      </w:r>
      <w:r>
        <w:rPr>
          <w:rFonts w:cs="FrankRuehl" w:hint="cs"/>
          <w:sz w:val="28"/>
          <w:szCs w:val="28"/>
          <w:rtl/>
        </w:rPr>
        <w:t>דו-ספרתי, וביקשה להטיל על הנאשם עונשים בתחתית המתחמים להם טענה.</w:t>
      </w:r>
    </w:p>
    <w:p w14:paraId="79EDB3C4" w14:textId="77777777" w:rsidR="0034397E" w:rsidRDefault="0034397E" w:rsidP="0034397E">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ביקש להיעתר להמלצת שירות המבחן ואף ביקש לבטל את הרשעת הנאשם, הגם שהמלצה כזו לא באה בזכרו של התסקיר. </w:t>
      </w:r>
    </w:p>
    <w:p w14:paraId="2F164D61" w14:textId="77777777" w:rsidR="0034397E" w:rsidRDefault="0034397E" w:rsidP="0034397E">
      <w:pPr>
        <w:spacing w:line="360" w:lineRule="auto"/>
        <w:jc w:val="both"/>
        <w:rPr>
          <w:rFonts w:cs="FrankRuehl"/>
          <w:b/>
          <w:bCs/>
          <w:sz w:val="28"/>
          <w:szCs w:val="28"/>
          <w:u w:val="single"/>
          <w:rtl/>
        </w:rPr>
      </w:pPr>
    </w:p>
    <w:p w14:paraId="05A360BA" w14:textId="77777777" w:rsidR="0034397E" w:rsidRDefault="0034397E" w:rsidP="0034397E">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67C274EB" w14:textId="77777777" w:rsidR="0034397E" w:rsidRDefault="0034397E" w:rsidP="0034397E">
      <w:pPr>
        <w:spacing w:line="360" w:lineRule="auto"/>
        <w:jc w:val="both"/>
        <w:rPr>
          <w:rFonts w:cs="FrankRuehl"/>
          <w:b/>
          <w:bCs/>
          <w:sz w:val="28"/>
          <w:szCs w:val="28"/>
          <w:u w:val="single"/>
          <w:rtl/>
        </w:rPr>
      </w:pPr>
    </w:p>
    <w:p w14:paraId="2A0C41CD" w14:textId="77777777" w:rsidR="0034397E" w:rsidRDefault="0034397E" w:rsidP="0034397E">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r>
        <w:rPr>
          <w:rFonts w:cs="FrankRuehl" w:hint="cs"/>
          <w:sz w:val="28"/>
          <w:szCs w:val="28"/>
          <w:rtl/>
        </w:rPr>
        <w:t xml:space="preserve"> בית המשפט העליון עמד על הצורך להחמיר בענישה בעבירות מסוג זה, ראו למשל: </w:t>
      </w:r>
      <w:r>
        <w:rPr>
          <w:rFonts w:cs="FrankRuehl"/>
          <w:sz w:val="28"/>
          <w:szCs w:val="28"/>
          <w:rtl/>
        </w:rPr>
        <w:t xml:space="preserve">רע"פ 3343/07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w:t>
      </w:r>
      <w:r>
        <w:rPr>
          <w:rFonts w:cs="FrankRuehl" w:hint="cs"/>
          <w:sz w:val="28"/>
          <w:szCs w:val="28"/>
          <w:rtl/>
        </w:rPr>
        <w:t xml:space="preserve"> בעניינו, מידת הפגיעה בערך המוגן, בינונית, לאור סוג הסם וכמויות הסחר. </w:t>
      </w:r>
    </w:p>
    <w:p w14:paraId="33451490" w14:textId="77777777" w:rsidR="0034397E" w:rsidRDefault="0034397E" w:rsidP="0034397E">
      <w:pPr>
        <w:spacing w:line="360" w:lineRule="auto"/>
        <w:jc w:val="both"/>
        <w:rPr>
          <w:rFonts w:cs="FrankRuehl"/>
          <w:sz w:val="28"/>
          <w:szCs w:val="28"/>
        </w:rPr>
      </w:pPr>
    </w:p>
    <w:p w14:paraId="7C32AFE6" w14:textId="77777777" w:rsidR="0034397E" w:rsidRDefault="0034397E" w:rsidP="0034397E">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5" w:history="1">
        <w:r w:rsidR="00002473" w:rsidRPr="00002473">
          <w:rPr>
            <w:rStyle w:val="Hyperlink"/>
            <w:rFonts w:cs="FrankRuehl"/>
            <w:b/>
            <w:bCs/>
            <w:sz w:val="28"/>
            <w:szCs w:val="28"/>
            <w:rtl/>
          </w:rPr>
          <w:t>סעיף 40ט'</w:t>
        </w:r>
      </w:hyperlink>
      <w:r>
        <w:rPr>
          <w:rFonts w:cs="FrankRuehl"/>
          <w:b/>
          <w:bCs/>
          <w:sz w:val="28"/>
          <w:szCs w:val="28"/>
          <w:u w:val="single"/>
          <w:rtl/>
        </w:rPr>
        <w:t xml:space="preserve"> ל</w:t>
      </w:r>
      <w:hyperlink r:id="rId26" w:history="1">
        <w:r w:rsidR="00C1081B" w:rsidRPr="00C1081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הנאשם צריך היה להימנע מביצוע המעשים בהיותם בלתי חוקיים, אלא שמדובר באדם צעיר, בתחילת שנות העשרים לחייו, והוא פעל בחוסר שיקול דעת, המאפיין לעיתים קרובות, בני גיל זה; גם אם מדובר בסם "קל" מסוג קנבוס, העובדה שמדובר בהחזקת כמות שלא לצריכה עצמית ובסחר במספר הזדמנויות באופן מתוכנן לשם בצע כסף, מהוות כולם נסיבות לחומרה; הנזק מסחר בסמים ידוע וקשה.</w:t>
      </w:r>
    </w:p>
    <w:p w14:paraId="3F9317B8" w14:textId="77777777" w:rsidR="0034397E" w:rsidRDefault="0034397E" w:rsidP="0034397E">
      <w:pPr>
        <w:spacing w:line="360" w:lineRule="auto"/>
        <w:jc w:val="both"/>
        <w:rPr>
          <w:rFonts w:cs="FrankRuehl"/>
          <w:b/>
          <w:bCs/>
          <w:sz w:val="28"/>
          <w:szCs w:val="28"/>
          <w:u w:val="single"/>
          <w:rtl/>
        </w:rPr>
      </w:pPr>
    </w:p>
    <w:p w14:paraId="0901CFC7" w14:textId="77777777" w:rsidR="0034397E" w:rsidRDefault="0034397E" w:rsidP="0034397E">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ascii="Calibri" w:hAnsi="Calibri" w:cs="FrankRuehl" w:hint="cs"/>
          <w:sz w:val="28"/>
          <w:szCs w:val="28"/>
          <w:rtl/>
        </w:rPr>
        <w:t>סקירת הפסיקה בנסיבות דומות מלמדת על טווח עונשי רחב המוטל על נאשמים. מפנה ל</w:t>
      </w:r>
      <w:hyperlink r:id="rId27" w:history="1">
        <w:r w:rsidR="00C1081B" w:rsidRPr="00C1081B">
          <w:rPr>
            <w:rFonts w:ascii="Calibri" w:hAnsi="Calibri" w:cs="FrankRuehl" w:hint="eastAsia"/>
            <w:color w:val="0000FF"/>
            <w:sz w:val="28"/>
            <w:szCs w:val="28"/>
            <w:u w:val="single"/>
            <w:rtl/>
          </w:rPr>
          <w:t>ת</w:t>
        </w:r>
        <w:r w:rsidR="00C1081B" w:rsidRPr="00C1081B">
          <w:rPr>
            <w:rFonts w:ascii="Calibri" w:hAnsi="Calibri" w:cs="FrankRuehl"/>
            <w:color w:val="0000FF"/>
            <w:sz w:val="28"/>
            <w:szCs w:val="28"/>
            <w:u w:val="single"/>
            <w:rtl/>
          </w:rPr>
          <w:t>"</w:t>
        </w:r>
        <w:r w:rsidR="00C1081B" w:rsidRPr="00C1081B">
          <w:rPr>
            <w:rFonts w:ascii="Calibri" w:hAnsi="Calibri" w:cs="FrankRuehl" w:hint="eastAsia"/>
            <w:color w:val="0000FF"/>
            <w:sz w:val="28"/>
            <w:szCs w:val="28"/>
            <w:u w:val="single"/>
            <w:rtl/>
          </w:rPr>
          <w:t>פ</w:t>
        </w:r>
        <w:r w:rsidR="00C1081B" w:rsidRPr="00C1081B">
          <w:rPr>
            <w:rFonts w:ascii="Calibri" w:hAnsi="Calibri" w:cs="FrankRuehl"/>
            <w:color w:val="0000FF"/>
            <w:sz w:val="28"/>
            <w:szCs w:val="28"/>
            <w:u w:val="single"/>
            <w:rtl/>
          </w:rPr>
          <w:t xml:space="preserve"> (</w:t>
        </w:r>
        <w:r w:rsidR="00C1081B" w:rsidRPr="00C1081B">
          <w:rPr>
            <w:rFonts w:ascii="Calibri" w:hAnsi="Calibri" w:cs="FrankRuehl" w:hint="eastAsia"/>
            <w:color w:val="0000FF"/>
            <w:sz w:val="28"/>
            <w:szCs w:val="28"/>
            <w:u w:val="single"/>
            <w:rtl/>
          </w:rPr>
          <w:t>קרית</w:t>
        </w:r>
        <w:r w:rsidR="00C1081B" w:rsidRPr="00C1081B">
          <w:rPr>
            <w:rFonts w:ascii="Calibri" w:hAnsi="Calibri" w:cs="FrankRuehl"/>
            <w:color w:val="0000FF"/>
            <w:sz w:val="28"/>
            <w:szCs w:val="28"/>
            <w:u w:val="single"/>
            <w:rtl/>
          </w:rPr>
          <w:t xml:space="preserve"> </w:t>
        </w:r>
        <w:r w:rsidR="00C1081B" w:rsidRPr="00C1081B">
          <w:rPr>
            <w:rFonts w:ascii="Calibri" w:hAnsi="Calibri" w:cs="FrankRuehl" w:hint="eastAsia"/>
            <w:color w:val="0000FF"/>
            <w:sz w:val="28"/>
            <w:szCs w:val="28"/>
            <w:u w:val="single"/>
            <w:rtl/>
          </w:rPr>
          <w:t>שמונה</w:t>
        </w:r>
        <w:r w:rsidR="00C1081B" w:rsidRPr="00C1081B">
          <w:rPr>
            <w:rFonts w:ascii="Calibri" w:hAnsi="Calibri" w:cs="FrankRuehl"/>
            <w:color w:val="0000FF"/>
            <w:sz w:val="28"/>
            <w:szCs w:val="28"/>
            <w:u w:val="single"/>
            <w:rtl/>
          </w:rPr>
          <w:t>) 14998-08-16</w:t>
        </w:r>
      </w:hyperlink>
      <w:r>
        <w:rPr>
          <w:rFonts w:ascii="Calibri" w:hAnsi="Calibri" w:cs="FrankRuehl" w:hint="cs"/>
          <w:sz w:val="28"/>
          <w:szCs w:val="28"/>
          <w:rtl/>
        </w:rPr>
        <w:t xml:space="preserve">, </w:t>
      </w:r>
      <w:r>
        <w:rPr>
          <w:rFonts w:ascii="Calibri" w:hAnsi="Calibri" w:cs="FrankRuehl" w:hint="cs"/>
          <w:b/>
          <w:bCs/>
          <w:sz w:val="28"/>
          <w:szCs w:val="28"/>
          <w:u w:val="single"/>
          <w:rtl/>
        </w:rPr>
        <w:t>מדינת ישראל</w:t>
      </w:r>
      <w:r>
        <w:rPr>
          <w:rFonts w:ascii="Calibri" w:hAnsi="Calibri" w:cs="FrankRuehl" w:hint="cs"/>
          <w:sz w:val="28"/>
          <w:szCs w:val="28"/>
          <w:rtl/>
        </w:rPr>
        <w:t xml:space="preserve"> נ' </w:t>
      </w:r>
      <w:r>
        <w:rPr>
          <w:rFonts w:ascii="Calibri" w:hAnsi="Calibri" w:cs="FrankRuehl" w:hint="cs"/>
          <w:b/>
          <w:bCs/>
          <w:sz w:val="28"/>
          <w:szCs w:val="28"/>
          <w:u w:val="single"/>
          <w:rtl/>
        </w:rPr>
        <w:t>כהן</w:t>
      </w:r>
      <w:r>
        <w:rPr>
          <w:rFonts w:ascii="Calibri" w:hAnsi="Calibri" w:cs="FrankRuehl" w:hint="cs"/>
          <w:sz w:val="28"/>
          <w:szCs w:val="28"/>
          <w:rtl/>
        </w:rPr>
        <w:t xml:space="preserve">, שם סקר ביהמ"ש בהרחבה את הפסיקה הנוהגת המגוונת בתחום זה וקבע כי בנסיבות העניין מתחם הענישה צריך לעמוד על בין מאסר מותנה עד 12 חודשי מאסר. בתיק זה נסיבות דומות לתיק שלפניי, שם הורשע הנאשם בסחר בסמים ובהחזקת סמים שלא לצריכה עצמית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6161/16 </w:t>
      </w:r>
      <w:r>
        <w:rPr>
          <w:rFonts w:ascii="Calibri" w:hAnsi="Calibri" w:cs="FrankRuehl" w:hint="cs"/>
          <w:b/>
          <w:bCs/>
          <w:sz w:val="28"/>
          <w:szCs w:val="28"/>
          <w:u w:val="single"/>
          <w:rtl/>
        </w:rPr>
        <w:t>יזרעאלוב</w:t>
      </w:r>
      <w:r>
        <w:rPr>
          <w:rFonts w:ascii="Calibri" w:hAnsi="Calibri" w:cs="FrankRuehl" w:hint="cs"/>
          <w:sz w:val="28"/>
          <w:szCs w:val="28"/>
          <w:rtl/>
        </w:rPr>
        <w:t xml:space="preserve"> נ' </w:t>
      </w:r>
      <w:r>
        <w:rPr>
          <w:rFonts w:ascii="Calibri" w:hAnsi="Calibri" w:cs="FrankRuehl" w:hint="cs"/>
          <w:b/>
          <w:bCs/>
          <w:sz w:val="28"/>
          <w:szCs w:val="28"/>
          <w:u w:val="single"/>
          <w:rtl/>
        </w:rPr>
        <w:t>מ"י</w:t>
      </w:r>
      <w:r>
        <w:rPr>
          <w:rFonts w:ascii="Calibri" w:hAnsi="Calibri" w:cs="FrankRuehl" w:hint="cs"/>
          <w:sz w:val="28"/>
          <w:szCs w:val="28"/>
          <w:rtl/>
        </w:rPr>
        <w:t xml:space="preserve"> (מיום 20.2.2017); </w:t>
      </w:r>
      <w:hyperlink r:id="rId28" w:history="1">
        <w:r w:rsidR="00C1081B" w:rsidRPr="00C1081B">
          <w:rPr>
            <w:rFonts w:ascii="Calibri" w:hAnsi="Calibri" w:cs="FrankRuehl" w:hint="eastAsia"/>
            <w:color w:val="0000FF"/>
            <w:sz w:val="28"/>
            <w:szCs w:val="28"/>
            <w:u w:val="single"/>
            <w:rtl/>
          </w:rPr>
          <w:t>רע</w:t>
        </w:r>
        <w:r w:rsidR="00C1081B" w:rsidRPr="00C1081B">
          <w:rPr>
            <w:rFonts w:ascii="Calibri" w:hAnsi="Calibri" w:cs="FrankRuehl"/>
            <w:color w:val="0000FF"/>
            <w:sz w:val="28"/>
            <w:szCs w:val="28"/>
            <w:u w:val="single"/>
            <w:rtl/>
          </w:rPr>
          <w:t>"</w:t>
        </w:r>
        <w:r w:rsidR="00C1081B" w:rsidRPr="00C1081B">
          <w:rPr>
            <w:rFonts w:ascii="Calibri" w:hAnsi="Calibri" w:cs="FrankRuehl" w:hint="eastAsia"/>
            <w:color w:val="0000FF"/>
            <w:sz w:val="28"/>
            <w:szCs w:val="28"/>
            <w:u w:val="single"/>
            <w:rtl/>
          </w:rPr>
          <w:t>פ</w:t>
        </w:r>
        <w:r w:rsidR="00C1081B" w:rsidRPr="00C1081B">
          <w:rPr>
            <w:rFonts w:ascii="Calibri" w:hAnsi="Calibri" w:cs="FrankRuehl"/>
            <w:color w:val="0000FF"/>
            <w:sz w:val="28"/>
            <w:szCs w:val="28"/>
            <w:u w:val="single"/>
            <w:rtl/>
          </w:rPr>
          <w:t xml:space="preserve"> 5478/19</w:t>
        </w:r>
      </w:hyperlink>
      <w:r>
        <w:rPr>
          <w:rFonts w:ascii="Calibri" w:hAnsi="Calibri" w:cs="FrankRuehl" w:hint="cs"/>
          <w:sz w:val="28"/>
          <w:szCs w:val="28"/>
          <w:rtl/>
        </w:rPr>
        <w:t xml:space="preserve"> </w:t>
      </w:r>
      <w:r>
        <w:rPr>
          <w:rFonts w:ascii="Calibri" w:hAnsi="Calibri" w:cs="FrankRuehl" w:hint="cs"/>
          <w:b/>
          <w:bCs/>
          <w:sz w:val="28"/>
          <w:szCs w:val="28"/>
          <w:u w:val="single"/>
          <w:rtl/>
        </w:rPr>
        <w:t>לוין</w:t>
      </w:r>
      <w:r>
        <w:rPr>
          <w:rFonts w:ascii="Calibri" w:hAnsi="Calibri" w:cs="FrankRuehl" w:hint="cs"/>
          <w:sz w:val="28"/>
          <w:szCs w:val="28"/>
          <w:rtl/>
        </w:rPr>
        <w:t xml:space="preserve"> נ' </w:t>
      </w:r>
      <w:r>
        <w:rPr>
          <w:rFonts w:ascii="Calibri" w:hAnsi="Calibri" w:cs="FrankRuehl" w:hint="cs"/>
          <w:b/>
          <w:bCs/>
          <w:sz w:val="28"/>
          <w:szCs w:val="28"/>
          <w:u w:val="single"/>
          <w:rtl/>
        </w:rPr>
        <w:t>מ"י</w:t>
      </w:r>
      <w:r>
        <w:rPr>
          <w:rFonts w:ascii="Calibri" w:hAnsi="Calibri" w:cs="FrankRuehl" w:hint="cs"/>
          <w:sz w:val="28"/>
          <w:szCs w:val="28"/>
          <w:rtl/>
        </w:rPr>
        <w:t xml:space="preserve">  (מיום 25.8.2019), שם הסתפק בית המשפט העליון בעונש של של"ץ בנסיבות של סחר במספר מקרים</w:t>
      </w:r>
      <w:r>
        <w:rPr>
          <w:rFonts w:cs="FrankRuehl" w:hint="cs"/>
          <w:sz w:val="28"/>
          <w:szCs w:val="28"/>
          <w:rtl/>
        </w:rPr>
        <w:t>.</w:t>
      </w:r>
    </w:p>
    <w:p w14:paraId="258CC848" w14:textId="77777777" w:rsidR="0034397E" w:rsidRDefault="0034397E" w:rsidP="0034397E">
      <w:pPr>
        <w:spacing w:line="360" w:lineRule="auto"/>
        <w:jc w:val="both"/>
        <w:rPr>
          <w:rFonts w:cs="FrankRuehl"/>
          <w:sz w:val="28"/>
          <w:szCs w:val="28"/>
          <w:rtl/>
        </w:rPr>
      </w:pPr>
    </w:p>
    <w:p w14:paraId="24EC3478" w14:textId="77777777" w:rsidR="0034397E" w:rsidRDefault="0034397E" w:rsidP="0034397E">
      <w:pPr>
        <w:spacing w:line="360" w:lineRule="auto"/>
        <w:jc w:val="both"/>
        <w:rPr>
          <w:rFonts w:ascii="FrankRuehl" w:hAnsi="FrankRuehl" w:cs="FrankRuehl"/>
          <w:sz w:val="28"/>
          <w:szCs w:val="28"/>
        </w:rPr>
      </w:pPr>
      <w:r>
        <w:rPr>
          <w:rFonts w:ascii="FrankRuehl" w:hAnsi="FrankRuehl" w:cs="FrankRuehl" w:hint="cs"/>
          <w:sz w:val="28"/>
          <w:szCs w:val="28"/>
          <w:rtl/>
        </w:rPr>
        <w:t>אשר לאפשרות הטלת של"ץ, כמובן כביטוי להצלחת שיקומו של נאשם, אפנה ל</w:t>
      </w:r>
      <w:hyperlink r:id="rId29" w:history="1">
        <w:r w:rsidR="00C1081B" w:rsidRPr="00C1081B">
          <w:rPr>
            <w:rFonts w:ascii="FrankRuehl" w:hAnsi="FrankRuehl" w:cs="FrankRuehl"/>
            <w:color w:val="0000FF"/>
            <w:sz w:val="28"/>
            <w:szCs w:val="28"/>
            <w:u w:val="single"/>
            <w:rtl/>
          </w:rPr>
          <w:t>רע"פ 5494/19</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רנד</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22.8.2019) – שם דובר בריבוי מקרי סחר ללקוחות שונים לרבות קטינים, לאחר שהעסקאות תואמו באמצעות טלגראס, אושר עונש של של"ץ בהיקף 200 שעות ומאסרים מותנים. ב</w:t>
      </w:r>
      <w:hyperlink r:id="rId30" w:history="1">
        <w:r w:rsidR="00C1081B" w:rsidRPr="00C1081B">
          <w:rPr>
            <w:rFonts w:ascii="FrankRuehl" w:hAnsi="FrankRuehl" w:cs="FrankRuehl"/>
            <w:color w:val="0000FF"/>
            <w:sz w:val="28"/>
            <w:szCs w:val="28"/>
            <w:u w:val="single"/>
            <w:rtl/>
          </w:rPr>
          <w:t>עפ"ג (חיפה) 53901-05-15</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איטח</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אושר מתחם ענישה שבין 6 ל-18 חודשי מאסר בנסיבות של סיוע ל-3 עסקאות סמים מסוג מריחואנה והחזקת סמים שלא לצריכה עצמית, וכן אושר עונש של 200 שעות של"ץ, מאסר מותנה ומבחן, במסגרת חריגה מן המתחם מטעמי שיקום. </w:t>
      </w:r>
    </w:p>
    <w:p w14:paraId="14A5AFEB" w14:textId="77777777" w:rsidR="0034397E" w:rsidRDefault="0034397E" w:rsidP="0034397E">
      <w:pPr>
        <w:spacing w:line="360" w:lineRule="auto"/>
        <w:jc w:val="both"/>
        <w:rPr>
          <w:rFonts w:cs="FrankRuehl"/>
          <w:sz w:val="28"/>
          <w:szCs w:val="28"/>
          <w:u w:val="single"/>
          <w:rtl/>
        </w:rPr>
      </w:pPr>
    </w:p>
    <w:p w14:paraId="335A996C" w14:textId="77777777" w:rsidR="0034397E" w:rsidRDefault="0034397E" w:rsidP="0034397E">
      <w:pPr>
        <w:spacing w:line="360" w:lineRule="auto"/>
        <w:jc w:val="both"/>
        <w:rPr>
          <w:rFonts w:cs="FrankRuehl"/>
          <w:sz w:val="28"/>
          <w:szCs w:val="28"/>
          <w:rtl/>
        </w:rPr>
      </w:pPr>
      <w:r w:rsidRPr="003272A1">
        <w:rPr>
          <w:rFonts w:cs="FrankRuehl"/>
          <w:b/>
          <w:bCs/>
          <w:sz w:val="28"/>
          <w:szCs w:val="28"/>
          <w:u w:val="single"/>
          <w:rtl/>
        </w:rPr>
        <w:t>מתחם הענישה</w:t>
      </w:r>
      <w:r w:rsidRPr="003272A1">
        <w:rPr>
          <w:rFonts w:cs="FrankRuehl"/>
          <w:sz w:val="28"/>
          <w:szCs w:val="28"/>
          <w:rtl/>
        </w:rPr>
        <w:t xml:space="preserve"> – </w:t>
      </w:r>
      <w:r>
        <w:rPr>
          <w:rFonts w:cs="FrankRuehl" w:hint="cs"/>
          <w:sz w:val="28"/>
          <w:szCs w:val="28"/>
          <w:rtl/>
        </w:rPr>
        <w:t>יש לקבוע שני מתחמים, האחד לאישום הראשון, בגינו אקבע מתחם שבין מאסר מותנה ועד 8 חודשי מאסר, וביחס ליתר אישומי הסחר, קובע מתחם שבין 3 ל-12 חודשי מאסר. מתקיים קשר הדוק בין מקרי הסחר בשל הנסיבות הדומות והשיטה, הגם שקיים פער מסוים בתאריכים, שכשלעצמו, אינו מצדיק הפרדת האירועים.</w:t>
      </w:r>
    </w:p>
    <w:p w14:paraId="35BC8FEA" w14:textId="77777777" w:rsidR="0034397E" w:rsidRDefault="0034397E" w:rsidP="0034397E">
      <w:pPr>
        <w:spacing w:line="360" w:lineRule="auto"/>
        <w:jc w:val="both"/>
        <w:rPr>
          <w:rFonts w:cs="FrankRuehl"/>
          <w:b/>
          <w:bCs/>
          <w:sz w:val="28"/>
          <w:szCs w:val="28"/>
          <w:rtl/>
        </w:rPr>
      </w:pPr>
    </w:p>
    <w:p w14:paraId="1DE9C905" w14:textId="77777777" w:rsidR="0034397E" w:rsidRDefault="0034397E" w:rsidP="0034397E">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1" w:history="1">
        <w:r w:rsidR="00002473" w:rsidRPr="00002473">
          <w:rPr>
            <w:rStyle w:val="Hyperlink"/>
            <w:rFonts w:cs="FrankRuehl"/>
            <w:b/>
            <w:bCs/>
            <w:sz w:val="28"/>
            <w:szCs w:val="28"/>
            <w:rtl/>
          </w:rPr>
          <w:t>סעיף 40י"א</w:t>
        </w:r>
      </w:hyperlink>
      <w:r>
        <w:rPr>
          <w:rFonts w:cs="FrankRuehl"/>
          <w:b/>
          <w:bCs/>
          <w:sz w:val="28"/>
          <w:szCs w:val="28"/>
          <w:u w:val="single"/>
          <w:rtl/>
        </w:rPr>
        <w:t xml:space="preserve"> ל</w:t>
      </w:r>
      <w:hyperlink r:id="rId32" w:history="1">
        <w:r w:rsidR="00C1081B" w:rsidRPr="00C1081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צעיר, בתחילת דרכו, ללא עבר פלילי. הנאשם היה עצור בתיק זה כשבוע ממש, ויש להניח כי מדובר בחוויה מרתיעה, כפי שגם אמר הנאשם בדבריו לפניי. הנאשם שירת שירות צבאי כמעט מלא; שיתף פעולה עם שירות המבחן, קיבל אחריות על מעשיו והביע חרטה על ביצוע המעשים. הנאשם סובל מבעיות רפואיות והוא קיבל אישור לשימוש בקנביס רפואי לאותם צרכים. הנאשם אמנם טרם השתלב בתכנית טיפולית, אך הדבר לא יכול לעמוד לו לרועץ, שכן סיבות הדחייה לא היו תלויות בנאשם. על פניו, במכלול הנסיבות, נדמה כי הנאשם אכן בעל פוטנציאל שיקום גם נוכח העובדה שמדובר במעידה בודדת ולא נפתחו תיקים חדשים, כאשר יש לו נכונות לעבור טיפול ומעקב של שירות המבחן. לפיכך, לטעמי, יש הצדקה לראות בנאשם כאדם שיש לו רצון ויכולת להשתקם, וסיכויי סביר מאוד שהדבר אכן יקרה.</w:t>
      </w:r>
    </w:p>
    <w:p w14:paraId="2CD18375" w14:textId="77777777" w:rsidR="0034397E" w:rsidRDefault="0034397E" w:rsidP="0034397E">
      <w:pPr>
        <w:spacing w:line="360" w:lineRule="auto"/>
        <w:jc w:val="both"/>
        <w:rPr>
          <w:rFonts w:cs="FrankRuehl"/>
          <w:sz w:val="28"/>
          <w:szCs w:val="28"/>
          <w:rtl/>
        </w:rPr>
      </w:pPr>
    </w:p>
    <w:p w14:paraId="7CACF3A5" w14:textId="77777777" w:rsidR="0034397E" w:rsidRDefault="0034397E" w:rsidP="0034397E">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אלמלא נסיבות המצדיקות חריגה מטעמי שיקום, הייתי מטיל על הנאשם עונש באמצע מתחמי הענישה שקבעתי. </w:t>
      </w:r>
    </w:p>
    <w:p w14:paraId="120C0079" w14:textId="77777777" w:rsidR="0034397E" w:rsidRDefault="0034397E" w:rsidP="0034397E">
      <w:pPr>
        <w:spacing w:line="360" w:lineRule="auto"/>
        <w:jc w:val="both"/>
        <w:rPr>
          <w:rFonts w:cs="FrankRuehl"/>
          <w:b/>
          <w:bCs/>
          <w:sz w:val="28"/>
          <w:szCs w:val="28"/>
          <w:u w:val="single"/>
          <w:rtl/>
        </w:rPr>
      </w:pPr>
    </w:p>
    <w:p w14:paraId="717ADB6D" w14:textId="77777777" w:rsidR="0034397E" w:rsidRPr="003643FC" w:rsidRDefault="0034397E" w:rsidP="0034397E">
      <w:pPr>
        <w:spacing w:line="360" w:lineRule="auto"/>
        <w:jc w:val="both"/>
        <w:rPr>
          <w:rFonts w:cs="FrankRuehl"/>
          <w:sz w:val="28"/>
          <w:szCs w:val="28"/>
          <w:rtl/>
        </w:rPr>
      </w:pPr>
      <w:r>
        <w:rPr>
          <w:rFonts w:cs="FrankRuehl" w:hint="cs"/>
          <w:b/>
          <w:bCs/>
          <w:sz w:val="28"/>
          <w:szCs w:val="28"/>
          <w:u w:val="single"/>
          <w:rtl/>
        </w:rPr>
        <w:t>לעניין העתירה לביטול ההרשעה</w:t>
      </w:r>
      <w:r w:rsidRPr="003643FC">
        <w:rPr>
          <w:rFonts w:cs="FrankRuehl" w:hint="cs"/>
          <w:sz w:val="28"/>
          <w:szCs w:val="28"/>
          <w:rtl/>
        </w:rPr>
        <w:t xml:space="preserve"> </w:t>
      </w:r>
      <w:r w:rsidRPr="003643FC">
        <w:rPr>
          <w:rFonts w:cs="FrankRuehl"/>
          <w:sz w:val="28"/>
          <w:szCs w:val="28"/>
          <w:rtl/>
        </w:rPr>
        <w:t>–</w:t>
      </w:r>
      <w:r w:rsidRPr="003643FC">
        <w:rPr>
          <w:rFonts w:cs="FrankRuehl" w:hint="cs"/>
          <w:sz w:val="28"/>
          <w:szCs w:val="28"/>
          <w:rtl/>
        </w:rPr>
        <w:t xml:space="preserve"> לא מצאתי מקום שהנסיבות מאפשרות זאת </w:t>
      </w:r>
      <w:r w:rsidRPr="003643FC">
        <w:rPr>
          <w:rFonts w:cs="FrankRuehl"/>
          <w:sz w:val="28"/>
          <w:szCs w:val="28"/>
          <w:rtl/>
        </w:rPr>
        <w:t>–</w:t>
      </w:r>
      <w:r w:rsidRPr="003643FC">
        <w:rPr>
          <w:rFonts w:cs="FrankRuehl" w:hint="cs"/>
          <w:sz w:val="28"/>
          <w:szCs w:val="28"/>
          <w:rtl/>
        </w:rPr>
        <w:t xml:space="preserve"> לא מבחינת נסיבות ביצוע העבירה וכמובן כאשר שירות המבחן לא המליץ על כך וכן משלא הוכח נזק חריג.</w:t>
      </w:r>
    </w:p>
    <w:p w14:paraId="1140CAA7" w14:textId="77777777" w:rsidR="0034397E" w:rsidRDefault="0034397E" w:rsidP="0034397E">
      <w:pPr>
        <w:spacing w:line="360" w:lineRule="auto"/>
        <w:jc w:val="both"/>
        <w:rPr>
          <w:rFonts w:cs="FrankRuehl"/>
          <w:b/>
          <w:bCs/>
          <w:sz w:val="28"/>
          <w:szCs w:val="28"/>
          <w:u w:val="single"/>
          <w:rtl/>
        </w:rPr>
      </w:pPr>
    </w:p>
    <w:p w14:paraId="7DAB2B6D" w14:textId="77777777" w:rsidR="0034397E" w:rsidRDefault="0034397E" w:rsidP="0034397E">
      <w:pPr>
        <w:spacing w:line="360" w:lineRule="auto"/>
        <w:jc w:val="both"/>
        <w:rPr>
          <w:rFonts w:cs="FrankRuehl"/>
          <w:b/>
          <w:bCs/>
          <w:sz w:val="28"/>
          <w:szCs w:val="28"/>
          <w:u w:val="single"/>
          <w:rtl/>
        </w:rPr>
      </w:pPr>
      <w:r>
        <w:rPr>
          <w:rFonts w:cs="FrankRuehl"/>
          <w:b/>
          <w:bCs/>
          <w:sz w:val="28"/>
          <w:szCs w:val="28"/>
          <w:u w:val="single"/>
          <w:rtl/>
        </w:rPr>
        <w:t>גזירת הדין</w:t>
      </w:r>
    </w:p>
    <w:p w14:paraId="2AADEEBB" w14:textId="77777777" w:rsidR="0034397E" w:rsidRDefault="0034397E" w:rsidP="0034397E">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6DAC58C4" w14:textId="77777777" w:rsidR="0034397E" w:rsidRDefault="0034397E" w:rsidP="0034397E">
      <w:pPr>
        <w:numPr>
          <w:ilvl w:val="0"/>
          <w:numId w:val="1"/>
        </w:numPr>
        <w:spacing w:after="160" w:line="360" w:lineRule="auto"/>
        <w:contextualSpacing/>
        <w:jc w:val="both"/>
        <w:rPr>
          <w:rFonts w:cs="FrankRuehl"/>
          <w:sz w:val="28"/>
          <w:szCs w:val="28"/>
        </w:rPr>
      </w:pPr>
      <w:r>
        <w:rPr>
          <w:rFonts w:cs="FrankRuehl" w:hint="cs"/>
          <w:sz w:val="28"/>
          <w:szCs w:val="28"/>
          <w:rtl/>
        </w:rPr>
        <w:t xml:space="preserve">10 </w:t>
      </w:r>
      <w:r>
        <w:rPr>
          <w:rFonts w:cs="FrankRuehl"/>
          <w:sz w:val="28"/>
          <w:szCs w:val="28"/>
          <w:rtl/>
        </w:rPr>
        <w:t xml:space="preserve">חודשי מאסר שלא ירוצו, אלא אם יעבור הנאשם </w:t>
      </w:r>
      <w:r>
        <w:rPr>
          <w:rFonts w:cs="FrankRuehl" w:hint="cs"/>
          <w:sz w:val="28"/>
          <w:szCs w:val="28"/>
          <w:rtl/>
        </w:rPr>
        <w:t xml:space="preserve">כל עבירת פשע לפי </w:t>
      </w:r>
      <w:hyperlink r:id="rId33" w:history="1">
        <w:r w:rsidR="00C1081B" w:rsidRPr="00C1081B">
          <w:rPr>
            <w:rFonts w:cs="FrankRuehl"/>
            <w:color w:val="0000FF"/>
            <w:sz w:val="28"/>
            <w:szCs w:val="28"/>
            <w:u w:val="single"/>
            <w:rtl/>
          </w:rPr>
          <w:t>פקודת הסמים המסוכנים</w:t>
        </w:r>
      </w:hyperlink>
      <w:r>
        <w:rPr>
          <w:rFonts w:cs="FrankRuehl" w:hint="cs"/>
          <w:sz w:val="28"/>
          <w:szCs w:val="28"/>
          <w:rtl/>
        </w:rPr>
        <w:t xml:space="preserve"> במשך 3 שנים מהיום;</w:t>
      </w:r>
    </w:p>
    <w:p w14:paraId="07D6596F" w14:textId="77777777" w:rsidR="0034397E" w:rsidRDefault="0034397E" w:rsidP="0034397E">
      <w:pPr>
        <w:numPr>
          <w:ilvl w:val="0"/>
          <w:numId w:val="1"/>
        </w:numPr>
        <w:spacing w:after="160" w:line="360" w:lineRule="auto"/>
        <w:contextualSpacing/>
        <w:jc w:val="both"/>
        <w:rPr>
          <w:rFonts w:cs="FrankRuehl"/>
          <w:sz w:val="28"/>
          <w:szCs w:val="28"/>
          <w:rtl/>
        </w:rPr>
      </w:pPr>
      <w:r>
        <w:rPr>
          <w:rFonts w:cs="FrankRuehl" w:hint="cs"/>
          <w:sz w:val="28"/>
          <w:szCs w:val="28"/>
          <w:rtl/>
        </w:rPr>
        <w:t xml:space="preserve">5 </w:t>
      </w:r>
      <w:r>
        <w:rPr>
          <w:rFonts w:cs="FrankRuehl"/>
          <w:sz w:val="28"/>
          <w:szCs w:val="28"/>
          <w:rtl/>
        </w:rPr>
        <w:t xml:space="preserve">חודשי מאסר שלא ירוצו, אלא אם יעבור הנאשם </w:t>
      </w:r>
      <w:r>
        <w:rPr>
          <w:rFonts w:cs="FrankRuehl" w:hint="cs"/>
          <w:sz w:val="28"/>
          <w:szCs w:val="28"/>
          <w:rtl/>
        </w:rPr>
        <w:t xml:space="preserve">כל </w:t>
      </w:r>
      <w:r>
        <w:rPr>
          <w:rFonts w:cs="FrankRuehl"/>
          <w:sz w:val="28"/>
          <w:szCs w:val="28"/>
          <w:rtl/>
        </w:rPr>
        <w:t>עביר</w:t>
      </w:r>
      <w:r>
        <w:rPr>
          <w:rFonts w:cs="FrankRuehl" w:hint="cs"/>
          <w:sz w:val="28"/>
          <w:szCs w:val="28"/>
          <w:rtl/>
        </w:rPr>
        <w:t>ת עוון לפי פקודת הסמים במשך 3 שנים מהיום;</w:t>
      </w:r>
    </w:p>
    <w:p w14:paraId="45319F1C" w14:textId="77777777" w:rsidR="0034397E" w:rsidRDefault="0034397E" w:rsidP="0034397E">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5,000</w:t>
      </w:r>
      <w:r>
        <w:rPr>
          <w:rFonts w:cs="FrankRuehl"/>
          <w:sz w:val="28"/>
          <w:szCs w:val="28"/>
          <w:rtl/>
        </w:rPr>
        <w:t xml:space="preserve">  ₪, או  </w:t>
      </w:r>
      <w:r>
        <w:rPr>
          <w:rFonts w:cs="FrankRuehl" w:hint="cs"/>
          <w:sz w:val="28"/>
          <w:szCs w:val="28"/>
          <w:rtl/>
        </w:rPr>
        <w:t xml:space="preserve">20 </w:t>
      </w:r>
      <w:r>
        <w:rPr>
          <w:rFonts w:cs="FrankRuehl"/>
          <w:sz w:val="28"/>
          <w:szCs w:val="28"/>
          <w:rtl/>
        </w:rPr>
        <w:t xml:space="preserve">ימי מאסר תמורתו אם לא ישולם. הקנס </w:t>
      </w:r>
      <w:r>
        <w:rPr>
          <w:rFonts w:cs="FrankRuehl" w:hint="cs"/>
          <w:sz w:val="28"/>
          <w:szCs w:val="28"/>
          <w:rtl/>
        </w:rPr>
        <w:t xml:space="preserve">ישולם ב-10 תשלומים שווים ורצופים החל מיום 1.8.2021 ובכל ראשון לחודש רציף ועוקב. </w:t>
      </w:r>
      <w:r>
        <w:rPr>
          <w:rFonts w:cs="FrankRuehl"/>
          <w:sz w:val="28"/>
          <w:szCs w:val="28"/>
          <w:rtl/>
        </w:rPr>
        <w:t>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1BB1E052" w14:textId="77777777" w:rsidR="0034397E" w:rsidRDefault="0034397E" w:rsidP="0034397E">
      <w:pPr>
        <w:numPr>
          <w:ilvl w:val="0"/>
          <w:numId w:val="1"/>
        </w:numPr>
        <w:spacing w:after="160" w:line="360" w:lineRule="auto"/>
        <w:contextualSpacing/>
        <w:jc w:val="both"/>
        <w:rPr>
          <w:rFonts w:cs="FrankRuehl"/>
          <w:sz w:val="28"/>
          <w:szCs w:val="28"/>
        </w:rPr>
      </w:pPr>
      <w:r>
        <w:rPr>
          <w:rFonts w:cs="FrankRuehl" w:hint="cs"/>
          <w:sz w:val="28"/>
          <w:szCs w:val="28"/>
          <w:rtl/>
        </w:rPr>
        <w:t xml:space="preserve">450 </w:t>
      </w:r>
      <w:r>
        <w:rPr>
          <w:rFonts w:cs="FrankRuehl"/>
          <w:sz w:val="28"/>
          <w:szCs w:val="28"/>
          <w:rtl/>
        </w:rPr>
        <w:t>שעות שירות לתועלת הציבור (של"ץ)</w:t>
      </w:r>
      <w:r>
        <w:rPr>
          <w:rFonts w:cs="FrankRuehl" w:hint="cs"/>
          <w:sz w:val="28"/>
          <w:szCs w:val="28"/>
          <w:rtl/>
        </w:rPr>
        <w:t xml:space="preserve">. שירות המבחן יגיש תוכנית בתוך 30 יום. </w:t>
      </w:r>
      <w:r>
        <w:rPr>
          <w:rFonts w:cs="FrankRuehl"/>
          <w:sz w:val="28"/>
          <w:szCs w:val="28"/>
          <w:rtl/>
        </w:rPr>
        <w:t xml:space="preserve">הנאשם הוזהר כי אי-קיום צו השל"ץ באופן משביע רצון עלול להביא להפקעת הצו ולדיון מחודש בשאלת גזר הדין הראוי </w:t>
      </w:r>
      <w:r>
        <w:rPr>
          <w:rFonts w:cs="FrankRuehl" w:hint="cs"/>
          <w:sz w:val="28"/>
          <w:szCs w:val="28"/>
          <w:rtl/>
        </w:rPr>
        <w:t xml:space="preserve">לרבות אפשרות של הטלת </w:t>
      </w:r>
      <w:r>
        <w:rPr>
          <w:rFonts w:cs="FrankRuehl"/>
          <w:sz w:val="28"/>
          <w:szCs w:val="28"/>
          <w:rtl/>
        </w:rPr>
        <w:t>מאסר בפועל;</w:t>
      </w:r>
    </w:p>
    <w:p w14:paraId="11F779E4" w14:textId="77777777" w:rsidR="0034397E" w:rsidRDefault="0034397E" w:rsidP="0034397E">
      <w:pPr>
        <w:numPr>
          <w:ilvl w:val="0"/>
          <w:numId w:val="1"/>
        </w:numPr>
        <w:spacing w:after="160" w:line="360" w:lineRule="auto"/>
        <w:contextualSpacing/>
        <w:jc w:val="both"/>
        <w:rPr>
          <w:rFonts w:cs="FrankRuehl"/>
          <w:sz w:val="28"/>
          <w:szCs w:val="28"/>
          <w:rtl/>
        </w:rPr>
      </w:pPr>
      <w:r>
        <w:rPr>
          <w:rFonts w:cs="FrankRuehl"/>
          <w:sz w:val="28"/>
          <w:szCs w:val="28"/>
          <w:rtl/>
        </w:rPr>
        <w:t xml:space="preserve">צו מבחן לתקופה של </w:t>
      </w:r>
      <w:r>
        <w:rPr>
          <w:rFonts w:cs="FrankRuehl" w:hint="cs"/>
          <w:sz w:val="28"/>
          <w:szCs w:val="28"/>
          <w:rtl/>
        </w:rPr>
        <w:t>18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5E0BD9F9" w14:textId="77777777" w:rsidR="0034397E" w:rsidRDefault="0034397E" w:rsidP="0034397E">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שלא לעבור כל עבירה</w:t>
      </w:r>
      <w:r>
        <w:rPr>
          <w:rFonts w:cs="FrankRuehl" w:hint="cs"/>
          <w:sz w:val="28"/>
          <w:szCs w:val="28"/>
          <w:rtl/>
        </w:rPr>
        <w:t xml:space="preserve"> לפי פקודת הסמים</w:t>
      </w:r>
      <w:r>
        <w:rPr>
          <w:rFonts w:cs="FrankRuehl"/>
          <w:sz w:val="28"/>
          <w:szCs w:val="28"/>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7B5FD80" w14:textId="77777777" w:rsidR="0034397E" w:rsidRDefault="0034397E" w:rsidP="0034397E">
      <w:pPr>
        <w:spacing w:line="360" w:lineRule="auto"/>
        <w:rPr>
          <w:rFonts w:ascii="FrankRuehl" w:hAnsi="FrankRuehl" w:cs="FrankRuehl"/>
          <w:sz w:val="28"/>
          <w:szCs w:val="28"/>
        </w:rPr>
      </w:pPr>
    </w:p>
    <w:p w14:paraId="6BCADB62" w14:textId="77777777" w:rsidR="0034397E" w:rsidRDefault="0034397E" w:rsidP="0034397E">
      <w:pPr>
        <w:spacing w:line="360" w:lineRule="auto"/>
        <w:rPr>
          <w:rFonts w:ascii="FrankRuehl" w:hAnsi="FrankRuehl" w:cs="FrankRuehl"/>
          <w:sz w:val="28"/>
          <w:szCs w:val="28"/>
          <w:rtl/>
        </w:rPr>
      </w:pPr>
      <w:r>
        <w:rPr>
          <w:rFonts w:ascii="FrankRuehl" w:hAnsi="FrankRuehl" w:cs="FrankRuehl" w:hint="cs"/>
          <w:sz w:val="28"/>
          <w:szCs w:val="28"/>
          <w:rtl/>
        </w:rPr>
        <w:t xml:space="preserve">מכיוון שטרם נגזר דינו של השותף, אינני </w:t>
      </w:r>
      <w:r>
        <w:rPr>
          <w:rFonts w:ascii="FrankRuehl" w:hAnsi="FrankRuehl" w:cs="FrankRuehl"/>
          <w:sz w:val="28"/>
          <w:szCs w:val="28"/>
          <w:rtl/>
        </w:rPr>
        <w:t>מורה על השמדת הסמים.</w:t>
      </w:r>
    </w:p>
    <w:p w14:paraId="604F2E2B" w14:textId="77777777" w:rsidR="0034397E" w:rsidRDefault="0034397E" w:rsidP="0034397E">
      <w:pPr>
        <w:spacing w:line="360" w:lineRule="auto"/>
        <w:rPr>
          <w:rFonts w:ascii="FrankRuehl" w:hAnsi="FrankRuehl" w:cs="FrankRuehl"/>
          <w:sz w:val="28"/>
          <w:szCs w:val="28"/>
          <w:rtl/>
        </w:rPr>
      </w:pPr>
    </w:p>
    <w:p w14:paraId="58AB134B" w14:textId="77777777" w:rsidR="0034397E" w:rsidRDefault="0034397E" w:rsidP="0034397E">
      <w:pPr>
        <w:spacing w:line="360" w:lineRule="auto"/>
        <w:rPr>
          <w:rFonts w:ascii="FrankRuehl" w:hAnsi="FrankRuehl" w:cs="FrankRuehl"/>
          <w:sz w:val="28"/>
          <w:szCs w:val="28"/>
          <w:rtl/>
        </w:rPr>
      </w:pPr>
      <w:r>
        <w:rPr>
          <w:rFonts w:ascii="FrankRuehl" w:hAnsi="FrankRuehl" w:cs="FrankRuehl" w:hint="cs"/>
          <w:sz w:val="28"/>
          <w:szCs w:val="28"/>
          <w:rtl/>
        </w:rPr>
        <w:t xml:space="preserve">יש לשלוח לשירות המבחן. </w:t>
      </w:r>
    </w:p>
    <w:p w14:paraId="360FFEC3" w14:textId="77777777" w:rsidR="0034397E" w:rsidRDefault="0034397E" w:rsidP="0034397E">
      <w:pPr>
        <w:rPr>
          <w:rFonts w:ascii="FrankRuehl" w:hAnsi="FrankRuehl" w:cs="FrankRuehl"/>
          <w:sz w:val="28"/>
          <w:szCs w:val="28"/>
          <w:rtl/>
        </w:rPr>
      </w:pPr>
    </w:p>
    <w:p w14:paraId="1EAD4281" w14:textId="77777777" w:rsidR="0034397E" w:rsidRDefault="0034397E" w:rsidP="0034397E">
      <w:pPr>
        <w:rPr>
          <w:rFonts w:ascii="FrankRuehl" w:hAnsi="FrankRuehl" w:cs="FrankRuehl"/>
          <w:sz w:val="28"/>
          <w:szCs w:val="28"/>
        </w:rPr>
      </w:pPr>
      <w:r>
        <w:rPr>
          <w:rFonts w:ascii="FrankRuehl" w:hAnsi="FrankRuehl" w:cs="FrankRuehl"/>
          <w:sz w:val="28"/>
          <w:szCs w:val="28"/>
          <w:rtl/>
        </w:rPr>
        <w:t>זכות ערעור כחוק לבית המשפט המחוזי בירושלים בתוך 45 יום מהיום.</w:t>
      </w:r>
    </w:p>
    <w:p w14:paraId="77DD0329" w14:textId="77777777" w:rsidR="0034397E" w:rsidRPr="00C1081B" w:rsidRDefault="00C1081B" w:rsidP="0034397E">
      <w:pPr>
        <w:rPr>
          <w:color w:val="FFFFFF"/>
          <w:sz w:val="2"/>
          <w:szCs w:val="2"/>
          <w:rtl/>
        </w:rPr>
      </w:pPr>
      <w:r w:rsidRPr="00C1081B">
        <w:rPr>
          <w:color w:val="FFFFFF"/>
          <w:sz w:val="2"/>
          <w:szCs w:val="2"/>
          <w:rtl/>
        </w:rPr>
        <w:t>5129371</w:t>
      </w:r>
    </w:p>
    <w:p w14:paraId="74CF33DA" w14:textId="77777777" w:rsidR="0034397E" w:rsidRDefault="00C1081B" w:rsidP="0034397E">
      <w:pPr>
        <w:rPr>
          <w:rFonts w:cs="FrankRuehl"/>
          <w:sz w:val="28"/>
          <w:szCs w:val="28"/>
          <w:rtl/>
        </w:rPr>
      </w:pPr>
      <w:bookmarkStart w:id="8" w:name="Nitan"/>
      <w:r w:rsidRPr="00C1081B">
        <w:rPr>
          <w:rFonts w:ascii="Arial" w:hAnsi="Arial"/>
          <w:color w:val="FFFFFF"/>
          <w:sz w:val="2"/>
          <w:szCs w:val="2"/>
          <w:rtl/>
        </w:rPr>
        <w:t>54678313</w:t>
      </w:r>
      <w:r>
        <w:rPr>
          <w:rFonts w:ascii="Arial" w:hAnsi="Arial"/>
          <w:rtl/>
        </w:rPr>
        <w:t xml:space="preserve">ניתן היום,  כ' אייר תשפ"א, 02 מאי 2021, במעמד הצדדים. </w:t>
      </w:r>
      <w:bookmarkEnd w:id="8"/>
    </w:p>
    <w:p w14:paraId="4C052B0E" w14:textId="77777777" w:rsidR="0034397E" w:rsidRDefault="0034397E" w:rsidP="00C1081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519179" w14:textId="77777777" w:rsidR="0034397E" w:rsidRDefault="0034397E" w:rsidP="0034397E">
      <w:pPr>
        <w:jc w:val="center"/>
        <w:rPr>
          <w:rFonts w:ascii="Arial" w:hAnsi="Arial" w:cs="FrankRuehl"/>
          <w:sz w:val="28"/>
          <w:szCs w:val="28"/>
          <w:rtl/>
        </w:rPr>
      </w:pPr>
    </w:p>
    <w:p w14:paraId="3D46C38C" w14:textId="77777777" w:rsidR="0034397E" w:rsidRDefault="0034397E" w:rsidP="0034397E">
      <w:pPr>
        <w:rPr>
          <w:rFonts w:cs="FrankRuehl"/>
          <w:sz w:val="28"/>
          <w:szCs w:val="28"/>
          <w:rtl/>
        </w:rPr>
      </w:pPr>
    </w:p>
    <w:p w14:paraId="5EC89D9C" w14:textId="77777777" w:rsidR="0034397E" w:rsidRPr="00002473" w:rsidRDefault="00002473" w:rsidP="0034397E">
      <w:pPr>
        <w:pStyle w:val="a3"/>
        <w:jc w:val="center"/>
        <w:rPr>
          <w:color w:val="FFFFFF"/>
          <w:sz w:val="2"/>
          <w:szCs w:val="2"/>
          <w:rtl/>
        </w:rPr>
      </w:pPr>
      <w:r w:rsidRPr="00002473">
        <w:rPr>
          <w:color w:val="FFFFFF"/>
          <w:sz w:val="2"/>
          <w:szCs w:val="2"/>
          <w:rtl/>
        </w:rPr>
        <w:t>5129371</w:t>
      </w:r>
    </w:p>
    <w:p w14:paraId="51535C03" w14:textId="77777777" w:rsidR="000313D8" w:rsidRPr="00002473" w:rsidRDefault="00002473" w:rsidP="00C1081B">
      <w:pPr>
        <w:keepNext/>
        <w:rPr>
          <w:rFonts w:ascii="David" w:hAnsi="David"/>
          <w:color w:val="FFFFFF"/>
          <w:sz w:val="2"/>
          <w:szCs w:val="2"/>
          <w:rtl/>
        </w:rPr>
      </w:pPr>
      <w:r w:rsidRPr="00002473">
        <w:rPr>
          <w:rFonts w:ascii="David" w:hAnsi="David"/>
          <w:color w:val="FFFFFF"/>
          <w:sz w:val="2"/>
          <w:szCs w:val="2"/>
          <w:rtl/>
        </w:rPr>
        <w:t>54678313</w:t>
      </w:r>
    </w:p>
    <w:p w14:paraId="05FDBFFA" w14:textId="77777777" w:rsidR="00C1081B" w:rsidRDefault="00C1081B" w:rsidP="00C1081B">
      <w:pPr>
        <w:rPr>
          <w:rtl/>
        </w:rPr>
      </w:pPr>
    </w:p>
    <w:p w14:paraId="72BA87F9" w14:textId="77777777" w:rsidR="00C1081B" w:rsidRDefault="00C1081B" w:rsidP="00C1081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8FF5776" w14:textId="77777777" w:rsidR="00002473" w:rsidRPr="00002473" w:rsidRDefault="00002473" w:rsidP="00002473">
      <w:pPr>
        <w:keepNext/>
        <w:rPr>
          <w:rFonts w:ascii="David" w:hAnsi="David"/>
          <w:color w:val="000000"/>
          <w:sz w:val="22"/>
          <w:szCs w:val="22"/>
          <w:rtl/>
        </w:rPr>
      </w:pPr>
    </w:p>
    <w:p w14:paraId="76CB3B61" w14:textId="77777777" w:rsidR="00002473" w:rsidRPr="00002473" w:rsidRDefault="00002473" w:rsidP="00002473">
      <w:pPr>
        <w:keepNext/>
        <w:rPr>
          <w:rFonts w:ascii="David" w:hAnsi="David"/>
          <w:color w:val="000000"/>
          <w:sz w:val="22"/>
          <w:szCs w:val="22"/>
          <w:rtl/>
        </w:rPr>
      </w:pPr>
      <w:r w:rsidRPr="00002473">
        <w:rPr>
          <w:rFonts w:ascii="David" w:hAnsi="David"/>
          <w:color w:val="000000"/>
          <w:sz w:val="22"/>
          <w:szCs w:val="22"/>
          <w:rtl/>
        </w:rPr>
        <w:t>דוד שאול גבאי ריכטר 54678313-/</w:t>
      </w:r>
    </w:p>
    <w:p w14:paraId="6DB1FFA2" w14:textId="77777777" w:rsidR="00C1081B" w:rsidRPr="00C1081B" w:rsidRDefault="00002473" w:rsidP="00002473">
      <w:pPr>
        <w:rPr>
          <w:color w:val="0000FF"/>
          <w:u w:val="single"/>
        </w:rPr>
      </w:pPr>
      <w:r w:rsidRPr="00002473">
        <w:rPr>
          <w:color w:val="000000"/>
          <w:u w:val="single"/>
          <w:rtl/>
        </w:rPr>
        <w:t>נוסח מסמך זה כפוף לשינויי ניסוח ועריכה</w:t>
      </w:r>
    </w:p>
    <w:sectPr w:rsidR="00C1081B" w:rsidRPr="00C1081B" w:rsidSect="00002473">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44463" w14:textId="77777777" w:rsidR="0042595E" w:rsidRDefault="0042595E" w:rsidP="000E38B9">
      <w:r>
        <w:separator/>
      </w:r>
    </w:p>
  </w:endnote>
  <w:endnote w:type="continuationSeparator" w:id="0">
    <w:p w14:paraId="0BDAF52A" w14:textId="77777777" w:rsidR="0042595E" w:rsidRDefault="0042595E" w:rsidP="000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834B2" w14:textId="77777777" w:rsidR="00002473" w:rsidRDefault="00002473" w:rsidP="000024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AA62A3" w14:textId="77777777" w:rsidR="00422998" w:rsidRPr="00002473" w:rsidRDefault="00002473" w:rsidP="00002473">
    <w:pPr>
      <w:pStyle w:val="a5"/>
      <w:pBdr>
        <w:top w:val="single" w:sz="4" w:space="1" w:color="auto"/>
        <w:between w:val="single" w:sz="4" w:space="0" w:color="auto"/>
      </w:pBdr>
      <w:spacing w:after="60"/>
      <w:jc w:val="center"/>
      <w:rPr>
        <w:rFonts w:ascii="FrankRuehl" w:hAnsi="FrankRuehl" w:cs="FrankRuehl"/>
        <w:color w:val="000000"/>
      </w:rPr>
    </w:pPr>
    <w:r w:rsidRPr="000024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0FAA5" w14:textId="77777777" w:rsidR="00002473" w:rsidRDefault="00002473" w:rsidP="000024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07B0">
      <w:rPr>
        <w:rFonts w:ascii="FrankRuehl" w:hAnsi="FrankRuehl" w:cs="FrankRuehl"/>
        <w:noProof/>
        <w:rtl/>
      </w:rPr>
      <w:t>1</w:t>
    </w:r>
    <w:r>
      <w:rPr>
        <w:rFonts w:ascii="FrankRuehl" w:hAnsi="FrankRuehl" w:cs="FrankRuehl"/>
        <w:rtl/>
      </w:rPr>
      <w:fldChar w:fldCharType="end"/>
    </w:r>
  </w:p>
  <w:p w14:paraId="16BC32D5" w14:textId="77777777" w:rsidR="00422998" w:rsidRPr="00002473" w:rsidRDefault="00002473" w:rsidP="00002473">
    <w:pPr>
      <w:pStyle w:val="a5"/>
      <w:pBdr>
        <w:top w:val="single" w:sz="4" w:space="1" w:color="auto"/>
        <w:between w:val="single" w:sz="4" w:space="0" w:color="auto"/>
      </w:pBdr>
      <w:spacing w:after="60"/>
      <w:jc w:val="center"/>
      <w:rPr>
        <w:rFonts w:ascii="FrankRuehl" w:hAnsi="FrankRuehl" w:cs="FrankRuehl"/>
        <w:color w:val="000000"/>
      </w:rPr>
    </w:pPr>
    <w:r w:rsidRPr="00002473">
      <w:rPr>
        <w:rFonts w:ascii="FrankRuehl" w:hAnsi="FrankRuehl" w:cs="FrankRuehl"/>
        <w:color w:val="000000"/>
      </w:rPr>
      <w:pict w14:anchorId="78826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5A00C" w14:textId="77777777" w:rsidR="0042595E" w:rsidRDefault="0042595E" w:rsidP="000E38B9">
      <w:r>
        <w:separator/>
      </w:r>
    </w:p>
  </w:footnote>
  <w:footnote w:type="continuationSeparator" w:id="0">
    <w:p w14:paraId="16191779" w14:textId="77777777" w:rsidR="0042595E" w:rsidRDefault="0042595E" w:rsidP="000E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794B5" w14:textId="77777777" w:rsidR="00C1081B" w:rsidRPr="00002473" w:rsidRDefault="00002473" w:rsidP="000024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25269-01-20</w:t>
    </w:r>
    <w:r>
      <w:rPr>
        <w:rFonts w:ascii="David" w:hAnsi="David"/>
        <w:color w:val="000000"/>
        <w:sz w:val="22"/>
        <w:szCs w:val="22"/>
        <w:rtl/>
      </w:rPr>
      <w:tab/>
      <w:t xml:space="preserve"> מדינת ישראל נ' רון קדמי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8B5A" w14:textId="77777777" w:rsidR="00C1081B" w:rsidRPr="00002473" w:rsidRDefault="00002473" w:rsidP="000024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25269-01-20</w:t>
    </w:r>
    <w:r>
      <w:rPr>
        <w:rFonts w:ascii="David" w:hAnsi="David"/>
        <w:color w:val="000000"/>
        <w:sz w:val="22"/>
        <w:szCs w:val="22"/>
        <w:rtl/>
      </w:rPr>
      <w:tab/>
      <w:t xml:space="preserve"> מדינת ישראל נ' רון קדמי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45310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397E"/>
    <w:rsid w:val="00002473"/>
    <w:rsid w:val="000313D8"/>
    <w:rsid w:val="000E38B9"/>
    <w:rsid w:val="001B5A3B"/>
    <w:rsid w:val="0034397E"/>
    <w:rsid w:val="00422998"/>
    <w:rsid w:val="0042595E"/>
    <w:rsid w:val="006603CD"/>
    <w:rsid w:val="009222CF"/>
    <w:rsid w:val="00B74EEC"/>
    <w:rsid w:val="00B85C01"/>
    <w:rsid w:val="00C1081B"/>
    <w:rsid w:val="00E807B0"/>
    <w:rsid w:val="00EC5846"/>
    <w:rsid w:val="00F96ADE"/>
    <w:rsid w:val="00FA2F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D356DB"/>
  <w15:chartTrackingRefBased/>
  <w15:docId w15:val="{11314860-93A7-48AF-97BF-5813644E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39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397E"/>
    <w:pPr>
      <w:tabs>
        <w:tab w:val="center" w:pos="4153"/>
        <w:tab w:val="right" w:pos="8306"/>
      </w:tabs>
    </w:pPr>
  </w:style>
  <w:style w:type="character" w:customStyle="1" w:styleId="a4">
    <w:name w:val="כותרת עליונה תו"/>
    <w:link w:val="a3"/>
    <w:rsid w:val="0034397E"/>
    <w:rPr>
      <w:rFonts w:ascii="Times New Roman" w:eastAsia="Times New Roman" w:hAnsi="Times New Roman" w:cs="David"/>
      <w:sz w:val="24"/>
      <w:szCs w:val="24"/>
    </w:rPr>
  </w:style>
  <w:style w:type="paragraph" w:styleId="a5">
    <w:name w:val="footer"/>
    <w:basedOn w:val="a"/>
    <w:link w:val="a6"/>
    <w:rsid w:val="0034397E"/>
    <w:pPr>
      <w:tabs>
        <w:tab w:val="center" w:pos="4153"/>
        <w:tab w:val="right" w:pos="8306"/>
      </w:tabs>
    </w:pPr>
  </w:style>
  <w:style w:type="character" w:customStyle="1" w:styleId="a6">
    <w:name w:val="כותרת תחתונה תו"/>
    <w:link w:val="a5"/>
    <w:rsid w:val="0034397E"/>
    <w:rPr>
      <w:rFonts w:ascii="Times New Roman" w:eastAsia="Times New Roman" w:hAnsi="Times New Roman" w:cs="David"/>
      <w:sz w:val="24"/>
      <w:szCs w:val="24"/>
    </w:rPr>
  </w:style>
  <w:style w:type="table" w:styleId="a7">
    <w:name w:val="Table Grid"/>
    <w:basedOn w:val="a1"/>
    <w:rsid w:val="003439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397E"/>
  </w:style>
  <w:style w:type="character" w:styleId="Hyperlink">
    <w:name w:val="Hyperlink"/>
    <w:rsid w:val="00C10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law/4216/7.a.;7.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6351951"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59777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13;19.a"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case/25975844"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13;19.a" TargetMode="External"/><Relationship Id="rId27" Type="http://schemas.openxmlformats.org/officeDocument/2006/relationships/hyperlink" Target="http://www.nevo.co.il/case/21914524" TargetMode="External"/><Relationship Id="rId30" Type="http://schemas.openxmlformats.org/officeDocument/2006/relationships/hyperlink" Target="http://www.nevo.co.il/case/20321459"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1766</Words>
  <Characters>8831</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10576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3473522</vt:i4>
      </vt:variant>
      <vt:variant>
        <vt:i4>69</vt:i4>
      </vt:variant>
      <vt:variant>
        <vt:i4>0</vt:i4>
      </vt:variant>
      <vt:variant>
        <vt:i4>5</vt:i4>
      </vt:variant>
      <vt:variant>
        <vt:lpwstr>http://www.nevo.co.il/case/20321459</vt:lpwstr>
      </vt:variant>
      <vt:variant>
        <vt:lpwstr/>
      </vt:variant>
      <vt:variant>
        <vt:i4>3997809</vt:i4>
      </vt:variant>
      <vt:variant>
        <vt:i4>66</vt:i4>
      </vt:variant>
      <vt:variant>
        <vt:i4>0</vt:i4>
      </vt:variant>
      <vt:variant>
        <vt:i4>5</vt:i4>
      </vt:variant>
      <vt:variant>
        <vt:lpwstr>http://www.nevo.co.il/case/25977712</vt:lpwstr>
      </vt:variant>
      <vt:variant>
        <vt:lpwstr/>
      </vt:variant>
      <vt:variant>
        <vt:i4>3801214</vt:i4>
      </vt:variant>
      <vt:variant>
        <vt:i4>63</vt:i4>
      </vt:variant>
      <vt:variant>
        <vt:i4>0</vt:i4>
      </vt:variant>
      <vt:variant>
        <vt:i4>5</vt:i4>
      </vt:variant>
      <vt:variant>
        <vt:lpwstr>http://www.nevo.co.il/case/25975844</vt:lpwstr>
      </vt:variant>
      <vt:variant>
        <vt:lpwstr/>
      </vt:variant>
      <vt:variant>
        <vt:i4>3997809</vt:i4>
      </vt:variant>
      <vt:variant>
        <vt:i4>60</vt:i4>
      </vt:variant>
      <vt:variant>
        <vt:i4>0</vt:i4>
      </vt:variant>
      <vt:variant>
        <vt:i4>5</vt:i4>
      </vt:variant>
      <vt:variant>
        <vt:lpwstr>http://www.nevo.co.il/case/21914524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2883686</vt:i4>
      </vt:variant>
      <vt:variant>
        <vt:i4>51</vt:i4>
      </vt:variant>
      <vt:variant>
        <vt:i4>0</vt:i4>
      </vt:variant>
      <vt:variant>
        <vt:i4>5</vt:i4>
      </vt:variant>
      <vt:variant>
        <vt:lpwstr>http://www.nevo.co.il/law/4216/13;19.a</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3473534</vt:i4>
      </vt:variant>
      <vt:variant>
        <vt:i4>0</vt:i4>
      </vt:variant>
      <vt:variant>
        <vt:i4>0</vt:i4>
      </vt:variant>
      <vt:variant>
        <vt:i4>5</vt:i4>
      </vt:variant>
      <vt:variant>
        <vt:lpwstr>http://www.nevo.co.il/case/26351951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25269</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רון קדמי</vt:lpwstr>
  </property>
  <property fmtid="{D5CDD505-2E9C-101B-9397-08002B2CF9AE}" pid="10" name="LAWYER">
    <vt:lpwstr>שירן סיני;חן הולנדר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20210502</vt:lpwstr>
  </property>
  <property fmtid="{D5CDD505-2E9C-101B-9397-08002B2CF9AE}" pid="14" name="TYPE_N_DATE">
    <vt:lpwstr>38020210502</vt:lpwstr>
  </property>
  <property fmtid="{D5CDD505-2E9C-101B-9397-08002B2CF9AE}" pid="15" name="WORDNUMPAGES">
    <vt:lpwstr>6</vt:lpwstr>
  </property>
  <property fmtid="{D5CDD505-2E9C-101B-9397-08002B2CF9AE}" pid="16" name="TYPE_ABS_DATE">
    <vt:lpwstr>380020210502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26351951;25975844;25977712;20321459</vt:lpwstr>
  </property>
  <property fmtid="{D5CDD505-2E9C-101B-9397-08002B2CF9AE}" pid="36" name="LAWLISTTMP1">
    <vt:lpwstr>4216/007.a:2;007.c:2;013:3;019.a:3</vt:lpwstr>
  </property>
  <property fmtid="{D5CDD505-2E9C-101B-9397-08002B2CF9AE}" pid="37" name="LAWLISTTMP2">
    <vt:lpwstr>70301/029;040i;40ja</vt:lpwstr>
  </property>
</Properties>
</file>