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BC040C" w:rsidRPr="00EB5746" w14:paraId="0D87D909" w14:textId="77777777" w:rsidTr="00536288">
        <w:trPr>
          <w:trHeight w:hRule="exact" w:val="418"/>
          <w:jc w:val="center"/>
        </w:trPr>
        <w:tc>
          <w:tcPr>
            <w:tcW w:w="8721" w:type="dxa"/>
            <w:gridSpan w:val="2"/>
          </w:tcPr>
          <w:p w14:paraId="38180BC2" w14:textId="77777777" w:rsidR="00BC040C" w:rsidRPr="00EB5746" w:rsidRDefault="00BC040C" w:rsidP="00C11E09">
            <w:pPr>
              <w:pStyle w:val="a3"/>
              <w:jc w:val="center"/>
              <w:rPr>
                <w:rFonts w:ascii="Tahoma" w:hAnsi="Tahoma" w:cs="Tahoma"/>
                <w:color w:val="000080"/>
                <w:rtl/>
              </w:rPr>
            </w:pPr>
            <w:bookmarkStart w:id="0" w:name="LastJudge"/>
            <w:r w:rsidRPr="00EB5746">
              <w:rPr>
                <w:rFonts w:ascii="Tahoma" w:hAnsi="Tahoma" w:cs="Tahoma"/>
                <w:b/>
                <w:bCs/>
                <w:color w:val="000080"/>
                <w:rtl/>
              </w:rPr>
              <w:t>בית משפט השלום בקריית גת</w:t>
            </w:r>
          </w:p>
        </w:tc>
      </w:tr>
      <w:tr w:rsidR="00BC040C" w:rsidRPr="00EB5746" w14:paraId="359685D3" w14:textId="77777777" w:rsidTr="00536288">
        <w:trPr>
          <w:trHeight w:val="337"/>
          <w:jc w:val="center"/>
        </w:trPr>
        <w:tc>
          <w:tcPr>
            <w:tcW w:w="5054" w:type="dxa"/>
          </w:tcPr>
          <w:p w14:paraId="2F9DF3A8" w14:textId="77777777" w:rsidR="00BC040C" w:rsidRPr="00EB5746" w:rsidRDefault="00BC040C" w:rsidP="00C11E09">
            <w:pPr>
              <w:rPr>
                <w:rFonts w:cs="FrankRuehl"/>
                <w:sz w:val="28"/>
                <w:szCs w:val="28"/>
                <w:rtl/>
              </w:rPr>
            </w:pPr>
            <w:r w:rsidRPr="00EB5746">
              <w:rPr>
                <w:rFonts w:cs="FrankRuehl"/>
                <w:sz w:val="28"/>
                <w:szCs w:val="28"/>
                <w:rtl/>
              </w:rPr>
              <w:t>ת"פ</w:t>
            </w:r>
            <w:r w:rsidRPr="00EB5746">
              <w:rPr>
                <w:rFonts w:cs="FrankRuehl" w:hint="cs"/>
                <w:sz w:val="28"/>
                <w:szCs w:val="28"/>
                <w:rtl/>
              </w:rPr>
              <w:t xml:space="preserve"> </w:t>
            </w:r>
            <w:hyperlink r:id="rId7" w:history="1">
              <w:r w:rsidR="005F6F61" w:rsidRPr="005F6F61">
                <w:rPr>
                  <w:rFonts w:cs="FrankRuehl"/>
                  <w:color w:val="0000FF"/>
                  <w:sz w:val="28"/>
                  <w:szCs w:val="28"/>
                  <w:u w:val="single"/>
                  <w:rtl/>
                </w:rPr>
                <w:t xml:space="preserve">32253-01-20 </w:t>
              </w:r>
            </w:hyperlink>
            <w:r w:rsidRPr="00EB5746">
              <w:rPr>
                <w:rFonts w:cs="FrankRuehl" w:hint="cs"/>
                <w:sz w:val="28"/>
                <w:szCs w:val="28"/>
                <w:rtl/>
              </w:rPr>
              <w:t xml:space="preserve"> </w:t>
            </w:r>
            <w:r w:rsidRPr="00EB5746">
              <w:rPr>
                <w:rFonts w:cs="FrankRuehl"/>
                <w:sz w:val="28"/>
                <w:szCs w:val="28"/>
                <w:rtl/>
              </w:rPr>
              <w:t>מדינת ישראל נ' בייקמן</w:t>
            </w:r>
          </w:p>
          <w:p w14:paraId="59992F26" w14:textId="77777777" w:rsidR="00BC040C" w:rsidRPr="00EB5746" w:rsidRDefault="00BC040C" w:rsidP="00C11E09">
            <w:pPr>
              <w:rPr>
                <w:rFonts w:cs="FrankRuehl"/>
                <w:sz w:val="28"/>
                <w:szCs w:val="28"/>
                <w:rtl/>
              </w:rPr>
            </w:pPr>
            <w:r w:rsidRPr="00EB5746">
              <w:rPr>
                <w:rFonts w:cs="FrankRuehl"/>
                <w:sz w:val="28"/>
                <w:szCs w:val="28"/>
                <w:rtl/>
              </w:rPr>
              <w:t>ת"פ</w:t>
            </w:r>
            <w:r w:rsidRPr="00EB5746">
              <w:rPr>
                <w:rFonts w:cs="FrankRuehl" w:hint="cs"/>
                <w:sz w:val="28"/>
                <w:szCs w:val="28"/>
                <w:rtl/>
              </w:rPr>
              <w:t xml:space="preserve"> </w:t>
            </w:r>
            <w:hyperlink r:id="rId8" w:history="1">
              <w:r w:rsidR="005F6F61" w:rsidRPr="005F6F61">
                <w:rPr>
                  <w:rFonts w:cs="FrankRuehl"/>
                  <w:color w:val="0000FF"/>
                  <w:sz w:val="28"/>
                  <w:szCs w:val="28"/>
                  <w:u w:val="single"/>
                  <w:rtl/>
                </w:rPr>
                <w:t xml:space="preserve">37053-09-19 </w:t>
              </w:r>
            </w:hyperlink>
            <w:r w:rsidRPr="00EB5746">
              <w:rPr>
                <w:rFonts w:cs="FrankRuehl" w:hint="cs"/>
                <w:sz w:val="28"/>
                <w:szCs w:val="28"/>
                <w:rtl/>
              </w:rPr>
              <w:t xml:space="preserve"> </w:t>
            </w:r>
            <w:r w:rsidRPr="00EB5746">
              <w:rPr>
                <w:rFonts w:cs="FrankRuehl"/>
                <w:sz w:val="28"/>
                <w:szCs w:val="28"/>
                <w:rtl/>
              </w:rPr>
              <w:t>מדינת ישראל נ' בייקמן</w:t>
            </w:r>
          </w:p>
          <w:p w14:paraId="64B2AAB5" w14:textId="77777777" w:rsidR="00BC040C" w:rsidRPr="00EB5746" w:rsidRDefault="00BC040C" w:rsidP="00C11E09">
            <w:pPr>
              <w:pStyle w:val="a3"/>
              <w:rPr>
                <w:rFonts w:cs="FrankRuehl"/>
                <w:sz w:val="28"/>
                <w:szCs w:val="28"/>
                <w:rtl/>
              </w:rPr>
            </w:pPr>
          </w:p>
        </w:tc>
        <w:tc>
          <w:tcPr>
            <w:tcW w:w="3667" w:type="dxa"/>
          </w:tcPr>
          <w:p w14:paraId="354BBCCB" w14:textId="77777777" w:rsidR="00BC040C" w:rsidRPr="00EB5746" w:rsidRDefault="00BC040C" w:rsidP="00C11E09">
            <w:pPr>
              <w:pStyle w:val="a3"/>
              <w:jc w:val="right"/>
              <w:rPr>
                <w:rFonts w:cs="FrankRuehl"/>
                <w:sz w:val="28"/>
                <w:szCs w:val="28"/>
                <w:rtl/>
              </w:rPr>
            </w:pPr>
          </w:p>
        </w:tc>
      </w:tr>
    </w:tbl>
    <w:p w14:paraId="6A98AD77" w14:textId="77777777" w:rsidR="00BC040C" w:rsidRPr="00EB5746" w:rsidRDefault="00BC040C" w:rsidP="00BC040C">
      <w:pPr>
        <w:pStyle w:val="a3"/>
        <w:rPr>
          <w:rtl/>
        </w:rPr>
      </w:pPr>
      <w:r w:rsidRPr="00EB5746">
        <w:rPr>
          <w:rFonts w:hint="cs"/>
          <w:rtl/>
        </w:rPr>
        <w:t xml:space="preserve"> </w:t>
      </w:r>
    </w:p>
    <w:p w14:paraId="7E43A8CF" w14:textId="77777777" w:rsidR="00BC040C" w:rsidRPr="00EB5746" w:rsidRDefault="00BC040C" w:rsidP="00BC040C">
      <w:pPr>
        <w:rPr>
          <w:rtl/>
        </w:rPr>
      </w:pPr>
    </w:p>
    <w:p w14:paraId="04B013B3" w14:textId="77777777" w:rsidR="00BC040C" w:rsidRPr="00EB5746" w:rsidRDefault="00BC040C" w:rsidP="00BC040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BC040C" w:rsidRPr="00EB5746" w14:paraId="65EDA0A6" w14:textId="77777777" w:rsidTr="00BC040C">
        <w:trPr>
          <w:trHeight w:val="295"/>
          <w:jc w:val="center"/>
        </w:trPr>
        <w:tc>
          <w:tcPr>
            <w:tcW w:w="923" w:type="dxa"/>
            <w:tcBorders>
              <w:top w:val="nil"/>
              <w:left w:val="nil"/>
              <w:bottom w:val="nil"/>
              <w:right w:val="nil"/>
            </w:tcBorders>
            <w:shd w:val="clear" w:color="auto" w:fill="auto"/>
          </w:tcPr>
          <w:p w14:paraId="71F06F4C" w14:textId="77777777" w:rsidR="00BC040C" w:rsidRPr="00EB5746" w:rsidRDefault="00BC040C" w:rsidP="00BC040C">
            <w:pPr>
              <w:jc w:val="both"/>
              <w:rPr>
                <w:rFonts w:ascii="David" w:hAnsi="David"/>
                <w:b/>
                <w:bCs/>
                <w:sz w:val="28"/>
                <w:szCs w:val="28"/>
              </w:rPr>
            </w:pPr>
            <w:r w:rsidRPr="00EB5746">
              <w:rPr>
                <w:rFonts w:ascii="David" w:hAnsi="David"/>
                <w:b/>
                <w:bCs/>
                <w:sz w:val="28"/>
                <w:szCs w:val="28"/>
                <w:rtl/>
              </w:rPr>
              <w:t xml:space="preserve">בפני </w:t>
            </w:r>
          </w:p>
        </w:tc>
        <w:tc>
          <w:tcPr>
            <w:tcW w:w="7897" w:type="dxa"/>
            <w:gridSpan w:val="2"/>
            <w:tcBorders>
              <w:top w:val="nil"/>
              <w:left w:val="nil"/>
              <w:bottom w:val="nil"/>
              <w:right w:val="nil"/>
            </w:tcBorders>
            <w:shd w:val="clear" w:color="auto" w:fill="auto"/>
          </w:tcPr>
          <w:p w14:paraId="2FEABC6F" w14:textId="77777777" w:rsidR="00BC040C" w:rsidRPr="00EB5746" w:rsidRDefault="00BC040C" w:rsidP="00C11E09">
            <w:pPr>
              <w:rPr>
                <w:rFonts w:ascii="David" w:hAnsi="David"/>
                <w:b/>
                <w:bCs/>
                <w:sz w:val="28"/>
                <w:szCs w:val="28"/>
                <w:rtl/>
              </w:rPr>
            </w:pPr>
            <w:r w:rsidRPr="00EB5746">
              <w:rPr>
                <w:rFonts w:ascii="David" w:hAnsi="David"/>
                <w:b/>
                <w:bCs/>
                <w:sz w:val="28"/>
                <w:szCs w:val="28"/>
                <w:rtl/>
              </w:rPr>
              <w:t>כבוד השופטת  טל לחיאני שהם</w:t>
            </w:r>
          </w:p>
          <w:p w14:paraId="5B4BB1AF" w14:textId="77777777" w:rsidR="00BC040C" w:rsidRPr="00EB5746" w:rsidRDefault="00BC040C" w:rsidP="00C11E09">
            <w:pPr>
              <w:rPr>
                <w:rFonts w:ascii="David" w:hAnsi="David"/>
                <w:sz w:val="28"/>
                <w:szCs w:val="28"/>
                <w:rtl/>
              </w:rPr>
            </w:pPr>
          </w:p>
          <w:p w14:paraId="01EC6BBB" w14:textId="77777777" w:rsidR="00BC040C" w:rsidRPr="00EB5746" w:rsidRDefault="00BC040C" w:rsidP="00BC040C">
            <w:pPr>
              <w:jc w:val="both"/>
              <w:rPr>
                <w:rFonts w:ascii="David" w:hAnsi="David"/>
                <w:sz w:val="28"/>
                <w:szCs w:val="28"/>
              </w:rPr>
            </w:pPr>
          </w:p>
        </w:tc>
      </w:tr>
      <w:tr w:rsidR="00BC040C" w:rsidRPr="00EB5746" w14:paraId="0714F81E" w14:textId="77777777" w:rsidTr="00BC040C">
        <w:trPr>
          <w:trHeight w:val="355"/>
          <w:jc w:val="center"/>
        </w:trPr>
        <w:tc>
          <w:tcPr>
            <w:tcW w:w="923" w:type="dxa"/>
            <w:tcBorders>
              <w:top w:val="nil"/>
              <w:left w:val="nil"/>
              <w:bottom w:val="nil"/>
              <w:right w:val="nil"/>
            </w:tcBorders>
            <w:shd w:val="clear" w:color="auto" w:fill="auto"/>
          </w:tcPr>
          <w:p w14:paraId="6838F797" w14:textId="77777777" w:rsidR="00BC040C" w:rsidRPr="00EB5746" w:rsidRDefault="00BC040C" w:rsidP="00BC040C">
            <w:pPr>
              <w:jc w:val="both"/>
              <w:rPr>
                <w:rFonts w:ascii="David" w:hAnsi="David"/>
                <w:b/>
                <w:bCs/>
                <w:sz w:val="28"/>
                <w:szCs w:val="28"/>
              </w:rPr>
            </w:pPr>
            <w:bookmarkStart w:id="1" w:name="FirstAppellant"/>
            <w:bookmarkStart w:id="2" w:name="FirstLawyer"/>
            <w:r w:rsidRPr="00EB5746">
              <w:rPr>
                <w:rFonts w:ascii="David" w:hAnsi="David"/>
                <w:b/>
                <w:bCs/>
                <w:sz w:val="28"/>
                <w:szCs w:val="28"/>
                <w:rtl/>
              </w:rPr>
              <w:t>בעניין:</w:t>
            </w:r>
          </w:p>
        </w:tc>
        <w:tc>
          <w:tcPr>
            <w:tcW w:w="4126" w:type="dxa"/>
            <w:tcBorders>
              <w:top w:val="nil"/>
              <w:left w:val="nil"/>
              <w:bottom w:val="nil"/>
              <w:right w:val="nil"/>
            </w:tcBorders>
            <w:shd w:val="clear" w:color="auto" w:fill="auto"/>
          </w:tcPr>
          <w:p w14:paraId="6C7F534A" w14:textId="77777777" w:rsidR="00BC040C" w:rsidRPr="00EB5746" w:rsidRDefault="00BC040C" w:rsidP="00C11E09">
            <w:pPr>
              <w:rPr>
                <w:rFonts w:ascii="David" w:hAnsi="David"/>
                <w:b/>
                <w:bCs/>
                <w:sz w:val="28"/>
                <w:szCs w:val="28"/>
                <w:rtl/>
              </w:rPr>
            </w:pPr>
            <w:r w:rsidRPr="00EB5746">
              <w:rPr>
                <w:rFonts w:ascii="David" w:hAnsi="David"/>
                <w:b/>
                <w:bCs/>
                <w:sz w:val="28"/>
                <w:szCs w:val="28"/>
                <w:rtl/>
              </w:rPr>
              <w:t>מדינת ישראל</w:t>
            </w:r>
          </w:p>
          <w:p w14:paraId="6BAB2C40" w14:textId="77777777" w:rsidR="00BC040C" w:rsidRPr="00EB5746" w:rsidRDefault="00BC040C" w:rsidP="00C11E09">
            <w:pPr>
              <w:rPr>
                <w:rFonts w:ascii="David" w:hAnsi="David"/>
                <w:b/>
                <w:bCs/>
                <w:sz w:val="28"/>
                <w:szCs w:val="28"/>
              </w:rPr>
            </w:pPr>
            <w:r w:rsidRPr="00EB5746">
              <w:rPr>
                <w:rFonts w:ascii="David" w:hAnsi="David" w:hint="cs"/>
                <w:b/>
                <w:bCs/>
                <w:sz w:val="28"/>
                <w:szCs w:val="28"/>
                <w:rtl/>
              </w:rPr>
              <w:t xml:space="preserve">באמצעות ב"כ עוה"ד הילה מלול </w:t>
            </w:r>
          </w:p>
        </w:tc>
        <w:tc>
          <w:tcPr>
            <w:tcW w:w="3771" w:type="dxa"/>
            <w:tcBorders>
              <w:top w:val="nil"/>
              <w:left w:val="nil"/>
              <w:bottom w:val="nil"/>
              <w:right w:val="nil"/>
            </w:tcBorders>
            <w:shd w:val="clear" w:color="auto" w:fill="auto"/>
          </w:tcPr>
          <w:p w14:paraId="20CD8285" w14:textId="77777777" w:rsidR="00BC040C" w:rsidRPr="00EB5746" w:rsidRDefault="00BC040C" w:rsidP="00BC040C">
            <w:pPr>
              <w:jc w:val="both"/>
              <w:rPr>
                <w:rFonts w:ascii="David" w:hAnsi="David"/>
                <w:sz w:val="28"/>
                <w:szCs w:val="28"/>
              </w:rPr>
            </w:pPr>
          </w:p>
        </w:tc>
      </w:tr>
      <w:bookmarkEnd w:id="1"/>
      <w:bookmarkEnd w:id="2"/>
      <w:tr w:rsidR="00BC040C" w:rsidRPr="00EB5746" w14:paraId="7D286DE8" w14:textId="77777777" w:rsidTr="00BC040C">
        <w:trPr>
          <w:trHeight w:val="355"/>
          <w:jc w:val="center"/>
        </w:trPr>
        <w:tc>
          <w:tcPr>
            <w:tcW w:w="923" w:type="dxa"/>
            <w:tcBorders>
              <w:top w:val="nil"/>
              <w:left w:val="nil"/>
              <w:bottom w:val="nil"/>
              <w:right w:val="nil"/>
            </w:tcBorders>
            <w:shd w:val="clear" w:color="auto" w:fill="auto"/>
          </w:tcPr>
          <w:p w14:paraId="4A7F5B88" w14:textId="77777777" w:rsidR="00BC040C" w:rsidRPr="00EB5746" w:rsidRDefault="00BC040C" w:rsidP="00BC040C">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2E758EF" w14:textId="77777777" w:rsidR="00BC040C" w:rsidRPr="00EB5746" w:rsidRDefault="00BC040C" w:rsidP="00BC040C">
            <w:pPr>
              <w:jc w:val="both"/>
              <w:rPr>
                <w:rFonts w:ascii="David" w:hAnsi="David"/>
                <w:sz w:val="28"/>
                <w:szCs w:val="28"/>
                <w:rtl/>
              </w:rPr>
            </w:pPr>
          </w:p>
        </w:tc>
        <w:tc>
          <w:tcPr>
            <w:tcW w:w="3771" w:type="dxa"/>
            <w:tcBorders>
              <w:top w:val="nil"/>
              <w:left w:val="nil"/>
              <w:bottom w:val="nil"/>
              <w:right w:val="nil"/>
            </w:tcBorders>
            <w:shd w:val="clear" w:color="auto" w:fill="auto"/>
          </w:tcPr>
          <w:p w14:paraId="504B8B36" w14:textId="77777777" w:rsidR="00BC040C" w:rsidRPr="00EB5746" w:rsidRDefault="00BC040C" w:rsidP="00BC040C">
            <w:pPr>
              <w:jc w:val="right"/>
              <w:rPr>
                <w:rFonts w:ascii="David" w:hAnsi="David"/>
                <w:b/>
                <w:bCs/>
                <w:sz w:val="28"/>
                <w:szCs w:val="28"/>
                <w:rtl/>
              </w:rPr>
            </w:pPr>
            <w:r w:rsidRPr="00EB5746">
              <w:rPr>
                <w:rFonts w:ascii="David" w:hAnsi="David"/>
                <w:b/>
                <w:bCs/>
                <w:sz w:val="28"/>
                <w:szCs w:val="28"/>
                <w:rtl/>
              </w:rPr>
              <w:t>המאשימה</w:t>
            </w:r>
          </w:p>
        </w:tc>
      </w:tr>
      <w:tr w:rsidR="00BC040C" w:rsidRPr="00EB5746" w14:paraId="75532600" w14:textId="77777777" w:rsidTr="00BC040C">
        <w:trPr>
          <w:trHeight w:val="355"/>
          <w:jc w:val="center"/>
        </w:trPr>
        <w:tc>
          <w:tcPr>
            <w:tcW w:w="923" w:type="dxa"/>
            <w:tcBorders>
              <w:top w:val="nil"/>
              <w:left w:val="nil"/>
              <w:bottom w:val="nil"/>
              <w:right w:val="nil"/>
            </w:tcBorders>
            <w:shd w:val="clear" w:color="auto" w:fill="auto"/>
          </w:tcPr>
          <w:p w14:paraId="130D4E93" w14:textId="77777777" w:rsidR="00BC040C" w:rsidRPr="00EB5746" w:rsidRDefault="00BC040C" w:rsidP="00BC040C">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008C2975" w14:textId="77777777" w:rsidR="00BC040C" w:rsidRPr="00EB5746" w:rsidRDefault="00BC040C" w:rsidP="00BC040C">
            <w:pPr>
              <w:jc w:val="center"/>
              <w:rPr>
                <w:rFonts w:ascii="David" w:hAnsi="David"/>
                <w:b/>
                <w:bCs/>
                <w:sz w:val="28"/>
                <w:szCs w:val="28"/>
                <w:rtl/>
              </w:rPr>
            </w:pPr>
          </w:p>
          <w:p w14:paraId="1C1F2EFE" w14:textId="77777777" w:rsidR="00BC040C" w:rsidRPr="00EB5746" w:rsidRDefault="00BC040C" w:rsidP="00BC040C">
            <w:pPr>
              <w:jc w:val="center"/>
              <w:rPr>
                <w:rFonts w:ascii="David" w:hAnsi="David"/>
                <w:b/>
                <w:bCs/>
                <w:sz w:val="28"/>
                <w:szCs w:val="28"/>
                <w:rtl/>
              </w:rPr>
            </w:pPr>
            <w:r w:rsidRPr="00EB5746">
              <w:rPr>
                <w:rFonts w:ascii="David" w:hAnsi="David"/>
                <w:b/>
                <w:bCs/>
                <w:sz w:val="28"/>
                <w:szCs w:val="28"/>
                <w:rtl/>
              </w:rPr>
              <w:t>נגד</w:t>
            </w:r>
          </w:p>
          <w:p w14:paraId="735A96AB" w14:textId="77777777" w:rsidR="00BC040C" w:rsidRPr="00EB5746" w:rsidRDefault="00BC040C" w:rsidP="00BC040C">
            <w:pPr>
              <w:jc w:val="both"/>
              <w:rPr>
                <w:rFonts w:ascii="David" w:hAnsi="David"/>
                <w:sz w:val="28"/>
                <w:szCs w:val="28"/>
              </w:rPr>
            </w:pPr>
          </w:p>
        </w:tc>
      </w:tr>
      <w:tr w:rsidR="00BC040C" w:rsidRPr="00EB5746" w14:paraId="6D9642C5" w14:textId="77777777" w:rsidTr="00BC040C">
        <w:trPr>
          <w:trHeight w:val="355"/>
          <w:jc w:val="center"/>
        </w:trPr>
        <w:tc>
          <w:tcPr>
            <w:tcW w:w="923" w:type="dxa"/>
            <w:tcBorders>
              <w:top w:val="nil"/>
              <w:left w:val="nil"/>
              <w:bottom w:val="nil"/>
              <w:right w:val="nil"/>
            </w:tcBorders>
            <w:shd w:val="clear" w:color="auto" w:fill="auto"/>
          </w:tcPr>
          <w:p w14:paraId="11E5CA9C" w14:textId="77777777" w:rsidR="00BC040C" w:rsidRPr="00EB5746" w:rsidRDefault="00BC040C" w:rsidP="00C11E09">
            <w:pPr>
              <w:rPr>
                <w:rFonts w:ascii="Arial" w:hAnsi="Arial" w:cs="FrankRuehl"/>
                <w:sz w:val="28"/>
                <w:szCs w:val="28"/>
                <w:rtl/>
              </w:rPr>
            </w:pPr>
          </w:p>
        </w:tc>
        <w:tc>
          <w:tcPr>
            <w:tcW w:w="4126" w:type="dxa"/>
            <w:tcBorders>
              <w:top w:val="nil"/>
              <w:left w:val="nil"/>
              <w:bottom w:val="nil"/>
              <w:right w:val="nil"/>
            </w:tcBorders>
            <w:shd w:val="clear" w:color="auto" w:fill="auto"/>
          </w:tcPr>
          <w:p w14:paraId="379A78D9" w14:textId="77777777" w:rsidR="00BC040C" w:rsidRPr="00EB5746" w:rsidRDefault="00BC040C" w:rsidP="00C11E09">
            <w:pPr>
              <w:rPr>
                <w:rFonts w:ascii="David" w:hAnsi="David"/>
                <w:sz w:val="28"/>
                <w:szCs w:val="28"/>
                <w:rtl/>
              </w:rPr>
            </w:pPr>
            <w:r w:rsidRPr="00EB5746">
              <w:rPr>
                <w:rFonts w:ascii="David" w:hAnsi="David"/>
                <w:b/>
                <w:bCs/>
                <w:sz w:val="28"/>
                <w:szCs w:val="28"/>
                <w:rtl/>
              </w:rPr>
              <w:t>אדגר בייקמן</w:t>
            </w:r>
            <w:r w:rsidRPr="00EB5746">
              <w:rPr>
                <w:rFonts w:ascii="David" w:hAnsi="David"/>
                <w:b/>
                <w:bCs/>
                <w:sz w:val="28"/>
                <w:szCs w:val="28"/>
                <w:rtl/>
              </w:rPr>
              <w:br/>
              <w:t>באמצעות ב"כ עו</w:t>
            </w:r>
            <w:r w:rsidRPr="00EB5746">
              <w:rPr>
                <w:rFonts w:ascii="David" w:hAnsi="David" w:hint="cs"/>
                <w:b/>
                <w:bCs/>
                <w:sz w:val="28"/>
                <w:szCs w:val="28"/>
                <w:rtl/>
              </w:rPr>
              <w:t>ה</w:t>
            </w:r>
            <w:r w:rsidRPr="00EB5746">
              <w:rPr>
                <w:rFonts w:ascii="David" w:hAnsi="David"/>
                <w:b/>
                <w:bCs/>
                <w:sz w:val="28"/>
                <w:szCs w:val="28"/>
                <w:rtl/>
              </w:rPr>
              <w:t>"ד פרג'ון</w:t>
            </w:r>
          </w:p>
        </w:tc>
        <w:tc>
          <w:tcPr>
            <w:tcW w:w="3771" w:type="dxa"/>
            <w:tcBorders>
              <w:top w:val="nil"/>
              <w:left w:val="nil"/>
              <w:bottom w:val="nil"/>
              <w:right w:val="nil"/>
            </w:tcBorders>
            <w:shd w:val="clear" w:color="auto" w:fill="auto"/>
          </w:tcPr>
          <w:p w14:paraId="3C1ADCD2" w14:textId="77777777" w:rsidR="00BC040C" w:rsidRPr="00EB5746" w:rsidRDefault="00BC040C" w:rsidP="00BC040C">
            <w:pPr>
              <w:jc w:val="right"/>
              <w:rPr>
                <w:rFonts w:ascii="David" w:hAnsi="David"/>
                <w:sz w:val="28"/>
                <w:szCs w:val="28"/>
              </w:rPr>
            </w:pPr>
          </w:p>
        </w:tc>
      </w:tr>
      <w:tr w:rsidR="00BC040C" w:rsidRPr="00EB5746" w14:paraId="12907785" w14:textId="77777777" w:rsidTr="00BC040C">
        <w:trPr>
          <w:trHeight w:val="355"/>
          <w:jc w:val="center"/>
        </w:trPr>
        <w:tc>
          <w:tcPr>
            <w:tcW w:w="923" w:type="dxa"/>
            <w:tcBorders>
              <w:top w:val="nil"/>
              <w:left w:val="nil"/>
              <w:bottom w:val="nil"/>
              <w:right w:val="nil"/>
            </w:tcBorders>
            <w:shd w:val="clear" w:color="auto" w:fill="auto"/>
          </w:tcPr>
          <w:p w14:paraId="388C81A5" w14:textId="77777777" w:rsidR="00BC040C" w:rsidRPr="00EB5746" w:rsidRDefault="00BC040C" w:rsidP="00BC040C">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1565702" w14:textId="77777777" w:rsidR="00BC040C" w:rsidRPr="00EB5746" w:rsidRDefault="00BC040C" w:rsidP="00BC040C">
            <w:pPr>
              <w:jc w:val="both"/>
              <w:rPr>
                <w:rFonts w:ascii="David" w:hAnsi="David"/>
                <w:sz w:val="28"/>
                <w:szCs w:val="28"/>
                <w:rtl/>
              </w:rPr>
            </w:pPr>
          </w:p>
        </w:tc>
        <w:tc>
          <w:tcPr>
            <w:tcW w:w="3771" w:type="dxa"/>
            <w:tcBorders>
              <w:top w:val="nil"/>
              <w:left w:val="nil"/>
              <w:bottom w:val="nil"/>
              <w:right w:val="nil"/>
            </w:tcBorders>
            <w:shd w:val="clear" w:color="auto" w:fill="auto"/>
          </w:tcPr>
          <w:p w14:paraId="6854A6D0" w14:textId="77777777" w:rsidR="00BC040C" w:rsidRPr="00EB5746" w:rsidRDefault="00BC040C" w:rsidP="00BC040C">
            <w:pPr>
              <w:jc w:val="right"/>
              <w:rPr>
                <w:rFonts w:ascii="David" w:hAnsi="David"/>
                <w:b/>
                <w:bCs/>
                <w:sz w:val="28"/>
                <w:szCs w:val="28"/>
              </w:rPr>
            </w:pPr>
            <w:r w:rsidRPr="00EB5746">
              <w:rPr>
                <w:rFonts w:ascii="David" w:hAnsi="David"/>
                <w:b/>
                <w:bCs/>
                <w:sz w:val="28"/>
                <w:szCs w:val="28"/>
                <w:rtl/>
              </w:rPr>
              <w:t>הנאשם</w:t>
            </w:r>
          </w:p>
        </w:tc>
      </w:tr>
    </w:tbl>
    <w:p w14:paraId="4B45F538" w14:textId="77777777" w:rsidR="00536288" w:rsidRDefault="00536288" w:rsidP="00EB5746">
      <w:pPr>
        <w:rPr>
          <w:rtl/>
        </w:rPr>
      </w:pPr>
    </w:p>
    <w:p w14:paraId="55DD3F42" w14:textId="77777777" w:rsidR="00536288" w:rsidRPr="00536288" w:rsidRDefault="00536288" w:rsidP="00536288">
      <w:pPr>
        <w:spacing w:after="120" w:line="240" w:lineRule="exact"/>
        <w:ind w:left="283" w:hanging="283"/>
        <w:jc w:val="both"/>
        <w:rPr>
          <w:rFonts w:ascii="FrankRuehl" w:hAnsi="FrankRuehl" w:cs="FrankRuehl"/>
          <w:rtl/>
        </w:rPr>
      </w:pPr>
    </w:p>
    <w:p w14:paraId="23D09F9E" w14:textId="77777777" w:rsidR="005F6F61" w:rsidRPr="005F6F61" w:rsidRDefault="005F6F61" w:rsidP="005F6F61">
      <w:pPr>
        <w:spacing w:before="120" w:after="120" w:line="240" w:lineRule="exact"/>
        <w:ind w:left="283" w:hanging="283"/>
        <w:jc w:val="both"/>
        <w:rPr>
          <w:rFonts w:ascii="FrankRuehl" w:hAnsi="FrankRuehl" w:cs="FrankRuehl"/>
          <w:rtl/>
        </w:rPr>
      </w:pPr>
    </w:p>
    <w:p w14:paraId="158845AB" w14:textId="77777777" w:rsidR="005F6F61" w:rsidRPr="005F6F61" w:rsidRDefault="005F6F61" w:rsidP="005F6F61">
      <w:pPr>
        <w:spacing w:before="120" w:after="120" w:line="240" w:lineRule="exact"/>
        <w:ind w:left="283" w:hanging="283"/>
        <w:jc w:val="both"/>
        <w:rPr>
          <w:rFonts w:ascii="FrankRuehl" w:hAnsi="FrankRuehl" w:cs="FrankRuehl"/>
          <w:rtl/>
        </w:rPr>
      </w:pPr>
    </w:p>
    <w:p w14:paraId="27E57FB9" w14:textId="77777777" w:rsidR="00C1513B" w:rsidRDefault="00C1513B" w:rsidP="00C1513B">
      <w:pPr>
        <w:rPr>
          <w:rtl/>
        </w:rPr>
      </w:pPr>
      <w:bookmarkStart w:id="3" w:name="LawTable"/>
      <w:bookmarkEnd w:id="3"/>
    </w:p>
    <w:p w14:paraId="2A61A471" w14:textId="77777777" w:rsidR="00C1513B" w:rsidRPr="00C1513B" w:rsidRDefault="00C1513B" w:rsidP="00C1513B">
      <w:pPr>
        <w:spacing w:before="120" w:after="120" w:line="240" w:lineRule="exact"/>
        <w:ind w:left="283" w:hanging="283"/>
        <w:jc w:val="both"/>
        <w:rPr>
          <w:rFonts w:ascii="FrankRuehl" w:hAnsi="FrankRuehl" w:cs="FrankRuehl"/>
          <w:rtl/>
        </w:rPr>
      </w:pPr>
    </w:p>
    <w:p w14:paraId="7EEE3A6B" w14:textId="77777777" w:rsidR="00C1513B" w:rsidRPr="00C1513B" w:rsidRDefault="00C1513B" w:rsidP="00C1513B">
      <w:pPr>
        <w:spacing w:before="120" w:after="120" w:line="240" w:lineRule="exact"/>
        <w:ind w:left="283" w:hanging="283"/>
        <w:jc w:val="both"/>
        <w:rPr>
          <w:rFonts w:ascii="FrankRuehl" w:hAnsi="FrankRuehl" w:cs="FrankRuehl"/>
          <w:rtl/>
        </w:rPr>
      </w:pPr>
    </w:p>
    <w:p w14:paraId="144423FE" w14:textId="77777777" w:rsidR="00C1513B" w:rsidRPr="00C1513B" w:rsidRDefault="00C1513B" w:rsidP="00C1513B">
      <w:pPr>
        <w:spacing w:before="120" w:after="120" w:line="240" w:lineRule="exact"/>
        <w:ind w:left="283" w:hanging="283"/>
        <w:jc w:val="both"/>
        <w:rPr>
          <w:rFonts w:ascii="FrankRuehl" w:hAnsi="FrankRuehl" w:cs="FrankRuehl"/>
          <w:rtl/>
        </w:rPr>
      </w:pPr>
      <w:r w:rsidRPr="00C1513B">
        <w:rPr>
          <w:rFonts w:ascii="FrankRuehl" w:hAnsi="FrankRuehl" w:cs="FrankRuehl"/>
          <w:rtl/>
        </w:rPr>
        <w:t xml:space="preserve">חקיקה שאוזכרה: </w:t>
      </w:r>
    </w:p>
    <w:p w14:paraId="15258A56" w14:textId="77777777" w:rsidR="00C1513B" w:rsidRPr="00C1513B" w:rsidRDefault="00C1513B" w:rsidP="00C1513B">
      <w:pPr>
        <w:spacing w:before="120" w:after="120" w:line="240" w:lineRule="exact"/>
        <w:ind w:left="283" w:hanging="283"/>
        <w:jc w:val="both"/>
        <w:rPr>
          <w:rFonts w:ascii="FrankRuehl" w:hAnsi="FrankRuehl" w:cs="FrankRuehl"/>
          <w:rtl/>
        </w:rPr>
      </w:pPr>
      <w:hyperlink r:id="rId9" w:history="1">
        <w:r w:rsidRPr="00C1513B">
          <w:rPr>
            <w:rFonts w:ascii="FrankRuehl" w:hAnsi="FrankRuehl" w:cs="FrankRuehl"/>
            <w:color w:val="0000FF"/>
            <w:rtl/>
          </w:rPr>
          <w:t>חוק העונשין, תשל"ז-1977</w:t>
        </w:r>
      </w:hyperlink>
      <w:r w:rsidRPr="00C1513B">
        <w:rPr>
          <w:rFonts w:ascii="FrankRuehl" w:hAnsi="FrankRuehl" w:cs="FrankRuehl"/>
          <w:rtl/>
        </w:rPr>
        <w:t xml:space="preserve">: סע'  </w:t>
      </w:r>
      <w:hyperlink r:id="rId10" w:history="1">
        <w:r w:rsidRPr="00C1513B">
          <w:rPr>
            <w:rFonts w:ascii="FrankRuehl" w:hAnsi="FrankRuehl" w:cs="FrankRuehl"/>
            <w:color w:val="0000FF"/>
            <w:rtl/>
          </w:rPr>
          <w:t>56</w:t>
        </w:r>
      </w:hyperlink>
      <w:r w:rsidRPr="00C1513B">
        <w:rPr>
          <w:rFonts w:ascii="FrankRuehl" w:hAnsi="FrankRuehl" w:cs="FrankRuehl"/>
          <w:rtl/>
        </w:rPr>
        <w:t xml:space="preserve">, </w:t>
      </w:r>
      <w:hyperlink r:id="rId11" w:history="1">
        <w:r w:rsidRPr="00C1513B">
          <w:rPr>
            <w:rFonts w:ascii="FrankRuehl" w:hAnsi="FrankRuehl" w:cs="FrankRuehl"/>
            <w:color w:val="0000FF"/>
            <w:rtl/>
          </w:rPr>
          <w:t>186</w:t>
        </w:r>
      </w:hyperlink>
      <w:r w:rsidRPr="00C1513B">
        <w:rPr>
          <w:rFonts w:ascii="FrankRuehl" w:hAnsi="FrankRuehl" w:cs="FrankRuehl"/>
          <w:rtl/>
        </w:rPr>
        <w:t xml:space="preserve">, </w:t>
      </w:r>
      <w:hyperlink r:id="rId12" w:history="1">
        <w:r w:rsidRPr="00C1513B">
          <w:rPr>
            <w:rFonts w:ascii="FrankRuehl" w:hAnsi="FrankRuehl" w:cs="FrankRuehl"/>
            <w:color w:val="0000FF"/>
            <w:rtl/>
          </w:rPr>
          <w:t>186(א)</w:t>
        </w:r>
      </w:hyperlink>
      <w:r w:rsidRPr="00C1513B">
        <w:rPr>
          <w:rFonts w:ascii="FrankRuehl" w:hAnsi="FrankRuehl" w:cs="FrankRuehl"/>
          <w:rtl/>
        </w:rPr>
        <w:t xml:space="preserve">, </w:t>
      </w:r>
      <w:hyperlink r:id="rId13" w:history="1">
        <w:r w:rsidRPr="00C1513B">
          <w:rPr>
            <w:rFonts w:ascii="FrankRuehl" w:hAnsi="FrankRuehl" w:cs="FrankRuehl"/>
            <w:color w:val="0000FF"/>
            <w:rtl/>
          </w:rPr>
          <w:t>40יא</w:t>
        </w:r>
      </w:hyperlink>
      <w:r w:rsidRPr="00C1513B">
        <w:rPr>
          <w:rFonts w:ascii="FrankRuehl" w:hAnsi="FrankRuehl" w:cs="FrankRuehl"/>
          <w:rtl/>
        </w:rPr>
        <w:t xml:space="preserve">, </w:t>
      </w:r>
      <w:hyperlink r:id="rId14" w:history="1">
        <w:r w:rsidRPr="00C1513B">
          <w:rPr>
            <w:rFonts w:ascii="FrankRuehl" w:hAnsi="FrankRuehl" w:cs="FrankRuehl"/>
            <w:color w:val="0000FF"/>
            <w:rtl/>
          </w:rPr>
          <w:t>40 יג</w:t>
        </w:r>
      </w:hyperlink>
    </w:p>
    <w:p w14:paraId="5C38CE85" w14:textId="77777777" w:rsidR="00C1513B" w:rsidRPr="00C1513B" w:rsidRDefault="00C1513B" w:rsidP="00C1513B">
      <w:pPr>
        <w:spacing w:before="120" w:after="120" w:line="240" w:lineRule="exact"/>
        <w:ind w:left="283" w:hanging="283"/>
        <w:jc w:val="both"/>
        <w:rPr>
          <w:rFonts w:ascii="FrankRuehl" w:hAnsi="FrankRuehl" w:cs="FrankRuehl"/>
          <w:rtl/>
        </w:rPr>
      </w:pPr>
      <w:hyperlink r:id="rId15" w:history="1">
        <w:r w:rsidRPr="00C1513B">
          <w:rPr>
            <w:rFonts w:ascii="FrankRuehl" w:hAnsi="FrankRuehl" w:cs="FrankRuehl"/>
            <w:color w:val="0000FF"/>
            <w:rtl/>
          </w:rPr>
          <w:t>פקודת הסמים המסוכנים [נוסח חדש], תשל"ג-1973</w:t>
        </w:r>
      </w:hyperlink>
      <w:r w:rsidRPr="00C1513B">
        <w:rPr>
          <w:rFonts w:ascii="FrankRuehl" w:hAnsi="FrankRuehl" w:cs="FrankRuehl"/>
          <w:rtl/>
        </w:rPr>
        <w:t xml:space="preserve">: סע'  </w:t>
      </w:r>
      <w:hyperlink r:id="rId16" w:history="1">
        <w:r w:rsidRPr="00C1513B">
          <w:rPr>
            <w:rFonts w:ascii="FrankRuehl" w:hAnsi="FrankRuehl" w:cs="FrankRuehl"/>
            <w:color w:val="0000FF"/>
            <w:rtl/>
          </w:rPr>
          <w:t>7.א.</w:t>
        </w:r>
      </w:hyperlink>
      <w:r w:rsidRPr="00C1513B">
        <w:rPr>
          <w:rFonts w:ascii="FrankRuehl" w:hAnsi="FrankRuehl" w:cs="FrankRuehl"/>
          <w:rtl/>
        </w:rPr>
        <w:t xml:space="preserve">, </w:t>
      </w:r>
      <w:hyperlink r:id="rId17" w:history="1">
        <w:r w:rsidRPr="00C1513B">
          <w:rPr>
            <w:rFonts w:ascii="FrankRuehl" w:hAnsi="FrankRuehl" w:cs="FrankRuehl"/>
            <w:color w:val="0000FF"/>
            <w:rtl/>
          </w:rPr>
          <w:t>7.ג</w:t>
        </w:r>
      </w:hyperlink>
    </w:p>
    <w:p w14:paraId="0A57B6E3" w14:textId="77777777" w:rsidR="00C1513B" w:rsidRPr="00C1513B" w:rsidRDefault="00C1513B" w:rsidP="00C1513B">
      <w:pPr>
        <w:rPr>
          <w:rtl/>
        </w:rPr>
      </w:pPr>
      <w:bookmarkStart w:id="4" w:name="LawTable_End"/>
      <w:bookmarkEnd w:id="4"/>
    </w:p>
    <w:p w14:paraId="620FCB86" w14:textId="77777777" w:rsidR="00BC040C" w:rsidRPr="005F6F61" w:rsidRDefault="00BC040C" w:rsidP="005F6F61"/>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C040C" w14:paraId="76D4251F" w14:textId="77777777" w:rsidTr="00BC040C">
        <w:trPr>
          <w:trHeight w:val="355"/>
          <w:jc w:val="center"/>
        </w:trPr>
        <w:tc>
          <w:tcPr>
            <w:tcW w:w="8820" w:type="dxa"/>
            <w:tcBorders>
              <w:top w:val="nil"/>
              <w:left w:val="nil"/>
              <w:bottom w:val="nil"/>
              <w:right w:val="nil"/>
            </w:tcBorders>
            <w:shd w:val="clear" w:color="auto" w:fill="auto"/>
          </w:tcPr>
          <w:p w14:paraId="12FFC234" w14:textId="77777777" w:rsidR="00EB5746" w:rsidRPr="00EB5746" w:rsidRDefault="00EB5746" w:rsidP="00EB5746">
            <w:pPr>
              <w:jc w:val="center"/>
              <w:rPr>
                <w:rFonts w:ascii="Arial" w:hAnsi="Arial" w:cs="FrankRuehl"/>
                <w:b/>
                <w:bCs/>
                <w:sz w:val="32"/>
                <w:szCs w:val="32"/>
                <w:u w:val="single"/>
                <w:rtl/>
              </w:rPr>
            </w:pPr>
            <w:bookmarkStart w:id="5" w:name="PsakDin" w:colFirst="0" w:colLast="0"/>
            <w:bookmarkEnd w:id="0"/>
            <w:r w:rsidRPr="00EB5746">
              <w:rPr>
                <w:rFonts w:ascii="Arial" w:hAnsi="Arial" w:cs="FrankRuehl"/>
                <w:b/>
                <w:bCs/>
                <w:sz w:val="32"/>
                <w:szCs w:val="32"/>
                <w:u w:val="single"/>
                <w:rtl/>
              </w:rPr>
              <w:t>גזר דין</w:t>
            </w:r>
          </w:p>
          <w:p w14:paraId="78C9F54B" w14:textId="77777777" w:rsidR="00BC040C" w:rsidRPr="00EB5746" w:rsidRDefault="00BC040C" w:rsidP="00EB5746">
            <w:pPr>
              <w:jc w:val="center"/>
              <w:rPr>
                <w:rFonts w:ascii="Arial" w:hAnsi="Arial" w:cs="FrankRuehl"/>
                <w:bCs/>
                <w:sz w:val="32"/>
                <w:szCs w:val="32"/>
                <w:u w:val="single"/>
                <w:rtl/>
              </w:rPr>
            </w:pPr>
          </w:p>
        </w:tc>
      </w:tr>
      <w:bookmarkEnd w:id="5"/>
    </w:tbl>
    <w:p w14:paraId="43A0FF3D" w14:textId="77777777" w:rsidR="00BC040C" w:rsidRPr="00B05847" w:rsidRDefault="00BC040C" w:rsidP="00BC040C">
      <w:pPr>
        <w:rPr>
          <w:rFonts w:ascii="Arial" w:hAnsi="Arial"/>
          <w:rtl/>
        </w:rPr>
      </w:pPr>
    </w:p>
    <w:p w14:paraId="126C8D12" w14:textId="77777777" w:rsidR="00BC040C" w:rsidRPr="00621959" w:rsidRDefault="00BC040C" w:rsidP="00BC040C">
      <w:pPr>
        <w:spacing w:line="360" w:lineRule="auto"/>
        <w:jc w:val="both"/>
        <w:rPr>
          <w:rFonts w:ascii="Calibri" w:hAnsi="Calibri"/>
        </w:rPr>
      </w:pPr>
      <w:bookmarkStart w:id="6" w:name="ABSTRACT_START"/>
      <w:bookmarkEnd w:id="6"/>
      <w:r w:rsidRPr="00621959">
        <w:rPr>
          <w:rFonts w:ascii="Calibri" w:hAnsi="Calibri"/>
          <w:b/>
          <w:bCs/>
          <w:rtl/>
        </w:rPr>
        <w:t xml:space="preserve">1. </w:t>
      </w:r>
      <w:r w:rsidRPr="00621959">
        <w:rPr>
          <w:rFonts w:ascii="Calibri" w:hAnsi="Calibri"/>
          <w:rtl/>
        </w:rPr>
        <w:t xml:space="preserve">הנאשם הורשע, בהתאם להודאתו בעובדות כתב האישום, בביצוע עבירת החזקת סכין </w:t>
      </w:r>
      <w:r w:rsidRPr="00621959">
        <w:rPr>
          <w:rFonts w:ascii="Arial" w:hAnsi="Arial"/>
          <w:rtl/>
        </w:rPr>
        <w:t xml:space="preserve">לפי </w:t>
      </w:r>
      <w:hyperlink r:id="rId18" w:history="1">
        <w:r w:rsidR="00536288" w:rsidRPr="00536288">
          <w:rPr>
            <w:rStyle w:val="Hyperlink"/>
            <w:rFonts w:ascii="Arial" w:hAnsi="Arial"/>
            <w:b/>
            <w:bCs/>
            <w:rtl/>
          </w:rPr>
          <w:t>סעיף 186(א)</w:t>
        </w:r>
      </w:hyperlink>
      <w:r w:rsidRPr="00621959">
        <w:rPr>
          <w:rFonts w:ascii="Arial" w:eastAsia="Calibri" w:hAnsi="Arial"/>
          <w:b/>
          <w:bCs/>
          <w:rtl/>
        </w:rPr>
        <w:t xml:space="preserve"> ל</w:t>
      </w:r>
      <w:hyperlink r:id="rId19" w:history="1">
        <w:r w:rsidR="00EB5746" w:rsidRPr="00EB5746">
          <w:rPr>
            <w:rFonts w:ascii="Arial" w:eastAsia="Calibri" w:hAnsi="Arial"/>
            <w:b/>
            <w:bCs/>
            <w:color w:val="0000FF"/>
            <w:u w:val="single"/>
            <w:rtl/>
          </w:rPr>
          <w:t>חוק העונשין</w:t>
        </w:r>
      </w:hyperlink>
      <w:r w:rsidRPr="00621959">
        <w:rPr>
          <w:rFonts w:ascii="Arial" w:eastAsia="Calibri" w:hAnsi="Arial"/>
          <w:b/>
          <w:bCs/>
          <w:rtl/>
        </w:rPr>
        <w:t>, תשל"ז-</w:t>
      </w:r>
      <w:r w:rsidRPr="00621959">
        <w:rPr>
          <w:rFonts w:ascii="Arial" w:hAnsi="Arial"/>
          <w:b/>
          <w:bCs/>
          <w:rtl/>
        </w:rPr>
        <w:t>1977 (להלן: "החוק")</w:t>
      </w:r>
      <w:r w:rsidRPr="00621959">
        <w:rPr>
          <w:rFonts w:ascii="Arial" w:hAnsi="Arial"/>
          <w:rtl/>
        </w:rPr>
        <w:t>.</w:t>
      </w:r>
    </w:p>
    <w:p w14:paraId="696CB112" w14:textId="77777777" w:rsidR="00BC040C" w:rsidRPr="00621959" w:rsidRDefault="00BC040C" w:rsidP="00BC040C">
      <w:pPr>
        <w:spacing w:line="360" w:lineRule="auto"/>
        <w:jc w:val="both"/>
        <w:rPr>
          <w:rFonts w:ascii="Calibri" w:hAnsi="Calibri"/>
          <w:rtl/>
        </w:rPr>
      </w:pPr>
    </w:p>
    <w:p w14:paraId="09D1EEF6" w14:textId="77777777" w:rsidR="00BC040C" w:rsidRPr="00621959" w:rsidRDefault="00BC040C" w:rsidP="00BC040C">
      <w:pPr>
        <w:spacing w:line="360" w:lineRule="auto"/>
        <w:jc w:val="both"/>
        <w:rPr>
          <w:rFonts w:ascii="Calibri" w:eastAsia="Calibri" w:hAnsi="Calibri"/>
          <w:rtl/>
        </w:rPr>
      </w:pPr>
      <w:r w:rsidRPr="00621959">
        <w:rPr>
          <w:rFonts w:ascii="Calibri" w:hAnsi="Calibri"/>
          <w:rtl/>
        </w:rPr>
        <w:t xml:space="preserve">מעובדות כתב האישום עולה כי ביום </w:t>
      </w:r>
      <w:r w:rsidRPr="00621959">
        <w:rPr>
          <w:rFonts w:ascii="Calibri" w:eastAsia="Calibri" w:hAnsi="Calibri"/>
          <w:rtl/>
        </w:rPr>
        <w:t>10</w:t>
      </w:r>
      <w:r w:rsidRPr="00621959">
        <w:rPr>
          <w:rFonts w:ascii="Calibri" w:hAnsi="Calibri"/>
          <w:rtl/>
        </w:rPr>
        <w:t>/</w:t>
      </w:r>
      <w:r w:rsidRPr="00621959">
        <w:rPr>
          <w:rFonts w:ascii="Calibri" w:eastAsia="Calibri" w:hAnsi="Calibri"/>
          <w:rtl/>
        </w:rPr>
        <w:t>12</w:t>
      </w:r>
      <w:r w:rsidRPr="00621959">
        <w:rPr>
          <w:rFonts w:ascii="Calibri" w:hAnsi="Calibri"/>
          <w:rtl/>
        </w:rPr>
        <w:t xml:space="preserve">/17 בסמוך לשעה </w:t>
      </w:r>
      <w:r w:rsidRPr="00621959">
        <w:rPr>
          <w:rFonts w:ascii="Calibri" w:eastAsia="Calibri" w:hAnsi="Calibri"/>
          <w:rtl/>
        </w:rPr>
        <w:t>10</w:t>
      </w:r>
      <w:r w:rsidRPr="00621959">
        <w:rPr>
          <w:rFonts w:ascii="Calibri" w:hAnsi="Calibri"/>
          <w:rtl/>
        </w:rPr>
        <w:t>:</w:t>
      </w:r>
      <w:r w:rsidRPr="00621959">
        <w:rPr>
          <w:rFonts w:ascii="Calibri" w:eastAsia="Calibri" w:hAnsi="Calibri"/>
          <w:rtl/>
        </w:rPr>
        <w:t>30</w:t>
      </w:r>
      <w:r w:rsidRPr="00621959">
        <w:rPr>
          <w:rFonts w:ascii="Calibri" w:hAnsi="Calibri"/>
          <w:rtl/>
        </w:rPr>
        <w:t>,</w:t>
      </w:r>
      <w:r w:rsidRPr="00621959">
        <w:rPr>
          <w:rFonts w:ascii="Calibri" w:eastAsia="Calibri" w:hAnsi="Calibri"/>
          <w:rtl/>
        </w:rPr>
        <w:t xml:space="preserve"> בעת ששהה באגף העצורים בבית משפט השלום באשקלון במסגרת היותו תחת משמורת חוקית של שירות בתי הסוהר, החזיק הנאשם סכין בכיסו הימני. </w:t>
      </w:r>
    </w:p>
    <w:p w14:paraId="55C90AAA" w14:textId="77777777" w:rsidR="00BC040C" w:rsidRPr="00621959" w:rsidRDefault="00BC040C" w:rsidP="00BC040C">
      <w:pPr>
        <w:spacing w:line="360" w:lineRule="auto"/>
        <w:jc w:val="both"/>
        <w:rPr>
          <w:rFonts w:ascii="Calibri" w:eastAsia="Calibri" w:hAnsi="Calibri"/>
        </w:rPr>
      </w:pPr>
    </w:p>
    <w:p w14:paraId="1CAAF78C" w14:textId="77777777" w:rsidR="00BC040C" w:rsidRPr="00621959" w:rsidRDefault="00BC040C" w:rsidP="00BC040C">
      <w:pPr>
        <w:spacing w:line="360" w:lineRule="auto"/>
        <w:jc w:val="both"/>
        <w:rPr>
          <w:rFonts w:ascii="David" w:hAnsi="David"/>
          <w:rtl/>
        </w:rPr>
      </w:pPr>
      <w:bookmarkStart w:id="7" w:name="ABSTRACT_END"/>
      <w:bookmarkEnd w:id="7"/>
      <w:r w:rsidRPr="00621959">
        <w:rPr>
          <w:rFonts w:ascii="Calibri" w:eastAsia="Calibri" w:hAnsi="Calibri"/>
          <w:b/>
          <w:bCs/>
          <w:rtl/>
        </w:rPr>
        <w:t>2</w:t>
      </w:r>
      <w:r w:rsidRPr="00621959">
        <w:rPr>
          <w:rFonts w:ascii="Calibri" w:hAnsi="Calibri"/>
          <w:b/>
          <w:bCs/>
          <w:rtl/>
        </w:rPr>
        <w:t>.</w:t>
      </w:r>
      <w:r w:rsidRPr="00621959">
        <w:rPr>
          <w:rFonts w:ascii="Calibri" w:hAnsi="Calibri"/>
          <w:rtl/>
        </w:rPr>
        <w:t xml:space="preserve"> </w:t>
      </w:r>
      <w:r w:rsidRPr="00621959">
        <w:rPr>
          <w:rFonts w:ascii="Calibri" w:eastAsia="Calibri" w:hAnsi="Calibri"/>
          <w:rtl/>
        </w:rPr>
        <w:t xml:space="preserve">לבקשת הנאשם צורף תיק נוסף, </w:t>
      </w:r>
      <w:r w:rsidRPr="00621959">
        <w:rPr>
          <w:rFonts w:ascii="Calibri" w:hAnsi="Calibri"/>
          <w:rtl/>
        </w:rPr>
        <w:t xml:space="preserve"> </w:t>
      </w:r>
      <w:hyperlink r:id="rId20" w:history="1">
        <w:r w:rsidR="00EB5746" w:rsidRPr="00EB5746">
          <w:rPr>
            <w:rFonts w:ascii="Calibri" w:eastAsia="Calibri" w:hAnsi="Calibri" w:hint="cs"/>
            <w:b/>
            <w:bCs/>
            <w:color w:val="0000FF"/>
            <w:u w:val="single"/>
            <w:rtl/>
          </w:rPr>
          <w:t>ת</w:t>
        </w:r>
        <w:r w:rsidR="00EB5746" w:rsidRPr="00EB5746">
          <w:rPr>
            <w:rFonts w:ascii="Calibri" w:eastAsia="Calibri" w:hAnsi="Calibri"/>
            <w:b/>
            <w:bCs/>
            <w:color w:val="0000FF"/>
            <w:u w:val="single"/>
            <w:rtl/>
          </w:rPr>
          <w:t>"</w:t>
        </w:r>
        <w:r w:rsidR="00EB5746" w:rsidRPr="00EB5746">
          <w:rPr>
            <w:rFonts w:ascii="Calibri" w:eastAsia="Calibri" w:hAnsi="Calibri" w:hint="cs"/>
            <w:b/>
            <w:bCs/>
            <w:color w:val="0000FF"/>
            <w:u w:val="single"/>
            <w:rtl/>
          </w:rPr>
          <w:t>פ</w:t>
        </w:r>
        <w:r w:rsidR="00EB5746" w:rsidRPr="00EB5746">
          <w:rPr>
            <w:rFonts w:ascii="Calibri" w:eastAsia="Calibri" w:hAnsi="Calibri"/>
            <w:b/>
            <w:bCs/>
            <w:color w:val="0000FF"/>
            <w:u w:val="single"/>
            <w:rtl/>
          </w:rPr>
          <w:t xml:space="preserve"> 32253-01-20</w:t>
        </w:r>
      </w:hyperlink>
      <w:r w:rsidRPr="00621959">
        <w:rPr>
          <w:rFonts w:ascii="Calibri" w:hAnsi="Calibri"/>
          <w:rtl/>
        </w:rPr>
        <w:t xml:space="preserve"> בו הודה</w:t>
      </w:r>
      <w:r w:rsidRPr="00621959">
        <w:rPr>
          <w:rFonts w:ascii="Calibri" w:eastAsia="Calibri" w:hAnsi="Calibri"/>
          <w:rtl/>
        </w:rPr>
        <w:t>,</w:t>
      </w:r>
      <w:r w:rsidRPr="00621959">
        <w:rPr>
          <w:rFonts w:ascii="Calibri" w:hAnsi="Calibri"/>
          <w:rtl/>
        </w:rPr>
        <w:t xml:space="preserve"> </w:t>
      </w:r>
      <w:r w:rsidRPr="00621959">
        <w:rPr>
          <w:rFonts w:ascii="David" w:hAnsi="David"/>
          <w:rtl/>
        </w:rPr>
        <w:t>במסגרת הסדר טיעון</w:t>
      </w:r>
      <w:r w:rsidRPr="00621959">
        <w:rPr>
          <w:rFonts w:ascii="David" w:eastAsia="Calibri" w:hAnsi="David"/>
          <w:rtl/>
        </w:rPr>
        <w:t>,</w:t>
      </w:r>
      <w:r w:rsidRPr="00621959">
        <w:rPr>
          <w:rFonts w:ascii="David" w:hAnsi="David"/>
          <w:rtl/>
        </w:rPr>
        <w:t xml:space="preserve"> בביצוע עבירת החזקת סם לצריכה עצמית, עבירה לפי </w:t>
      </w:r>
      <w:r w:rsidRPr="00621959">
        <w:rPr>
          <w:rFonts w:ascii="David" w:hAnsi="David"/>
          <w:b/>
          <w:bCs/>
          <w:rtl/>
        </w:rPr>
        <w:t xml:space="preserve">סעיפים </w:t>
      </w:r>
      <w:hyperlink r:id="rId21" w:history="1">
        <w:r w:rsidR="00536288" w:rsidRPr="00536288">
          <w:rPr>
            <w:rStyle w:val="Hyperlink"/>
            <w:rFonts w:ascii="David" w:hAnsi="David"/>
            <w:b/>
            <w:bCs/>
            <w:rtl/>
          </w:rPr>
          <w:t>7(א)+(ג)</w:t>
        </w:r>
      </w:hyperlink>
      <w:r w:rsidRPr="00621959">
        <w:rPr>
          <w:rFonts w:ascii="David" w:hAnsi="David"/>
          <w:b/>
          <w:bCs/>
          <w:rtl/>
        </w:rPr>
        <w:t xml:space="preserve"> סיפא ל</w:t>
      </w:r>
      <w:hyperlink r:id="rId22" w:history="1">
        <w:r w:rsidR="00EB5746" w:rsidRPr="00EB5746">
          <w:rPr>
            <w:rFonts w:ascii="David" w:eastAsia="Calibri" w:hAnsi="David"/>
            <w:b/>
            <w:bCs/>
            <w:color w:val="0000FF"/>
            <w:u w:val="single"/>
            <w:rtl/>
          </w:rPr>
          <w:t>פקודת הסמים המסוכנים</w:t>
        </w:r>
      </w:hyperlink>
      <w:r w:rsidRPr="00621959">
        <w:rPr>
          <w:rFonts w:ascii="David" w:eastAsia="Calibri" w:hAnsi="David"/>
          <w:b/>
          <w:bCs/>
          <w:rtl/>
        </w:rPr>
        <w:t xml:space="preserve"> [נוסח חדש] תשל"ג-</w:t>
      </w:r>
      <w:r w:rsidRPr="00621959">
        <w:rPr>
          <w:rFonts w:ascii="David" w:hAnsi="David"/>
          <w:b/>
          <w:bCs/>
          <w:rtl/>
        </w:rPr>
        <w:t xml:space="preserve">1973 </w:t>
      </w:r>
      <w:r w:rsidRPr="00621959">
        <w:rPr>
          <w:rFonts w:ascii="David" w:hAnsi="David"/>
          <w:rtl/>
        </w:rPr>
        <w:t xml:space="preserve">(להלן: </w:t>
      </w:r>
      <w:r w:rsidRPr="00621959">
        <w:rPr>
          <w:rFonts w:ascii="David" w:hAnsi="David"/>
          <w:b/>
          <w:bCs/>
          <w:rtl/>
        </w:rPr>
        <w:t>"פקודת הסמים"</w:t>
      </w:r>
      <w:r w:rsidRPr="00621959">
        <w:rPr>
          <w:rFonts w:ascii="David" w:hAnsi="David"/>
          <w:rtl/>
        </w:rPr>
        <w:t>)</w:t>
      </w:r>
      <w:r w:rsidRPr="00621959">
        <w:rPr>
          <w:rFonts w:ascii="David" w:eastAsia="Calibri" w:hAnsi="David"/>
          <w:rtl/>
        </w:rPr>
        <w:t>.</w:t>
      </w:r>
    </w:p>
    <w:p w14:paraId="65E77CE4" w14:textId="77777777" w:rsidR="00BC040C" w:rsidRPr="00621959" w:rsidRDefault="00BC040C" w:rsidP="00BC040C">
      <w:pPr>
        <w:spacing w:line="360" w:lineRule="auto"/>
        <w:jc w:val="both"/>
        <w:rPr>
          <w:rFonts w:ascii="Calibri" w:hAnsi="Calibri"/>
          <w:b/>
          <w:bCs/>
          <w:rtl/>
        </w:rPr>
      </w:pPr>
    </w:p>
    <w:p w14:paraId="7CAF1828" w14:textId="77777777" w:rsidR="00BC040C" w:rsidRPr="00621959" w:rsidRDefault="00BC040C" w:rsidP="00BC040C">
      <w:pPr>
        <w:spacing w:line="360" w:lineRule="auto"/>
        <w:jc w:val="both"/>
        <w:rPr>
          <w:rFonts w:ascii="Arial" w:hAnsi="Arial"/>
          <w:b/>
          <w:bCs/>
          <w:u w:val="single"/>
          <w:rtl/>
        </w:rPr>
      </w:pPr>
      <w:r w:rsidRPr="00621959">
        <w:rPr>
          <w:rFonts w:ascii="Arial" w:hAnsi="Arial"/>
          <w:rtl/>
        </w:rPr>
        <w:t xml:space="preserve">מכתב האישום המתוקן עולה כי ביום 04/06/19 בסמוך לשעה 15:58, החזיק הנאשם בחדר ביחידת דיור בה התגורר, ברחוב הרב הרצוג 12 באשדוד, 5 שקיות סגורות מפלסטיק אשר הכילו סמים מסוכנים מסוג </w:t>
      </w:r>
      <w:r w:rsidRPr="00621959">
        <w:rPr>
          <w:rFonts w:ascii="Arial" w:hAnsi="Arial"/>
        </w:rPr>
        <w:t>5F MDMB-PICA</w:t>
      </w:r>
      <w:r w:rsidRPr="00621959">
        <w:rPr>
          <w:rFonts w:ascii="Arial" w:hAnsi="Arial"/>
          <w:rtl/>
        </w:rPr>
        <w:t xml:space="preserve"> במשקל של 9 גרם נטו לצריכתו העצמית.</w:t>
      </w:r>
    </w:p>
    <w:p w14:paraId="643EB4DC" w14:textId="77777777" w:rsidR="00BC040C" w:rsidRPr="00621959" w:rsidRDefault="00BC040C" w:rsidP="00BC040C">
      <w:pPr>
        <w:spacing w:line="360" w:lineRule="auto"/>
        <w:jc w:val="both"/>
        <w:rPr>
          <w:rFonts w:ascii="David" w:hAnsi="David"/>
          <w:rtl/>
        </w:rPr>
      </w:pPr>
    </w:p>
    <w:p w14:paraId="54AD3F5A" w14:textId="77777777" w:rsidR="00BC040C" w:rsidRPr="00621959" w:rsidRDefault="00BC040C" w:rsidP="00BC040C">
      <w:pPr>
        <w:spacing w:line="360" w:lineRule="auto"/>
        <w:jc w:val="both"/>
        <w:rPr>
          <w:rFonts w:ascii="David" w:hAnsi="David"/>
          <w:b/>
          <w:bCs/>
          <w:u w:val="single"/>
          <w:rtl/>
        </w:rPr>
      </w:pPr>
      <w:r w:rsidRPr="00621959">
        <w:rPr>
          <w:rFonts w:ascii="David" w:hAnsi="David"/>
          <w:b/>
          <w:bCs/>
          <w:u w:val="single"/>
          <w:rtl/>
        </w:rPr>
        <w:t xml:space="preserve">הסדר הטיעון </w:t>
      </w:r>
    </w:p>
    <w:p w14:paraId="15643AF6" w14:textId="77777777" w:rsidR="00BC040C" w:rsidRPr="00621959" w:rsidRDefault="00BC040C" w:rsidP="00BC040C">
      <w:pPr>
        <w:spacing w:line="360" w:lineRule="auto"/>
        <w:jc w:val="both"/>
        <w:rPr>
          <w:rFonts w:ascii="David" w:hAnsi="David"/>
          <w:rtl/>
        </w:rPr>
      </w:pPr>
      <w:r w:rsidRPr="00621959">
        <w:rPr>
          <w:rFonts w:ascii="David" w:hAnsi="David"/>
          <w:b/>
          <w:bCs/>
          <w:rtl/>
        </w:rPr>
        <w:t>3</w:t>
      </w:r>
      <w:r w:rsidRPr="00621959">
        <w:rPr>
          <w:rFonts w:ascii="David" w:hAnsi="David"/>
          <w:rtl/>
        </w:rPr>
        <w:t xml:space="preserve">. ביום 08/01/20, במועד בו הודה הנאשם בעבירת החזקת הסכין בלבד, הסכימה ב"כ המאשימה להפניית הנאשם לקבלת תסקיר, אולם הבהירה כי עמדתה בגין ביצוע עבירה זו היא למאסר בפועל. בהמשך לאמור, ביום 06/08/20, לאחר צירוף </w:t>
      </w:r>
      <w:hyperlink r:id="rId23" w:history="1">
        <w:r w:rsidR="00EB5746" w:rsidRPr="00EB5746">
          <w:rPr>
            <w:rFonts w:ascii="David" w:hAnsi="David"/>
            <w:color w:val="0000FF"/>
            <w:u w:val="single"/>
            <w:rtl/>
          </w:rPr>
          <w:t>ת"פ 32253-01-20</w:t>
        </w:r>
      </w:hyperlink>
      <w:r w:rsidRPr="00621959">
        <w:rPr>
          <w:rFonts w:ascii="David" w:hAnsi="David"/>
          <w:rtl/>
        </w:rPr>
        <w:t xml:space="preserve">, הסכימו ב"כ הצדדים להפניית הנאשם לקבלת תסקיר שירות המבחן אף בהתייחס לתיק זה. </w:t>
      </w:r>
    </w:p>
    <w:p w14:paraId="4136ABFC" w14:textId="77777777" w:rsidR="00BC040C" w:rsidRPr="00621959" w:rsidRDefault="00BC040C" w:rsidP="00BC040C">
      <w:pPr>
        <w:spacing w:line="360" w:lineRule="auto"/>
        <w:jc w:val="both"/>
        <w:rPr>
          <w:rFonts w:ascii="David" w:hAnsi="David"/>
          <w:b/>
          <w:bCs/>
          <w:u w:val="single"/>
        </w:rPr>
      </w:pPr>
    </w:p>
    <w:p w14:paraId="6970BA5C" w14:textId="77777777" w:rsidR="00BC040C" w:rsidRPr="00621959" w:rsidRDefault="00BC040C" w:rsidP="00BC040C">
      <w:pPr>
        <w:spacing w:line="360" w:lineRule="auto"/>
        <w:jc w:val="both"/>
        <w:rPr>
          <w:rFonts w:ascii="David" w:hAnsi="David"/>
          <w:b/>
          <w:bCs/>
          <w:u w:val="single"/>
          <w:rtl/>
        </w:rPr>
      </w:pPr>
      <w:r w:rsidRPr="00621959">
        <w:rPr>
          <w:rFonts w:ascii="David" w:hAnsi="David"/>
          <w:b/>
          <w:bCs/>
          <w:u w:val="single"/>
          <w:rtl/>
        </w:rPr>
        <w:t xml:space="preserve">תסקירי שירות המבחן </w:t>
      </w:r>
    </w:p>
    <w:p w14:paraId="24AA5721" w14:textId="77777777" w:rsidR="00BC040C" w:rsidRPr="00621959" w:rsidRDefault="00BC040C" w:rsidP="00BC040C">
      <w:pPr>
        <w:spacing w:line="360" w:lineRule="auto"/>
        <w:jc w:val="both"/>
        <w:rPr>
          <w:rFonts w:ascii="David" w:hAnsi="David"/>
          <w:rtl/>
        </w:rPr>
      </w:pPr>
      <w:r w:rsidRPr="00621959">
        <w:rPr>
          <w:rFonts w:ascii="David" w:hAnsi="David"/>
          <w:b/>
          <w:bCs/>
          <w:rtl/>
        </w:rPr>
        <w:t>4</w:t>
      </w:r>
      <w:r w:rsidRPr="00621959">
        <w:rPr>
          <w:rFonts w:ascii="David" w:hAnsi="David"/>
          <w:rtl/>
        </w:rPr>
        <w:t>. מתסקיר שירות המבחן מיום 28/07/20 עלה כי הנאשם, רווק כבן 45 המצוי בזוגיות מזה 15 שנים, איננו עובד, מתקיים מהבטחת הכנסה ומתגורר בהוסטל לדרי רחוב באשדוד. הנאשם עלה בגיל 21 מברית המועצות, לאחר שסיים 8 שנות לימוד, עשה קורס טבחות ועבד כנהג מונית. לאחר עלייתו לארץ עבד במשך כ-3 שנים במפעל בקיבוץ.</w:t>
      </w:r>
    </w:p>
    <w:p w14:paraId="35DD628F" w14:textId="77777777" w:rsidR="00BC040C" w:rsidRPr="00621959" w:rsidRDefault="00BC040C" w:rsidP="00BC040C">
      <w:pPr>
        <w:spacing w:line="360" w:lineRule="auto"/>
        <w:jc w:val="both"/>
        <w:rPr>
          <w:rFonts w:ascii="David" w:hAnsi="David"/>
          <w:rtl/>
        </w:rPr>
      </w:pPr>
    </w:p>
    <w:p w14:paraId="091ACC10" w14:textId="77777777" w:rsidR="00BC040C" w:rsidRPr="00621959" w:rsidRDefault="00BC040C" w:rsidP="00BC040C">
      <w:pPr>
        <w:spacing w:line="360" w:lineRule="auto"/>
        <w:jc w:val="both"/>
        <w:rPr>
          <w:rFonts w:ascii="David" w:hAnsi="David"/>
          <w:rtl/>
        </w:rPr>
      </w:pPr>
      <w:r w:rsidRPr="00621959">
        <w:rPr>
          <w:rFonts w:ascii="David" w:hAnsi="David"/>
          <w:rtl/>
        </w:rPr>
        <w:t xml:space="preserve">בגיל 25 גויס הנאשם לצבא, אולם שוחרר לאחר ניסיון אובדני, ולאחר מספר חודשים נוספים בקיבוץ – הוחלט לסלקו עקב התנהגותו. לפני כ-12 שנים עבר הנאשם להתגורר באשדוד והחל לעבוד במפעל, אולם לאחר מכן גר במשך 8 שנים ברחוב, תוך ניהול אורח חיים התמכרותי ומנותק, עד שלפני כשנה עבר להתגורר בהוסטל לדרי רחוב וטען כי נגמל בכוחות עצמו מסמים ונמנע משימוש. </w:t>
      </w:r>
    </w:p>
    <w:p w14:paraId="6413398F" w14:textId="77777777" w:rsidR="00BC040C" w:rsidRPr="00621959" w:rsidRDefault="00BC040C" w:rsidP="00BC040C">
      <w:pPr>
        <w:spacing w:line="360" w:lineRule="auto"/>
        <w:jc w:val="both"/>
        <w:rPr>
          <w:rFonts w:ascii="David" w:hAnsi="David"/>
          <w:rtl/>
        </w:rPr>
      </w:pPr>
    </w:p>
    <w:p w14:paraId="5094022F" w14:textId="77777777" w:rsidR="00BC040C" w:rsidRPr="00621959" w:rsidRDefault="00BC040C" w:rsidP="00BC040C">
      <w:pPr>
        <w:spacing w:line="360" w:lineRule="auto"/>
        <w:jc w:val="both"/>
        <w:rPr>
          <w:rFonts w:ascii="David" w:hAnsi="David"/>
          <w:rtl/>
        </w:rPr>
      </w:pPr>
      <w:r w:rsidRPr="00621959">
        <w:rPr>
          <w:rFonts w:ascii="David" w:hAnsi="David"/>
          <w:rtl/>
        </w:rPr>
        <w:t xml:space="preserve">גורמי הטיפול בהוסטל דיווחו כי הנאשם משתף פעולה ונשמע לכללים, וכי חל שיפור במצבו מאז שולב בהוסטל. </w:t>
      </w:r>
    </w:p>
    <w:p w14:paraId="592499BE" w14:textId="77777777" w:rsidR="00BC040C" w:rsidRPr="00621959" w:rsidRDefault="00BC040C" w:rsidP="00BC040C">
      <w:pPr>
        <w:spacing w:line="360" w:lineRule="auto"/>
        <w:jc w:val="both"/>
        <w:rPr>
          <w:rFonts w:ascii="David" w:hAnsi="David"/>
          <w:rtl/>
        </w:rPr>
      </w:pPr>
    </w:p>
    <w:p w14:paraId="6C2AF19A" w14:textId="77777777" w:rsidR="00BC040C" w:rsidRPr="00621959" w:rsidRDefault="00BC040C" w:rsidP="00BC040C">
      <w:pPr>
        <w:spacing w:line="360" w:lineRule="auto"/>
        <w:jc w:val="both"/>
        <w:rPr>
          <w:rFonts w:ascii="David" w:hAnsi="David"/>
          <w:rtl/>
        </w:rPr>
      </w:pPr>
      <w:r w:rsidRPr="00621959">
        <w:rPr>
          <w:rFonts w:ascii="David" w:hAnsi="David"/>
          <w:rtl/>
        </w:rPr>
        <w:t xml:space="preserve">לנאשם עבר פלילי בתחום הסמים והרכוש </w:t>
      </w:r>
      <w:r>
        <w:rPr>
          <w:rFonts w:ascii="David" w:hAnsi="David"/>
          <w:rtl/>
        </w:rPr>
        <w:t>בגינ</w:t>
      </w:r>
      <w:r>
        <w:rPr>
          <w:rFonts w:ascii="David" w:hAnsi="David" w:hint="cs"/>
          <w:rtl/>
        </w:rPr>
        <w:t>ו</w:t>
      </w:r>
      <w:r w:rsidRPr="00621959">
        <w:rPr>
          <w:rFonts w:ascii="David" w:hAnsi="David"/>
          <w:rtl/>
        </w:rPr>
        <w:t xml:space="preserve"> ריצה 2 מאסרים בפועל. </w:t>
      </w:r>
    </w:p>
    <w:p w14:paraId="46838A25" w14:textId="77777777" w:rsidR="00BC040C" w:rsidRPr="00621959" w:rsidRDefault="00BC040C" w:rsidP="00BC040C">
      <w:pPr>
        <w:spacing w:line="360" w:lineRule="auto"/>
        <w:jc w:val="both"/>
        <w:rPr>
          <w:rFonts w:ascii="David" w:hAnsi="David"/>
          <w:rtl/>
        </w:rPr>
      </w:pPr>
    </w:p>
    <w:p w14:paraId="3F57882E" w14:textId="77777777" w:rsidR="00BC040C" w:rsidRPr="00621959" w:rsidRDefault="00BC040C" w:rsidP="00BC040C">
      <w:pPr>
        <w:spacing w:line="360" w:lineRule="auto"/>
        <w:jc w:val="both"/>
        <w:rPr>
          <w:rFonts w:ascii="David" w:hAnsi="David"/>
          <w:rtl/>
        </w:rPr>
      </w:pPr>
      <w:r w:rsidRPr="00621959">
        <w:rPr>
          <w:rFonts w:ascii="David" w:hAnsi="David"/>
          <w:rtl/>
        </w:rPr>
        <w:t xml:space="preserve">הנאשם הודה בביצוע עבירת החזקת הסכין, אולם טשטש נסיבותיה. לדבריו, הייתה לו בכיס סכין גילוח אשר נתנו לו הסוהרים והוא שכח זאת. </w:t>
      </w:r>
    </w:p>
    <w:p w14:paraId="1C102547" w14:textId="77777777" w:rsidR="00BC040C" w:rsidRPr="00621959" w:rsidRDefault="00BC040C" w:rsidP="00BC040C">
      <w:pPr>
        <w:spacing w:line="360" w:lineRule="auto"/>
        <w:jc w:val="both"/>
        <w:rPr>
          <w:rFonts w:ascii="David" w:hAnsi="David"/>
          <w:rtl/>
        </w:rPr>
      </w:pPr>
    </w:p>
    <w:p w14:paraId="3272E318" w14:textId="77777777" w:rsidR="00BC040C" w:rsidRPr="00621959" w:rsidRDefault="00BC040C" w:rsidP="00BC040C">
      <w:pPr>
        <w:spacing w:line="360" w:lineRule="auto"/>
        <w:jc w:val="both"/>
        <w:rPr>
          <w:rFonts w:ascii="David" w:hAnsi="David"/>
          <w:rtl/>
        </w:rPr>
      </w:pPr>
      <w:r w:rsidRPr="00621959">
        <w:rPr>
          <w:rFonts w:ascii="David" w:hAnsi="David"/>
          <w:rtl/>
        </w:rPr>
        <w:lastRenderedPageBreak/>
        <w:t xml:space="preserve">שירות המבחן ציין כי הנאשם שיתף פעולה ושיתף בקשייו, אולם גילה סגירות רגשית והתקשה לתת אמון. כמו כן, הנאשם לא התייצב לבדיקה לגילוי שרידי סם ולא יצר קשר, אולם בהמשך הביע נכונות למסור בדיקות. בדיקה שביצע ביום 05/08/20 העידה על שימוש בסמים מסוג קנאביס. </w:t>
      </w:r>
    </w:p>
    <w:p w14:paraId="7C7EE270" w14:textId="77777777" w:rsidR="00BC040C" w:rsidRPr="00621959" w:rsidRDefault="00BC040C" w:rsidP="00BC040C">
      <w:pPr>
        <w:spacing w:line="360" w:lineRule="auto"/>
        <w:jc w:val="both"/>
        <w:rPr>
          <w:rFonts w:ascii="David" w:hAnsi="David"/>
          <w:rtl/>
        </w:rPr>
      </w:pPr>
    </w:p>
    <w:p w14:paraId="2AC1D0E9" w14:textId="77777777" w:rsidR="00BC040C" w:rsidRPr="00621959" w:rsidRDefault="00BC040C" w:rsidP="00BC040C">
      <w:pPr>
        <w:spacing w:line="360" w:lineRule="auto"/>
        <w:jc w:val="both"/>
        <w:rPr>
          <w:rFonts w:ascii="David" w:hAnsi="David"/>
          <w:rtl/>
        </w:rPr>
      </w:pPr>
      <w:r w:rsidRPr="00621959">
        <w:rPr>
          <w:rFonts w:ascii="David" w:hAnsi="David"/>
          <w:rtl/>
        </w:rPr>
        <w:t>לאור הבעת הנכונות לשיתוף פעולה, ועל מנת להשלים הליך האבחון ובניית תכנית הטיפול, הומלץ על דחיית הדיון למשך 3 חודשים, ובשים לב אף לצירוף התיק הנוסף, נדחה מועד הדיון.</w:t>
      </w:r>
    </w:p>
    <w:p w14:paraId="6878359C" w14:textId="77777777" w:rsidR="00BC040C" w:rsidRPr="00621959" w:rsidRDefault="00BC040C" w:rsidP="00BC040C">
      <w:pPr>
        <w:spacing w:line="360" w:lineRule="auto"/>
        <w:jc w:val="both"/>
        <w:rPr>
          <w:rFonts w:ascii="David" w:hAnsi="David"/>
          <w:rtl/>
        </w:rPr>
      </w:pPr>
    </w:p>
    <w:p w14:paraId="66ADA000" w14:textId="77777777" w:rsidR="00BC040C" w:rsidRPr="00621959" w:rsidRDefault="00BC040C" w:rsidP="00BC040C">
      <w:pPr>
        <w:spacing w:line="360" w:lineRule="auto"/>
        <w:jc w:val="both"/>
        <w:rPr>
          <w:rFonts w:ascii="David" w:hAnsi="David"/>
          <w:rtl/>
        </w:rPr>
      </w:pPr>
      <w:r w:rsidRPr="00621959">
        <w:rPr>
          <w:rFonts w:ascii="David" w:hAnsi="David"/>
          <w:b/>
          <w:bCs/>
          <w:rtl/>
        </w:rPr>
        <w:t>5</w:t>
      </w:r>
      <w:r w:rsidRPr="00621959">
        <w:rPr>
          <w:rFonts w:ascii="David" w:hAnsi="David"/>
          <w:rtl/>
        </w:rPr>
        <w:t xml:space="preserve">. מהתסקיר המשלים אשר הוגש ביום 16/11/20 עלה כי הנאשם הופנה לתחנה לטיפול בנפגעי סמים, אולם התקבל לטיפול רק לאחרונה בשל הסגר אשר הוטל לאור התפשטות נגיף הקורונה, והספיק להתייצב אך לפגישה אחת. בשל הבעת נכונות ומוטיבציה להשתלב בטיפול, ועל מנת לבחון השתלבותו בטיפול - הומלץ לדחות מועד הדיון ב-3 חודשים נוספים. לאור האמור, ובהסכמת ב"כ הצדדים, נדחה מועד הדיון כמבוקש. </w:t>
      </w:r>
    </w:p>
    <w:p w14:paraId="2DE00348" w14:textId="77777777" w:rsidR="00BC040C" w:rsidRPr="00621959" w:rsidRDefault="00BC040C" w:rsidP="00BC040C">
      <w:pPr>
        <w:spacing w:line="360" w:lineRule="auto"/>
        <w:jc w:val="both"/>
        <w:rPr>
          <w:rFonts w:ascii="David" w:hAnsi="David"/>
          <w:rtl/>
        </w:rPr>
      </w:pPr>
    </w:p>
    <w:p w14:paraId="05EAAE7C" w14:textId="77777777" w:rsidR="00BC040C" w:rsidRPr="00621959" w:rsidRDefault="00BC040C" w:rsidP="00BC040C">
      <w:pPr>
        <w:spacing w:line="360" w:lineRule="auto"/>
        <w:jc w:val="both"/>
        <w:rPr>
          <w:rFonts w:ascii="David" w:hAnsi="David"/>
          <w:rtl/>
        </w:rPr>
      </w:pPr>
      <w:r w:rsidRPr="00621959">
        <w:rPr>
          <w:rFonts w:ascii="David" w:hAnsi="David"/>
          <w:rtl/>
        </w:rPr>
        <w:t>בהמשך, ביום 01/03/21 דווח כי ניסיון ליצור קשר עם הנאשם – לא צלח, וכי מהתחנה לטיפול בנפגעי סמים נמסר כי הנאשם הפסיק את הטיפול בתחנה. בתיווך ההוסטל נקבעה פגישה עם הנאשם ליום 07/03/21, ועל מנת להעריך מצבו מחדש, התבקשה דחייה נוספת של הדיון. בהיעדר התנגדות מצד ב"כ המאשימה – נדחה הדיון פעם נוספת.</w:t>
      </w:r>
    </w:p>
    <w:p w14:paraId="17348FE9" w14:textId="77777777" w:rsidR="00BC040C" w:rsidRPr="00621959" w:rsidRDefault="00BC040C" w:rsidP="00BC040C">
      <w:pPr>
        <w:spacing w:line="360" w:lineRule="auto"/>
        <w:jc w:val="both"/>
        <w:rPr>
          <w:rFonts w:ascii="David" w:hAnsi="David"/>
          <w:rtl/>
        </w:rPr>
      </w:pPr>
    </w:p>
    <w:p w14:paraId="56818E59" w14:textId="77777777" w:rsidR="00BC040C" w:rsidRPr="00621959" w:rsidRDefault="00BC040C" w:rsidP="00BC040C">
      <w:pPr>
        <w:spacing w:line="360" w:lineRule="auto"/>
        <w:jc w:val="both"/>
        <w:rPr>
          <w:rFonts w:ascii="David" w:hAnsi="David"/>
          <w:rtl/>
        </w:rPr>
      </w:pPr>
      <w:r w:rsidRPr="00621959">
        <w:rPr>
          <w:rFonts w:ascii="David" w:hAnsi="David"/>
          <w:b/>
          <w:bCs/>
          <w:rtl/>
        </w:rPr>
        <w:t>6</w:t>
      </w:r>
      <w:r w:rsidRPr="00621959">
        <w:rPr>
          <w:rFonts w:ascii="David" w:hAnsi="David"/>
          <w:rtl/>
        </w:rPr>
        <w:t xml:space="preserve">. מתסקיר שירות המבחן מיום 10/05/21 עלה כי לנאשם פגיעה משמעותית בזיכרון הנובעת, בין היתר, משימוש בסמים בעברו, אשר השפיעה על הליך האבחון ומסירת המידע מצדו. הנאשם מסר כי השתמש בסמים מסוג הרואין, גראס ונייס גאי. </w:t>
      </w:r>
    </w:p>
    <w:p w14:paraId="433EC8B8" w14:textId="77777777" w:rsidR="00BC040C" w:rsidRPr="00621959" w:rsidRDefault="00BC040C" w:rsidP="00BC040C">
      <w:pPr>
        <w:spacing w:line="360" w:lineRule="auto"/>
        <w:jc w:val="both"/>
        <w:rPr>
          <w:rFonts w:ascii="David" w:hAnsi="David"/>
          <w:rtl/>
        </w:rPr>
      </w:pPr>
      <w:r w:rsidRPr="00621959">
        <w:rPr>
          <w:rFonts w:ascii="David" w:hAnsi="David"/>
          <w:rtl/>
        </w:rPr>
        <w:t>מהמטפלת בהוסטל בו מתגורר הנאשם מזה שנה וחצי נמסר כי הנאשם הגיע למקום תחת השפעת סמים ובמצב בריאותי ונפשי ירוד, אך כי כיום חל שיפור במצבו והוא מקיים קשרים ומבין את כללי המקום. הנאשם לא השתלב בתקופה זו בעבודה, ואף לא פעל באופן אקטיבי לקידום מצבו המשפטי על אף שקיבל סיוע. כיום ישנה ירידה בתדירות בשימוש בסמים, אך עדיין קיימות מעידות. להתרשמותה, קיימת בעיית התמכרות לא מטופלת אשר מסכנת את יציבותו של הנאשם.</w:t>
      </w:r>
    </w:p>
    <w:p w14:paraId="5AA71342" w14:textId="77777777" w:rsidR="00BC040C" w:rsidRPr="00621959" w:rsidRDefault="00BC040C" w:rsidP="00BC040C">
      <w:pPr>
        <w:spacing w:line="360" w:lineRule="auto"/>
        <w:jc w:val="both"/>
        <w:rPr>
          <w:rFonts w:ascii="David" w:hAnsi="David"/>
          <w:rtl/>
        </w:rPr>
      </w:pPr>
    </w:p>
    <w:p w14:paraId="569AB1B4" w14:textId="77777777" w:rsidR="00BC040C" w:rsidRPr="00621959" w:rsidRDefault="00BC040C" w:rsidP="00BC040C">
      <w:pPr>
        <w:spacing w:line="360" w:lineRule="auto"/>
        <w:jc w:val="both"/>
        <w:rPr>
          <w:rFonts w:ascii="David" w:hAnsi="David"/>
          <w:rtl/>
        </w:rPr>
      </w:pPr>
      <w:r w:rsidRPr="00621959">
        <w:rPr>
          <w:rFonts w:ascii="David" w:hAnsi="David"/>
          <w:rtl/>
        </w:rPr>
        <w:t xml:space="preserve">הנאשם מסר כי לאחר שנים של שימוש בסמים האמורים, בשנה בה ריצה מאסר לא נמנע משימוש בסמים, אולם לאחר שחרורו – שב לעשות שימוש בסמים. לטענתו, הפסיק לעשות שימוש בסמים מסוג הרואין ונייס גאי, אולם לעיתים צורך סמים מסוג קנאביס עם בת זוגו, כפי שעלה מדגימת השתן אשר מסר. </w:t>
      </w:r>
    </w:p>
    <w:p w14:paraId="07A0215B" w14:textId="77777777" w:rsidR="00BC040C" w:rsidRPr="00621959" w:rsidRDefault="00BC040C" w:rsidP="00BC040C">
      <w:pPr>
        <w:spacing w:line="360" w:lineRule="auto"/>
        <w:jc w:val="both"/>
        <w:rPr>
          <w:rFonts w:ascii="David" w:hAnsi="David"/>
          <w:rtl/>
        </w:rPr>
      </w:pPr>
    </w:p>
    <w:p w14:paraId="252C672B" w14:textId="77777777" w:rsidR="00BC040C" w:rsidRPr="00621959" w:rsidRDefault="00BC040C" w:rsidP="00BC040C">
      <w:pPr>
        <w:spacing w:line="360" w:lineRule="auto"/>
        <w:jc w:val="both"/>
        <w:rPr>
          <w:rFonts w:ascii="David" w:hAnsi="David"/>
          <w:rtl/>
        </w:rPr>
      </w:pPr>
      <w:r w:rsidRPr="00621959">
        <w:rPr>
          <w:rFonts w:ascii="David" w:hAnsi="David"/>
          <w:rtl/>
        </w:rPr>
        <w:t xml:space="preserve">מהתחנה לטיפול בנפגעי סמים נמסר כי הנאשם התקשה להתחייב לתכנית טיפול ולהגיע ברציפות, ואף לא התייצב למסירת בדיקות לאיתור שרידי סם. הנאשם התייצב ל-3 מפגשים בלבד אשר תואמו עמו, ולאחר מכן ניתק קשר. </w:t>
      </w:r>
    </w:p>
    <w:p w14:paraId="337E9E8F" w14:textId="77777777" w:rsidR="00BC040C" w:rsidRPr="00621959" w:rsidRDefault="00BC040C" w:rsidP="00BC040C">
      <w:pPr>
        <w:spacing w:line="360" w:lineRule="auto"/>
        <w:jc w:val="both"/>
        <w:rPr>
          <w:rFonts w:ascii="David" w:hAnsi="David"/>
          <w:rtl/>
        </w:rPr>
      </w:pPr>
    </w:p>
    <w:p w14:paraId="1B95A7CC" w14:textId="77777777" w:rsidR="00BC040C" w:rsidRPr="00621959" w:rsidRDefault="00BC040C" w:rsidP="00BC040C">
      <w:pPr>
        <w:spacing w:line="360" w:lineRule="auto"/>
        <w:jc w:val="both"/>
        <w:rPr>
          <w:rFonts w:ascii="David" w:hAnsi="David"/>
          <w:rtl/>
        </w:rPr>
      </w:pPr>
      <w:r w:rsidRPr="00621959">
        <w:rPr>
          <w:rFonts w:ascii="David" w:hAnsi="David"/>
          <w:rtl/>
        </w:rPr>
        <w:t xml:space="preserve">בתאריכים 24/03/21 וה-07/04/21 מסר הנאשם בדיקות לאיתור שרידי סם אשר נמצאו נקיות משרידי סם. </w:t>
      </w:r>
    </w:p>
    <w:p w14:paraId="5752FA66" w14:textId="77777777" w:rsidR="00BC040C" w:rsidRPr="00621959" w:rsidRDefault="00BC040C" w:rsidP="00BC040C">
      <w:pPr>
        <w:spacing w:line="360" w:lineRule="auto"/>
        <w:jc w:val="both"/>
        <w:rPr>
          <w:rFonts w:ascii="David" w:hAnsi="David"/>
          <w:rtl/>
        </w:rPr>
      </w:pPr>
    </w:p>
    <w:p w14:paraId="255D0B39" w14:textId="77777777" w:rsidR="00BC040C" w:rsidRPr="00621959" w:rsidRDefault="00BC040C" w:rsidP="00BC040C">
      <w:pPr>
        <w:spacing w:line="360" w:lineRule="auto"/>
        <w:jc w:val="both"/>
        <w:rPr>
          <w:rFonts w:ascii="David" w:hAnsi="David"/>
          <w:rtl/>
        </w:rPr>
      </w:pPr>
      <w:r w:rsidRPr="00621959">
        <w:rPr>
          <w:rFonts w:ascii="David" w:hAnsi="David"/>
          <w:rtl/>
        </w:rPr>
        <w:t>בפגישה משותפת בנוכחות שירות המבחן, הנאשם, צוות ההוסטל והמטפל בתחנה לטיפול בנפגעי סמים טען הנאשם כי מעוניין בחיים טובים יותר וציין כי חובותיו מונעים ממנו להתקדם, אולם לא הצליח להסביר מדוע לא פועל לקידום קבלת סיוע משפטי כפי שהונחה לעשות. כמו כן, התקשה לקבל את קשייו בתחום הסמים והציג תמונה לפיה מצליח להימנע משימוש בכוחות עצמו, ולא ידע להסביר אירוע שהתרחש בחודש ינואר 2021 בו נעדר כשבוע מההוסטל וככל הנראה שהה ברחוב והשתמש בסמים.</w:t>
      </w:r>
    </w:p>
    <w:p w14:paraId="7D846052" w14:textId="77777777" w:rsidR="00BC040C" w:rsidRPr="00621959" w:rsidRDefault="00BC040C" w:rsidP="00BC040C">
      <w:pPr>
        <w:spacing w:line="360" w:lineRule="auto"/>
        <w:jc w:val="both"/>
        <w:rPr>
          <w:rFonts w:ascii="David" w:hAnsi="David"/>
          <w:rtl/>
        </w:rPr>
      </w:pPr>
    </w:p>
    <w:p w14:paraId="5A702917" w14:textId="77777777" w:rsidR="00BC040C" w:rsidRPr="00621959" w:rsidRDefault="00BC040C" w:rsidP="00BC040C">
      <w:pPr>
        <w:spacing w:line="360" w:lineRule="auto"/>
        <w:jc w:val="both"/>
        <w:rPr>
          <w:rFonts w:ascii="David" w:hAnsi="David"/>
          <w:rtl/>
        </w:rPr>
      </w:pPr>
      <w:r w:rsidRPr="00621959">
        <w:rPr>
          <w:rFonts w:ascii="David" w:hAnsi="David"/>
          <w:rtl/>
        </w:rPr>
        <w:t xml:space="preserve">לאור המפורט, שירות המבחן התרשם כי על אף שהנאשם מתגורר בהוסטל מזה שנה וחצי, הוא מתקשה לפעול באופן אקטיבי לקבלת עזרה לבעיותיו באופן שיקדם אותו, מתקשה להכיר בהתמכרותו לסמים לאורך השנים, לרבות השימוש החוזר לאחר שילובו בהוסטל. </w:t>
      </w:r>
    </w:p>
    <w:p w14:paraId="1BE54893" w14:textId="77777777" w:rsidR="00BC040C" w:rsidRPr="00621959" w:rsidRDefault="00BC040C" w:rsidP="00BC040C">
      <w:pPr>
        <w:spacing w:line="360" w:lineRule="auto"/>
        <w:jc w:val="both"/>
        <w:rPr>
          <w:rFonts w:ascii="David" w:hAnsi="David"/>
          <w:rtl/>
        </w:rPr>
      </w:pPr>
    </w:p>
    <w:p w14:paraId="461DF47C" w14:textId="77777777" w:rsidR="00BC040C" w:rsidRPr="00621959" w:rsidRDefault="00BC040C" w:rsidP="00BC040C">
      <w:pPr>
        <w:spacing w:line="360" w:lineRule="auto"/>
        <w:jc w:val="both"/>
        <w:rPr>
          <w:rFonts w:ascii="David" w:hAnsi="David"/>
          <w:rtl/>
        </w:rPr>
      </w:pPr>
      <w:r w:rsidRPr="00621959">
        <w:rPr>
          <w:rFonts w:ascii="David" w:hAnsi="David"/>
          <w:rtl/>
        </w:rPr>
        <w:t xml:space="preserve">לאור האמור, בהיעדר מענה טיפולי להתמכרות לסמים – התרשם שירות המבחן מסיכון משמעותי לחזרה לשימוש בסמים ולהידרדרות במצבו. משכך, ובשל חוסר ההצלחה להסתייע בגורמי הטיפול השונים – נמנע שירות המבחן ממתן המלצה הכוללת מעורבות שירותם. </w:t>
      </w:r>
    </w:p>
    <w:p w14:paraId="06392506" w14:textId="77777777" w:rsidR="00BC040C" w:rsidRPr="00621959" w:rsidRDefault="00BC040C" w:rsidP="00BC040C">
      <w:pPr>
        <w:spacing w:line="360" w:lineRule="auto"/>
        <w:jc w:val="both"/>
        <w:rPr>
          <w:rFonts w:ascii="David" w:hAnsi="David"/>
          <w:b/>
          <w:bCs/>
          <w:u w:val="single"/>
          <w:rtl/>
        </w:rPr>
      </w:pPr>
    </w:p>
    <w:p w14:paraId="594E00D7" w14:textId="77777777" w:rsidR="00BC040C" w:rsidRPr="00621959" w:rsidRDefault="00BC040C" w:rsidP="00BC040C">
      <w:pPr>
        <w:spacing w:line="360" w:lineRule="auto"/>
        <w:jc w:val="both"/>
        <w:rPr>
          <w:rFonts w:ascii="David" w:hAnsi="David"/>
          <w:b/>
          <w:bCs/>
          <w:u w:val="single"/>
          <w:rtl/>
        </w:rPr>
      </w:pPr>
      <w:r w:rsidRPr="00621959">
        <w:rPr>
          <w:rFonts w:ascii="David" w:hAnsi="David"/>
          <w:b/>
          <w:bCs/>
          <w:u w:val="single"/>
          <w:rtl/>
        </w:rPr>
        <w:t xml:space="preserve">טיעוני הצדדים </w:t>
      </w:r>
    </w:p>
    <w:p w14:paraId="208311A6" w14:textId="77777777" w:rsidR="00BC040C" w:rsidRPr="00621959" w:rsidRDefault="00BC040C" w:rsidP="00BC040C">
      <w:pPr>
        <w:spacing w:line="360" w:lineRule="auto"/>
        <w:jc w:val="both"/>
        <w:rPr>
          <w:rFonts w:ascii="David" w:hAnsi="David"/>
          <w:rtl/>
        </w:rPr>
      </w:pPr>
      <w:r w:rsidRPr="00621959">
        <w:rPr>
          <w:rFonts w:ascii="David" w:hAnsi="David"/>
          <w:b/>
          <w:bCs/>
          <w:rtl/>
        </w:rPr>
        <w:t>7</w:t>
      </w:r>
      <w:r w:rsidRPr="00621959">
        <w:rPr>
          <w:rFonts w:ascii="David" w:hAnsi="David"/>
          <w:rtl/>
        </w:rPr>
        <w:t xml:space="preserve">. ב"כ המאשימה טענה למתחם ענישה הנע בין 4-12 חודשי מאסר בפועל בעבירת החזקת הסכין. באשר לעבירת הסמים, עתרה למתחם הנע בין מאסר מותנה למספר חודשי מאסר בפועל. </w:t>
      </w:r>
    </w:p>
    <w:p w14:paraId="5F48C31A" w14:textId="77777777" w:rsidR="00BC040C" w:rsidRPr="00621959" w:rsidRDefault="00BC040C" w:rsidP="00BC040C">
      <w:pPr>
        <w:spacing w:line="360" w:lineRule="auto"/>
        <w:jc w:val="both"/>
        <w:rPr>
          <w:rFonts w:ascii="David" w:hAnsi="David"/>
          <w:rtl/>
        </w:rPr>
      </w:pPr>
    </w:p>
    <w:p w14:paraId="0571A653" w14:textId="77777777" w:rsidR="00BC040C" w:rsidRPr="00621959" w:rsidRDefault="00BC040C" w:rsidP="00BC040C">
      <w:pPr>
        <w:spacing w:line="360" w:lineRule="auto"/>
        <w:jc w:val="both"/>
        <w:rPr>
          <w:rFonts w:ascii="David" w:hAnsi="David"/>
          <w:rtl/>
        </w:rPr>
      </w:pPr>
      <w:r w:rsidRPr="00621959">
        <w:rPr>
          <w:rFonts w:ascii="David" w:hAnsi="David"/>
          <w:rtl/>
        </w:rPr>
        <w:t xml:space="preserve">בטיעוניה הפנתה ב"כ המאשימה לערכים המוגנים אשר נפגעו כתוצאה מביצוע העבירות, וכן לנסיבותיו החמורות של ביצוע עבירת החזקת הסכין בשים לב למקום התרחשותה ולפוטנציאל הנזק העולה ממנה.  </w:t>
      </w:r>
    </w:p>
    <w:p w14:paraId="74066483" w14:textId="77777777" w:rsidR="00BC040C" w:rsidRPr="00621959" w:rsidRDefault="00BC040C" w:rsidP="00BC040C">
      <w:pPr>
        <w:spacing w:line="360" w:lineRule="auto"/>
        <w:jc w:val="both"/>
        <w:rPr>
          <w:rFonts w:ascii="David" w:hAnsi="David"/>
          <w:rtl/>
        </w:rPr>
      </w:pPr>
    </w:p>
    <w:p w14:paraId="344AF5CB" w14:textId="77777777" w:rsidR="00BC040C" w:rsidRPr="00621959" w:rsidRDefault="00BC040C" w:rsidP="00BC040C">
      <w:pPr>
        <w:spacing w:line="360" w:lineRule="auto"/>
        <w:jc w:val="both"/>
        <w:rPr>
          <w:rFonts w:ascii="David" w:hAnsi="David"/>
          <w:rtl/>
        </w:rPr>
      </w:pPr>
      <w:r w:rsidRPr="00621959">
        <w:rPr>
          <w:rFonts w:ascii="David" w:hAnsi="David"/>
          <w:rtl/>
        </w:rPr>
        <w:t xml:space="preserve">בתוככי המתחמים עתרה ב"כ המאשימה להטלת ענישה </w:t>
      </w:r>
      <w:r>
        <w:rPr>
          <w:rFonts w:ascii="David" w:hAnsi="David" w:hint="cs"/>
          <w:rtl/>
        </w:rPr>
        <w:t xml:space="preserve">בדמות מאסר בפועל </w:t>
      </w:r>
      <w:r w:rsidRPr="00621959">
        <w:rPr>
          <w:rFonts w:ascii="David" w:hAnsi="David"/>
          <w:rtl/>
        </w:rPr>
        <w:t xml:space="preserve">ברף התחתון בגין עבירת החזקת הסכין, ולענישה ברף הבינוני בגין עבירת הסמים, כמו גם הפעלת המאסר המותנה וההתחייבות אשר תלויים ועומדים כנגדו. כמו כן, עתרה להטלת קנס ומאסר מותנה. </w:t>
      </w:r>
    </w:p>
    <w:p w14:paraId="3AC43E7E" w14:textId="77777777" w:rsidR="00BC040C" w:rsidRPr="00621959" w:rsidRDefault="00BC040C" w:rsidP="00BC040C">
      <w:pPr>
        <w:spacing w:line="360" w:lineRule="auto"/>
        <w:jc w:val="both"/>
        <w:rPr>
          <w:rFonts w:ascii="David" w:hAnsi="David"/>
          <w:rtl/>
        </w:rPr>
      </w:pPr>
    </w:p>
    <w:p w14:paraId="159E4822" w14:textId="77777777" w:rsidR="00BC040C" w:rsidRPr="00621959" w:rsidRDefault="00BC040C" w:rsidP="00BC040C">
      <w:pPr>
        <w:spacing w:line="360" w:lineRule="auto"/>
        <w:jc w:val="both"/>
        <w:rPr>
          <w:rFonts w:ascii="David" w:hAnsi="David"/>
          <w:rtl/>
        </w:rPr>
      </w:pPr>
      <w:r w:rsidRPr="00621959">
        <w:rPr>
          <w:rFonts w:ascii="David" w:hAnsi="David"/>
          <w:rtl/>
        </w:rPr>
        <w:t xml:space="preserve">בטיעוניה הפנתה לעברו הפלילי של הנאשם ולעובדה כי התחייבות ומאסר מותנה ופסילה מותנית לא הרתיעו מלבצע עבירת סמים נוספת. כמו כן, הפנתה למפורט בתסקיר שירות המבחן ממנו עולה כי הנאשם מכור לסמים מזה שנים, לא שיתף פעולה ומתקשה לקבל את קשייו בתחום זה, ולהיעדר המלצה טיפולית. </w:t>
      </w:r>
    </w:p>
    <w:p w14:paraId="74420A74" w14:textId="77777777" w:rsidR="00BC040C" w:rsidRPr="00621959" w:rsidRDefault="00BC040C" w:rsidP="00BC040C">
      <w:pPr>
        <w:spacing w:line="360" w:lineRule="auto"/>
        <w:jc w:val="both"/>
        <w:rPr>
          <w:rFonts w:ascii="David" w:hAnsi="David"/>
          <w:rtl/>
        </w:rPr>
      </w:pPr>
    </w:p>
    <w:p w14:paraId="2497F6A2" w14:textId="77777777" w:rsidR="00BC040C" w:rsidRPr="00621959" w:rsidRDefault="00BC040C" w:rsidP="00BC040C">
      <w:pPr>
        <w:spacing w:line="360" w:lineRule="auto"/>
        <w:jc w:val="both"/>
        <w:rPr>
          <w:rFonts w:ascii="David" w:hAnsi="David"/>
          <w:rtl/>
        </w:rPr>
      </w:pPr>
      <w:r w:rsidRPr="00621959">
        <w:rPr>
          <w:rFonts w:ascii="David" w:hAnsi="David"/>
          <w:rtl/>
        </w:rPr>
        <w:t xml:space="preserve">ב"כ המאשימה הגישה גיליון הרשעות קודמות </w:t>
      </w:r>
      <w:r w:rsidRPr="00621959">
        <w:rPr>
          <w:rFonts w:ascii="David" w:hAnsi="David"/>
          <w:b/>
          <w:bCs/>
          <w:rtl/>
        </w:rPr>
        <w:t>(ת/1)</w:t>
      </w:r>
      <w:r>
        <w:rPr>
          <w:rFonts w:ascii="David" w:hAnsi="David"/>
          <w:rtl/>
        </w:rPr>
        <w:t>, ג</w:t>
      </w:r>
      <w:r>
        <w:rPr>
          <w:rFonts w:ascii="David" w:hAnsi="David" w:hint="cs"/>
          <w:rtl/>
        </w:rPr>
        <w:t>זר דין</w:t>
      </w:r>
      <w:r w:rsidRPr="00621959">
        <w:rPr>
          <w:rFonts w:ascii="David" w:hAnsi="David"/>
          <w:rtl/>
        </w:rPr>
        <w:t xml:space="preserve"> ב</w:t>
      </w:r>
      <w:hyperlink r:id="rId24" w:history="1">
        <w:r w:rsidR="00EB5746" w:rsidRPr="00EB5746">
          <w:rPr>
            <w:rFonts w:ascii="David" w:hAnsi="David"/>
            <w:b/>
            <w:bCs/>
            <w:color w:val="0000FF"/>
            <w:u w:val="single"/>
            <w:rtl/>
          </w:rPr>
          <w:t>ת"פ 31213-07-18</w:t>
        </w:r>
      </w:hyperlink>
      <w:r w:rsidRPr="00621959">
        <w:rPr>
          <w:rFonts w:ascii="David" w:hAnsi="David"/>
          <w:b/>
          <w:bCs/>
          <w:rtl/>
        </w:rPr>
        <w:t xml:space="preserve"> </w:t>
      </w:r>
      <w:r w:rsidRPr="00621959">
        <w:rPr>
          <w:rFonts w:ascii="David" w:hAnsi="David"/>
          <w:rtl/>
        </w:rPr>
        <w:t xml:space="preserve">מיום 18/11/19 בעניינו של הנאשם </w:t>
      </w:r>
      <w:r w:rsidRPr="00621959">
        <w:rPr>
          <w:rFonts w:ascii="David" w:hAnsi="David"/>
          <w:b/>
          <w:bCs/>
          <w:rtl/>
        </w:rPr>
        <w:t>(ת/2)</w:t>
      </w:r>
      <w:r w:rsidRPr="00621959">
        <w:rPr>
          <w:rFonts w:ascii="David" w:hAnsi="David"/>
          <w:rtl/>
        </w:rPr>
        <w:t xml:space="preserve">, והתחייבות חתומה מיום 18/11/18 </w:t>
      </w:r>
      <w:r w:rsidRPr="00621959">
        <w:rPr>
          <w:rFonts w:ascii="David" w:hAnsi="David"/>
          <w:b/>
          <w:bCs/>
          <w:rtl/>
        </w:rPr>
        <w:t>(ת/3)</w:t>
      </w:r>
      <w:r w:rsidRPr="00621959">
        <w:rPr>
          <w:rFonts w:ascii="David" w:hAnsi="David"/>
          <w:rtl/>
        </w:rPr>
        <w:t xml:space="preserve">, וכן הפנתה לפסיקה כתמיכה לעתירתה בעבירת החזקת הסכין. </w:t>
      </w:r>
    </w:p>
    <w:p w14:paraId="74DD6D4E" w14:textId="77777777" w:rsidR="00BC040C" w:rsidRPr="00621959" w:rsidRDefault="00BC040C" w:rsidP="00BC040C">
      <w:pPr>
        <w:spacing w:line="360" w:lineRule="auto"/>
        <w:jc w:val="both"/>
        <w:rPr>
          <w:rFonts w:ascii="David" w:hAnsi="David"/>
          <w:rtl/>
        </w:rPr>
      </w:pPr>
    </w:p>
    <w:p w14:paraId="6DB73BF9" w14:textId="77777777" w:rsidR="00BC040C" w:rsidRPr="00621959" w:rsidRDefault="00BC040C" w:rsidP="00BC040C">
      <w:pPr>
        <w:spacing w:line="360" w:lineRule="auto"/>
        <w:jc w:val="both"/>
        <w:rPr>
          <w:rFonts w:ascii="David" w:hAnsi="David"/>
          <w:rtl/>
        </w:rPr>
      </w:pPr>
      <w:r w:rsidRPr="00621959">
        <w:rPr>
          <w:rFonts w:ascii="David" w:hAnsi="David"/>
          <w:b/>
          <w:bCs/>
          <w:rtl/>
        </w:rPr>
        <w:t>8</w:t>
      </w:r>
      <w:r w:rsidRPr="00621959">
        <w:rPr>
          <w:rFonts w:ascii="David" w:hAnsi="David"/>
          <w:rtl/>
        </w:rPr>
        <w:t>. ב"כ הנאשם עתר</w:t>
      </w:r>
      <w:r>
        <w:rPr>
          <w:rFonts w:ascii="David" w:hAnsi="David" w:hint="cs"/>
          <w:rtl/>
        </w:rPr>
        <w:t>ה</w:t>
      </w:r>
      <w:r w:rsidRPr="00621959">
        <w:rPr>
          <w:rFonts w:ascii="David" w:hAnsi="David"/>
          <w:rtl/>
        </w:rPr>
        <w:t xml:space="preserve"> להארכת המאסר המותנה שתלוי ועומד כנגד הנאשם. </w:t>
      </w:r>
    </w:p>
    <w:p w14:paraId="2984BC5D" w14:textId="77777777" w:rsidR="00BC040C" w:rsidRPr="00621959" w:rsidRDefault="00BC040C" w:rsidP="00BC040C">
      <w:pPr>
        <w:spacing w:line="360" w:lineRule="auto"/>
        <w:jc w:val="both"/>
        <w:rPr>
          <w:rFonts w:ascii="David" w:hAnsi="David"/>
          <w:rtl/>
        </w:rPr>
      </w:pPr>
    </w:p>
    <w:p w14:paraId="643B0DD4" w14:textId="77777777" w:rsidR="00BC040C" w:rsidRPr="00621959" w:rsidRDefault="00BC040C" w:rsidP="00BC040C">
      <w:pPr>
        <w:spacing w:line="360" w:lineRule="auto"/>
        <w:jc w:val="both"/>
        <w:rPr>
          <w:rFonts w:ascii="David" w:hAnsi="David"/>
          <w:rtl/>
        </w:rPr>
      </w:pPr>
      <w:r w:rsidRPr="00621959">
        <w:rPr>
          <w:rFonts w:ascii="David" w:hAnsi="David"/>
          <w:rtl/>
        </w:rPr>
        <w:t xml:space="preserve">לטענתה, על אף ששירות המבחן נמנע מהמלצה טיפולית בעניינו של הנאשם, יש ליתן משקל משמעותי לשינוי שערך בחייו, וזאת ביחס לעצמו ולנסיבות חייו המורכבות ולא ביחס לנאשמים אחרים. לטענתה, העובדה כי הנאשם עושה היום שימוש רק בקנאביס, לעיתים, וכי אף מסר 2 בדיקות שתן נקיות משרידי סם – מעיד על הליך השיקום אשר עבר.  </w:t>
      </w:r>
    </w:p>
    <w:p w14:paraId="488E7A3F" w14:textId="77777777" w:rsidR="00BC040C" w:rsidRPr="00621959" w:rsidRDefault="00BC040C" w:rsidP="00BC040C">
      <w:pPr>
        <w:spacing w:line="360" w:lineRule="auto"/>
        <w:jc w:val="both"/>
        <w:rPr>
          <w:rFonts w:ascii="David" w:hAnsi="David"/>
          <w:rtl/>
        </w:rPr>
      </w:pPr>
    </w:p>
    <w:p w14:paraId="1CF4A2DF" w14:textId="77777777" w:rsidR="00BC040C" w:rsidRPr="00621959" w:rsidRDefault="00BC040C" w:rsidP="00BC040C">
      <w:pPr>
        <w:spacing w:line="360" w:lineRule="auto"/>
        <w:jc w:val="both"/>
        <w:rPr>
          <w:rFonts w:ascii="David" w:hAnsi="David"/>
          <w:rtl/>
        </w:rPr>
      </w:pPr>
      <w:r w:rsidRPr="00621959">
        <w:rPr>
          <w:rFonts w:ascii="David" w:hAnsi="David"/>
          <w:rtl/>
        </w:rPr>
        <w:t>עוד טענה כי יש ליתן משקל לעובדה כי במהלך התקופה החולפת לא נפתחו כנגד הנאשם תיקים נוספים</w:t>
      </w:r>
      <w:r>
        <w:rPr>
          <w:rFonts w:ascii="David" w:hAnsi="David" w:hint="cs"/>
          <w:rtl/>
        </w:rPr>
        <w:t>.</w:t>
      </w:r>
    </w:p>
    <w:p w14:paraId="701912A3" w14:textId="77777777" w:rsidR="00BC040C" w:rsidRPr="00621959" w:rsidRDefault="00BC040C" w:rsidP="00BC040C">
      <w:pPr>
        <w:spacing w:line="360" w:lineRule="auto"/>
        <w:jc w:val="both"/>
        <w:rPr>
          <w:rFonts w:ascii="David" w:hAnsi="David"/>
          <w:rtl/>
        </w:rPr>
      </w:pPr>
    </w:p>
    <w:p w14:paraId="0CECD7F3" w14:textId="77777777" w:rsidR="00BC040C" w:rsidRPr="00621959" w:rsidRDefault="00BC040C" w:rsidP="00BC040C">
      <w:pPr>
        <w:spacing w:line="360" w:lineRule="auto"/>
        <w:jc w:val="both"/>
        <w:rPr>
          <w:rFonts w:ascii="David" w:hAnsi="David"/>
          <w:rtl/>
        </w:rPr>
      </w:pPr>
      <w:r w:rsidRPr="00621959">
        <w:rPr>
          <w:rFonts w:ascii="David" w:hAnsi="David"/>
          <w:rtl/>
        </w:rPr>
        <w:t>כמו כן, טענה כי יש לאבחן בין הפסיקה שהוגשה על ידי ב"כ המאשימה למקרה זה, וזאת בשים לב לסוג הסכין.</w:t>
      </w:r>
    </w:p>
    <w:p w14:paraId="75254BEF" w14:textId="77777777" w:rsidR="00BC040C" w:rsidRPr="00621959" w:rsidRDefault="00BC040C" w:rsidP="00BC040C">
      <w:pPr>
        <w:spacing w:line="360" w:lineRule="auto"/>
        <w:jc w:val="both"/>
        <w:rPr>
          <w:rFonts w:ascii="David" w:hAnsi="David"/>
          <w:b/>
          <w:bCs/>
          <w:u w:val="single"/>
          <w:rtl/>
        </w:rPr>
      </w:pPr>
    </w:p>
    <w:p w14:paraId="32DEF4AE" w14:textId="77777777" w:rsidR="00BC040C" w:rsidRPr="00621959" w:rsidRDefault="00BC040C" w:rsidP="00BC040C">
      <w:pPr>
        <w:spacing w:line="360" w:lineRule="auto"/>
        <w:jc w:val="both"/>
        <w:rPr>
          <w:rFonts w:ascii="David" w:hAnsi="David"/>
          <w:b/>
          <w:bCs/>
          <w:u w:val="single"/>
          <w:rtl/>
        </w:rPr>
      </w:pPr>
      <w:r w:rsidRPr="00621959">
        <w:rPr>
          <w:rFonts w:ascii="David" w:hAnsi="David"/>
          <w:b/>
          <w:bCs/>
          <w:u w:val="single"/>
          <w:rtl/>
        </w:rPr>
        <w:t>דיון והכרעה</w:t>
      </w:r>
    </w:p>
    <w:p w14:paraId="2E5D7D92" w14:textId="77777777" w:rsidR="00BC040C" w:rsidRPr="00621959" w:rsidRDefault="00BC040C" w:rsidP="00BC040C">
      <w:pPr>
        <w:spacing w:line="360" w:lineRule="auto"/>
        <w:jc w:val="both"/>
        <w:rPr>
          <w:rFonts w:ascii="Calibri" w:hAnsi="Calibri"/>
          <w:rtl/>
        </w:rPr>
      </w:pPr>
      <w:r w:rsidRPr="00621959">
        <w:rPr>
          <w:rFonts w:ascii="Calibri" w:hAnsi="Calibri"/>
          <w:b/>
          <w:bCs/>
          <w:rtl/>
        </w:rPr>
        <w:t>9</w:t>
      </w:r>
      <w:r w:rsidRPr="00621959">
        <w:rPr>
          <w:rFonts w:ascii="Calibri" w:hAnsi="Calibri"/>
          <w:rtl/>
        </w:rPr>
        <w:t>. קביעת מתחם העונש ההולם למעשה העבירה שביצע נאשם נעשית בהתאם לעקרון המנחה בענישה - קיומו של יחס הולם בין חומרת מעשה העבירה בנסיבותיו ומידת אשמו של הנאשם, לבין סוג ומידת העונש המוטל עליו. לשם קביעת מתחם העונש ההולם, בהתאם לעקרון ההלימה, יש להתחשב בערך החברתי שנפגע, במידת הפגיעה בו, במדיניות הענישה הנוהגת ובנסיבות הקשורות בביצוע העבירה.</w:t>
      </w:r>
    </w:p>
    <w:p w14:paraId="53A71305" w14:textId="77777777" w:rsidR="00BC040C" w:rsidRPr="00621959" w:rsidRDefault="00BC040C" w:rsidP="00BC040C">
      <w:pPr>
        <w:spacing w:line="360" w:lineRule="auto"/>
        <w:jc w:val="both"/>
        <w:rPr>
          <w:rFonts w:ascii="Calibri" w:hAnsi="Calibri"/>
          <w:rtl/>
        </w:rPr>
      </w:pPr>
    </w:p>
    <w:p w14:paraId="4B917D82" w14:textId="77777777" w:rsidR="00BC040C" w:rsidRPr="00621959" w:rsidRDefault="00BC040C" w:rsidP="00BC040C">
      <w:pPr>
        <w:spacing w:line="360" w:lineRule="auto"/>
        <w:jc w:val="both"/>
        <w:rPr>
          <w:rFonts w:ascii="Calibri" w:hAnsi="Calibri"/>
          <w:rtl/>
        </w:rPr>
      </w:pPr>
      <w:r w:rsidRPr="00621959">
        <w:rPr>
          <w:rFonts w:ascii="Calibri" w:hAnsi="Calibri"/>
          <w:b/>
          <w:bCs/>
          <w:rtl/>
        </w:rPr>
        <w:t>10</w:t>
      </w:r>
      <w:r w:rsidRPr="00621959">
        <w:rPr>
          <w:rFonts w:ascii="Calibri" w:hAnsi="Calibri"/>
          <w:rtl/>
        </w:rPr>
        <w:t>. במקרה המונח לפני אין מחלוקת כי מתוארים 2 אירועים אשר בגינם יש לקבוע 2 מתחמי ע</w:t>
      </w:r>
      <w:r>
        <w:rPr>
          <w:rFonts w:ascii="Calibri" w:hAnsi="Calibri" w:hint="cs"/>
          <w:rtl/>
        </w:rPr>
        <w:t>נישה</w:t>
      </w:r>
      <w:r w:rsidRPr="00621959">
        <w:rPr>
          <w:rFonts w:ascii="Calibri" w:hAnsi="Calibri"/>
          <w:rtl/>
        </w:rPr>
        <w:t xml:space="preserve"> הולמים נפרדים.</w:t>
      </w:r>
    </w:p>
    <w:p w14:paraId="2788C423" w14:textId="77777777" w:rsidR="00BC040C" w:rsidRPr="00621959" w:rsidRDefault="00BC040C" w:rsidP="00BC040C">
      <w:pPr>
        <w:spacing w:line="360" w:lineRule="auto"/>
        <w:jc w:val="both"/>
        <w:rPr>
          <w:rFonts w:ascii="Calibri" w:hAnsi="Calibri"/>
          <w:rtl/>
        </w:rPr>
      </w:pPr>
    </w:p>
    <w:p w14:paraId="44D9395F" w14:textId="77777777" w:rsidR="00BC040C" w:rsidRPr="00621959" w:rsidRDefault="00BC040C" w:rsidP="00BC040C">
      <w:pPr>
        <w:spacing w:line="360" w:lineRule="auto"/>
        <w:contextualSpacing/>
        <w:jc w:val="both"/>
        <w:rPr>
          <w:b/>
          <w:rtl/>
          <w:lang w:eastAsia="he-IL"/>
        </w:rPr>
      </w:pPr>
      <w:r w:rsidRPr="00621959">
        <w:rPr>
          <w:bCs/>
          <w:rtl/>
          <w:lang w:eastAsia="he-IL"/>
        </w:rPr>
        <w:t>11. הערך החברתי</w:t>
      </w:r>
      <w:r w:rsidRPr="00621959">
        <w:rPr>
          <w:b/>
          <w:rtl/>
          <w:lang w:eastAsia="he-IL"/>
        </w:rPr>
        <w:t xml:space="preserve"> אשר נפגע בביצוע עבירת </w:t>
      </w:r>
      <w:r>
        <w:rPr>
          <w:rFonts w:hint="cs"/>
          <w:b/>
          <w:rtl/>
          <w:lang w:eastAsia="he-IL"/>
        </w:rPr>
        <w:t>החזקת סם</w:t>
      </w:r>
      <w:r w:rsidRPr="00621959">
        <w:rPr>
          <w:b/>
          <w:rtl/>
          <w:lang w:eastAsia="he-IL"/>
        </w:rPr>
        <w:t xml:space="preserve"> לצריכה עצמית הוא הגנה מפני הנזקים הישירים והעקיפים אשר נגרמים  עקב שימוש בסמים. </w:t>
      </w:r>
    </w:p>
    <w:p w14:paraId="5C7AD65D" w14:textId="77777777" w:rsidR="00BC040C" w:rsidRPr="00621959" w:rsidRDefault="00BC040C" w:rsidP="00BC040C">
      <w:pPr>
        <w:spacing w:line="360" w:lineRule="auto"/>
        <w:contextualSpacing/>
        <w:jc w:val="both"/>
        <w:rPr>
          <w:b/>
          <w:rtl/>
          <w:lang w:eastAsia="he-IL"/>
        </w:rPr>
      </w:pPr>
    </w:p>
    <w:p w14:paraId="6F7E9A5B" w14:textId="77777777" w:rsidR="00BC040C" w:rsidRPr="00621959" w:rsidRDefault="00BC040C" w:rsidP="00BC040C">
      <w:pPr>
        <w:spacing w:line="360" w:lineRule="auto"/>
        <w:contextualSpacing/>
        <w:jc w:val="both"/>
        <w:rPr>
          <w:b/>
          <w:rtl/>
          <w:lang w:eastAsia="he-IL"/>
        </w:rPr>
      </w:pPr>
      <w:r w:rsidRPr="00621959">
        <w:rPr>
          <w:rFonts w:ascii="Calibri" w:hAnsi="Calibri"/>
          <w:b/>
          <w:bCs/>
          <w:rtl/>
        </w:rPr>
        <w:t>הערכים החברתיים</w:t>
      </w:r>
      <w:r w:rsidRPr="00621959">
        <w:rPr>
          <w:rFonts w:ascii="Calibri" w:hAnsi="Calibri"/>
          <w:rtl/>
        </w:rPr>
        <w:t xml:space="preserve"> אשר נפגעו בביצוע עבירת החזקת הסכין הם שמירה על גופו של האדם ובטחונו ושמירה על בטחון הציבור. </w:t>
      </w:r>
    </w:p>
    <w:p w14:paraId="66F47677" w14:textId="77777777" w:rsidR="00BC040C" w:rsidRPr="00621959" w:rsidRDefault="00BC040C" w:rsidP="00BC040C">
      <w:pPr>
        <w:spacing w:line="360" w:lineRule="auto"/>
        <w:jc w:val="both"/>
        <w:rPr>
          <w:rFonts w:ascii="Calibri" w:hAnsi="Calibri"/>
          <w:rtl/>
        </w:rPr>
      </w:pPr>
    </w:p>
    <w:p w14:paraId="4B71922A" w14:textId="77777777" w:rsidR="00BC040C" w:rsidRPr="00621959" w:rsidRDefault="00BC040C" w:rsidP="00BC040C">
      <w:pPr>
        <w:spacing w:line="360" w:lineRule="auto"/>
        <w:jc w:val="both"/>
        <w:rPr>
          <w:rFonts w:ascii="Calibri" w:hAnsi="Calibri"/>
          <w:rtl/>
        </w:rPr>
      </w:pPr>
      <w:r w:rsidRPr="00621959">
        <w:rPr>
          <w:rFonts w:ascii="Calibri" w:hAnsi="Calibri"/>
          <w:rtl/>
        </w:rPr>
        <w:t>באשר לחומרת הפגיעה בערכים המוגנים בגין עבירות החזקת הסכין כבר נכתב רבות, כך לדוגמה ב</w:t>
      </w:r>
      <w:hyperlink r:id="rId25" w:history="1">
        <w:r w:rsidR="00EB5746" w:rsidRPr="00EB5746">
          <w:rPr>
            <w:rFonts w:ascii="Calibri" w:hAnsi="Calibri" w:hint="eastAsia"/>
            <w:b/>
            <w:bCs/>
            <w:color w:val="0000FF"/>
            <w:u w:val="single"/>
            <w:rtl/>
          </w:rPr>
          <w:t>ע</w:t>
        </w:r>
        <w:r w:rsidR="00EB5746" w:rsidRPr="00EB5746">
          <w:rPr>
            <w:rFonts w:ascii="Calibri" w:hAnsi="Calibri"/>
            <w:b/>
            <w:bCs/>
            <w:color w:val="0000FF"/>
            <w:u w:val="single"/>
            <w:rtl/>
          </w:rPr>
          <w:t>"</w:t>
        </w:r>
        <w:r w:rsidR="00EB5746" w:rsidRPr="00EB5746">
          <w:rPr>
            <w:rFonts w:ascii="Calibri" w:hAnsi="Calibri" w:hint="eastAsia"/>
            <w:b/>
            <w:bCs/>
            <w:color w:val="0000FF"/>
            <w:u w:val="single"/>
            <w:rtl/>
          </w:rPr>
          <w:t>פ</w:t>
        </w:r>
        <w:r w:rsidR="00EB5746" w:rsidRPr="00EB5746">
          <w:rPr>
            <w:rFonts w:ascii="Calibri" w:hAnsi="Calibri"/>
            <w:b/>
            <w:bCs/>
            <w:color w:val="0000FF"/>
            <w:u w:val="single"/>
            <w:rtl/>
          </w:rPr>
          <w:t xml:space="preserve"> 2047/07</w:t>
        </w:r>
      </w:hyperlink>
      <w:r w:rsidRPr="00621959">
        <w:rPr>
          <w:rFonts w:ascii="Calibri" w:hAnsi="Calibri"/>
          <w:b/>
          <w:bCs/>
          <w:rtl/>
        </w:rPr>
        <w:t xml:space="preserve"> הנוק נגד מדינת ישראל (14/05/07) </w:t>
      </w:r>
      <w:r w:rsidRPr="00621959">
        <w:rPr>
          <w:rFonts w:ascii="Calibri" w:hAnsi="Calibri"/>
          <w:rtl/>
        </w:rPr>
        <w:t>צוין כי: "</w:t>
      </w:r>
      <w:r w:rsidRPr="00621959">
        <w:rPr>
          <w:rFonts w:ascii="Calibri" w:hAnsi="Calibri"/>
          <w:b/>
          <w:bCs/>
          <w:rtl/>
        </w:rPr>
        <w:t>כבר נשתפך דיו רב ונשתברו קולמוסים ומקלדות בפסקי הדין של בית משפט זה ובתי המשפט האחרים לעניין 'תת-תרבות-הסכין'. לפנים היה אדם יוצא לרחוב ובידו או בכיסו ארנקו, מטפחתו ועטו. היום רבים היוצאים לרחוב וסכין בידם, או איש סכינו על ירכו, לאו דווקא כדי לקלף מפירות הארץ, ואך יוציאם פלוני משלוותם, ברב או במעט, תישלף הסכין; וסגולתה הטבועה של זו, שהיא עלולה לשפיכות דמים, וכדברי חכמים ש'הברזל מקצר ימיו של אדם' (ילקוט שמעוני, פרשת יתרו)</w:t>
      </w:r>
      <w:r w:rsidRPr="00621959">
        <w:rPr>
          <w:rFonts w:ascii="Calibri" w:hAnsi="Calibri"/>
          <w:rtl/>
        </w:rPr>
        <w:t>".</w:t>
      </w:r>
    </w:p>
    <w:p w14:paraId="5F01346A" w14:textId="77777777" w:rsidR="00BC040C" w:rsidRPr="00621959" w:rsidRDefault="00BC040C" w:rsidP="00BC040C">
      <w:pPr>
        <w:spacing w:line="360" w:lineRule="auto"/>
        <w:contextualSpacing/>
        <w:jc w:val="both"/>
        <w:rPr>
          <w:b/>
          <w:rtl/>
          <w:lang w:eastAsia="he-IL"/>
        </w:rPr>
      </w:pPr>
    </w:p>
    <w:p w14:paraId="4C44BA92" w14:textId="77777777" w:rsidR="00BC040C" w:rsidRPr="00621959" w:rsidRDefault="00BC040C" w:rsidP="00BC040C">
      <w:pPr>
        <w:spacing w:line="360" w:lineRule="auto"/>
        <w:contextualSpacing/>
        <w:jc w:val="both"/>
        <w:rPr>
          <w:b/>
          <w:rtl/>
          <w:lang w:eastAsia="he-IL"/>
        </w:rPr>
      </w:pPr>
      <w:r w:rsidRPr="00621959">
        <w:rPr>
          <w:bCs/>
          <w:rtl/>
          <w:lang w:eastAsia="he-IL"/>
        </w:rPr>
        <w:t>12</w:t>
      </w:r>
      <w:r w:rsidRPr="00621959">
        <w:rPr>
          <w:b/>
          <w:rtl/>
          <w:lang w:eastAsia="he-IL"/>
        </w:rPr>
        <w:t>.</w:t>
      </w:r>
      <w:r w:rsidRPr="00621959">
        <w:rPr>
          <w:bCs/>
          <w:rtl/>
          <w:lang w:eastAsia="he-IL"/>
        </w:rPr>
        <w:t xml:space="preserve"> מידת הפגיעה בערך המוגן</w:t>
      </w:r>
      <w:r w:rsidRPr="00621959">
        <w:rPr>
          <w:b/>
          <w:rtl/>
          <w:lang w:eastAsia="he-IL"/>
        </w:rPr>
        <w:t xml:space="preserve"> בגין ביצוע עבירת הסמים היא ברף הבינוני, וזאת בשים לב לסוג הסם ולכמותו</w:t>
      </w:r>
      <w:r>
        <w:rPr>
          <w:rFonts w:hint="cs"/>
          <w:b/>
          <w:rtl/>
          <w:lang w:eastAsia="he-IL"/>
        </w:rPr>
        <w:t>, אל מול מטרת ההחזקה</w:t>
      </w:r>
      <w:r w:rsidRPr="00621959">
        <w:rPr>
          <w:b/>
          <w:rtl/>
          <w:lang w:eastAsia="he-IL"/>
        </w:rPr>
        <w:t>.</w:t>
      </w:r>
    </w:p>
    <w:p w14:paraId="03B65ABE" w14:textId="77777777" w:rsidR="00BC040C" w:rsidRPr="00621959" w:rsidRDefault="00BC040C" w:rsidP="00BC040C">
      <w:pPr>
        <w:spacing w:line="360" w:lineRule="auto"/>
        <w:jc w:val="both"/>
        <w:rPr>
          <w:rFonts w:ascii="Calibri" w:hAnsi="Calibri"/>
          <w:rtl/>
        </w:rPr>
      </w:pPr>
    </w:p>
    <w:p w14:paraId="05C3ED7D" w14:textId="77777777" w:rsidR="00BC040C" w:rsidRPr="00621959" w:rsidRDefault="00BC040C" w:rsidP="00BC040C">
      <w:pPr>
        <w:spacing w:line="360" w:lineRule="auto"/>
        <w:jc w:val="both"/>
        <w:rPr>
          <w:rFonts w:ascii="Calibri" w:hAnsi="Calibri"/>
          <w:rtl/>
        </w:rPr>
      </w:pPr>
      <w:r w:rsidRPr="00621959">
        <w:rPr>
          <w:rFonts w:ascii="Calibri" w:hAnsi="Calibri"/>
          <w:rtl/>
        </w:rPr>
        <w:t xml:space="preserve">בחינת </w:t>
      </w:r>
      <w:r w:rsidRPr="00621959">
        <w:rPr>
          <w:rFonts w:ascii="Calibri" w:hAnsi="Calibri"/>
          <w:b/>
          <w:bCs/>
          <w:rtl/>
        </w:rPr>
        <w:t>מידת הפגיעה בערך המוגן</w:t>
      </w:r>
      <w:r w:rsidRPr="00621959">
        <w:rPr>
          <w:rFonts w:ascii="Calibri" w:hAnsi="Calibri"/>
          <w:rtl/>
        </w:rPr>
        <w:t xml:space="preserve"> בגין ביצוע עבירת החזקת הסכין מובילה למסקנה כי </w:t>
      </w:r>
      <w:r w:rsidRPr="00621959">
        <w:rPr>
          <w:rFonts w:ascii="Calibri" w:hAnsi="Calibri"/>
          <w:b/>
          <w:bCs/>
          <w:rtl/>
        </w:rPr>
        <w:t xml:space="preserve">הפגיעה בערך המוגן היא ברף הבינוני. </w:t>
      </w:r>
    </w:p>
    <w:p w14:paraId="487A8C4E" w14:textId="77777777" w:rsidR="00BC040C" w:rsidRPr="00621959" w:rsidRDefault="00BC040C" w:rsidP="00BC040C">
      <w:pPr>
        <w:spacing w:line="360" w:lineRule="auto"/>
        <w:jc w:val="both"/>
        <w:rPr>
          <w:rFonts w:ascii="Calibri" w:hAnsi="Calibri"/>
          <w:rtl/>
        </w:rPr>
      </w:pPr>
      <w:r w:rsidRPr="00621959">
        <w:rPr>
          <w:rFonts w:ascii="Calibri" w:hAnsi="Calibri"/>
          <w:rtl/>
        </w:rPr>
        <w:t xml:space="preserve">ביצוע העבירה באגף העצורים בבית המשפט, מקום בו גם נעשים מאמצים רבים בכדי להגן על השוהים במקום, מגלם בתוכו פוטנציאל נזק משמעותי ביותר. עם זאת, לא ניתן להתעלם מהעובדה כי לא נלוותה עבירת אלימות כלשהי להחזקת הסכין. </w:t>
      </w:r>
    </w:p>
    <w:p w14:paraId="20657982" w14:textId="77777777" w:rsidR="00BC040C" w:rsidRPr="00621959" w:rsidRDefault="00BC040C" w:rsidP="00BC040C">
      <w:pPr>
        <w:spacing w:line="360" w:lineRule="auto"/>
        <w:contextualSpacing/>
        <w:jc w:val="both"/>
        <w:rPr>
          <w:rFonts w:ascii="Calibri" w:hAnsi="Calibri"/>
          <w:b/>
          <w:bCs/>
          <w:color w:val="000000"/>
          <w:u w:val="single"/>
          <w:rtl/>
        </w:rPr>
      </w:pPr>
    </w:p>
    <w:p w14:paraId="6FF33CA7" w14:textId="77777777" w:rsidR="00BC040C" w:rsidRPr="00621959" w:rsidRDefault="00BC040C" w:rsidP="00BC040C">
      <w:pPr>
        <w:spacing w:line="360" w:lineRule="auto"/>
        <w:contextualSpacing/>
        <w:jc w:val="both"/>
        <w:rPr>
          <w:b/>
          <w:lang w:eastAsia="he-IL"/>
        </w:rPr>
      </w:pPr>
      <w:r w:rsidRPr="00621959">
        <w:rPr>
          <w:bCs/>
          <w:rtl/>
          <w:lang w:eastAsia="he-IL"/>
        </w:rPr>
        <w:t>13</w:t>
      </w:r>
      <w:r w:rsidRPr="00621959">
        <w:rPr>
          <w:b/>
          <w:rtl/>
          <w:lang w:eastAsia="he-IL"/>
        </w:rPr>
        <w:t xml:space="preserve">. בחינת </w:t>
      </w:r>
      <w:r w:rsidRPr="00621959">
        <w:rPr>
          <w:bCs/>
          <w:rtl/>
          <w:lang w:eastAsia="he-IL"/>
        </w:rPr>
        <w:t>מדיניות הענישה הנוהגת</w:t>
      </w:r>
      <w:r w:rsidRPr="00621959">
        <w:rPr>
          <w:b/>
          <w:rtl/>
          <w:lang w:eastAsia="he-IL"/>
        </w:rPr>
        <w:t xml:space="preserve"> בגין עבירת הסמים מעלה כי במקרים דומים הוטלו על נאשמים עונשים כמפורט להלן:  </w:t>
      </w:r>
    </w:p>
    <w:p w14:paraId="616AB6FF" w14:textId="77777777" w:rsidR="00BC040C" w:rsidRPr="00621959" w:rsidRDefault="00BC040C" w:rsidP="00BC040C">
      <w:pPr>
        <w:spacing w:line="360" w:lineRule="auto"/>
        <w:contextualSpacing/>
        <w:jc w:val="both"/>
        <w:rPr>
          <w:rFonts w:ascii="David" w:hAnsi="David"/>
          <w:b/>
          <w:lang w:eastAsia="he-IL"/>
        </w:rPr>
      </w:pPr>
      <w:r w:rsidRPr="00621959">
        <w:rPr>
          <w:rFonts w:ascii="David" w:hAnsi="David"/>
          <w:bCs/>
          <w:rtl/>
          <w:lang w:eastAsia="he-IL"/>
        </w:rPr>
        <w:t xml:space="preserve">א. </w:t>
      </w:r>
      <w:r w:rsidRPr="00621959">
        <w:rPr>
          <w:rFonts w:ascii="David" w:hAnsi="David"/>
          <w:b/>
          <w:rtl/>
          <w:lang w:eastAsia="he-IL"/>
        </w:rPr>
        <w:t>ב</w:t>
      </w:r>
      <w:hyperlink r:id="rId26" w:history="1">
        <w:r w:rsidR="00EB5746" w:rsidRPr="00EB5746">
          <w:rPr>
            <w:rFonts w:ascii="David" w:hAnsi="David"/>
            <w:bCs/>
            <w:color w:val="0000FF"/>
            <w:u w:val="single"/>
            <w:rtl/>
            <w:lang w:eastAsia="he-IL"/>
          </w:rPr>
          <w:t>רע"פ 6138/09</w:t>
        </w:r>
      </w:hyperlink>
      <w:r w:rsidRPr="00621959">
        <w:rPr>
          <w:rFonts w:ascii="David" w:hAnsi="David"/>
          <w:b/>
          <w:rtl/>
          <w:lang w:eastAsia="he-IL"/>
        </w:rPr>
        <w:t xml:space="preserve"> </w:t>
      </w:r>
      <w:r w:rsidRPr="00621959">
        <w:rPr>
          <w:rFonts w:ascii="David" w:hAnsi="David"/>
          <w:bCs/>
          <w:rtl/>
          <w:lang w:eastAsia="he-IL"/>
        </w:rPr>
        <w:t>פרדזב נגד מדינת ישראל (02/08/09)</w:t>
      </w:r>
      <w:r w:rsidRPr="00621959">
        <w:rPr>
          <w:rFonts w:ascii="David" w:hAnsi="David"/>
          <w:b/>
          <w:rtl/>
          <w:lang w:eastAsia="he-IL"/>
        </w:rPr>
        <w:t xml:space="preserve"> הורשע נאשם בביצוע מספר עבירות של החזקת סם מסוכן מסוג חשיש לצריכה עצמית ונדון ל-6 חודשי מאסר בפועל לצד ענישה נלווית. כמו כן, הופעל מאסר מותנה בן 4 חודשים אשר נקבע כי ירוצה חציו בחופף וחציו במצטבר. ערעורו של הנאשם נדחה.</w:t>
      </w:r>
    </w:p>
    <w:p w14:paraId="55FB36DE" w14:textId="77777777" w:rsidR="00BC040C" w:rsidRPr="00621959" w:rsidRDefault="00BC040C" w:rsidP="00BC040C">
      <w:pPr>
        <w:spacing w:line="360" w:lineRule="auto"/>
        <w:contextualSpacing/>
        <w:jc w:val="both"/>
        <w:rPr>
          <w:rFonts w:ascii="David" w:hAnsi="David"/>
          <w:rtl/>
        </w:rPr>
      </w:pPr>
      <w:r w:rsidRPr="00621959">
        <w:rPr>
          <w:b/>
          <w:bCs/>
          <w:rtl/>
        </w:rPr>
        <w:t>ב</w:t>
      </w:r>
      <w:r w:rsidRPr="00621959">
        <w:rPr>
          <w:rtl/>
        </w:rPr>
        <w:t>.</w:t>
      </w:r>
      <w:r w:rsidRPr="00621959">
        <w:rPr>
          <w:rFonts w:ascii="David" w:hAnsi="David"/>
          <w:bCs/>
          <w:rtl/>
          <w:lang w:eastAsia="he-IL"/>
        </w:rPr>
        <w:t xml:space="preserve"> </w:t>
      </w:r>
      <w:r w:rsidRPr="00621959">
        <w:rPr>
          <w:rFonts w:ascii="David" w:hAnsi="David"/>
          <w:b/>
          <w:rtl/>
          <w:lang w:eastAsia="he-IL"/>
        </w:rPr>
        <w:t>ב</w:t>
      </w:r>
      <w:hyperlink r:id="rId27" w:history="1">
        <w:r w:rsidR="00EB5746" w:rsidRPr="00EB5746">
          <w:rPr>
            <w:rFonts w:ascii="David" w:hAnsi="David"/>
            <w:bCs/>
            <w:color w:val="0000FF"/>
            <w:u w:val="single"/>
            <w:rtl/>
            <w:lang w:eastAsia="he-IL"/>
          </w:rPr>
          <w:t>ת"פ (מחוזי מרכז) 32746-11-09</w:t>
        </w:r>
      </w:hyperlink>
      <w:r w:rsidRPr="00621959">
        <w:rPr>
          <w:rFonts w:ascii="David" w:hAnsi="David"/>
          <w:bCs/>
          <w:rtl/>
          <w:lang w:eastAsia="he-IL"/>
        </w:rPr>
        <w:t xml:space="preserve"> מדינת ישראל נגד ביטון ואח' (16/05/10)</w:t>
      </w:r>
      <w:r w:rsidRPr="00621959">
        <w:rPr>
          <w:rFonts w:ascii="David" w:hAnsi="David"/>
          <w:b/>
          <w:rtl/>
          <w:lang w:eastAsia="he-IL"/>
        </w:rPr>
        <w:t xml:space="preserve"> נאשם 2, נעדר עבר פלילי, הורשע בביצוע עבירת החזקת קנבוס במשקל של כ-18 גרם. הנאשם נדון למאסר בפועל החופף את תקופת מעצרו, וזאת למשך חודשיים ושבוע, ולצד ענישה נלווית. </w:t>
      </w:r>
    </w:p>
    <w:p w14:paraId="2174C183" w14:textId="77777777" w:rsidR="00BC040C" w:rsidRPr="00621959" w:rsidRDefault="00BC040C" w:rsidP="00BC040C">
      <w:pPr>
        <w:spacing w:line="360" w:lineRule="auto"/>
        <w:contextualSpacing/>
        <w:jc w:val="both"/>
        <w:rPr>
          <w:rFonts w:ascii="Arial" w:hAnsi="Arial"/>
          <w:b/>
          <w:bCs/>
          <w:rtl/>
        </w:rPr>
      </w:pPr>
      <w:r w:rsidRPr="00621959">
        <w:rPr>
          <w:b/>
          <w:bCs/>
          <w:rtl/>
        </w:rPr>
        <w:t xml:space="preserve">ג. </w:t>
      </w:r>
      <w:r w:rsidRPr="00621959">
        <w:rPr>
          <w:rFonts w:ascii="Arial" w:hAnsi="Arial"/>
          <w:rtl/>
        </w:rPr>
        <w:t>ב</w:t>
      </w:r>
      <w:hyperlink r:id="rId28" w:history="1">
        <w:r w:rsidR="00EB5746" w:rsidRPr="00EB5746">
          <w:rPr>
            <w:rFonts w:ascii="Arial" w:hAnsi="Arial"/>
            <w:b/>
            <w:bCs/>
            <w:color w:val="0000FF"/>
            <w:u w:val="single"/>
            <w:rtl/>
          </w:rPr>
          <w:t>ת"פ 29688-08-17</w:t>
        </w:r>
      </w:hyperlink>
      <w:r w:rsidRPr="00621959">
        <w:rPr>
          <w:rFonts w:ascii="Arial" w:hAnsi="Arial"/>
          <w:rtl/>
        </w:rPr>
        <w:t xml:space="preserve"> </w:t>
      </w:r>
      <w:r w:rsidRPr="00621959">
        <w:rPr>
          <w:rFonts w:ascii="Arial" w:hAnsi="Arial"/>
          <w:b/>
          <w:bCs/>
          <w:rtl/>
        </w:rPr>
        <w:t xml:space="preserve">מדינת ישראל נגד עזרא (02/08/18) </w:t>
      </w:r>
      <w:r w:rsidRPr="00621959">
        <w:rPr>
          <w:rFonts w:ascii="Arial" w:hAnsi="Arial"/>
          <w:rtl/>
        </w:rPr>
        <w:t>הורשע נאשם בביצוע עבירת החזקת סם מסוכן מסוג חשיש במשקל של 10 גרם, וזאת לצריכתו העצמית. בית המשפט הורה על הארכת המאסר המותנה אשר היה תלוי ועומד כנגד הנאשם, וכן הטיל עליו פסילה בפועל למשך 24 חודשים, פסילה מותנית, קנס והתחייבות.</w:t>
      </w:r>
      <w:r w:rsidRPr="00621959">
        <w:rPr>
          <w:rFonts w:ascii="Arial" w:hAnsi="Arial"/>
          <w:b/>
          <w:bCs/>
          <w:rtl/>
        </w:rPr>
        <w:t xml:space="preserve"> </w:t>
      </w:r>
    </w:p>
    <w:p w14:paraId="1730706C" w14:textId="77777777" w:rsidR="00BC040C" w:rsidRPr="00621959" w:rsidRDefault="00BC040C" w:rsidP="00BC040C">
      <w:pPr>
        <w:shd w:val="clear" w:color="auto" w:fill="FFFFFF"/>
        <w:spacing w:line="360" w:lineRule="auto"/>
        <w:contextualSpacing/>
        <w:jc w:val="both"/>
        <w:rPr>
          <w:rFonts w:ascii="David" w:hAnsi="David"/>
          <w:rtl/>
        </w:rPr>
      </w:pPr>
      <w:r w:rsidRPr="00621959">
        <w:rPr>
          <w:b/>
          <w:bCs/>
          <w:rtl/>
        </w:rPr>
        <w:t xml:space="preserve">ד. </w:t>
      </w:r>
      <w:r w:rsidRPr="00621959">
        <w:rPr>
          <w:rtl/>
        </w:rPr>
        <w:t>ב</w:t>
      </w:r>
      <w:hyperlink r:id="rId29" w:history="1">
        <w:r w:rsidR="00EB5746" w:rsidRPr="00EB5746">
          <w:rPr>
            <w:rFonts w:ascii="David" w:hAnsi="David"/>
            <w:b/>
            <w:bCs/>
            <w:color w:val="0000FF"/>
            <w:u w:val="single"/>
            <w:rtl/>
            <w:lang w:eastAsia="he-IL"/>
          </w:rPr>
          <w:t>ת"פ (רחובות) 30653-04-12</w:t>
        </w:r>
      </w:hyperlink>
      <w:r w:rsidRPr="00621959">
        <w:rPr>
          <w:rFonts w:ascii="David" w:hAnsi="David"/>
          <w:rtl/>
          <w:lang w:eastAsia="he-IL"/>
        </w:rPr>
        <w:t xml:space="preserve"> </w:t>
      </w:r>
      <w:r w:rsidRPr="00621959">
        <w:rPr>
          <w:rFonts w:ascii="David" w:hAnsi="David" w:hint="cs"/>
          <w:b/>
          <w:bCs/>
          <w:rtl/>
          <w:lang w:eastAsia="he-IL"/>
        </w:rPr>
        <w:t>מדינת ישראל נגד הרמס (20/05/13)</w:t>
      </w:r>
      <w:r w:rsidRPr="00621959">
        <w:rPr>
          <w:rFonts w:ascii="David" w:hAnsi="David" w:hint="cs"/>
          <w:rtl/>
          <w:lang w:eastAsia="he-IL"/>
        </w:rPr>
        <w:t xml:space="preserve"> הורשע נאשם בהחזקת סם לצריכה עצמית מסוג חשיש במשקל 8.4 גרם. על הנאשם הוטלו צווי של"צ ומבחן ופסילה בפועל, וכן הוארך מאסר מותנה אשר היה תלוי ועומד כנגדו. </w:t>
      </w:r>
    </w:p>
    <w:p w14:paraId="38558AB2" w14:textId="77777777" w:rsidR="00BC040C" w:rsidRPr="00621959" w:rsidRDefault="00BC040C" w:rsidP="00BC040C">
      <w:pPr>
        <w:spacing w:line="360" w:lineRule="auto"/>
        <w:contextualSpacing/>
        <w:jc w:val="both"/>
        <w:rPr>
          <w:rFonts w:ascii="David" w:hAnsi="David"/>
          <w:rtl/>
        </w:rPr>
      </w:pPr>
      <w:r w:rsidRPr="00621959">
        <w:rPr>
          <w:rFonts w:ascii="David" w:hAnsi="David"/>
          <w:b/>
          <w:bCs/>
          <w:rtl/>
        </w:rPr>
        <w:t>ה.</w:t>
      </w:r>
      <w:r w:rsidRPr="00621959">
        <w:rPr>
          <w:rFonts w:ascii="David" w:hAnsi="David"/>
          <w:rtl/>
        </w:rPr>
        <w:t xml:space="preserve"> ב</w:t>
      </w:r>
      <w:hyperlink r:id="rId30" w:history="1">
        <w:r w:rsidR="00EB5746" w:rsidRPr="00EB5746">
          <w:rPr>
            <w:rFonts w:ascii="David" w:hAnsi="David"/>
            <w:b/>
            <w:bCs/>
            <w:color w:val="0000FF"/>
            <w:u w:val="single"/>
            <w:rtl/>
          </w:rPr>
          <w:t>ת"פ (בית שמש) 50810-12-10</w:t>
        </w:r>
      </w:hyperlink>
      <w:r w:rsidRPr="00621959">
        <w:rPr>
          <w:rFonts w:ascii="David" w:hAnsi="David"/>
          <w:b/>
          <w:bCs/>
          <w:rtl/>
        </w:rPr>
        <w:t xml:space="preserve"> מדינת ישראל נגד בראונשטיין (05/03/12) </w:t>
      </w:r>
      <w:r w:rsidRPr="00621959">
        <w:rPr>
          <w:rFonts w:ascii="David" w:hAnsi="David"/>
          <w:rtl/>
        </w:rPr>
        <w:t>הורשע נאשם, בעל עבר פלילי מכביד, בביצוע עבירת החזקת סם מסוג חשיש במשקל של 0.3 גרם לצריכתו העצמית. בית המשפט הפעיל מאסר מותנה בן 6 חודשים שהוטל על הנאשם במסגרת תיק אחר, וכן הטיל עליו מאסר מותנה.</w:t>
      </w:r>
    </w:p>
    <w:p w14:paraId="44B68FA0" w14:textId="77777777" w:rsidR="00BC040C" w:rsidRPr="00621959" w:rsidRDefault="00BC040C" w:rsidP="00BC040C">
      <w:pPr>
        <w:shd w:val="clear" w:color="auto" w:fill="FFFFFF"/>
        <w:spacing w:line="360" w:lineRule="auto"/>
        <w:contextualSpacing/>
        <w:jc w:val="both"/>
        <w:rPr>
          <w:rFonts w:ascii="David" w:hAnsi="David"/>
          <w:rtl/>
        </w:rPr>
      </w:pPr>
      <w:r w:rsidRPr="00621959">
        <w:rPr>
          <w:rFonts w:ascii="David" w:hAnsi="David"/>
          <w:bCs/>
          <w:rtl/>
          <w:lang w:eastAsia="he-IL"/>
        </w:rPr>
        <w:t xml:space="preserve">ו. </w:t>
      </w:r>
      <w:r w:rsidRPr="00621959">
        <w:rPr>
          <w:rFonts w:ascii="David" w:hAnsi="David"/>
          <w:b/>
          <w:rtl/>
          <w:lang w:eastAsia="he-IL"/>
        </w:rPr>
        <w:t>ב</w:t>
      </w:r>
      <w:hyperlink r:id="rId31" w:history="1">
        <w:r w:rsidR="00EB5746" w:rsidRPr="00EB5746">
          <w:rPr>
            <w:rFonts w:ascii="David" w:hAnsi="David"/>
            <w:bCs/>
            <w:color w:val="0000FF"/>
            <w:u w:val="single"/>
            <w:rtl/>
            <w:lang w:eastAsia="he-IL"/>
          </w:rPr>
          <w:t>ת"פ (עכו) 4864-05-11</w:t>
        </w:r>
      </w:hyperlink>
      <w:r w:rsidRPr="00621959">
        <w:rPr>
          <w:rFonts w:ascii="David" w:hAnsi="David"/>
          <w:b/>
          <w:rtl/>
          <w:lang w:eastAsia="he-IL"/>
        </w:rPr>
        <w:t xml:space="preserve"> </w:t>
      </w:r>
      <w:r w:rsidRPr="00621959">
        <w:rPr>
          <w:rFonts w:ascii="David" w:hAnsi="David"/>
          <w:bCs/>
          <w:rtl/>
          <w:lang w:eastAsia="he-IL"/>
        </w:rPr>
        <w:t>מדינת ישראל נגד גבריס (18/01/12)</w:t>
      </w:r>
      <w:r w:rsidRPr="00621959">
        <w:rPr>
          <w:rFonts w:ascii="David" w:hAnsi="David"/>
          <w:b/>
          <w:rtl/>
          <w:lang w:eastAsia="he-IL"/>
        </w:rPr>
        <w:t xml:space="preserve"> הורשע נאשם בהחזקת סמים מסוג חשיש במשקל 3.99 גרם, וזאת לצריכתו העצמית. על הנאשם הוטלו מאסר מותנה לצד ענישה נלווית.</w:t>
      </w:r>
    </w:p>
    <w:p w14:paraId="2AB0D979" w14:textId="77777777" w:rsidR="00BC040C" w:rsidRPr="00621959" w:rsidRDefault="00BC040C" w:rsidP="00BC040C">
      <w:pPr>
        <w:spacing w:line="360" w:lineRule="auto"/>
        <w:contextualSpacing/>
        <w:jc w:val="both"/>
        <w:rPr>
          <w:rFonts w:ascii="David" w:hAnsi="David"/>
          <w:rtl/>
        </w:rPr>
      </w:pPr>
    </w:p>
    <w:p w14:paraId="5D93C375" w14:textId="77777777" w:rsidR="00BC040C" w:rsidRPr="00621959" w:rsidRDefault="00BC040C" w:rsidP="00BC040C">
      <w:pPr>
        <w:spacing w:line="360" w:lineRule="auto"/>
        <w:contextualSpacing/>
        <w:jc w:val="both"/>
        <w:rPr>
          <w:rFonts w:ascii="Calibri" w:hAnsi="Calibri"/>
          <w:color w:val="000000"/>
          <w:rtl/>
        </w:rPr>
      </w:pPr>
      <w:r w:rsidRPr="00621959">
        <w:rPr>
          <w:rFonts w:ascii="Calibri" w:hAnsi="Calibri"/>
          <w:b/>
          <w:bCs/>
          <w:rtl/>
        </w:rPr>
        <w:t xml:space="preserve">14. </w:t>
      </w:r>
      <w:r w:rsidRPr="00621959">
        <w:rPr>
          <w:rFonts w:ascii="Calibri" w:hAnsi="Calibri"/>
          <w:rtl/>
        </w:rPr>
        <w:t>באשר</w:t>
      </w:r>
      <w:r w:rsidRPr="00621959">
        <w:rPr>
          <w:rFonts w:ascii="Calibri" w:hAnsi="Calibri"/>
          <w:b/>
          <w:bCs/>
          <w:rtl/>
        </w:rPr>
        <w:t xml:space="preserve"> </w:t>
      </w:r>
      <w:r w:rsidRPr="00621959">
        <w:rPr>
          <w:rFonts w:ascii="Calibri" w:hAnsi="Calibri"/>
          <w:rtl/>
        </w:rPr>
        <w:t>ל</w:t>
      </w:r>
      <w:r w:rsidRPr="00621959">
        <w:rPr>
          <w:rFonts w:ascii="Calibri" w:hAnsi="Calibri"/>
          <w:b/>
          <w:bCs/>
          <w:rtl/>
        </w:rPr>
        <w:t xml:space="preserve">נסיבות הקשורות בביצוע עבירת הסמים </w:t>
      </w:r>
      <w:r w:rsidRPr="00621959">
        <w:rPr>
          <w:rFonts w:ascii="Calibri" w:hAnsi="Calibri"/>
          <w:rtl/>
        </w:rPr>
        <w:t xml:space="preserve">יש לתת את הדעת לכך שהנאשם החזיק 5 מנות נפרדות של סם, מסוג נייס גאי, בביתו.  </w:t>
      </w:r>
    </w:p>
    <w:p w14:paraId="08BE4ACE" w14:textId="77777777" w:rsidR="00BC040C" w:rsidRPr="00621959" w:rsidRDefault="00BC040C" w:rsidP="00BC040C">
      <w:pPr>
        <w:spacing w:line="360" w:lineRule="auto"/>
        <w:contextualSpacing/>
        <w:jc w:val="both"/>
        <w:rPr>
          <w:rFonts w:ascii="David" w:hAnsi="David"/>
          <w:rtl/>
        </w:rPr>
      </w:pPr>
    </w:p>
    <w:p w14:paraId="07487883" w14:textId="77777777" w:rsidR="00BC040C" w:rsidRPr="00621959" w:rsidRDefault="00BC040C" w:rsidP="00BC040C">
      <w:pPr>
        <w:spacing w:line="360" w:lineRule="auto"/>
        <w:contextualSpacing/>
        <w:jc w:val="both"/>
        <w:rPr>
          <w:rFonts w:ascii="Calibri" w:hAnsi="Calibri"/>
        </w:rPr>
      </w:pPr>
      <w:r w:rsidRPr="00621959">
        <w:rPr>
          <w:rFonts w:ascii="David" w:hAnsi="David"/>
          <w:b/>
          <w:bCs/>
          <w:rtl/>
        </w:rPr>
        <w:t>15</w:t>
      </w:r>
      <w:r w:rsidRPr="00621959">
        <w:rPr>
          <w:rFonts w:ascii="David" w:hAnsi="David"/>
          <w:rtl/>
        </w:rPr>
        <w:t xml:space="preserve">. </w:t>
      </w:r>
      <w:r w:rsidRPr="00621959">
        <w:rPr>
          <w:rFonts w:ascii="Calibri" w:hAnsi="Calibri"/>
          <w:rtl/>
        </w:rPr>
        <w:t>בהתאם ל</w:t>
      </w:r>
      <w:r w:rsidRPr="00621959">
        <w:rPr>
          <w:rFonts w:ascii="Calibri" w:hAnsi="Calibri"/>
          <w:b/>
          <w:bCs/>
          <w:rtl/>
        </w:rPr>
        <w:t>תיקון 113 ל</w:t>
      </w:r>
      <w:hyperlink r:id="rId32" w:history="1">
        <w:r w:rsidR="00EB5746" w:rsidRPr="00EB5746">
          <w:rPr>
            <w:rFonts w:ascii="Calibri" w:hAnsi="Calibri" w:hint="eastAsia"/>
            <w:b/>
            <w:bCs/>
            <w:color w:val="0000FF"/>
            <w:u w:val="single"/>
            <w:rtl/>
          </w:rPr>
          <w:t>חוק</w:t>
        </w:r>
        <w:r w:rsidR="00EB5746" w:rsidRPr="00EB5746">
          <w:rPr>
            <w:rFonts w:ascii="Calibri" w:hAnsi="Calibri"/>
            <w:b/>
            <w:bCs/>
            <w:color w:val="0000FF"/>
            <w:u w:val="single"/>
            <w:rtl/>
          </w:rPr>
          <w:t xml:space="preserve"> </w:t>
        </w:r>
        <w:r w:rsidR="00EB5746" w:rsidRPr="00EB5746">
          <w:rPr>
            <w:rFonts w:ascii="Calibri" w:hAnsi="Calibri" w:hint="eastAsia"/>
            <w:b/>
            <w:bCs/>
            <w:color w:val="0000FF"/>
            <w:u w:val="single"/>
            <w:rtl/>
          </w:rPr>
          <w:t>העונשין</w:t>
        </w:r>
      </w:hyperlink>
      <w:r w:rsidRPr="00621959">
        <w:rPr>
          <w:rFonts w:ascii="Calibri" w:hAnsi="Calibri"/>
          <w:b/>
          <w:bCs/>
          <w:rtl/>
        </w:rPr>
        <w:t xml:space="preserve"> </w:t>
      </w:r>
      <w:r w:rsidRPr="00621959">
        <w:rPr>
          <w:rFonts w:ascii="Calibri" w:hAnsi="Calibri"/>
          <w:rtl/>
        </w:rPr>
        <w:t>(</w:t>
      </w:r>
      <w:r w:rsidRPr="00621959">
        <w:rPr>
          <w:rFonts w:ascii="Calibri" w:hAnsi="Calibri"/>
          <w:b/>
          <w:bCs/>
          <w:rtl/>
        </w:rPr>
        <w:t xml:space="preserve">סעיף </w:t>
      </w:r>
      <w:hyperlink r:id="rId33" w:history="1">
        <w:r w:rsidR="00536288" w:rsidRPr="00536288">
          <w:rPr>
            <w:rStyle w:val="Hyperlink"/>
            <w:rFonts w:ascii="Calibri" w:hAnsi="Calibri"/>
            <w:b/>
            <w:bCs/>
            <w:rtl/>
          </w:rPr>
          <w:t xml:space="preserve">40 </w:t>
        </w:r>
        <w:r w:rsidR="00536288" w:rsidRPr="00536288">
          <w:rPr>
            <w:rStyle w:val="Hyperlink"/>
            <w:rFonts w:ascii="Calibri" w:hAnsi="Calibri" w:hint="eastAsia"/>
            <w:b/>
            <w:bCs/>
            <w:rtl/>
          </w:rPr>
          <w:t>יג</w:t>
        </w:r>
      </w:hyperlink>
      <w:r w:rsidRPr="00621959">
        <w:rPr>
          <w:rFonts w:ascii="Calibri" w:hAnsi="Calibri"/>
          <w:rtl/>
        </w:rPr>
        <w:t xml:space="preserve">) </w:t>
      </w:r>
      <w:r w:rsidRPr="00621959">
        <w:rPr>
          <w:rFonts w:ascii="David" w:hAnsi="David"/>
          <w:rtl/>
        </w:rPr>
        <w:t xml:space="preserve">אני קובעת כי </w:t>
      </w:r>
      <w:r w:rsidRPr="00621959">
        <w:rPr>
          <w:rFonts w:ascii="David" w:hAnsi="David"/>
          <w:b/>
          <w:bCs/>
          <w:rtl/>
        </w:rPr>
        <w:t xml:space="preserve">מתחם העונש ההולם </w:t>
      </w:r>
      <w:r w:rsidRPr="00621959">
        <w:rPr>
          <w:rFonts w:ascii="David" w:hAnsi="David"/>
          <w:rtl/>
        </w:rPr>
        <w:t xml:space="preserve">בגין עבירת החזקת הסם לצריכה עצמית נע ממאסר מותנה ועד למאסר קצר שיכול וירוצה בעבודות </w:t>
      </w:r>
      <w:r w:rsidRPr="00621959">
        <w:rPr>
          <w:rtl/>
        </w:rPr>
        <w:t>שירות.</w:t>
      </w:r>
    </w:p>
    <w:p w14:paraId="0243EB7F" w14:textId="77777777" w:rsidR="00BC040C" w:rsidRPr="00621959" w:rsidRDefault="00BC040C" w:rsidP="00BC040C">
      <w:pPr>
        <w:spacing w:line="360" w:lineRule="auto"/>
        <w:contextualSpacing/>
        <w:jc w:val="both"/>
        <w:rPr>
          <w:rFonts w:ascii="Calibri" w:hAnsi="Calibri"/>
        </w:rPr>
      </w:pPr>
    </w:p>
    <w:p w14:paraId="02AE1991" w14:textId="77777777" w:rsidR="00BC040C" w:rsidRPr="00621959" w:rsidRDefault="00BC040C" w:rsidP="00BC040C">
      <w:pPr>
        <w:spacing w:line="360" w:lineRule="auto"/>
        <w:contextualSpacing/>
        <w:jc w:val="both"/>
        <w:rPr>
          <w:b/>
          <w:rtl/>
          <w:lang w:eastAsia="he-IL"/>
        </w:rPr>
      </w:pPr>
      <w:r w:rsidRPr="00621959">
        <w:rPr>
          <w:bCs/>
          <w:rtl/>
          <w:lang w:eastAsia="he-IL"/>
        </w:rPr>
        <w:t>16</w:t>
      </w:r>
      <w:r w:rsidRPr="00621959">
        <w:rPr>
          <w:b/>
          <w:rtl/>
          <w:lang w:eastAsia="he-IL"/>
        </w:rPr>
        <w:t xml:space="preserve">. בחינת </w:t>
      </w:r>
      <w:r w:rsidRPr="00621959">
        <w:rPr>
          <w:bCs/>
          <w:rtl/>
          <w:lang w:eastAsia="he-IL"/>
        </w:rPr>
        <w:t>מדיניות הענישה הנוהגת</w:t>
      </w:r>
      <w:r w:rsidRPr="00621959">
        <w:rPr>
          <w:b/>
          <w:rtl/>
          <w:lang w:eastAsia="he-IL"/>
        </w:rPr>
        <w:t xml:space="preserve"> בגין עבירת החזקת הסכין מעלה כי במקרים דומים הוטלו על נאשמים עונשים כמפורט להלן:  </w:t>
      </w:r>
    </w:p>
    <w:p w14:paraId="6C178C84" w14:textId="77777777" w:rsidR="00BC040C" w:rsidRPr="00621959" w:rsidRDefault="00BC040C" w:rsidP="00BC040C">
      <w:pPr>
        <w:spacing w:line="360" w:lineRule="auto"/>
        <w:jc w:val="both"/>
        <w:rPr>
          <w:rFonts w:ascii="Calibri" w:hAnsi="Calibri"/>
          <w:b/>
          <w:bCs/>
        </w:rPr>
      </w:pPr>
      <w:r w:rsidRPr="00621959">
        <w:rPr>
          <w:rFonts w:ascii="Calibri" w:hAnsi="Calibri"/>
          <w:b/>
          <w:bCs/>
          <w:rtl/>
        </w:rPr>
        <w:t xml:space="preserve">א. </w:t>
      </w:r>
      <w:r w:rsidRPr="00621959">
        <w:rPr>
          <w:rFonts w:ascii="Calibri" w:hAnsi="Calibri"/>
          <w:rtl/>
        </w:rPr>
        <w:t>ב</w:t>
      </w:r>
      <w:hyperlink r:id="rId34" w:history="1">
        <w:r w:rsidR="00EB5746" w:rsidRPr="00EB5746">
          <w:rPr>
            <w:rFonts w:ascii="Calibri" w:hAnsi="Calibri" w:hint="eastAsia"/>
            <w:b/>
            <w:bCs/>
            <w:color w:val="0000FF"/>
            <w:u w:val="single"/>
            <w:rtl/>
          </w:rPr>
          <w:t>רע</w:t>
        </w:r>
        <w:r w:rsidR="00EB5746" w:rsidRPr="00EB5746">
          <w:rPr>
            <w:rFonts w:ascii="Calibri" w:hAnsi="Calibri"/>
            <w:b/>
            <w:bCs/>
            <w:color w:val="0000FF"/>
            <w:u w:val="single"/>
            <w:rtl/>
          </w:rPr>
          <w:t>"</w:t>
        </w:r>
        <w:r w:rsidR="00EB5746" w:rsidRPr="00EB5746">
          <w:rPr>
            <w:rFonts w:ascii="Calibri" w:hAnsi="Calibri" w:hint="eastAsia"/>
            <w:b/>
            <w:bCs/>
            <w:color w:val="0000FF"/>
            <w:u w:val="single"/>
            <w:rtl/>
          </w:rPr>
          <w:t>פ</w:t>
        </w:r>
        <w:r w:rsidR="00EB5746" w:rsidRPr="00EB5746">
          <w:rPr>
            <w:rFonts w:ascii="Calibri" w:hAnsi="Calibri"/>
            <w:b/>
            <w:bCs/>
            <w:color w:val="0000FF"/>
            <w:u w:val="single"/>
            <w:rtl/>
          </w:rPr>
          <w:t xml:space="preserve"> 3676/15</w:t>
        </w:r>
      </w:hyperlink>
      <w:r w:rsidRPr="00621959">
        <w:rPr>
          <w:rFonts w:ascii="Calibri" w:hAnsi="Calibri"/>
          <w:b/>
          <w:bCs/>
          <w:rtl/>
        </w:rPr>
        <w:t xml:space="preserve"> מחאגנה נגד מדינת ישראל (08/06/15)</w:t>
      </w:r>
      <w:r w:rsidRPr="00621959">
        <w:rPr>
          <w:rFonts w:ascii="Calibri" w:hAnsi="Calibri"/>
          <w:rtl/>
        </w:rPr>
        <w:t>,</w:t>
      </w:r>
      <w:r w:rsidRPr="00621959">
        <w:rPr>
          <w:rFonts w:ascii="Calibri" w:eastAsia="Calibri" w:hAnsi="Calibri" w:cs="Arial"/>
          <w:sz w:val="22"/>
          <w:szCs w:val="22"/>
          <w:rtl/>
        </w:rPr>
        <w:t xml:space="preserve"> </w:t>
      </w:r>
      <w:r w:rsidRPr="00621959">
        <w:rPr>
          <w:rFonts w:ascii="Calibri" w:hAnsi="Calibri"/>
          <w:rtl/>
        </w:rPr>
        <w:t>בית המשפט העליון דחה את בקשת הערעור של המבקש, אשר הורשע, בהתאם להודאתו, בביצוע עבירת החזקת סכין בין כותלי הכלא. בית משפט השלום קבע מתחם ענישה הנע בין מספר חודשי מאסר בפועל שניתן לרצות בעבודות שירות ועד ל-12 חודשי מאסר בפועל, והטיל על הנאשם, בין היתר, 6 חודשי מאסר בפועל לריצוי בחופף למאסר מותנה אשר הופעל. הערעור לבית המשפט המחוזי נדחה, וכך כאמור גם הבקשה לרשות ערעור.</w:t>
      </w:r>
    </w:p>
    <w:p w14:paraId="5E76A7AC" w14:textId="77777777" w:rsidR="00BC040C" w:rsidRPr="00621959" w:rsidRDefault="00BC040C" w:rsidP="00BC040C">
      <w:pPr>
        <w:spacing w:line="360" w:lineRule="auto"/>
        <w:jc w:val="both"/>
        <w:rPr>
          <w:rFonts w:ascii="Calibri" w:hAnsi="Calibri"/>
        </w:rPr>
      </w:pPr>
      <w:r w:rsidRPr="00621959">
        <w:rPr>
          <w:rFonts w:ascii="Calibri" w:hAnsi="Calibri"/>
          <w:b/>
          <w:bCs/>
          <w:rtl/>
        </w:rPr>
        <w:t xml:space="preserve">ב. </w:t>
      </w:r>
      <w:r w:rsidRPr="00621959">
        <w:rPr>
          <w:rFonts w:ascii="Calibri" w:eastAsia="Calibri" w:hAnsi="Calibri"/>
          <w:rtl/>
        </w:rPr>
        <w:t>ב</w:t>
      </w:r>
      <w:hyperlink r:id="rId35" w:history="1">
        <w:r w:rsidR="00EB5746" w:rsidRPr="00EB5746">
          <w:rPr>
            <w:rFonts w:ascii="Calibri" w:hAnsi="Calibri" w:hint="eastAsia"/>
            <w:b/>
            <w:bCs/>
            <w:color w:val="0000FF"/>
            <w:u w:val="single"/>
            <w:rtl/>
          </w:rPr>
          <w:t>רע</w:t>
        </w:r>
        <w:r w:rsidR="00EB5746" w:rsidRPr="00EB5746">
          <w:rPr>
            <w:rFonts w:ascii="Calibri" w:hAnsi="Calibri"/>
            <w:b/>
            <w:bCs/>
            <w:color w:val="0000FF"/>
            <w:u w:val="single"/>
            <w:rtl/>
          </w:rPr>
          <w:t>"</w:t>
        </w:r>
        <w:r w:rsidR="00EB5746" w:rsidRPr="00EB5746">
          <w:rPr>
            <w:rFonts w:ascii="Calibri" w:hAnsi="Calibri" w:hint="eastAsia"/>
            <w:b/>
            <w:bCs/>
            <w:color w:val="0000FF"/>
            <w:u w:val="single"/>
            <w:rtl/>
          </w:rPr>
          <w:t>פ</w:t>
        </w:r>
        <w:r w:rsidR="00EB5746" w:rsidRPr="00EB5746">
          <w:rPr>
            <w:rFonts w:ascii="Calibri" w:hAnsi="Calibri"/>
            <w:b/>
            <w:bCs/>
            <w:color w:val="0000FF"/>
            <w:u w:val="single"/>
            <w:rtl/>
          </w:rPr>
          <w:t xml:space="preserve"> 2932/08</w:t>
        </w:r>
      </w:hyperlink>
      <w:r w:rsidRPr="00621959">
        <w:rPr>
          <w:rFonts w:ascii="Calibri" w:hAnsi="Calibri"/>
          <w:rtl/>
        </w:rPr>
        <w:t xml:space="preserve"> </w:t>
      </w:r>
      <w:r w:rsidRPr="00621959">
        <w:rPr>
          <w:rFonts w:ascii="Calibri" w:hAnsi="Calibri" w:hint="cs"/>
          <w:b/>
          <w:bCs/>
          <w:rtl/>
        </w:rPr>
        <w:t>מרגאן נגד מדינת ישראל (12/06/08)</w:t>
      </w:r>
      <w:r w:rsidRPr="00621959">
        <w:rPr>
          <w:rFonts w:ascii="Calibri" w:hAnsi="Calibri" w:hint="cs"/>
          <w:rtl/>
        </w:rPr>
        <w:t>,</w:t>
      </w:r>
      <w:r w:rsidRPr="00621959">
        <w:rPr>
          <w:sz w:val="26"/>
          <w:rtl/>
        </w:rPr>
        <w:t xml:space="preserve"> </w:t>
      </w:r>
      <w:r w:rsidRPr="00621959">
        <w:rPr>
          <w:rFonts w:ascii="Calibri" w:hAnsi="Calibri"/>
          <w:rtl/>
        </w:rPr>
        <w:t>בית המשפט העליון דחה את בקשת רשות הערעור של המבקש על גזר דינו של בית המשפט המחוזי, אשר הותיר על כנה את החלטת בית משפט השלום להרשיע את הנאשם ולהטיל עליו, בין היתר, חודשיים מאסר בפועל בגין ביצוע עבירת החזקת סכין.</w:t>
      </w:r>
    </w:p>
    <w:p w14:paraId="090B5046" w14:textId="77777777" w:rsidR="00BC040C" w:rsidRPr="00621959" w:rsidRDefault="00BC040C" w:rsidP="00BC040C">
      <w:pPr>
        <w:spacing w:line="360" w:lineRule="auto"/>
        <w:jc w:val="both"/>
        <w:rPr>
          <w:rFonts w:ascii="Calibri" w:hAnsi="Calibri"/>
        </w:rPr>
      </w:pPr>
      <w:r w:rsidRPr="00621959">
        <w:rPr>
          <w:rFonts w:ascii="Calibri" w:eastAsia="Calibri" w:hAnsi="Calibri"/>
          <w:b/>
          <w:bCs/>
          <w:rtl/>
        </w:rPr>
        <w:t>ג.</w:t>
      </w:r>
      <w:r w:rsidRPr="00621959">
        <w:rPr>
          <w:rFonts w:ascii="Calibri" w:eastAsia="Calibri" w:hAnsi="Calibri"/>
          <w:rtl/>
        </w:rPr>
        <w:t xml:space="preserve"> ב</w:t>
      </w:r>
      <w:hyperlink r:id="rId36" w:history="1">
        <w:r w:rsidR="00EB5746" w:rsidRPr="00EB5746">
          <w:rPr>
            <w:rFonts w:ascii="Calibri" w:hAnsi="Calibri" w:hint="eastAsia"/>
            <w:b/>
            <w:bCs/>
            <w:color w:val="0000FF"/>
            <w:u w:val="single"/>
            <w:rtl/>
          </w:rPr>
          <w:t>רע</w:t>
        </w:r>
        <w:r w:rsidR="00EB5746" w:rsidRPr="00EB5746">
          <w:rPr>
            <w:rFonts w:ascii="Calibri" w:hAnsi="Calibri"/>
            <w:b/>
            <w:bCs/>
            <w:color w:val="0000FF"/>
            <w:u w:val="single"/>
            <w:rtl/>
          </w:rPr>
          <w:t>"</w:t>
        </w:r>
        <w:r w:rsidR="00EB5746" w:rsidRPr="00EB5746">
          <w:rPr>
            <w:rFonts w:ascii="Calibri" w:hAnsi="Calibri" w:hint="eastAsia"/>
            <w:b/>
            <w:bCs/>
            <w:color w:val="0000FF"/>
            <w:u w:val="single"/>
            <w:rtl/>
          </w:rPr>
          <w:t>פ</w:t>
        </w:r>
        <w:r w:rsidR="00EB5746" w:rsidRPr="00EB5746">
          <w:rPr>
            <w:rFonts w:ascii="Calibri" w:hAnsi="Calibri"/>
            <w:b/>
            <w:bCs/>
            <w:color w:val="0000FF"/>
            <w:u w:val="single"/>
            <w:rtl/>
          </w:rPr>
          <w:t xml:space="preserve"> 9400/08</w:t>
        </w:r>
      </w:hyperlink>
      <w:r w:rsidRPr="00621959">
        <w:rPr>
          <w:rFonts w:ascii="Calibri" w:hAnsi="Calibri"/>
          <w:rtl/>
        </w:rPr>
        <w:t xml:space="preserve"> </w:t>
      </w:r>
      <w:r w:rsidRPr="00621959">
        <w:rPr>
          <w:rFonts w:ascii="Calibri" w:hAnsi="Calibri" w:hint="cs"/>
          <w:b/>
          <w:bCs/>
          <w:rtl/>
        </w:rPr>
        <w:t>מועטי נגד מדינת ישראל (20/11/08)</w:t>
      </w:r>
      <w:r w:rsidRPr="00621959">
        <w:rPr>
          <w:rFonts w:ascii="Calibri" w:hAnsi="Calibri" w:hint="cs"/>
          <w:rtl/>
        </w:rPr>
        <w:t xml:space="preserve"> דחה בית המשפט העליון את בקשת רשות הערעור של המבקש, אשר בגין ביצוע עבירת החזקת סכין הוטל עליו, בין היתר, מאסר בפועל למשך חודשיים ובית המשפט המחוזי דחה את ערעורו.</w:t>
      </w:r>
    </w:p>
    <w:p w14:paraId="1213384B" w14:textId="77777777" w:rsidR="00BC040C" w:rsidRPr="00621959" w:rsidRDefault="00BC040C" w:rsidP="00BC040C">
      <w:pPr>
        <w:spacing w:line="360" w:lineRule="auto"/>
        <w:jc w:val="both"/>
        <w:rPr>
          <w:rFonts w:ascii="Calibri" w:hAnsi="Calibri"/>
        </w:rPr>
      </w:pPr>
      <w:r w:rsidRPr="00621959">
        <w:rPr>
          <w:rFonts w:ascii="Calibri" w:hAnsi="Calibri"/>
          <w:b/>
          <w:bCs/>
          <w:rtl/>
        </w:rPr>
        <w:t>ד.</w:t>
      </w:r>
      <w:r w:rsidRPr="00621959">
        <w:rPr>
          <w:rFonts w:ascii="Calibri" w:hAnsi="Calibri"/>
          <w:rtl/>
        </w:rPr>
        <w:t xml:space="preserve"> ב</w:t>
      </w:r>
      <w:hyperlink r:id="rId37" w:history="1">
        <w:r w:rsidR="00EB5746" w:rsidRPr="00EB5746">
          <w:rPr>
            <w:rFonts w:ascii="Calibri" w:hAnsi="Calibri" w:hint="eastAsia"/>
            <w:b/>
            <w:bCs/>
            <w:color w:val="0000FF"/>
            <w:u w:val="single"/>
            <w:rtl/>
          </w:rPr>
          <w:t>ת</w:t>
        </w:r>
        <w:r w:rsidR="00EB5746" w:rsidRPr="00EB5746">
          <w:rPr>
            <w:rFonts w:ascii="Calibri" w:hAnsi="Calibri"/>
            <w:b/>
            <w:bCs/>
            <w:color w:val="0000FF"/>
            <w:u w:val="single"/>
            <w:rtl/>
          </w:rPr>
          <w:t>"</w:t>
        </w:r>
        <w:r w:rsidR="00EB5746" w:rsidRPr="00EB5746">
          <w:rPr>
            <w:rFonts w:ascii="Calibri" w:hAnsi="Calibri" w:hint="eastAsia"/>
            <w:b/>
            <w:bCs/>
            <w:color w:val="0000FF"/>
            <w:u w:val="single"/>
            <w:rtl/>
          </w:rPr>
          <w:t>פ</w:t>
        </w:r>
        <w:r w:rsidR="00EB5746" w:rsidRPr="00EB5746">
          <w:rPr>
            <w:rFonts w:ascii="Calibri" w:hAnsi="Calibri"/>
            <w:b/>
            <w:bCs/>
            <w:color w:val="0000FF"/>
            <w:u w:val="single"/>
            <w:rtl/>
          </w:rPr>
          <w:t xml:space="preserve"> (</w:t>
        </w:r>
        <w:r w:rsidR="00EB5746" w:rsidRPr="00EB5746">
          <w:rPr>
            <w:rFonts w:ascii="Calibri" w:hAnsi="Calibri" w:hint="eastAsia"/>
            <w:b/>
            <w:bCs/>
            <w:color w:val="0000FF"/>
            <w:u w:val="single"/>
            <w:rtl/>
          </w:rPr>
          <w:t>נתניה</w:t>
        </w:r>
        <w:r w:rsidR="00EB5746" w:rsidRPr="00EB5746">
          <w:rPr>
            <w:rFonts w:ascii="Calibri" w:hAnsi="Calibri"/>
            <w:b/>
            <w:bCs/>
            <w:color w:val="0000FF"/>
            <w:u w:val="single"/>
            <w:rtl/>
          </w:rPr>
          <w:t>) 45574-06-18</w:t>
        </w:r>
      </w:hyperlink>
      <w:r w:rsidRPr="00621959">
        <w:rPr>
          <w:rFonts w:ascii="Calibri" w:hAnsi="Calibri"/>
          <w:b/>
          <w:bCs/>
          <w:rtl/>
        </w:rPr>
        <w:t xml:space="preserve"> מדינת ישראל נגד סחאר (02/03/21), </w:t>
      </w:r>
      <w:r w:rsidRPr="00621959">
        <w:rPr>
          <w:rFonts w:ascii="Calibri" w:hAnsi="Calibri"/>
          <w:rtl/>
        </w:rPr>
        <w:t>אליו הפנתה ב"כ המאשימה, הורשע נאשם בהחזקת סכין יפני בבית סוהר. בית המשפט קבע מתחם ענישה הנע בין 4-12 חודשי מאסר בפועל, והטיל על הנאשם 10 חודשי מאסר בפועל, אשר ירוצו במצטבר לכל עונש אחר אשר הוטל עליו, לצד מאסר מותנה והתחייבות. ככל הנראה מחמת טעות לא הפנתה ב"כ המאשימה ל</w:t>
      </w:r>
      <w:hyperlink r:id="rId38" w:history="1">
        <w:r w:rsidR="00EB5746" w:rsidRPr="00EB5746">
          <w:rPr>
            <w:rFonts w:ascii="Calibri" w:hAnsi="Calibri" w:hint="eastAsia"/>
            <w:b/>
            <w:bCs/>
            <w:color w:val="0000FF"/>
            <w:u w:val="single"/>
            <w:rtl/>
          </w:rPr>
          <w:t>עפ</w:t>
        </w:r>
        <w:r w:rsidR="00EB5746" w:rsidRPr="00EB5746">
          <w:rPr>
            <w:rFonts w:ascii="Calibri" w:hAnsi="Calibri"/>
            <w:b/>
            <w:bCs/>
            <w:color w:val="0000FF"/>
            <w:u w:val="single"/>
            <w:rtl/>
          </w:rPr>
          <w:t>"</w:t>
        </w:r>
        <w:r w:rsidR="00EB5746" w:rsidRPr="00EB5746">
          <w:rPr>
            <w:rFonts w:ascii="Calibri" w:hAnsi="Calibri" w:hint="eastAsia"/>
            <w:b/>
            <w:bCs/>
            <w:color w:val="0000FF"/>
            <w:u w:val="single"/>
            <w:rtl/>
          </w:rPr>
          <w:t>ג</w:t>
        </w:r>
        <w:r w:rsidR="00EB5746" w:rsidRPr="00EB5746">
          <w:rPr>
            <w:rFonts w:ascii="Calibri" w:hAnsi="Calibri"/>
            <w:b/>
            <w:bCs/>
            <w:color w:val="0000FF"/>
            <w:u w:val="single"/>
            <w:rtl/>
          </w:rPr>
          <w:t xml:space="preserve"> 38348-03-21</w:t>
        </w:r>
      </w:hyperlink>
      <w:r w:rsidRPr="00621959">
        <w:rPr>
          <w:rFonts w:ascii="Calibri" w:hAnsi="Calibri"/>
          <w:rtl/>
        </w:rPr>
        <w:t xml:space="preserve">, במסגרתו דחה בית המשפט המחוזי מרכז-לוד את ערעורו של הנאשם על חומרת העונש. בית המשפט ציין כי עונש המאסר בפועל שהוטל על המערער תואם את מדיניות הענישה המחמירה בכל הקשור להברחת סכינים בתוך תחומי בית הסוהר, ובשים לב אף לעברו הפלילי של הנאשם – לא קיימת הצדקה להתערבות ערכאת הערעור. </w:t>
      </w:r>
    </w:p>
    <w:p w14:paraId="066344D4" w14:textId="77777777" w:rsidR="00BC040C" w:rsidRPr="00621959" w:rsidRDefault="00BC040C" w:rsidP="00BC040C">
      <w:pPr>
        <w:spacing w:line="360" w:lineRule="auto"/>
        <w:contextualSpacing/>
        <w:jc w:val="both"/>
        <w:rPr>
          <w:rFonts w:ascii="Calibri" w:hAnsi="Calibri"/>
          <w:b/>
          <w:bCs/>
          <w:rtl/>
        </w:rPr>
      </w:pPr>
      <w:r w:rsidRPr="00621959">
        <w:rPr>
          <w:rFonts w:ascii="Calibri" w:hAnsi="Calibri"/>
          <w:b/>
          <w:bCs/>
          <w:rtl/>
        </w:rPr>
        <w:t>ה.</w:t>
      </w:r>
      <w:r w:rsidRPr="00621959">
        <w:rPr>
          <w:rFonts w:ascii="Calibri" w:hAnsi="Calibri"/>
          <w:rtl/>
        </w:rPr>
        <w:t xml:space="preserve"> ב</w:t>
      </w:r>
      <w:r w:rsidRPr="00621959">
        <w:rPr>
          <w:rFonts w:ascii="Calibri" w:hAnsi="Calibri"/>
          <w:b/>
          <w:bCs/>
          <w:rtl/>
        </w:rPr>
        <w:t xml:space="preserve">עפ"ג (מרכז-לוד) </w:t>
      </w:r>
      <w:hyperlink r:id="rId39" w:history="1">
        <w:r w:rsidR="005F6F61" w:rsidRPr="005F6F61">
          <w:rPr>
            <w:rFonts w:ascii="Calibri" w:hAnsi="Calibri"/>
            <w:b/>
            <w:bCs/>
            <w:color w:val="0000FF"/>
            <w:u w:val="single"/>
            <w:rtl/>
          </w:rPr>
          <w:t xml:space="preserve">37992-12-1 </w:t>
        </w:r>
      </w:hyperlink>
      <w:r w:rsidRPr="00621959">
        <w:rPr>
          <w:rFonts w:ascii="Calibri" w:hAnsi="Calibri"/>
          <w:b/>
          <w:bCs/>
          <w:rtl/>
        </w:rPr>
        <w:t xml:space="preserve"> מדינת ישראל נגד כהן (11/02/18), </w:t>
      </w:r>
      <w:r w:rsidRPr="00621959">
        <w:rPr>
          <w:rFonts w:ascii="Calibri" w:hAnsi="Calibri"/>
          <w:rtl/>
        </w:rPr>
        <w:t>קיבל בית המשפט את ערעור המאשימה על קולת עונשו של נאשם אשר בגין החזקת סכין בין כותלי בית הסוהר, הטיל עליו בית משפט השלום חודש מאסר בפועל, הפעלת מאסר מותנה למשך 9 חודשים, לריצוי בחופף, ומאסרים מותנים. בית המשפט המחוזי קבע כי</w:t>
      </w:r>
      <w:r w:rsidRPr="00621959">
        <w:rPr>
          <w:rFonts w:ascii="Calibri" w:hAnsi="Calibri"/>
          <w:b/>
          <w:bCs/>
          <w:rtl/>
        </w:rPr>
        <w:t xml:space="preserve"> "כאשר מדובר בהחזקת סכין בין כתלי בית הסוהר, צריך מתחם הענישה להתחיל בין מאסר בפועל שניתן לרצותו בעבודות שירות, וזאת נוכח הסיכון לסדר ולמשמעת שצריכים לשרור בבית הסוהר ואשר החזקת סכין עלולה לשבש אותם באופן חמור". </w:t>
      </w:r>
      <w:r w:rsidRPr="00621959">
        <w:rPr>
          <w:rFonts w:ascii="David" w:eastAsia="Calibri" w:hAnsi="David"/>
          <w:rtl/>
        </w:rPr>
        <w:t>מאחר שערכאת הערעור איננה ממצה את הדין, הועמד עונשו של הנאשם על 3 חודשי מאסר בפועל בלבד, ומאסר מותנה הופעל חלקו במצטבר (6 חודשים) וחלקו בחופף (3 חודשים), וזאת במצטבר לעונש מאסר ממושך קודם שריצה הנאשם.</w:t>
      </w:r>
    </w:p>
    <w:p w14:paraId="2954399B" w14:textId="77777777" w:rsidR="00BC040C" w:rsidRPr="00621959" w:rsidRDefault="00BC040C" w:rsidP="00BC040C">
      <w:pPr>
        <w:spacing w:line="360" w:lineRule="auto"/>
        <w:contextualSpacing/>
        <w:jc w:val="both"/>
        <w:rPr>
          <w:rFonts w:ascii="Calibri" w:hAnsi="Calibri"/>
          <w:rtl/>
        </w:rPr>
      </w:pPr>
      <w:r w:rsidRPr="00621959">
        <w:rPr>
          <w:rFonts w:ascii="Calibri" w:hAnsi="Calibri"/>
          <w:b/>
          <w:bCs/>
          <w:rtl/>
        </w:rPr>
        <w:t xml:space="preserve">ו. </w:t>
      </w:r>
      <w:r w:rsidRPr="00621959">
        <w:rPr>
          <w:rFonts w:ascii="Calibri" w:hAnsi="Calibri"/>
          <w:rtl/>
        </w:rPr>
        <w:t>ב</w:t>
      </w:r>
      <w:hyperlink r:id="rId40" w:history="1">
        <w:r w:rsidR="00EB5746" w:rsidRPr="00EB5746">
          <w:rPr>
            <w:rFonts w:ascii="Calibri" w:hAnsi="Calibri" w:hint="eastAsia"/>
            <w:b/>
            <w:bCs/>
            <w:color w:val="0000FF"/>
            <w:u w:val="single"/>
            <w:rtl/>
          </w:rPr>
          <w:t>עפ</w:t>
        </w:r>
        <w:r w:rsidR="00EB5746" w:rsidRPr="00EB5746">
          <w:rPr>
            <w:rFonts w:ascii="Calibri" w:hAnsi="Calibri"/>
            <w:b/>
            <w:bCs/>
            <w:color w:val="0000FF"/>
            <w:u w:val="single"/>
            <w:rtl/>
          </w:rPr>
          <w:t>"</w:t>
        </w:r>
        <w:r w:rsidR="00EB5746" w:rsidRPr="00EB5746">
          <w:rPr>
            <w:rFonts w:ascii="Calibri" w:hAnsi="Calibri" w:hint="eastAsia"/>
            <w:b/>
            <w:bCs/>
            <w:color w:val="0000FF"/>
            <w:u w:val="single"/>
            <w:rtl/>
          </w:rPr>
          <w:t>ג</w:t>
        </w:r>
        <w:r w:rsidR="00EB5746" w:rsidRPr="00EB5746">
          <w:rPr>
            <w:rFonts w:ascii="Calibri" w:hAnsi="Calibri"/>
            <w:b/>
            <w:bCs/>
            <w:color w:val="0000FF"/>
            <w:u w:val="single"/>
            <w:rtl/>
          </w:rPr>
          <w:t xml:space="preserve"> 28499-12-17</w:t>
        </w:r>
      </w:hyperlink>
      <w:r w:rsidRPr="00621959">
        <w:rPr>
          <w:rFonts w:ascii="Calibri" w:hAnsi="Calibri"/>
          <w:b/>
          <w:bCs/>
          <w:rtl/>
        </w:rPr>
        <w:t xml:space="preserve"> נגבי נגד מדינת ישראל (15/7/18)</w:t>
      </w:r>
      <w:r w:rsidRPr="00621959">
        <w:rPr>
          <w:rFonts w:ascii="Calibri" w:hAnsi="Calibri"/>
          <w:rtl/>
        </w:rPr>
        <w:t xml:space="preserve"> נדחה ערעורו של נאשם, אשר הורע בהחזקת סכין ברכבו, ובשל כך הטיל עליו בית משפט השלום 3 חודשי מאסר לריצוי בעבודות שירות. מאחר והנאשם נמצא לא כשיר לריצוי מאסר בעבודות שירות, נשלח הנאשם לריצוי המאסר מאחורי סורג ובריח.  </w:t>
      </w:r>
    </w:p>
    <w:p w14:paraId="1F32B8D1" w14:textId="77777777" w:rsidR="00BC040C" w:rsidRPr="00621959" w:rsidRDefault="00BC040C" w:rsidP="00BC040C">
      <w:pPr>
        <w:spacing w:line="360" w:lineRule="auto"/>
        <w:jc w:val="both"/>
        <w:rPr>
          <w:rFonts w:ascii="Calibri" w:hAnsi="Calibri"/>
          <w:rtl/>
        </w:rPr>
      </w:pPr>
      <w:r w:rsidRPr="00621959">
        <w:rPr>
          <w:rFonts w:ascii="Calibri" w:hAnsi="Calibri"/>
          <w:b/>
          <w:bCs/>
          <w:rtl/>
        </w:rPr>
        <w:t>ז.</w:t>
      </w:r>
      <w:r w:rsidRPr="00621959">
        <w:rPr>
          <w:rFonts w:ascii="Calibri" w:hAnsi="Calibri"/>
          <w:rtl/>
        </w:rPr>
        <w:t xml:space="preserve"> ב</w:t>
      </w:r>
      <w:hyperlink r:id="rId41" w:history="1">
        <w:r w:rsidR="00EB5746" w:rsidRPr="00EB5746">
          <w:rPr>
            <w:rFonts w:ascii="Calibri" w:hAnsi="Calibri" w:hint="eastAsia"/>
            <w:b/>
            <w:bCs/>
            <w:color w:val="0000FF"/>
            <w:u w:val="single"/>
            <w:rtl/>
          </w:rPr>
          <w:t>עפ</w:t>
        </w:r>
        <w:r w:rsidR="00EB5746" w:rsidRPr="00EB5746">
          <w:rPr>
            <w:rFonts w:ascii="Calibri" w:hAnsi="Calibri"/>
            <w:b/>
            <w:bCs/>
            <w:color w:val="0000FF"/>
            <w:u w:val="single"/>
            <w:rtl/>
          </w:rPr>
          <w:t>"</w:t>
        </w:r>
        <w:r w:rsidR="00EB5746" w:rsidRPr="00EB5746">
          <w:rPr>
            <w:rFonts w:ascii="Calibri" w:hAnsi="Calibri" w:hint="eastAsia"/>
            <w:b/>
            <w:bCs/>
            <w:color w:val="0000FF"/>
            <w:u w:val="single"/>
            <w:rtl/>
          </w:rPr>
          <w:t>ג</w:t>
        </w:r>
        <w:r w:rsidR="00EB5746" w:rsidRPr="00EB5746">
          <w:rPr>
            <w:rFonts w:ascii="Calibri" w:hAnsi="Calibri"/>
            <w:b/>
            <w:bCs/>
            <w:color w:val="0000FF"/>
            <w:u w:val="single"/>
            <w:rtl/>
          </w:rPr>
          <w:t xml:space="preserve"> (</w:t>
        </w:r>
        <w:r w:rsidR="00EB5746" w:rsidRPr="00EB5746">
          <w:rPr>
            <w:rFonts w:ascii="Calibri" w:hAnsi="Calibri" w:hint="eastAsia"/>
            <w:b/>
            <w:bCs/>
            <w:color w:val="0000FF"/>
            <w:u w:val="single"/>
            <w:rtl/>
          </w:rPr>
          <w:t>מרכז</w:t>
        </w:r>
        <w:r w:rsidR="00EB5746" w:rsidRPr="00EB5746">
          <w:rPr>
            <w:rFonts w:ascii="Calibri" w:hAnsi="Calibri"/>
            <w:b/>
            <w:bCs/>
            <w:color w:val="0000FF"/>
            <w:u w:val="single"/>
            <w:rtl/>
          </w:rPr>
          <w:t>) 9095-02-11</w:t>
        </w:r>
      </w:hyperlink>
      <w:r w:rsidRPr="00621959">
        <w:rPr>
          <w:rFonts w:ascii="Calibri" w:hAnsi="Calibri"/>
          <w:b/>
          <w:bCs/>
          <w:rtl/>
        </w:rPr>
        <w:t xml:space="preserve"> מסארוה נגד מדינת ישראל (17/05/11)</w:t>
      </w:r>
      <w:r w:rsidRPr="00621959">
        <w:rPr>
          <w:rFonts w:ascii="Calibri" w:hAnsi="Calibri"/>
          <w:rtl/>
        </w:rPr>
        <w:t xml:space="preserve">, דחה בית המשפט המחוזי את ערעורו של המערער אשר בגין עבירת החזקת סכין הוטלו עליו, בין היתר, 6 חודשי מאסר בפועל לריצוי בדרך של עבודות שירות. </w:t>
      </w:r>
    </w:p>
    <w:p w14:paraId="77E8E4AB" w14:textId="77777777" w:rsidR="00BC040C" w:rsidRPr="00621959" w:rsidRDefault="00BC040C" w:rsidP="00BC040C">
      <w:pPr>
        <w:spacing w:line="360" w:lineRule="auto"/>
        <w:contextualSpacing/>
        <w:jc w:val="both"/>
        <w:rPr>
          <w:rFonts w:ascii="David" w:hAnsi="David"/>
          <w:rtl/>
        </w:rPr>
      </w:pPr>
    </w:p>
    <w:p w14:paraId="3C995D8C" w14:textId="77777777" w:rsidR="00BC040C" w:rsidRPr="00621959" w:rsidRDefault="00BC040C" w:rsidP="00BC040C">
      <w:pPr>
        <w:spacing w:line="360" w:lineRule="auto"/>
        <w:contextualSpacing/>
        <w:jc w:val="both"/>
        <w:rPr>
          <w:rFonts w:ascii="Calibri" w:hAnsi="Calibri"/>
          <w:color w:val="000000"/>
          <w:rtl/>
        </w:rPr>
      </w:pPr>
      <w:r w:rsidRPr="00621959">
        <w:rPr>
          <w:rFonts w:ascii="David" w:hAnsi="David"/>
          <w:b/>
          <w:bCs/>
          <w:rtl/>
        </w:rPr>
        <w:t>17</w:t>
      </w:r>
      <w:r w:rsidRPr="00621959">
        <w:rPr>
          <w:rFonts w:ascii="David" w:hAnsi="David"/>
          <w:rtl/>
        </w:rPr>
        <w:t xml:space="preserve">. </w:t>
      </w:r>
      <w:r w:rsidRPr="00621959">
        <w:rPr>
          <w:rFonts w:ascii="Calibri" w:hAnsi="Calibri"/>
          <w:color w:val="000000"/>
          <w:rtl/>
        </w:rPr>
        <w:t>באשר ל</w:t>
      </w:r>
      <w:r w:rsidRPr="00621959">
        <w:rPr>
          <w:rFonts w:ascii="Calibri" w:hAnsi="Calibri"/>
          <w:b/>
          <w:bCs/>
          <w:color w:val="000000"/>
          <w:rtl/>
        </w:rPr>
        <w:t>נסיבות ביצוע עבירת החזקת הסכין</w:t>
      </w:r>
      <w:r w:rsidRPr="00621959">
        <w:rPr>
          <w:rFonts w:ascii="Calibri" w:hAnsi="Calibri"/>
          <w:color w:val="000000"/>
          <w:rtl/>
        </w:rPr>
        <w:t xml:space="preserve">, יש לתת את הדעת כאמור לתכנון המתחייב בהכנסת סכין לאגף העצורים בבית המשפט. כמו כן, יש לתת את הדעת לפוטנציאל הנזק המשמעותי הקיים בהחזקת סכין בכלל, </w:t>
      </w:r>
      <w:r w:rsidRPr="00621959">
        <w:rPr>
          <w:rFonts w:ascii="Calibri" w:hAnsi="Calibri"/>
          <w:rtl/>
        </w:rPr>
        <w:t xml:space="preserve">והחזקת סכין באגף העצורים בבית המשפט בפרט, שכן עצם קיומו של כלי נשק קר בידיו של המחזיק מגדיל את הסיכוי לשימוש בו (ראו: </w:t>
      </w:r>
      <w:hyperlink r:id="rId42" w:history="1">
        <w:r w:rsidR="00EB5746" w:rsidRPr="00EB5746">
          <w:rPr>
            <w:rFonts w:ascii="Calibri" w:hAnsi="Calibri" w:hint="eastAsia"/>
            <w:b/>
            <w:bCs/>
            <w:color w:val="0000FF"/>
            <w:u w:val="single"/>
            <w:rtl/>
          </w:rPr>
          <w:t>רע</w:t>
        </w:r>
        <w:r w:rsidR="00EB5746" w:rsidRPr="00EB5746">
          <w:rPr>
            <w:rFonts w:ascii="Calibri" w:hAnsi="Calibri"/>
            <w:b/>
            <w:bCs/>
            <w:color w:val="0000FF"/>
            <w:u w:val="single"/>
            <w:rtl/>
          </w:rPr>
          <w:t>"</w:t>
        </w:r>
        <w:r w:rsidR="00EB5746" w:rsidRPr="00EB5746">
          <w:rPr>
            <w:rFonts w:ascii="Calibri" w:hAnsi="Calibri" w:hint="eastAsia"/>
            <w:b/>
            <w:bCs/>
            <w:color w:val="0000FF"/>
            <w:u w:val="single"/>
            <w:rtl/>
          </w:rPr>
          <w:t>פ</w:t>
        </w:r>
        <w:r w:rsidR="00EB5746" w:rsidRPr="00EB5746">
          <w:rPr>
            <w:rFonts w:ascii="Calibri" w:hAnsi="Calibri"/>
            <w:b/>
            <w:bCs/>
            <w:color w:val="0000FF"/>
            <w:u w:val="single"/>
            <w:rtl/>
          </w:rPr>
          <w:t xml:space="preserve"> 242/07</w:t>
        </w:r>
      </w:hyperlink>
      <w:r w:rsidRPr="00621959">
        <w:rPr>
          <w:rFonts w:ascii="Calibri" w:hAnsi="Calibri"/>
          <w:b/>
          <w:bCs/>
          <w:rtl/>
        </w:rPr>
        <w:t xml:space="preserve"> אולימבוב נגד מדינת ישראל (11/01/07)</w:t>
      </w:r>
      <w:r w:rsidRPr="00621959">
        <w:rPr>
          <w:rFonts w:ascii="Calibri" w:hAnsi="Calibri"/>
          <w:rtl/>
        </w:rPr>
        <w:t xml:space="preserve">). </w:t>
      </w:r>
    </w:p>
    <w:p w14:paraId="62A68D36" w14:textId="77777777" w:rsidR="00BC040C" w:rsidRPr="00621959" w:rsidRDefault="00BC040C" w:rsidP="00BC040C">
      <w:pPr>
        <w:spacing w:line="360" w:lineRule="auto"/>
        <w:contextualSpacing/>
        <w:jc w:val="both"/>
        <w:rPr>
          <w:rFonts w:ascii="David" w:hAnsi="David"/>
          <w:rtl/>
        </w:rPr>
      </w:pPr>
    </w:p>
    <w:p w14:paraId="2A844A27" w14:textId="77777777" w:rsidR="00BC040C" w:rsidRPr="00621959" w:rsidRDefault="00BC040C" w:rsidP="00BC040C">
      <w:pPr>
        <w:spacing w:line="360" w:lineRule="auto"/>
        <w:contextualSpacing/>
        <w:jc w:val="both"/>
        <w:rPr>
          <w:rFonts w:ascii="Calibri" w:hAnsi="Calibri"/>
        </w:rPr>
      </w:pPr>
      <w:r w:rsidRPr="00621959">
        <w:rPr>
          <w:rFonts w:ascii="David" w:hAnsi="David"/>
          <w:b/>
          <w:bCs/>
          <w:rtl/>
        </w:rPr>
        <w:t>18</w:t>
      </w:r>
      <w:r w:rsidRPr="00621959">
        <w:rPr>
          <w:rFonts w:ascii="David" w:hAnsi="David"/>
          <w:rtl/>
        </w:rPr>
        <w:t xml:space="preserve">. </w:t>
      </w:r>
      <w:r w:rsidRPr="00621959">
        <w:rPr>
          <w:rFonts w:ascii="Calibri" w:hAnsi="Calibri"/>
          <w:rtl/>
        </w:rPr>
        <w:t>בהתאם ל</w:t>
      </w:r>
      <w:r w:rsidRPr="00621959">
        <w:rPr>
          <w:rFonts w:ascii="Calibri" w:hAnsi="Calibri"/>
          <w:b/>
          <w:bCs/>
          <w:rtl/>
        </w:rPr>
        <w:t>תיקון 113 ל</w:t>
      </w:r>
      <w:hyperlink r:id="rId43" w:history="1">
        <w:r w:rsidR="00EB5746" w:rsidRPr="00EB5746">
          <w:rPr>
            <w:rFonts w:ascii="Calibri" w:hAnsi="Calibri" w:hint="eastAsia"/>
            <w:b/>
            <w:bCs/>
            <w:color w:val="0000FF"/>
            <w:u w:val="single"/>
            <w:rtl/>
          </w:rPr>
          <w:t>חוק</w:t>
        </w:r>
        <w:r w:rsidR="00EB5746" w:rsidRPr="00EB5746">
          <w:rPr>
            <w:rFonts w:ascii="Calibri" w:hAnsi="Calibri"/>
            <w:b/>
            <w:bCs/>
            <w:color w:val="0000FF"/>
            <w:u w:val="single"/>
            <w:rtl/>
          </w:rPr>
          <w:t xml:space="preserve"> </w:t>
        </w:r>
        <w:r w:rsidR="00EB5746" w:rsidRPr="00EB5746">
          <w:rPr>
            <w:rFonts w:ascii="Calibri" w:hAnsi="Calibri" w:hint="eastAsia"/>
            <w:b/>
            <w:bCs/>
            <w:color w:val="0000FF"/>
            <w:u w:val="single"/>
            <w:rtl/>
          </w:rPr>
          <w:t>העונשין</w:t>
        </w:r>
      </w:hyperlink>
      <w:r w:rsidRPr="00621959">
        <w:rPr>
          <w:rFonts w:ascii="Calibri" w:hAnsi="Calibri"/>
          <w:b/>
          <w:bCs/>
          <w:rtl/>
        </w:rPr>
        <w:t xml:space="preserve"> </w:t>
      </w:r>
      <w:r w:rsidRPr="00621959">
        <w:rPr>
          <w:rFonts w:ascii="Calibri" w:hAnsi="Calibri"/>
          <w:rtl/>
        </w:rPr>
        <w:t>(</w:t>
      </w:r>
      <w:r w:rsidRPr="00621959">
        <w:rPr>
          <w:rFonts w:ascii="Calibri" w:hAnsi="Calibri"/>
          <w:b/>
          <w:bCs/>
          <w:rtl/>
        </w:rPr>
        <w:t xml:space="preserve">סעיף </w:t>
      </w:r>
      <w:hyperlink r:id="rId44" w:history="1">
        <w:r w:rsidR="00536288" w:rsidRPr="00536288">
          <w:rPr>
            <w:rStyle w:val="Hyperlink"/>
            <w:rFonts w:ascii="Calibri" w:hAnsi="Calibri"/>
            <w:b/>
            <w:bCs/>
            <w:rtl/>
          </w:rPr>
          <w:t xml:space="preserve">40 </w:t>
        </w:r>
        <w:r w:rsidR="00536288" w:rsidRPr="00536288">
          <w:rPr>
            <w:rStyle w:val="Hyperlink"/>
            <w:rFonts w:ascii="Calibri" w:hAnsi="Calibri" w:hint="eastAsia"/>
            <w:b/>
            <w:bCs/>
            <w:rtl/>
          </w:rPr>
          <w:t>יג</w:t>
        </w:r>
      </w:hyperlink>
      <w:r w:rsidRPr="00621959">
        <w:rPr>
          <w:rFonts w:ascii="Calibri" w:hAnsi="Calibri"/>
          <w:rtl/>
        </w:rPr>
        <w:t xml:space="preserve">) </w:t>
      </w:r>
      <w:r w:rsidRPr="00621959">
        <w:rPr>
          <w:rFonts w:ascii="David" w:hAnsi="David"/>
          <w:rtl/>
        </w:rPr>
        <w:t xml:space="preserve">אני קובעת כי </w:t>
      </w:r>
      <w:r w:rsidRPr="00621959">
        <w:rPr>
          <w:rFonts w:ascii="David" w:hAnsi="David"/>
          <w:b/>
          <w:bCs/>
          <w:rtl/>
        </w:rPr>
        <w:t xml:space="preserve">מתחם העונש ההולם </w:t>
      </w:r>
      <w:r w:rsidRPr="00621959">
        <w:rPr>
          <w:rFonts w:ascii="David" w:hAnsi="David"/>
          <w:rtl/>
        </w:rPr>
        <w:t xml:space="preserve">בגין עבירת </w:t>
      </w:r>
      <w:r w:rsidRPr="00621959">
        <w:rPr>
          <w:rFonts w:ascii="Calibri" w:hAnsi="Calibri"/>
          <w:rtl/>
        </w:rPr>
        <w:t>החזקת הסכין בנסיבות ביצועה נע בין מספר חודשי מאסר אשר יכול וירוצו בעבודות שירות ועד ל-12 חודשי מאסר בפועל.</w:t>
      </w:r>
    </w:p>
    <w:p w14:paraId="301D8579" w14:textId="77777777" w:rsidR="00BC040C" w:rsidRPr="00621959" w:rsidRDefault="00BC040C" w:rsidP="00BC040C">
      <w:pPr>
        <w:spacing w:line="360" w:lineRule="auto"/>
        <w:contextualSpacing/>
        <w:jc w:val="both"/>
        <w:rPr>
          <w:rFonts w:ascii="Calibri" w:hAnsi="Calibri"/>
          <w:rtl/>
        </w:rPr>
      </w:pPr>
    </w:p>
    <w:p w14:paraId="77963B7C" w14:textId="77777777" w:rsidR="00BC040C" w:rsidRDefault="00BC040C" w:rsidP="00BC040C">
      <w:pPr>
        <w:spacing w:line="360" w:lineRule="auto"/>
        <w:contextualSpacing/>
        <w:jc w:val="both"/>
        <w:rPr>
          <w:rFonts w:ascii="Calibri" w:hAnsi="Calibri"/>
          <w:rtl/>
        </w:rPr>
      </w:pPr>
      <w:r w:rsidRPr="00621959">
        <w:rPr>
          <w:rFonts w:ascii="Calibri" w:hAnsi="Calibri"/>
          <w:b/>
          <w:bCs/>
          <w:rtl/>
        </w:rPr>
        <w:t>19</w:t>
      </w:r>
      <w:r w:rsidRPr="00621959">
        <w:rPr>
          <w:rFonts w:ascii="Calibri" w:hAnsi="Calibri"/>
          <w:rtl/>
        </w:rPr>
        <w:t>. במקרה דנן, לא קיימים שיקולים המצדיקים סטייה מהמתחם לחומרה או לקולה.</w:t>
      </w:r>
    </w:p>
    <w:p w14:paraId="5974FDA7" w14:textId="77777777" w:rsidR="00BC040C" w:rsidRPr="00621959" w:rsidRDefault="00BC040C" w:rsidP="00BC040C">
      <w:pPr>
        <w:spacing w:line="360" w:lineRule="auto"/>
        <w:contextualSpacing/>
        <w:jc w:val="both"/>
        <w:rPr>
          <w:rFonts w:ascii="Calibri" w:hAnsi="Calibri"/>
          <w:rtl/>
        </w:rPr>
      </w:pPr>
      <w:r>
        <w:rPr>
          <w:rFonts w:ascii="Calibri" w:hAnsi="Calibri" w:hint="cs"/>
          <w:rtl/>
        </w:rPr>
        <w:t xml:space="preserve">אינני מתעלמת מהשתלבות הנאשם בהוסטל במשך תקופה ארוכה וניסיונותיו לערוך שינוי בחייו, עם זאת, בהיעדר טיפול משמעותי בבעיית ההתמכרות, בשים לב להערכת הסיכון מצד שירות המבחן </w:t>
      </w:r>
      <w:r>
        <w:rPr>
          <w:rFonts w:ascii="Calibri" w:hAnsi="Calibri"/>
          <w:rtl/>
        </w:rPr>
        <w:t>–</w:t>
      </w:r>
      <w:r>
        <w:rPr>
          <w:rFonts w:ascii="Calibri" w:hAnsi="Calibri" w:hint="cs"/>
          <w:rtl/>
        </w:rPr>
        <w:t xml:space="preserve"> לא ניתן לומר כי הנאשם עומד בתנאים שנקבעו בחוק לחריגה מהמתחם לקולה. </w:t>
      </w:r>
    </w:p>
    <w:p w14:paraId="7833E860" w14:textId="77777777" w:rsidR="00BC040C" w:rsidRPr="00621959" w:rsidRDefault="00BC040C" w:rsidP="00BC040C">
      <w:pPr>
        <w:spacing w:line="360" w:lineRule="auto"/>
        <w:jc w:val="both"/>
        <w:rPr>
          <w:rFonts w:ascii="Calibri" w:hAnsi="Calibri"/>
          <w:rtl/>
        </w:rPr>
      </w:pPr>
    </w:p>
    <w:p w14:paraId="7A669C9D" w14:textId="77777777" w:rsidR="00BC040C" w:rsidRPr="00621959" w:rsidRDefault="00BC040C" w:rsidP="00BC040C">
      <w:pPr>
        <w:spacing w:line="360" w:lineRule="auto"/>
        <w:jc w:val="both"/>
        <w:rPr>
          <w:rFonts w:ascii="Calibri" w:hAnsi="Calibri"/>
          <w:rtl/>
        </w:rPr>
      </w:pPr>
      <w:r w:rsidRPr="00621959">
        <w:rPr>
          <w:rFonts w:ascii="Calibri" w:hAnsi="Calibri"/>
          <w:b/>
          <w:bCs/>
          <w:rtl/>
        </w:rPr>
        <w:t>גזירת העונש המתאים לנאשם</w:t>
      </w:r>
      <w:r w:rsidRPr="00621959">
        <w:rPr>
          <w:rFonts w:ascii="Calibri" w:hAnsi="Calibri"/>
          <w:rtl/>
        </w:rPr>
        <w:t>:</w:t>
      </w:r>
    </w:p>
    <w:p w14:paraId="4D93290C" w14:textId="77777777" w:rsidR="00BC040C" w:rsidRPr="00621959" w:rsidRDefault="00BC040C" w:rsidP="00BC040C">
      <w:pPr>
        <w:spacing w:line="360" w:lineRule="auto"/>
        <w:contextualSpacing/>
        <w:jc w:val="both"/>
        <w:rPr>
          <w:rFonts w:ascii="Calibri" w:hAnsi="Calibri"/>
          <w:rtl/>
        </w:rPr>
      </w:pPr>
      <w:r w:rsidRPr="00621959">
        <w:rPr>
          <w:rFonts w:ascii="Calibri" w:hAnsi="Calibri"/>
          <w:b/>
          <w:bCs/>
          <w:rtl/>
        </w:rPr>
        <w:t>20</w:t>
      </w:r>
      <w:r w:rsidRPr="00621959">
        <w:rPr>
          <w:rFonts w:ascii="Calibri" w:hAnsi="Calibri"/>
          <w:rtl/>
        </w:rPr>
        <w:t>. בגזירת העונש המתאים לנאשם, בגדרי מתחם העונש ההולם, יש להתחשב בנסיבות שאינן קשורות בביצוע העבירה (</w:t>
      </w:r>
      <w:r w:rsidRPr="00621959">
        <w:rPr>
          <w:rFonts w:ascii="Calibri" w:hAnsi="Calibri"/>
          <w:b/>
          <w:bCs/>
          <w:rtl/>
        </w:rPr>
        <w:t xml:space="preserve">סעיף </w:t>
      </w:r>
      <w:hyperlink r:id="rId45" w:history="1">
        <w:r w:rsidR="00536288" w:rsidRPr="00536288">
          <w:rPr>
            <w:rStyle w:val="Hyperlink"/>
            <w:rFonts w:ascii="Calibri" w:hAnsi="Calibri"/>
            <w:b/>
            <w:bCs/>
            <w:rtl/>
          </w:rPr>
          <w:t>40</w:t>
        </w:r>
        <w:r w:rsidR="00536288" w:rsidRPr="00536288">
          <w:rPr>
            <w:rStyle w:val="Hyperlink"/>
            <w:rFonts w:ascii="Calibri" w:hAnsi="Calibri" w:hint="eastAsia"/>
            <w:b/>
            <w:bCs/>
            <w:rtl/>
          </w:rPr>
          <w:t>יא</w:t>
        </w:r>
      </w:hyperlink>
      <w:r w:rsidRPr="00621959">
        <w:rPr>
          <w:rFonts w:ascii="Calibri" w:hAnsi="Calibri"/>
          <w:rtl/>
        </w:rPr>
        <w:t>). במסגרת זו מן הראוי לתת את הדעת לנסיבות הבאות-</w:t>
      </w:r>
    </w:p>
    <w:p w14:paraId="219A8E7F" w14:textId="77777777" w:rsidR="00BC040C" w:rsidRPr="00621959" w:rsidRDefault="00BC040C" w:rsidP="00BC040C">
      <w:pPr>
        <w:numPr>
          <w:ilvl w:val="0"/>
          <w:numId w:val="1"/>
        </w:numPr>
        <w:spacing w:after="160" w:line="360" w:lineRule="auto"/>
        <w:ind w:left="419" w:hanging="357"/>
        <w:contextualSpacing/>
        <w:jc w:val="both"/>
        <w:rPr>
          <w:rFonts w:ascii="Calibri" w:hAnsi="Calibri"/>
          <w:b/>
          <w:bCs/>
          <w:rtl/>
        </w:rPr>
      </w:pPr>
      <w:r w:rsidRPr="00621959">
        <w:rPr>
          <w:rFonts w:ascii="Calibri" w:hAnsi="Calibri"/>
          <w:b/>
          <w:bCs/>
          <w:rtl/>
        </w:rPr>
        <w:t>הפגיעה של העונש בנאשם -</w:t>
      </w:r>
      <w:r w:rsidRPr="00621959">
        <w:rPr>
          <w:rFonts w:ascii="Calibri" w:hAnsi="Calibri"/>
          <w:rtl/>
        </w:rPr>
        <w:t xml:space="preserve"> ברי כי שליחת כל נאשם למאסר, בין אם מאחורי סורג ובריח ובין אם לריצוי בדרך של עבודות שירות, יש בה משום פגיעה בו. עם זאת, </w:t>
      </w:r>
      <w:r>
        <w:rPr>
          <w:rFonts w:ascii="Calibri" w:hAnsi="Calibri" w:hint="cs"/>
          <w:rtl/>
        </w:rPr>
        <w:t xml:space="preserve">בשים לב </w:t>
      </w:r>
      <w:r w:rsidRPr="00621959">
        <w:rPr>
          <w:rFonts w:ascii="Calibri" w:hAnsi="Calibri"/>
          <w:rtl/>
        </w:rPr>
        <w:t>לעובדה כי</w:t>
      </w:r>
      <w:r>
        <w:rPr>
          <w:rFonts w:ascii="Calibri" w:hAnsi="Calibri" w:hint="cs"/>
          <w:rtl/>
        </w:rPr>
        <w:t xml:space="preserve"> הנאשם </w:t>
      </w:r>
      <w:r w:rsidRPr="00621959">
        <w:rPr>
          <w:rFonts w:ascii="Calibri" w:hAnsi="Calibri"/>
          <w:rtl/>
        </w:rPr>
        <w:t xml:space="preserve"> לא משולב בתעסוקה – לא מצאתי כי תגרם פגיעה משמעותית לנאשם בעצם הטלת מאסר בעניינו אשר מצדיקה התחשבות מיוחדת במצבו. </w:t>
      </w:r>
    </w:p>
    <w:p w14:paraId="41596F82" w14:textId="77777777" w:rsidR="00BC040C" w:rsidRPr="00621959" w:rsidRDefault="00BC040C" w:rsidP="00BC040C">
      <w:pPr>
        <w:numPr>
          <w:ilvl w:val="0"/>
          <w:numId w:val="1"/>
        </w:numPr>
        <w:spacing w:after="160" w:line="360" w:lineRule="auto"/>
        <w:contextualSpacing/>
        <w:jc w:val="both"/>
        <w:rPr>
          <w:rtl/>
        </w:rPr>
      </w:pPr>
      <w:r w:rsidRPr="00621959">
        <w:rPr>
          <w:rFonts w:ascii="Calibri" w:hAnsi="Calibri"/>
          <w:b/>
          <w:bCs/>
          <w:rtl/>
        </w:rPr>
        <w:t xml:space="preserve">נטילת האחריות של הנאשם על מעשיו וחזרתו למוטב או מאמציו לחזור למוטב – </w:t>
      </w:r>
      <w:r w:rsidRPr="00621959">
        <w:rPr>
          <w:rFonts w:ascii="Calibri" w:hAnsi="Calibri"/>
          <w:rtl/>
        </w:rPr>
        <w:t xml:space="preserve">כמפורט לעיל, הנאשם הודה בביצוע עבירת החזקת הסכין אולם טשטש נסיבותיה, התייצב רק לחלק מבדיקות לגילוי סם אליהם זומן, </w:t>
      </w:r>
      <w:r w:rsidRPr="00621959">
        <w:rPr>
          <w:rtl/>
        </w:rPr>
        <w:t>ואף מסר בדיקה אחת שהעידה על שימוש בסמים מסוג קנאביס. כמו כן, הנאשם מתגורר מזה כשנה וחצי בהוסטל לדרי רחוב, אולם לא שולב בתע</w:t>
      </w:r>
      <w:r>
        <w:rPr>
          <w:rtl/>
        </w:rPr>
        <w:t>סוקה, לא ניסה לקדם מצבו המשפט</w:t>
      </w:r>
      <w:r>
        <w:rPr>
          <w:rFonts w:hint="cs"/>
          <w:rtl/>
        </w:rPr>
        <w:t xml:space="preserve">י </w:t>
      </w:r>
      <w:r w:rsidRPr="00621959">
        <w:rPr>
          <w:rtl/>
        </w:rPr>
        <w:t>ולא השתלב בטיפול בבעיית ההתמכרות. כמו כן הנאשם הציג כאמור תמונה לפיה מצליח להימנע משימוש בכוחות עצמו, אולם התקשה להסביר את האירוע המפורט אשר התרחש בחודש ינואר 2021. שירות המבחן התרשם כאמור מסיכון משמעותי לחזרה לשימוש בסמים ולהידרדרות במצבו של הנאשם, ובשל חוסר ההצלחה להסתייע בגורמי הטיפול – נמנע ממתן המלצה הכוללת מעורבות שירותם.</w:t>
      </w:r>
    </w:p>
    <w:p w14:paraId="1F17B21C" w14:textId="77777777" w:rsidR="00BC040C" w:rsidRPr="00621959" w:rsidRDefault="00BC040C" w:rsidP="00BC040C">
      <w:pPr>
        <w:numPr>
          <w:ilvl w:val="0"/>
          <w:numId w:val="1"/>
        </w:numPr>
        <w:spacing w:after="160" w:line="360" w:lineRule="auto"/>
        <w:ind w:left="419" w:hanging="357"/>
        <w:contextualSpacing/>
        <w:jc w:val="both"/>
        <w:rPr>
          <w:rFonts w:ascii="Calibri" w:hAnsi="Calibri"/>
          <w:b/>
          <w:bCs/>
        </w:rPr>
      </w:pPr>
      <w:r w:rsidRPr="00621959">
        <w:rPr>
          <w:rFonts w:ascii="Calibri" w:hAnsi="Calibri"/>
          <w:b/>
          <w:bCs/>
          <w:rtl/>
        </w:rPr>
        <w:t xml:space="preserve">עברו הפלילי של הנאשם או העדרו – </w:t>
      </w:r>
      <w:r w:rsidRPr="00621959">
        <w:rPr>
          <w:rFonts w:ascii="Calibri" w:hAnsi="Calibri"/>
          <w:rtl/>
        </w:rPr>
        <w:t>עיון ב</w:t>
      </w:r>
      <w:r w:rsidRPr="00621959">
        <w:rPr>
          <w:rFonts w:ascii="Calibri" w:hAnsi="Calibri"/>
          <w:b/>
          <w:bCs/>
          <w:rtl/>
        </w:rPr>
        <w:t xml:space="preserve">ת/1 </w:t>
      </w:r>
      <w:r w:rsidRPr="00621959">
        <w:rPr>
          <w:rFonts w:ascii="Calibri" w:hAnsi="Calibri"/>
          <w:rtl/>
        </w:rPr>
        <w:t>מעלה כי לנאשם הרשעה קודמת בגין ביצוע עבירות רכוש והפרת הוראה חוקית מחודש פברואר 2018, אשר בגינן הוטלו על הנאשם, בין היתר, 6 חודשים ושבועיים מאסר בפועל. כמו כן, קיימת הרשעה קודמת מיום 18/11/18 בגין ביצוע עבירת החזקת סמים שלא לצריכה עצמית, אשר בגינה הוטלו עליו 5 חודשי מאסר בפועל, מאסרים מותנים, התחייבות, פסילה בפועל למשך 24 חודשים, ופסילה מותנית.</w:t>
      </w:r>
    </w:p>
    <w:p w14:paraId="6B189484" w14:textId="77777777" w:rsidR="00BC040C" w:rsidRPr="00621959" w:rsidRDefault="00BC040C" w:rsidP="00BC040C">
      <w:pPr>
        <w:spacing w:line="360" w:lineRule="auto"/>
        <w:jc w:val="both"/>
        <w:rPr>
          <w:rFonts w:ascii="Calibri" w:hAnsi="Calibri"/>
          <w:rtl/>
        </w:rPr>
      </w:pPr>
    </w:p>
    <w:p w14:paraId="29067C92" w14:textId="77777777" w:rsidR="00BC040C" w:rsidRPr="00621959" w:rsidRDefault="00BC040C" w:rsidP="00BC040C">
      <w:pPr>
        <w:spacing w:line="360" w:lineRule="auto"/>
        <w:ind w:left="60"/>
        <w:jc w:val="both"/>
        <w:rPr>
          <w:rFonts w:ascii="Calibri" w:hAnsi="Calibri"/>
          <w:rtl/>
        </w:rPr>
      </w:pPr>
      <w:r w:rsidRPr="00621959">
        <w:rPr>
          <w:rFonts w:ascii="Calibri" w:hAnsi="Calibri"/>
          <w:b/>
          <w:bCs/>
          <w:rtl/>
        </w:rPr>
        <w:t>21.</w:t>
      </w:r>
      <w:r w:rsidRPr="00621959">
        <w:rPr>
          <w:rFonts w:ascii="Calibri" w:hAnsi="Calibri"/>
          <w:rtl/>
        </w:rPr>
        <w:t xml:space="preserve"> עוד יש לתת את הדעת לשיקול </w:t>
      </w:r>
      <w:r w:rsidRPr="00621959">
        <w:rPr>
          <w:rFonts w:ascii="Calibri" w:hAnsi="Calibri"/>
          <w:b/>
          <w:bCs/>
          <w:rtl/>
        </w:rPr>
        <w:t>הרתעת היחיד</w:t>
      </w:r>
      <w:r w:rsidRPr="00621959">
        <w:rPr>
          <w:rFonts w:ascii="Calibri" w:hAnsi="Calibri"/>
          <w:rtl/>
        </w:rPr>
        <w:t xml:space="preserve"> שכן עסקינן במי שבעבר ענישה לא הרתיעה אותו מלשוב ולבצע עבירות ואף בין כותלי בית ה</w:t>
      </w:r>
      <w:r>
        <w:rPr>
          <w:rFonts w:ascii="Calibri" w:hAnsi="Calibri" w:hint="cs"/>
          <w:rtl/>
        </w:rPr>
        <w:t xml:space="preserve">סוהר </w:t>
      </w:r>
      <w:r w:rsidRPr="00621959">
        <w:rPr>
          <w:rFonts w:ascii="Calibri" w:hAnsi="Calibri"/>
          <w:rtl/>
        </w:rPr>
        <w:t xml:space="preserve">איננו חושש לבצע עבירות נוספות. </w:t>
      </w:r>
    </w:p>
    <w:p w14:paraId="78E5C72D" w14:textId="77777777" w:rsidR="00BC040C" w:rsidRPr="00621959" w:rsidRDefault="00BC040C" w:rsidP="00BC040C">
      <w:pPr>
        <w:spacing w:line="360" w:lineRule="auto"/>
        <w:jc w:val="both"/>
        <w:rPr>
          <w:rFonts w:ascii="Arial" w:hAnsi="Arial"/>
          <w:rtl/>
        </w:rPr>
      </w:pPr>
    </w:p>
    <w:p w14:paraId="2216F6E5" w14:textId="77777777" w:rsidR="00BC040C" w:rsidRPr="00621959" w:rsidRDefault="00BC040C" w:rsidP="00BC040C">
      <w:pPr>
        <w:spacing w:line="360" w:lineRule="auto"/>
        <w:jc w:val="both"/>
        <w:rPr>
          <w:rFonts w:ascii="Arial" w:hAnsi="Arial"/>
          <w:rtl/>
        </w:rPr>
      </w:pPr>
      <w:r w:rsidRPr="00621959">
        <w:rPr>
          <w:rFonts w:ascii="Arial" w:hAnsi="Arial"/>
          <w:b/>
          <w:bCs/>
          <w:rtl/>
        </w:rPr>
        <w:t>22</w:t>
      </w:r>
      <w:r w:rsidRPr="00621959">
        <w:rPr>
          <w:rFonts w:ascii="Arial" w:hAnsi="Arial"/>
          <w:rtl/>
        </w:rPr>
        <w:t xml:space="preserve">. באשר להארכת המאסר המותנה – </w:t>
      </w:r>
    </w:p>
    <w:p w14:paraId="660A783F" w14:textId="77777777" w:rsidR="00BC040C" w:rsidRPr="00621959" w:rsidRDefault="00BC040C" w:rsidP="00BC040C">
      <w:pPr>
        <w:spacing w:line="360" w:lineRule="auto"/>
        <w:jc w:val="both"/>
        <w:rPr>
          <w:rFonts w:ascii="Calibri" w:hAnsi="Calibri"/>
          <w:rtl/>
        </w:rPr>
      </w:pPr>
      <w:r w:rsidRPr="00621959">
        <w:rPr>
          <w:rFonts w:ascii="Calibri" w:hAnsi="Calibri"/>
          <w:rtl/>
        </w:rPr>
        <w:t>מ</w:t>
      </w:r>
      <w:r w:rsidRPr="00621959">
        <w:rPr>
          <w:rFonts w:ascii="Calibri" w:hAnsi="Calibri"/>
          <w:b/>
          <w:bCs/>
          <w:rtl/>
        </w:rPr>
        <w:t>ת/1</w:t>
      </w:r>
      <w:r w:rsidRPr="00621959">
        <w:rPr>
          <w:rFonts w:ascii="Calibri" w:hAnsi="Calibri"/>
          <w:rtl/>
        </w:rPr>
        <w:t xml:space="preserve">, </w:t>
      </w:r>
      <w:r w:rsidRPr="00621959">
        <w:rPr>
          <w:rFonts w:ascii="Calibri" w:hAnsi="Calibri"/>
          <w:b/>
          <w:bCs/>
          <w:rtl/>
        </w:rPr>
        <w:t>ת/2</w:t>
      </w:r>
      <w:r w:rsidRPr="00621959">
        <w:rPr>
          <w:rFonts w:ascii="Calibri" w:hAnsi="Calibri"/>
          <w:rtl/>
        </w:rPr>
        <w:t xml:space="preserve">, ומטיעוני ב"כ הצדדים, עולה כי אחד מהמאסרים המותנים אשר הוטלו על הנאשם במסגרת </w:t>
      </w:r>
      <w:hyperlink r:id="rId46" w:history="1">
        <w:r w:rsidR="00EB5746" w:rsidRPr="00EB5746">
          <w:rPr>
            <w:rFonts w:ascii="Calibri" w:hAnsi="Calibri" w:hint="eastAsia"/>
            <w:b/>
            <w:bCs/>
            <w:color w:val="0000FF"/>
            <w:u w:val="single"/>
            <w:rtl/>
          </w:rPr>
          <w:t>ת</w:t>
        </w:r>
        <w:r w:rsidR="00EB5746" w:rsidRPr="00EB5746">
          <w:rPr>
            <w:rFonts w:ascii="Calibri" w:hAnsi="Calibri"/>
            <w:b/>
            <w:bCs/>
            <w:color w:val="0000FF"/>
            <w:u w:val="single"/>
            <w:rtl/>
          </w:rPr>
          <w:t>"</w:t>
        </w:r>
        <w:r w:rsidR="00EB5746" w:rsidRPr="00EB5746">
          <w:rPr>
            <w:rFonts w:ascii="Calibri" w:hAnsi="Calibri" w:hint="eastAsia"/>
            <w:b/>
            <w:bCs/>
            <w:color w:val="0000FF"/>
            <w:u w:val="single"/>
            <w:rtl/>
          </w:rPr>
          <w:t>פ</w:t>
        </w:r>
        <w:r w:rsidR="00EB5746" w:rsidRPr="00EB5746">
          <w:rPr>
            <w:rFonts w:ascii="Calibri" w:hAnsi="Calibri"/>
            <w:b/>
            <w:bCs/>
            <w:color w:val="0000FF"/>
            <w:u w:val="single"/>
            <w:rtl/>
          </w:rPr>
          <w:t xml:space="preserve"> 31213-07-18</w:t>
        </w:r>
      </w:hyperlink>
      <w:r w:rsidRPr="00621959">
        <w:rPr>
          <w:rFonts w:ascii="Calibri" w:hAnsi="Calibri"/>
          <w:rtl/>
        </w:rPr>
        <w:t xml:space="preserve">, מאסר מותנה למשך 4 חודשים, הוא בר הפעלה במקרה זה. </w:t>
      </w:r>
      <w:r w:rsidRPr="00621959">
        <w:rPr>
          <w:rFonts w:ascii="Arial" w:hAnsi="Arial"/>
          <w:rtl/>
        </w:rPr>
        <w:t>במקרה דנן, על אף טיעוני ב"כ הנאשם, לא קיימת הצדקה להורות על הארכת המאסר המותנה התלוי ועומד כנגד הנאשם, ואנמק:</w:t>
      </w:r>
    </w:p>
    <w:p w14:paraId="3AB3E68C" w14:textId="77777777" w:rsidR="00BC040C" w:rsidRPr="00621959" w:rsidRDefault="00BC040C" w:rsidP="00BC040C">
      <w:pPr>
        <w:spacing w:line="360" w:lineRule="auto"/>
        <w:jc w:val="both"/>
        <w:rPr>
          <w:rFonts w:ascii="Arial" w:hAnsi="Arial"/>
          <w:rtl/>
        </w:rPr>
      </w:pPr>
    </w:p>
    <w:p w14:paraId="22A064A6" w14:textId="77777777" w:rsidR="00BC040C" w:rsidRPr="00621959" w:rsidRDefault="00BC040C" w:rsidP="00BC040C">
      <w:pPr>
        <w:spacing w:line="360" w:lineRule="auto"/>
        <w:jc w:val="both"/>
        <w:rPr>
          <w:rFonts w:ascii="Arial" w:hAnsi="Arial"/>
          <w:rtl/>
        </w:rPr>
      </w:pPr>
      <w:r w:rsidRPr="00621959">
        <w:rPr>
          <w:rFonts w:ascii="Arial" w:hAnsi="Arial"/>
          <w:rtl/>
        </w:rPr>
        <w:t xml:space="preserve">כידוע, </w:t>
      </w:r>
      <w:hyperlink r:id="rId47" w:history="1">
        <w:r w:rsidR="00536288" w:rsidRPr="00536288">
          <w:rPr>
            <w:rStyle w:val="Hyperlink"/>
            <w:rFonts w:ascii="Arial" w:hAnsi="Arial"/>
            <w:b/>
            <w:bCs/>
            <w:rtl/>
          </w:rPr>
          <w:t>סעיף 56</w:t>
        </w:r>
      </w:hyperlink>
      <w:r w:rsidRPr="00621959">
        <w:rPr>
          <w:rFonts w:ascii="Arial" w:hAnsi="Arial"/>
          <w:b/>
          <w:bCs/>
          <w:rtl/>
        </w:rPr>
        <w:t xml:space="preserve"> ל</w:t>
      </w:r>
      <w:hyperlink r:id="rId48" w:history="1">
        <w:r w:rsidR="00EB5746" w:rsidRPr="00EB5746">
          <w:rPr>
            <w:rFonts w:ascii="Arial" w:hAnsi="Arial"/>
            <w:b/>
            <w:bCs/>
            <w:color w:val="0000FF"/>
            <w:u w:val="single"/>
            <w:rtl/>
          </w:rPr>
          <w:t>חוק העונשין</w:t>
        </w:r>
      </w:hyperlink>
      <w:r w:rsidRPr="00621959">
        <w:rPr>
          <w:rFonts w:ascii="Arial" w:hAnsi="Arial"/>
          <w:b/>
          <w:bCs/>
          <w:rtl/>
        </w:rPr>
        <w:t xml:space="preserve"> התשל"ז – 1977</w:t>
      </w:r>
      <w:r w:rsidRPr="00621959">
        <w:rPr>
          <w:rFonts w:ascii="Arial" w:hAnsi="Arial"/>
          <w:rtl/>
        </w:rPr>
        <w:t xml:space="preserve"> קובע כי בית המשפט יורה על הארכת המאסר המותנה כחריג, במקרים בהם לא יהא זה צודק להפעילו. </w:t>
      </w:r>
    </w:p>
    <w:p w14:paraId="7E41FB55" w14:textId="77777777" w:rsidR="00BC040C" w:rsidRPr="00621959" w:rsidRDefault="00BC040C" w:rsidP="00BC040C">
      <w:pPr>
        <w:spacing w:line="360" w:lineRule="auto"/>
        <w:jc w:val="both"/>
        <w:rPr>
          <w:rFonts w:ascii="Arial" w:hAnsi="Arial"/>
          <w:rtl/>
        </w:rPr>
      </w:pPr>
    </w:p>
    <w:p w14:paraId="4453F393" w14:textId="77777777" w:rsidR="00BC040C" w:rsidRPr="00621959" w:rsidRDefault="00BC040C" w:rsidP="00BC040C">
      <w:pPr>
        <w:spacing w:line="360" w:lineRule="auto"/>
        <w:jc w:val="both"/>
        <w:rPr>
          <w:rFonts w:ascii="Arial" w:hAnsi="Arial"/>
          <w:rtl/>
        </w:rPr>
      </w:pPr>
      <w:r w:rsidRPr="00621959">
        <w:rPr>
          <w:rFonts w:ascii="Arial" w:hAnsi="Arial"/>
          <w:rtl/>
        </w:rPr>
        <w:t>במקרה זה, מדובר לא רק בעבירה של החזקת סם לצריכה עצמית בכמות של כ-9 גרם, אלא אף בהחזקת סכין בנסיבות חמורות ביותר, כמפורט לעיל. כמו כן, לנאשם עבר פלילי מכביד, כאמור, ועבירת הסמים בוצעה עת היה תלוי ועומד כנגדו מאסר על תנאי בר הפעלה. לכל האמור יש להוסיף אף את התרשמות שירות המבחן, כמפורט לעיל, והיעדר המלצה טיפולית בעניינו של הנאשם לאור היעדר הכרה בבעיית ההתמכרות והיעדר השתלבות בטיפול.</w:t>
      </w:r>
    </w:p>
    <w:p w14:paraId="63B42671" w14:textId="77777777" w:rsidR="00BC040C" w:rsidRPr="00621959" w:rsidRDefault="00BC040C" w:rsidP="00BC040C">
      <w:pPr>
        <w:spacing w:line="360" w:lineRule="auto"/>
        <w:jc w:val="both"/>
        <w:rPr>
          <w:rFonts w:ascii="Arial" w:hAnsi="Arial"/>
          <w:rtl/>
        </w:rPr>
      </w:pPr>
    </w:p>
    <w:p w14:paraId="1133A74D" w14:textId="77777777" w:rsidR="00BC040C" w:rsidRPr="00621959" w:rsidRDefault="00BC040C" w:rsidP="00BC040C">
      <w:pPr>
        <w:spacing w:line="360" w:lineRule="auto"/>
        <w:jc w:val="both"/>
        <w:rPr>
          <w:rFonts w:ascii="Arial" w:hAnsi="Arial"/>
          <w:rtl/>
        </w:rPr>
      </w:pPr>
      <w:r w:rsidRPr="00621959">
        <w:rPr>
          <w:rFonts w:ascii="Arial" w:hAnsi="Arial"/>
          <w:rtl/>
        </w:rPr>
        <w:t xml:space="preserve">מכל האמור עולה כי אין נסיבות המצדיקות הארכת התנאי, ועצם מגוריו של הנאשם בהוסטל בשנה וחצי האחרונות, כמו גם הגמילה העצמית </w:t>
      </w:r>
      <w:r>
        <w:rPr>
          <w:rFonts w:ascii="Arial" w:hAnsi="Arial" w:hint="cs"/>
          <w:rtl/>
        </w:rPr>
        <w:t>ה</w:t>
      </w:r>
      <w:r w:rsidRPr="00621959">
        <w:rPr>
          <w:rFonts w:ascii="Arial" w:hAnsi="Arial"/>
          <w:rtl/>
        </w:rPr>
        <w:t>נטענת מסוגי סם מסוימים אין בהם כדי לשנות מסקנתי זו.</w:t>
      </w:r>
    </w:p>
    <w:p w14:paraId="05A5FE2E" w14:textId="77777777" w:rsidR="00BC040C" w:rsidRPr="00621959" w:rsidRDefault="00BC040C" w:rsidP="00BC040C">
      <w:pPr>
        <w:spacing w:line="360" w:lineRule="auto"/>
        <w:jc w:val="both"/>
        <w:rPr>
          <w:rFonts w:ascii="Arial" w:hAnsi="Arial"/>
          <w:rtl/>
        </w:rPr>
      </w:pPr>
    </w:p>
    <w:p w14:paraId="4C14EFF2" w14:textId="77777777" w:rsidR="00BC040C" w:rsidRPr="00621959" w:rsidRDefault="00BC040C" w:rsidP="00BC040C">
      <w:pPr>
        <w:spacing w:line="360" w:lineRule="auto"/>
        <w:jc w:val="both"/>
        <w:rPr>
          <w:rFonts w:ascii="Arial" w:hAnsi="Arial"/>
          <w:rtl/>
        </w:rPr>
      </w:pPr>
      <w:r w:rsidRPr="00621959">
        <w:rPr>
          <w:rFonts w:ascii="Arial" w:hAnsi="Arial"/>
          <w:b/>
          <w:bCs/>
          <w:rtl/>
        </w:rPr>
        <w:t>23.</w:t>
      </w:r>
      <w:r w:rsidRPr="00621959">
        <w:rPr>
          <w:rFonts w:ascii="Arial" w:hAnsi="Arial"/>
          <w:rtl/>
        </w:rPr>
        <w:t xml:space="preserve"> באיזון בין השיקולים השונים, בשים לב לעברו הפלילי של הנאשם, להיעדר השתלבות בהליך טיפולי והערכת המסוכנות בעניינו, כמפורט, </w:t>
      </w:r>
      <w:r>
        <w:rPr>
          <w:rFonts w:ascii="Arial" w:hAnsi="Arial" w:hint="cs"/>
          <w:rtl/>
        </w:rPr>
        <w:t xml:space="preserve">אל מול השתלבותו בהוסטל, </w:t>
      </w:r>
      <w:r w:rsidRPr="00621959">
        <w:rPr>
          <w:rFonts w:ascii="Arial" w:hAnsi="Arial"/>
          <w:rtl/>
        </w:rPr>
        <w:t xml:space="preserve">שוכנעתי כי יש לגזור על הנאשם ענישה ברף הבינוני של המתחמים. </w:t>
      </w:r>
    </w:p>
    <w:p w14:paraId="5A45EA75" w14:textId="77777777" w:rsidR="00BC040C" w:rsidRPr="00621959" w:rsidRDefault="00BC040C" w:rsidP="00BC040C">
      <w:pPr>
        <w:spacing w:line="360" w:lineRule="auto"/>
        <w:jc w:val="both"/>
        <w:rPr>
          <w:rFonts w:ascii="Arial" w:hAnsi="Arial"/>
        </w:rPr>
      </w:pPr>
    </w:p>
    <w:p w14:paraId="474078A6" w14:textId="77777777" w:rsidR="00BC040C" w:rsidRDefault="00BC040C" w:rsidP="00BC040C">
      <w:pPr>
        <w:spacing w:line="360" w:lineRule="auto"/>
        <w:jc w:val="both"/>
        <w:rPr>
          <w:rFonts w:ascii="Calibri" w:hAnsi="Calibri"/>
          <w:rtl/>
        </w:rPr>
      </w:pPr>
      <w:r w:rsidRPr="00621959">
        <w:rPr>
          <w:rFonts w:ascii="Calibri" w:hAnsi="Calibri"/>
          <w:b/>
          <w:bCs/>
          <w:rtl/>
        </w:rPr>
        <w:t>24.</w:t>
      </w:r>
      <w:r w:rsidRPr="00621959">
        <w:rPr>
          <w:rFonts w:ascii="Calibri" w:hAnsi="Calibri"/>
          <w:rtl/>
        </w:rPr>
        <w:t xml:space="preserve"> עיון ב</w:t>
      </w:r>
      <w:r w:rsidRPr="00621959">
        <w:rPr>
          <w:rFonts w:ascii="Calibri" w:hAnsi="Calibri"/>
          <w:b/>
          <w:bCs/>
          <w:rtl/>
        </w:rPr>
        <w:t xml:space="preserve">ת/3 </w:t>
      </w:r>
      <w:r w:rsidRPr="00621959">
        <w:rPr>
          <w:rFonts w:ascii="Calibri" w:hAnsi="Calibri"/>
          <w:rtl/>
        </w:rPr>
        <w:t>מעלה כי הנאשם חתם על התחייבות לפיה התחייב להימנע מביצוע העבירה שבה הורשע, שכאמור היא החזקת סמים שלא לשימוש עצמי. משכך, לא ניתן להפעיל ההתחייבות. כך גם באשר לפסילה המותנית אשר איננה חלה על עבירת הסמים בה הורשע הנאשם. לאור האמור, אני דוחה עתירות ב"כ המאשימה לעניין רכיבי ענישה אלה.</w:t>
      </w:r>
    </w:p>
    <w:p w14:paraId="0F615299" w14:textId="77777777" w:rsidR="00BC040C" w:rsidRDefault="00BC040C" w:rsidP="00BC040C">
      <w:pPr>
        <w:spacing w:line="360" w:lineRule="auto"/>
        <w:jc w:val="both"/>
        <w:rPr>
          <w:rFonts w:ascii="Calibri" w:hAnsi="Calibri"/>
          <w:rtl/>
        </w:rPr>
      </w:pPr>
    </w:p>
    <w:p w14:paraId="23AA6657" w14:textId="77777777" w:rsidR="00BC040C" w:rsidRDefault="00BC040C" w:rsidP="00BC040C">
      <w:pPr>
        <w:spacing w:line="360" w:lineRule="auto"/>
        <w:jc w:val="both"/>
        <w:rPr>
          <w:rFonts w:ascii="Calibri" w:hAnsi="Calibri"/>
          <w:rtl/>
        </w:rPr>
      </w:pPr>
      <w:r w:rsidRPr="00B115C8">
        <w:rPr>
          <w:rFonts w:ascii="Calibri" w:hAnsi="Calibri" w:hint="cs"/>
          <w:b/>
          <w:bCs/>
          <w:rtl/>
        </w:rPr>
        <w:t>25.</w:t>
      </w:r>
      <w:r>
        <w:rPr>
          <w:rFonts w:ascii="Calibri" w:hAnsi="Calibri" w:hint="cs"/>
          <w:rtl/>
        </w:rPr>
        <w:t xml:space="preserve"> בטרם מתן גזר הדין הופנה הנאשם לקבלת חוות דעתו של הממונה על עבודות השירות.  מחוות דעת הממונה על עבודות השירות אשר הוגשה ביום 15/07/21 עולה כי הנאשם איננו מתאים לריצוי מאסר בדרך של עבודות שירות, וזאת בשל אי כשירות רפואית וכן לאור עמדתו של הנאשם כי איננו יכול לבצע עבודות שירות. </w:t>
      </w:r>
    </w:p>
    <w:p w14:paraId="5B24D844" w14:textId="77777777" w:rsidR="00BC040C" w:rsidRDefault="00BC040C" w:rsidP="00BC040C">
      <w:pPr>
        <w:spacing w:line="360" w:lineRule="auto"/>
        <w:jc w:val="both"/>
        <w:rPr>
          <w:rFonts w:ascii="Calibri" w:hAnsi="Calibri"/>
          <w:rtl/>
        </w:rPr>
      </w:pPr>
      <w:r>
        <w:rPr>
          <w:rFonts w:ascii="Calibri" w:hAnsi="Calibri" w:hint="cs"/>
          <w:rtl/>
        </w:rPr>
        <w:t>אכן ישנן מקרים, בהם בית המשפט חורג לקולה ולא שולח נאשם מאחורי סורג ובריח כיוון שהוא  אינו מתאים לריצוי בדרך של עבודות שירות בשל מצב רפואי, עם זאת במקרה דנן, בנוסף למצבו הרפואי אי התאמה נובעת גם מעמדתו של הנאשם.</w:t>
      </w:r>
    </w:p>
    <w:p w14:paraId="2F899F8A" w14:textId="77777777" w:rsidR="00BC040C" w:rsidRPr="00621959" w:rsidRDefault="00BC040C" w:rsidP="00BC040C">
      <w:pPr>
        <w:spacing w:line="360" w:lineRule="auto"/>
        <w:jc w:val="both"/>
        <w:rPr>
          <w:rFonts w:ascii="Calibri" w:hAnsi="Calibri"/>
          <w:rtl/>
        </w:rPr>
      </w:pPr>
      <w:r>
        <w:rPr>
          <w:rFonts w:ascii="Calibri" w:hAnsi="Calibri" w:hint="cs"/>
          <w:rtl/>
        </w:rPr>
        <w:t xml:space="preserve">לא זו אף זו על אף שמדובר באי כשירות בשל מצב רפואי, אינני סבורה כי במקרה דנן, לאור השיקולים הרבים לחומרה, אשר פורטו לעיל, ניתן לחרוג ממתחם הענישה או להימנע מהפעלת המאסר המותנה אשר תלוי ועומד כנגד הנאשם. </w:t>
      </w:r>
    </w:p>
    <w:p w14:paraId="4DBA4E1E" w14:textId="77777777" w:rsidR="00BC040C" w:rsidRPr="00621959" w:rsidRDefault="00BC040C" w:rsidP="00BC040C">
      <w:pPr>
        <w:spacing w:line="360" w:lineRule="auto"/>
        <w:jc w:val="both"/>
        <w:rPr>
          <w:rFonts w:ascii="Calibri" w:hAnsi="Calibri"/>
          <w:rtl/>
        </w:rPr>
      </w:pPr>
    </w:p>
    <w:p w14:paraId="7F53BEB2" w14:textId="77777777" w:rsidR="00BC040C" w:rsidRPr="00621959" w:rsidRDefault="00BC040C" w:rsidP="00BC040C">
      <w:pPr>
        <w:spacing w:line="360" w:lineRule="auto"/>
        <w:jc w:val="both"/>
        <w:rPr>
          <w:rFonts w:ascii="Arial" w:hAnsi="Arial"/>
        </w:rPr>
      </w:pPr>
      <w:r>
        <w:rPr>
          <w:rFonts w:ascii="Arial" w:hAnsi="Arial" w:hint="cs"/>
          <w:b/>
          <w:bCs/>
          <w:rtl/>
        </w:rPr>
        <w:t>26</w:t>
      </w:r>
      <w:r w:rsidRPr="00621959">
        <w:rPr>
          <w:rFonts w:ascii="Arial" w:hAnsi="Arial"/>
          <w:rtl/>
        </w:rPr>
        <w:t>. אשר על כן, אני גוזרת על הנאשם את העונשים הבאים:</w:t>
      </w:r>
    </w:p>
    <w:p w14:paraId="4AC79EC9" w14:textId="77777777" w:rsidR="00BC040C" w:rsidRPr="00621959" w:rsidRDefault="00BC040C" w:rsidP="00BC040C">
      <w:pPr>
        <w:numPr>
          <w:ilvl w:val="0"/>
          <w:numId w:val="2"/>
        </w:numPr>
        <w:spacing w:after="160" w:line="360" w:lineRule="auto"/>
        <w:contextualSpacing/>
        <w:jc w:val="both"/>
        <w:rPr>
          <w:rFonts w:ascii="Arial" w:hAnsi="Arial"/>
          <w:b/>
          <w:bCs/>
          <w:rtl/>
        </w:rPr>
      </w:pPr>
      <w:r>
        <w:rPr>
          <w:rFonts w:ascii="Arial" w:hAnsi="Arial" w:hint="cs"/>
          <w:b/>
          <w:bCs/>
          <w:rtl/>
        </w:rPr>
        <w:t>4</w:t>
      </w:r>
      <w:r w:rsidRPr="00621959">
        <w:rPr>
          <w:rFonts w:ascii="Arial" w:hAnsi="Arial"/>
          <w:b/>
          <w:bCs/>
          <w:rtl/>
        </w:rPr>
        <w:t xml:space="preserve"> חודשי מאסר. </w:t>
      </w:r>
    </w:p>
    <w:p w14:paraId="6723630D" w14:textId="77777777" w:rsidR="00BC040C" w:rsidRPr="00621959" w:rsidRDefault="00BC040C" w:rsidP="00BC040C">
      <w:pPr>
        <w:numPr>
          <w:ilvl w:val="0"/>
          <w:numId w:val="2"/>
        </w:numPr>
        <w:spacing w:after="160" w:line="360" w:lineRule="auto"/>
        <w:contextualSpacing/>
        <w:jc w:val="both"/>
        <w:rPr>
          <w:rFonts w:ascii="Arial" w:hAnsi="Arial"/>
          <w:b/>
          <w:bCs/>
          <w:rtl/>
        </w:rPr>
      </w:pPr>
      <w:r w:rsidRPr="00621959">
        <w:rPr>
          <w:rFonts w:ascii="Arial" w:hAnsi="Arial"/>
          <w:b/>
          <w:bCs/>
          <w:rtl/>
        </w:rPr>
        <w:t>מפעילה מאסר על תנאי בן 4 חודשים שהוטל על הנאשם ב</w:t>
      </w:r>
      <w:r>
        <w:rPr>
          <w:rFonts w:ascii="Arial" w:hAnsi="Arial" w:hint="cs"/>
          <w:b/>
          <w:bCs/>
          <w:rtl/>
        </w:rPr>
        <w:t xml:space="preserve">יום 18/11/18 במסגרת </w:t>
      </w:r>
      <w:hyperlink r:id="rId49" w:history="1">
        <w:r w:rsidR="00EB5746" w:rsidRPr="00EB5746">
          <w:rPr>
            <w:rFonts w:ascii="Arial" w:hAnsi="Arial"/>
            <w:b/>
            <w:bCs/>
            <w:color w:val="0000FF"/>
            <w:u w:val="single"/>
            <w:rtl/>
          </w:rPr>
          <w:t>ת"פ 31213-07-18</w:t>
        </w:r>
      </w:hyperlink>
      <w:r w:rsidRPr="00621959">
        <w:rPr>
          <w:rFonts w:ascii="Arial" w:hAnsi="Arial"/>
          <w:b/>
          <w:bCs/>
          <w:rtl/>
        </w:rPr>
        <w:t>.</w:t>
      </w:r>
    </w:p>
    <w:p w14:paraId="539BE85A" w14:textId="77777777" w:rsidR="00BC040C" w:rsidRPr="00621959" w:rsidRDefault="00BC040C" w:rsidP="00BC040C">
      <w:pPr>
        <w:numPr>
          <w:ilvl w:val="0"/>
          <w:numId w:val="2"/>
        </w:numPr>
        <w:spacing w:after="160" w:line="360" w:lineRule="auto"/>
        <w:contextualSpacing/>
        <w:jc w:val="both"/>
        <w:rPr>
          <w:rFonts w:ascii="Arial" w:hAnsi="Arial"/>
          <w:b/>
          <w:bCs/>
          <w:rtl/>
        </w:rPr>
      </w:pPr>
      <w:r w:rsidRPr="00621959">
        <w:rPr>
          <w:rFonts w:ascii="Arial" w:hAnsi="Arial"/>
          <w:b/>
          <w:bCs/>
          <w:rtl/>
        </w:rPr>
        <w:t xml:space="preserve">המאסרים ירוצו </w:t>
      </w:r>
      <w:r>
        <w:rPr>
          <w:rFonts w:ascii="Arial" w:hAnsi="Arial" w:hint="cs"/>
          <w:b/>
          <w:bCs/>
          <w:rtl/>
        </w:rPr>
        <w:t xml:space="preserve">חציים </w:t>
      </w:r>
      <w:r w:rsidRPr="00621959">
        <w:rPr>
          <w:rFonts w:ascii="Arial" w:hAnsi="Arial"/>
          <w:b/>
          <w:bCs/>
          <w:rtl/>
        </w:rPr>
        <w:t>בחופף</w:t>
      </w:r>
      <w:r>
        <w:rPr>
          <w:rFonts w:ascii="Arial" w:hAnsi="Arial" w:hint="cs"/>
          <w:b/>
          <w:bCs/>
          <w:rtl/>
        </w:rPr>
        <w:t xml:space="preserve"> וחציים במצטבר,</w:t>
      </w:r>
      <w:r w:rsidRPr="00621959">
        <w:rPr>
          <w:rFonts w:ascii="Arial" w:hAnsi="Arial"/>
          <w:b/>
          <w:bCs/>
          <w:rtl/>
        </w:rPr>
        <w:t xml:space="preserve"> כך שהנאשם ירצה בסך הכל 6 חודשי מאסר. </w:t>
      </w:r>
    </w:p>
    <w:p w14:paraId="1F2D9D7D" w14:textId="77777777" w:rsidR="00BC040C" w:rsidRPr="00621959" w:rsidRDefault="00BC040C" w:rsidP="00BC040C">
      <w:pPr>
        <w:numPr>
          <w:ilvl w:val="0"/>
          <w:numId w:val="2"/>
        </w:numPr>
        <w:spacing w:after="160" w:line="360" w:lineRule="auto"/>
        <w:contextualSpacing/>
        <w:jc w:val="both"/>
        <w:rPr>
          <w:rFonts w:ascii="Arial" w:hAnsi="Arial"/>
          <w:b/>
          <w:bCs/>
          <w:rtl/>
        </w:rPr>
      </w:pPr>
      <w:r w:rsidRPr="00621959">
        <w:rPr>
          <w:rFonts w:ascii="Arial" w:hAnsi="Arial"/>
          <w:b/>
          <w:bCs/>
          <w:rtl/>
        </w:rPr>
        <w:t xml:space="preserve">5 חודשי מאסר על תנאי למשך 3 שנים </w:t>
      </w:r>
      <w:r>
        <w:rPr>
          <w:rFonts w:ascii="Arial" w:hAnsi="Arial" w:hint="cs"/>
          <w:b/>
          <w:bCs/>
          <w:rtl/>
        </w:rPr>
        <w:t>מהיום</w:t>
      </w:r>
      <w:r w:rsidRPr="00621959">
        <w:rPr>
          <w:rFonts w:ascii="Arial" w:hAnsi="Arial"/>
          <w:b/>
          <w:bCs/>
          <w:rtl/>
        </w:rPr>
        <w:t xml:space="preserve"> שלא יעבור שוב עבירה לפי </w:t>
      </w:r>
      <w:hyperlink r:id="rId50" w:history="1">
        <w:r w:rsidR="00EB5746" w:rsidRPr="00EB5746">
          <w:rPr>
            <w:rFonts w:ascii="Arial" w:hAnsi="Arial"/>
            <w:b/>
            <w:bCs/>
            <w:color w:val="0000FF"/>
            <w:u w:val="single"/>
            <w:rtl/>
          </w:rPr>
          <w:t>פקודת הסמים המסוכנים</w:t>
        </w:r>
      </w:hyperlink>
      <w:r w:rsidRPr="00621959">
        <w:rPr>
          <w:rFonts w:ascii="Arial" w:hAnsi="Arial"/>
          <w:b/>
          <w:bCs/>
          <w:rtl/>
        </w:rPr>
        <w:t xml:space="preserve"> או</w:t>
      </w:r>
      <w:r w:rsidRPr="00621959">
        <w:rPr>
          <w:b/>
          <w:bCs/>
          <w:rtl/>
        </w:rPr>
        <w:t xml:space="preserve"> לפי </w:t>
      </w:r>
      <w:hyperlink r:id="rId51" w:history="1">
        <w:r w:rsidR="00536288" w:rsidRPr="00536288">
          <w:rPr>
            <w:rStyle w:val="Hyperlink"/>
            <w:b/>
            <w:bCs/>
            <w:rtl/>
          </w:rPr>
          <w:t>סעיף 186</w:t>
        </w:r>
      </w:hyperlink>
      <w:r w:rsidRPr="00621959">
        <w:rPr>
          <w:b/>
          <w:bCs/>
          <w:rtl/>
        </w:rPr>
        <w:t xml:space="preserve"> לחוק.</w:t>
      </w:r>
    </w:p>
    <w:p w14:paraId="33FF8141" w14:textId="77777777" w:rsidR="00BC040C" w:rsidRPr="00621959" w:rsidRDefault="00BC040C" w:rsidP="00BC040C">
      <w:pPr>
        <w:numPr>
          <w:ilvl w:val="0"/>
          <w:numId w:val="2"/>
        </w:numPr>
        <w:spacing w:after="160" w:line="360" w:lineRule="auto"/>
        <w:contextualSpacing/>
        <w:jc w:val="both"/>
        <w:rPr>
          <w:rFonts w:ascii="Arial" w:hAnsi="Arial"/>
          <w:b/>
          <w:bCs/>
          <w:rtl/>
        </w:rPr>
      </w:pPr>
      <w:r w:rsidRPr="00621959">
        <w:rPr>
          <w:rFonts w:ascii="Arial" w:hAnsi="Arial"/>
          <w:b/>
          <w:bCs/>
          <w:rtl/>
        </w:rPr>
        <w:t>פוסלת את הנאשם מלקבל או להחזיק רישיון נהיגה למשך 12 חודשים</w:t>
      </w:r>
      <w:r>
        <w:rPr>
          <w:rFonts w:ascii="Arial" w:hAnsi="Arial" w:hint="cs"/>
          <w:b/>
          <w:bCs/>
          <w:rtl/>
        </w:rPr>
        <w:t xml:space="preserve"> מיום שחרורו</w:t>
      </w:r>
      <w:r w:rsidRPr="00621959">
        <w:rPr>
          <w:rFonts w:ascii="Arial" w:hAnsi="Arial"/>
          <w:b/>
          <w:bCs/>
          <w:rtl/>
        </w:rPr>
        <w:t xml:space="preserve">. </w:t>
      </w:r>
    </w:p>
    <w:p w14:paraId="6C0E60F8" w14:textId="77777777" w:rsidR="00BC040C" w:rsidRPr="00621959" w:rsidRDefault="00BC040C" w:rsidP="00BC040C">
      <w:pPr>
        <w:spacing w:line="360" w:lineRule="auto"/>
        <w:ind w:left="720"/>
        <w:contextualSpacing/>
        <w:jc w:val="both"/>
        <w:rPr>
          <w:rFonts w:ascii="Arial" w:hAnsi="Arial"/>
          <w:b/>
          <w:bCs/>
          <w:rtl/>
        </w:rPr>
      </w:pPr>
      <w:r>
        <w:rPr>
          <w:rFonts w:ascii="Arial" w:hAnsi="Arial" w:hint="cs"/>
          <w:b/>
          <w:bCs/>
          <w:rtl/>
        </w:rPr>
        <w:t>בהיעדר רישיון, מניין הפסילה יחל להימנות מיום שחרורו ממאסר</w:t>
      </w:r>
      <w:r w:rsidRPr="00621959">
        <w:rPr>
          <w:rFonts w:ascii="Arial" w:hAnsi="Arial"/>
          <w:b/>
          <w:bCs/>
          <w:rtl/>
        </w:rPr>
        <w:t>.</w:t>
      </w:r>
    </w:p>
    <w:p w14:paraId="7EAAF96F" w14:textId="77777777" w:rsidR="00BC040C" w:rsidRPr="00621959" w:rsidRDefault="00BC040C" w:rsidP="00BC040C">
      <w:pPr>
        <w:numPr>
          <w:ilvl w:val="0"/>
          <w:numId w:val="2"/>
        </w:numPr>
        <w:spacing w:after="160" w:line="360" w:lineRule="auto"/>
        <w:contextualSpacing/>
        <w:jc w:val="both"/>
        <w:rPr>
          <w:rFonts w:ascii="Arial" w:hAnsi="Arial"/>
          <w:b/>
          <w:bCs/>
          <w:rtl/>
        </w:rPr>
      </w:pPr>
      <w:r w:rsidRPr="00621959">
        <w:rPr>
          <w:rFonts w:ascii="Arial" w:hAnsi="Arial"/>
          <w:b/>
          <w:bCs/>
          <w:rtl/>
        </w:rPr>
        <w:t xml:space="preserve">6 חודשי פסילה על תנאי למשך שנתיים מהיום שלא יעבור שוב עבירה לפי </w:t>
      </w:r>
      <w:hyperlink r:id="rId52" w:history="1">
        <w:r w:rsidR="00EB5746" w:rsidRPr="00EB5746">
          <w:rPr>
            <w:rFonts w:ascii="Arial" w:hAnsi="Arial"/>
            <w:b/>
            <w:bCs/>
            <w:color w:val="0000FF"/>
            <w:u w:val="single"/>
            <w:rtl/>
          </w:rPr>
          <w:t>פקודת הסמים המסוכנים</w:t>
        </w:r>
      </w:hyperlink>
      <w:r w:rsidRPr="00621959">
        <w:rPr>
          <w:rFonts w:ascii="Arial" w:hAnsi="Arial"/>
          <w:b/>
          <w:bCs/>
          <w:rtl/>
        </w:rPr>
        <w:t xml:space="preserve">. </w:t>
      </w:r>
    </w:p>
    <w:p w14:paraId="00301489" w14:textId="77777777" w:rsidR="00BC040C" w:rsidRPr="00621959" w:rsidRDefault="00BC040C" w:rsidP="00BC040C">
      <w:pPr>
        <w:numPr>
          <w:ilvl w:val="0"/>
          <w:numId w:val="2"/>
        </w:numPr>
        <w:spacing w:after="160" w:line="360" w:lineRule="auto"/>
        <w:contextualSpacing/>
        <w:jc w:val="both"/>
        <w:rPr>
          <w:rFonts w:ascii="Arial" w:hAnsi="Arial"/>
          <w:b/>
          <w:bCs/>
          <w:rtl/>
        </w:rPr>
      </w:pPr>
      <w:r w:rsidRPr="00621959">
        <w:rPr>
          <w:rFonts w:ascii="Arial" w:hAnsi="Arial"/>
          <w:b/>
          <w:bCs/>
          <w:rtl/>
        </w:rPr>
        <w:t xml:space="preserve">התחייבות על סך 3,000 ש"ח להימנע במשך שנתיים מהיום מביצוע עבירה לפי </w:t>
      </w:r>
      <w:hyperlink r:id="rId53" w:history="1">
        <w:r w:rsidR="00EB5746" w:rsidRPr="00EB5746">
          <w:rPr>
            <w:rFonts w:ascii="Arial" w:hAnsi="Arial"/>
            <w:b/>
            <w:bCs/>
            <w:color w:val="0000FF"/>
            <w:u w:val="single"/>
            <w:rtl/>
          </w:rPr>
          <w:t>פקודת הסמים המסוכנים</w:t>
        </w:r>
      </w:hyperlink>
      <w:r w:rsidRPr="00621959">
        <w:rPr>
          <w:rFonts w:ascii="Arial" w:hAnsi="Arial"/>
          <w:b/>
          <w:bCs/>
          <w:rtl/>
        </w:rPr>
        <w:t xml:space="preserve"> או </w:t>
      </w:r>
      <w:r w:rsidRPr="00621959">
        <w:rPr>
          <w:b/>
          <w:bCs/>
          <w:rtl/>
        </w:rPr>
        <w:t xml:space="preserve">עבירה לפי </w:t>
      </w:r>
      <w:hyperlink r:id="rId54" w:history="1">
        <w:r w:rsidR="00536288" w:rsidRPr="00536288">
          <w:rPr>
            <w:rStyle w:val="Hyperlink"/>
            <w:b/>
            <w:bCs/>
            <w:rtl/>
          </w:rPr>
          <w:t>סעיף 186</w:t>
        </w:r>
      </w:hyperlink>
      <w:r w:rsidRPr="00621959">
        <w:rPr>
          <w:b/>
          <w:bCs/>
          <w:rtl/>
        </w:rPr>
        <w:t xml:space="preserve"> לחוק. </w:t>
      </w:r>
    </w:p>
    <w:p w14:paraId="4F906CF6" w14:textId="77777777" w:rsidR="00BC040C" w:rsidRPr="00621959" w:rsidRDefault="00BC040C" w:rsidP="00BC040C">
      <w:pPr>
        <w:numPr>
          <w:ilvl w:val="0"/>
          <w:numId w:val="2"/>
        </w:numPr>
        <w:spacing w:after="160" w:line="360" w:lineRule="auto"/>
        <w:contextualSpacing/>
        <w:jc w:val="both"/>
        <w:rPr>
          <w:rFonts w:ascii="Arial" w:hAnsi="Arial"/>
          <w:b/>
          <w:bCs/>
        </w:rPr>
      </w:pPr>
      <w:r w:rsidRPr="00621959">
        <w:rPr>
          <w:b/>
          <w:bCs/>
          <w:rtl/>
        </w:rPr>
        <w:t xml:space="preserve">הנאשם ישלם קנס בסך של </w:t>
      </w:r>
      <w:r>
        <w:rPr>
          <w:rFonts w:hint="cs"/>
          <w:b/>
          <w:bCs/>
          <w:rtl/>
        </w:rPr>
        <w:t>1</w:t>
      </w:r>
      <w:r w:rsidRPr="00621959">
        <w:rPr>
          <w:b/>
          <w:bCs/>
          <w:rtl/>
        </w:rPr>
        <w:t>,00</w:t>
      </w:r>
      <w:r>
        <w:rPr>
          <w:b/>
          <w:bCs/>
          <w:rtl/>
        </w:rPr>
        <w:t xml:space="preserve">0 ₪ או </w:t>
      </w:r>
      <w:r>
        <w:rPr>
          <w:rFonts w:hint="cs"/>
          <w:b/>
          <w:bCs/>
          <w:rtl/>
        </w:rPr>
        <w:t xml:space="preserve">10 </w:t>
      </w:r>
      <w:r>
        <w:rPr>
          <w:b/>
          <w:bCs/>
          <w:rtl/>
        </w:rPr>
        <w:t>ימי מאסר תמורת הקנס.</w:t>
      </w:r>
    </w:p>
    <w:p w14:paraId="72B1051D" w14:textId="77777777" w:rsidR="00BC040C" w:rsidRPr="00621959" w:rsidRDefault="00BC040C" w:rsidP="00BC040C">
      <w:pPr>
        <w:spacing w:line="360" w:lineRule="auto"/>
        <w:ind w:left="720"/>
        <w:contextualSpacing/>
        <w:jc w:val="both"/>
        <w:rPr>
          <w:rFonts w:ascii="Arial" w:hAnsi="Arial"/>
          <w:b/>
          <w:bCs/>
        </w:rPr>
      </w:pPr>
      <w:r>
        <w:rPr>
          <w:rFonts w:hint="cs"/>
          <w:b/>
          <w:bCs/>
          <w:rtl/>
        </w:rPr>
        <w:t>ה</w:t>
      </w:r>
      <w:r w:rsidRPr="00621959">
        <w:rPr>
          <w:b/>
          <w:bCs/>
          <w:rtl/>
        </w:rPr>
        <w:t xml:space="preserve">קנס ישולם ב-5 תשלומים שווים ורצופים, תשלום ראשון תוך </w:t>
      </w:r>
      <w:r>
        <w:rPr>
          <w:rFonts w:hint="cs"/>
          <w:b/>
          <w:bCs/>
          <w:rtl/>
        </w:rPr>
        <w:t>90</w:t>
      </w:r>
      <w:r w:rsidRPr="00621959">
        <w:rPr>
          <w:b/>
          <w:bCs/>
          <w:rtl/>
        </w:rPr>
        <w:t xml:space="preserve"> יום מהיום.  </w:t>
      </w:r>
    </w:p>
    <w:p w14:paraId="0C1E1968" w14:textId="77777777" w:rsidR="00BC040C" w:rsidRPr="00621959" w:rsidRDefault="00BC040C" w:rsidP="00BC040C">
      <w:pPr>
        <w:spacing w:line="360" w:lineRule="auto"/>
        <w:jc w:val="both"/>
        <w:rPr>
          <w:rFonts w:ascii="Arial" w:hAnsi="Arial"/>
          <w:b/>
          <w:bCs/>
        </w:rPr>
      </w:pPr>
    </w:p>
    <w:p w14:paraId="79C16599" w14:textId="77777777" w:rsidR="00BC040C" w:rsidRDefault="00BC040C" w:rsidP="00BC040C">
      <w:pPr>
        <w:spacing w:line="360" w:lineRule="auto"/>
        <w:ind w:left="720"/>
        <w:contextualSpacing/>
        <w:jc w:val="both"/>
        <w:rPr>
          <w:rFonts w:ascii="Arial" w:hAnsi="Arial"/>
          <w:b/>
          <w:bCs/>
          <w:rtl/>
        </w:rPr>
      </w:pPr>
      <w:r w:rsidRPr="00621959">
        <w:rPr>
          <w:rFonts w:ascii="Arial" w:hAnsi="Arial"/>
          <w:b/>
          <w:bCs/>
          <w:rtl/>
        </w:rPr>
        <w:t>הסמים והסכין יושמדו.</w:t>
      </w:r>
    </w:p>
    <w:p w14:paraId="0B638EFA" w14:textId="77777777" w:rsidR="00BC040C" w:rsidRPr="00621959" w:rsidRDefault="00BC040C" w:rsidP="00BC040C">
      <w:pPr>
        <w:spacing w:line="360" w:lineRule="auto"/>
        <w:ind w:left="720"/>
        <w:contextualSpacing/>
        <w:jc w:val="both"/>
        <w:rPr>
          <w:rFonts w:ascii="Arial" w:hAnsi="Arial"/>
          <w:b/>
          <w:bCs/>
          <w:rtl/>
        </w:rPr>
      </w:pPr>
    </w:p>
    <w:p w14:paraId="0570D1FC" w14:textId="77777777" w:rsidR="00BC040C" w:rsidRDefault="00BC040C" w:rsidP="00BC040C">
      <w:pPr>
        <w:spacing w:line="360" w:lineRule="auto"/>
        <w:ind w:left="720"/>
        <w:contextualSpacing/>
        <w:jc w:val="both"/>
        <w:rPr>
          <w:rFonts w:ascii="Arial" w:hAnsi="Arial"/>
          <w:b/>
          <w:bCs/>
          <w:rtl/>
        </w:rPr>
      </w:pPr>
      <w:r w:rsidRPr="00621959">
        <w:rPr>
          <w:rFonts w:ascii="Arial" w:hAnsi="Arial"/>
          <w:b/>
          <w:bCs/>
          <w:rtl/>
        </w:rPr>
        <w:t xml:space="preserve">זכות ערעור כחוק. </w:t>
      </w:r>
    </w:p>
    <w:p w14:paraId="543456C2" w14:textId="77777777" w:rsidR="00BC040C" w:rsidRPr="00EB5746" w:rsidRDefault="00EB5746" w:rsidP="00BC040C">
      <w:pPr>
        <w:spacing w:line="360" w:lineRule="auto"/>
        <w:ind w:left="720"/>
        <w:contextualSpacing/>
        <w:jc w:val="both"/>
        <w:rPr>
          <w:rFonts w:ascii="Arial" w:hAnsi="Arial"/>
          <w:b/>
          <w:bCs/>
          <w:color w:val="FFFFFF"/>
          <w:sz w:val="2"/>
          <w:szCs w:val="2"/>
          <w:rtl/>
        </w:rPr>
      </w:pPr>
      <w:r w:rsidRPr="00EB5746">
        <w:rPr>
          <w:rFonts w:ascii="Arial" w:hAnsi="Arial"/>
          <w:b/>
          <w:bCs/>
          <w:color w:val="FFFFFF"/>
          <w:sz w:val="2"/>
          <w:szCs w:val="2"/>
          <w:rtl/>
        </w:rPr>
        <w:t>5129371</w:t>
      </w:r>
    </w:p>
    <w:p w14:paraId="76F142BD" w14:textId="77777777" w:rsidR="00BC040C" w:rsidRDefault="00EB5746" w:rsidP="00BC040C">
      <w:pPr>
        <w:rPr>
          <w:rFonts w:cs="FrankRuehl"/>
          <w:sz w:val="28"/>
          <w:szCs w:val="28"/>
          <w:rtl/>
        </w:rPr>
      </w:pPr>
      <w:bookmarkStart w:id="8" w:name="Nitan"/>
      <w:r w:rsidRPr="00EB5746">
        <w:rPr>
          <w:rFonts w:ascii="Arial" w:hAnsi="Arial"/>
          <w:color w:val="FFFFFF"/>
          <w:sz w:val="2"/>
          <w:szCs w:val="2"/>
          <w:rtl/>
        </w:rPr>
        <w:t>54678313</w:t>
      </w:r>
      <w:r>
        <w:rPr>
          <w:rFonts w:ascii="Arial" w:hAnsi="Arial"/>
          <w:rtl/>
        </w:rPr>
        <w:t xml:space="preserve">ניתן היום,  ט' אב תשפ"א אב תשפ"א, 18 יולי 2021, בנוכחות הצדדים. </w:t>
      </w:r>
      <w:bookmarkEnd w:id="8"/>
    </w:p>
    <w:p w14:paraId="209A4CF1" w14:textId="77777777" w:rsidR="00BC040C" w:rsidRDefault="00BC040C" w:rsidP="00EB5746">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A866BD4" w14:textId="77777777" w:rsidR="00BC040C" w:rsidRDefault="00BC040C" w:rsidP="00BC040C">
      <w:pPr>
        <w:jc w:val="center"/>
        <w:rPr>
          <w:rFonts w:ascii="Arial" w:hAnsi="Arial" w:cs="FrankRuehl"/>
          <w:sz w:val="28"/>
          <w:szCs w:val="28"/>
          <w:rtl/>
        </w:rPr>
      </w:pPr>
    </w:p>
    <w:p w14:paraId="71E37948" w14:textId="77777777" w:rsidR="00BC040C" w:rsidRDefault="00BC040C" w:rsidP="00BC040C">
      <w:pPr>
        <w:rPr>
          <w:rFonts w:cs="FrankRuehl"/>
          <w:sz w:val="28"/>
          <w:szCs w:val="28"/>
          <w:rtl/>
        </w:rPr>
      </w:pPr>
    </w:p>
    <w:p w14:paraId="3EB0B41F" w14:textId="77777777" w:rsidR="00BC040C" w:rsidRDefault="00BC040C" w:rsidP="00BC040C">
      <w:pPr>
        <w:pStyle w:val="a3"/>
        <w:jc w:val="center"/>
        <w:rPr>
          <w:rtl/>
        </w:rPr>
      </w:pPr>
    </w:p>
    <w:p w14:paraId="1BFAD192" w14:textId="77777777" w:rsidR="00350F30" w:rsidRPr="00EB5746" w:rsidRDefault="00350F30" w:rsidP="00EB5746">
      <w:pPr>
        <w:keepNext/>
        <w:rPr>
          <w:rFonts w:ascii="David" w:hAnsi="David"/>
          <w:color w:val="000000"/>
          <w:sz w:val="22"/>
          <w:szCs w:val="22"/>
          <w:rtl/>
        </w:rPr>
      </w:pPr>
    </w:p>
    <w:p w14:paraId="00468C62" w14:textId="77777777" w:rsidR="00EB5746" w:rsidRPr="00EB5746" w:rsidRDefault="00EB5746" w:rsidP="00EB5746">
      <w:pPr>
        <w:keepNext/>
        <w:rPr>
          <w:rFonts w:ascii="David" w:hAnsi="David"/>
          <w:color w:val="000000"/>
          <w:sz w:val="22"/>
          <w:szCs w:val="22"/>
          <w:rtl/>
        </w:rPr>
      </w:pPr>
      <w:r w:rsidRPr="00EB5746">
        <w:rPr>
          <w:rFonts w:ascii="David" w:hAnsi="David"/>
          <w:color w:val="000000"/>
          <w:sz w:val="22"/>
          <w:szCs w:val="22"/>
          <w:rtl/>
        </w:rPr>
        <w:t>טל לחיאני שהם 54678313</w:t>
      </w:r>
    </w:p>
    <w:p w14:paraId="2D8443E0" w14:textId="77777777" w:rsidR="00EB5746" w:rsidRDefault="00EB5746" w:rsidP="00EB5746">
      <w:r w:rsidRPr="00EB5746">
        <w:rPr>
          <w:color w:val="000000"/>
          <w:rtl/>
        </w:rPr>
        <w:t>נוסח מסמך זה כפוף לשינויי ניסוח ועריכה</w:t>
      </w:r>
    </w:p>
    <w:p w14:paraId="462CABA9" w14:textId="77777777" w:rsidR="00EB5746" w:rsidRDefault="00EB5746" w:rsidP="00EB5746">
      <w:pPr>
        <w:rPr>
          <w:rtl/>
        </w:rPr>
      </w:pPr>
    </w:p>
    <w:p w14:paraId="3AC25EF7" w14:textId="77777777" w:rsidR="00EB5746" w:rsidRDefault="00EB5746" w:rsidP="00EB5746">
      <w:pPr>
        <w:jc w:val="center"/>
        <w:rPr>
          <w:color w:val="0000FF"/>
          <w:u w:val="single"/>
        </w:rPr>
      </w:pPr>
      <w:hyperlink r:id="rId55" w:history="1">
        <w:r>
          <w:rPr>
            <w:color w:val="0000FF"/>
            <w:u w:val="single"/>
            <w:rtl/>
          </w:rPr>
          <w:t>בעניין עריכה ושינויים במסמכי פסיקה, חקיקה ועוד באתר נבו – הקש כאן</w:t>
        </w:r>
      </w:hyperlink>
    </w:p>
    <w:p w14:paraId="4DC20B23" w14:textId="77777777" w:rsidR="00EB5746" w:rsidRPr="00EB5746" w:rsidRDefault="00EB5746" w:rsidP="00EB5746">
      <w:pPr>
        <w:jc w:val="center"/>
        <w:rPr>
          <w:color w:val="0000FF"/>
          <w:u w:val="single"/>
        </w:rPr>
      </w:pPr>
    </w:p>
    <w:sectPr w:rsidR="00EB5746" w:rsidRPr="00EB5746" w:rsidSect="00EB5746">
      <w:headerReference w:type="even" r:id="rId56"/>
      <w:headerReference w:type="default" r:id="rId57"/>
      <w:footerReference w:type="even" r:id="rId58"/>
      <w:footerReference w:type="default" r:id="rId5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B5D11B" w14:textId="77777777" w:rsidR="00A24DCD" w:rsidRDefault="00A24DCD" w:rsidP="00CF2C8A">
      <w:r>
        <w:separator/>
      </w:r>
    </w:p>
  </w:endnote>
  <w:endnote w:type="continuationSeparator" w:id="0">
    <w:p w14:paraId="107ADCD4" w14:textId="77777777" w:rsidR="00A24DCD" w:rsidRDefault="00A24DCD" w:rsidP="00CF2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41C8E" w14:textId="77777777" w:rsidR="00EB5746" w:rsidRDefault="00EB5746" w:rsidP="00EB574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9D84E54" w14:textId="77777777" w:rsidR="00C11E09" w:rsidRPr="00EB5746" w:rsidRDefault="00EB5746" w:rsidP="00EB574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2C725" w14:textId="77777777" w:rsidR="00EB5746" w:rsidRDefault="00EB5746" w:rsidP="00EB574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74003">
      <w:rPr>
        <w:rFonts w:ascii="FrankRuehl" w:hAnsi="FrankRuehl" w:cs="FrankRuehl"/>
        <w:noProof/>
        <w:rtl/>
      </w:rPr>
      <w:t>1</w:t>
    </w:r>
    <w:r>
      <w:rPr>
        <w:rFonts w:ascii="FrankRuehl" w:hAnsi="FrankRuehl" w:cs="FrankRuehl"/>
        <w:rtl/>
      </w:rPr>
      <w:fldChar w:fldCharType="end"/>
    </w:r>
  </w:p>
  <w:p w14:paraId="184EA92A" w14:textId="77777777" w:rsidR="00C11E09" w:rsidRPr="00EB5746" w:rsidRDefault="00EB5746" w:rsidP="00EB574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B7529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81EB77" w14:textId="77777777" w:rsidR="00A24DCD" w:rsidRDefault="00A24DCD" w:rsidP="00CF2C8A">
      <w:r>
        <w:separator/>
      </w:r>
    </w:p>
  </w:footnote>
  <w:footnote w:type="continuationSeparator" w:id="0">
    <w:p w14:paraId="33DDEF2A" w14:textId="77777777" w:rsidR="00A24DCD" w:rsidRDefault="00A24DCD" w:rsidP="00CF2C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8C7557" w14:textId="77777777" w:rsidR="00EB5746" w:rsidRPr="00EB5746" w:rsidRDefault="00EB5746" w:rsidP="00EB574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32253-01-20</w:t>
    </w:r>
    <w:r>
      <w:rPr>
        <w:rFonts w:ascii="David" w:hAnsi="David"/>
        <w:color w:val="000000"/>
        <w:sz w:val="22"/>
        <w:szCs w:val="22"/>
        <w:rtl/>
      </w:rPr>
      <w:tab/>
      <w:t xml:space="preserve"> מדינת ישראל נ' אדגר בייקמן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57E74" w14:textId="77777777" w:rsidR="00EB5746" w:rsidRPr="00EB5746" w:rsidRDefault="00EB5746" w:rsidP="00EB574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32253-01-20</w:t>
    </w:r>
    <w:r>
      <w:rPr>
        <w:rFonts w:ascii="David" w:hAnsi="David"/>
        <w:color w:val="000000"/>
        <w:sz w:val="22"/>
        <w:szCs w:val="22"/>
        <w:rtl/>
      </w:rPr>
      <w:tab/>
      <w:t xml:space="preserve"> מדינת ישראל נ' אדגר בייקמן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30774"/>
    <w:multiLevelType w:val="hybridMultilevel"/>
    <w:tmpl w:val="99FE3F2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22067CDB"/>
    <w:multiLevelType w:val="hybridMultilevel"/>
    <w:tmpl w:val="279A9FA0"/>
    <w:lvl w:ilvl="0" w:tplc="4308D492">
      <w:start w:val="1"/>
      <w:numFmt w:val="hebrew1"/>
      <w:lvlText w:val="%1."/>
      <w:lvlJc w:val="left"/>
      <w:pPr>
        <w:ind w:left="420" w:hanging="360"/>
      </w:pPr>
      <w:rPr>
        <w:rFonts w:cs="Times New Roman"/>
        <w:b/>
        <w:bCs/>
      </w:rPr>
    </w:lvl>
    <w:lvl w:ilvl="1" w:tplc="04090019">
      <w:start w:val="1"/>
      <w:numFmt w:val="lowerLetter"/>
      <w:lvlText w:val="%2."/>
      <w:lvlJc w:val="left"/>
      <w:pPr>
        <w:ind w:left="1140" w:hanging="360"/>
      </w:pPr>
      <w:rPr>
        <w:rFonts w:cs="Times New Roman"/>
      </w:rPr>
    </w:lvl>
    <w:lvl w:ilvl="2" w:tplc="0409001B">
      <w:start w:val="1"/>
      <w:numFmt w:val="lowerRoman"/>
      <w:lvlText w:val="%3."/>
      <w:lvlJc w:val="right"/>
      <w:pPr>
        <w:ind w:left="1860" w:hanging="180"/>
      </w:pPr>
      <w:rPr>
        <w:rFonts w:cs="Times New Roman"/>
      </w:rPr>
    </w:lvl>
    <w:lvl w:ilvl="3" w:tplc="0409000F">
      <w:start w:val="1"/>
      <w:numFmt w:val="decimal"/>
      <w:lvlText w:val="%4."/>
      <w:lvlJc w:val="left"/>
      <w:pPr>
        <w:ind w:left="2580" w:hanging="360"/>
      </w:pPr>
      <w:rPr>
        <w:rFonts w:cs="Times New Roman"/>
      </w:rPr>
    </w:lvl>
    <w:lvl w:ilvl="4" w:tplc="04090019">
      <w:start w:val="1"/>
      <w:numFmt w:val="lowerLetter"/>
      <w:lvlText w:val="%5."/>
      <w:lvlJc w:val="left"/>
      <w:pPr>
        <w:ind w:left="3300" w:hanging="360"/>
      </w:pPr>
      <w:rPr>
        <w:rFonts w:cs="Times New Roman"/>
      </w:rPr>
    </w:lvl>
    <w:lvl w:ilvl="5" w:tplc="0409001B">
      <w:start w:val="1"/>
      <w:numFmt w:val="lowerRoman"/>
      <w:lvlText w:val="%6."/>
      <w:lvlJc w:val="right"/>
      <w:pPr>
        <w:ind w:left="4020" w:hanging="180"/>
      </w:pPr>
      <w:rPr>
        <w:rFonts w:cs="Times New Roman"/>
      </w:rPr>
    </w:lvl>
    <w:lvl w:ilvl="6" w:tplc="0409000F">
      <w:start w:val="1"/>
      <w:numFmt w:val="decimal"/>
      <w:lvlText w:val="%7."/>
      <w:lvlJc w:val="left"/>
      <w:pPr>
        <w:ind w:left="4740" w:hanging="360"/>
      </w:pPr>
      <w:rPr>
        <w:rFonts w:cs="Times New Roman"/>
      </w:rPr>
    </w:lvl>
    <w:lvl w:ilvl="7" w:tplc="04090019">
      <w:start w:val="1"/>
      <w:numFmt w:val="lowerLetter"/>
      <w:lvlText w:val="%8."/>
      <w:lvlJc w:val="left"/>
      <w:pPr>
        <w:ind w:left="5460" w:hanging="360"/>
      </w:pPr>
      <w:rPr>
        <w:rFonts w:cs="Times New Roman"/>
      </w:rPr>
    </w:lvl>
    <w:lvl w:ilvl="8" w:tplc="0409001B">
      <w:start w:val="1"/>
      <w:numFmt w:val="lowerRoman"/>
      <w:lvlText w:val="%9."/>
      <w:lvlJc w:val="right"/>
      <w:pPr>
        <w:ind w:left="6180" w:hanging="180"/>
      </w:pPr>
      <w:rPr>
        <w:rFonts w:cs="Times New Roman"/>
      </w:rPr>
    </w:lvl>
  </w:abstractNum>
  <w:num w:numId="1" w16cid:durableId="21237642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097195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C040C"/>
    <w:rsid w:val="00172263"/>
    <w:rsid w:val="001B5A3B"/>
    <w:rsid w:val="00350F30"/>
    <w:rsid w:val="004B003B"/>
    <w:rsid w:val="00536288"/>
    <w:rsid w:val="005F6F61"/>
    <w:rsid w:val="00774136"/>
    <w:rsid w:val="00870B5B"/>
    <w:rsid w:val="00A24DCD"/>
    <w:rsid w:val="00B74003"/>
    <w:rsid w:val="00BC040C"/>
    <w:rsid w:val="00C11E09"/>
    <w:rsid w:val="00C1513B"/>
    <w:rsid w:val="00CF2C8A"/>
    <w:rsid w:val="00EB5746"/>
    <w:rsid w:val="00EC56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2A7338C"/>
  <w15:chartTrackingRefBased/>
  <w15:docId w15:val="{697CE690-6F1D-4494-8964-4FB0E6084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C040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C040C"/>
    <w:pPr>
      <w:tabs>
        <w:tab w:val="center" w:pos="4153"/>
        <w:tab w:val="right" w:pos="8306"/>
      </w:tabs>
    </w:pPr>
  </w:style>
  <w:style w:type="character" w:customStyle="1" w:styleId="a4">
    <w:name w:val="כותרת עליונה תו"/>
    <w:link w:val="a3"/>
    <w:rsid w:val="00BC040C"/>
    <w:rPr>
      <w:rFonts w:ascii="Times New Roman" w:eastAsia="Times New Roman" w:hAnsi="Times New Roman" w:cs="David"/>
      <w:sz w:val="24"/>
      <w:szCs w:val="24"/>
    </w:rPr>
  </w:style>
  <w:style w:type="paragraph" w:styleId="a5">
    <w:name w:val="footer"/>
    <w:basedOn w:val="a"/>
    <w:link w:val="a6"/>
    <w:rsid w:val="00BC040C"/>
    <w:pPr>
      <w:tabs>
        <w:tab w:val="center" w:pos="4153"/>
        <w:tab w:val="right" w:pos="8306"/>
      </w:tabs>
    </w:pPr>
  </w:style>
  <w:style w:type="character" w:customStyle="1" w:styleId="a6">
    <w:name w:val="כותרת תחתונה תו"/>
    <w:link w:val="a5"/>
    <w:rsid w:val="00BC040C"/>
    <w:rPr>
      <w:rFonts w:ascii="Times New Roman" w:eastAsia="Times New Roman" w:hAnsi="Times New Roman" w:cs="David"/>
      <w:sz w:val="24"/>
      <w:szCs w:val="24"/>
    </w:rPr>
  </w:style>
  <w:style w:type="table" w:styleId="a7">
    <w:name w:val="Table Grid"/>
    <w:basedOn w:val="a1"/>
    <w:rsid w:val="00BC040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C040C"/>
  </w:style>
  <w:style w:type="character" w:styleId="Hyperlink">
    <w:name w:val="Hyperlink"/>
    <w:rsid w:val="00EB57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70301/186.a" TargetMode="External"/><Relationship Id="rId26" Type="http://schemas.openxmlformats.org/officeDocument/2006/relationships/hyperlink" Target="http://www.nevo.co.il/case/6051623" TargetMode="External"/><Relationship Id="rId39" Type="http://schemas.openxmlformats.org/officeDocument/2006/relationships/hyperlink" Target="http://www.nevo.co.il/case/23421162" TargetMode="External"/><Relationship Id="rId21" Type="http://schemas.openxmlformats.org/officeDocument/2006/relationships/hyperlink" Target="http://www.nevo.co.il/law/4216/7.a.;7.c" TargetMode="External"/><Relationship Id="rId34" Type="http://schemas.openxmlformats.org/officeDocument/2006/relationships/hyperlink" Target="http://www.nevo.co.il/case/20317246" TargetMode="External"/><Relationship Id="rId42" Type="http://schemas.openxmlformats.org/officeDocument/2006/relationships/hyperlink" Target="http://www.nevo.co.il/case/5686959" TargetMode="External"/><Relationship Id="rId47" Type="http://schemas.openxmlformats.org/officeDocument/2006/relationships/hyperlink" Target="http://www.nevo.co.il/law/70301/56" TargetMode="External"/><Relationship Id="rId50" Type="http://schemas.openxmlformats.org/officeDocument/2006/relationships/hyperlink" Target="http://www.nevo.co.il/law/4216"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www.nevo.co.il/case/26360426" TargetMode="External"/><Relationship Id="rId2" Type="http://schemas.openxmlformats.org/officeDocument/2006/relationships/styles" Target="styles.xml"/><Relationship Id="rId16" Type="http://schemas.openxmlformats.org/officeDocument/2006/relationships/hyperlink" Target="http://www.nevo.co.il/law/4216/7.a." TargetMode="External"/><Relationship Id="rId29" Type="http://schemas.openxmlformats.org/officeDocument/2006/relationships/hyperlink" Target="http://www.nevo.co.il/case/4900850" TargetMode="External"/><Relationship Id="rId11" Type="http://schemas.openxmlformats.org/officeDocument/2006/relationships/hyperlink" Target="http://www.nevo.co.il/law/70301/186" TargetMode="External"/><Relationship Id="rId24" Type="http://schemas.openxmlformats.org/officeDocument/2006/relationships/hyperlink" Target="http://www.nevo.co.il/case/24380940"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24318025" TargetMode="External"/><Relationship Id="rId40" Type="http://schemas.openxmlformats.org/officeDocument/2006/relationships/hyperlink" Target="http://www.nevo.co.il/case/23411750" TargetMode="External"/><Relationship Id="rId45" Type="http://schemas.openxmlformats.org/officeDocument/2006/relationships/hyperlink" Target="http://www.nevo.co.il/law/70301/40ja" TargetMode="External"/><Relationship Id="rId53" Type="http://schemas.openxmlformats.org/officeDocument/2006/relationships/hyperlink" Target="http://www.nevo.co.il/law/4216"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www.nevo.co.il/law/70301" TargetMode="External"/><Relationship Id="rId14" Type="http://schemas.openxmlformats.org/officeDocument/2006/relationships/hyperlink" Target="http://www.nevo.co.il/law/70301/40jc" TargetMode="External"/><Relationship Id="rId22" Type="http://schemas.openxmlformats.org/officeDocument/2006/relationships/hyperlink" Target="http://www.nevo.co.il/law/4216" TargetMode="External"/><Relationship Id="rId27" Type="http://schemas.openxmlformats.org/officeDocument/2006/relationships/hyperlink" Target="http://www.nevo.co.il/case/4914678" TargetMode="External"/><Relationship Id="rId30" Type="http://schemas.openxmlformats.org/officeDocument/2006/relationships/hyperlink" Target="http://www.nevo.co.il/case/5607304" TargetMode="External"/><Relationship Id="rId35" Type="http://schemas.openxmlformats.org/officeDocument/2006/relationships/hyperlink" Target="http://www.nevo.co.il/case/5865972"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 TargetMode="External"/><Relationship Id="rId56" Type="http://schemas.openxmlformats.org/officeDocument/2006/relationships/header" Target="header1.xml"/><Relationship Id="rId8" Type="http://schemas.openxmlformats.org/officeDocument/2006/relationships/hyperlink" Target="http://www.nevo.co.il/case/26041164" TargetMode="External"/><Relationship Id="rId51" Type="http://schemas.openxmlformats.org/officeDocument/2006/relationships/hyperlink" Target="http://www.nevo.co.il/law/70301/186" TargetMode="External"/><Relationship Id="rId3" Type="http://schemas.openxmlformats.org/officeDocument/2006/relationships/settings" Target="settings.xml"/><Relationship Id="rId12" Type="http://schemas.openxmlformats.org/officeDocument/2006/relationships/hyperlink" Target="http://www.nevo.co.il/law/70301/186.a"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5808647" TargetMode="External"/><Relationship Id="rId33" Type="http://schemas.openxmlformats.org/officeDocument/2006/relationships/hyperlink" Target="http://www.nevo.co.il/law/70301/40jc" TargetMode="External"/><Relationship Id="rId38" Type="http://schemas.openxmlformats.org/officeDocument/2006/relationships/hyperlink" Target="http://www.nevo.co.il/case/27481540" TargetMode="External"/><Relationship Id="rId46" Type="http://schemas.openxmlformats.org/officeDocument/2006/relationships/hyperlink" Target="http://www.nevo.co.il/case/24380940" TargetMode="External"/><Relationship Id="rId59" Type="http://schemas.openxmlformats.org/officeDocument/2006/relationships/footer" Target="footer2.xml"/><Relationship Id="rId20" Type="http://schemas.openxmlformats.org/officeDocument/2006/relationships/hyperlink" Target="http://www.nevo.co.il/case/26360426" TargetMode="External"/><Relationship Id="rId41" Type="http://schemas.openxmlformats.org/officeDocument/2006/relationships/hyperlink" Target="http://www.nevo.co.il/case/2378120" TargetMode="External"/><Relationship Id="rId54" Type="http://schemas.openxmlformats.org/officeDocument/2006/relationships/hyperlink" Target="http://www.nevo.co.il/law/70301/18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case/26360426" TargetMode="External"/><Relationship Id="rId28" Type="http://schemas.openxmlformats.org/officeDocument/2006/relationships/hyperlink" Target="http://www.nevo.co.il/case/22917272" TargetMode="External"/><Relationship Id="rId36" Type="http://schemas.openxmlformats.org/officeDocument/2006/relationships/hyperlink" Target="http://www.nevo.co.il/case/6152069" TargetMode="External"/><Relationship Id="rId49" Type="http://schemas.openxmlformats.org/officeDocument/2006/relationships/hyperlink" Target="http://www.nevo.co.il/case/24380940" TargetMode="External"/><Relationship Id="rId57" Type="http://schemas.openxmlformats.org/officeDocument/2006/relationships/header" Target="header2.xml"/><Relationship Id="rId10" Type="http://schemas.openxmlformats.org/officeDocument/2006/relationships/hyperlink" Target="http://www.nevo.co.il/law/70301/56" TargetMode="External"/><Relationship Id="rId31" Type="http://schemas.openxmlformats.org/officeDocument/2006/relationships/hyperlink" Target="http://www.nevo.co.il/case/2903544" TargetMode="External"/><Relationship Id="rId44" Type="http://schemas.openxmlformats.org/officeDocument/2006/relationships/hyperlink" Target="http://www.nevo.co.il/law/70301/40jc" TargetMode="External"/><Relationship Id="rId52" Type="http://schemas.openxmlformats.org/officeDocument/2006/relationships/hyperlink" Target="http://www.nevo.co.il/law/4216"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3638</Words>
  <Characters>18193</Characters>
  <Application>Microsoft Office Word</Application>
  <DocSecurity>0</DocSecurity>
  <Lines>151</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21788</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7143524</vt:i4>
      </vt:variant>
      <vt:variant>
        <vt:i4>141</vt:i4>
      </vt:variant>
      <vt:variant>
        <vt:i4>0</vt:i4>
      </vt:variant>
      <vt:variant>
        <vt:i4>5</vt:i4>
      </vt:variant>
      <vt:variant>
        <vt:lpwstr>http://www.nevo.co.il/law/70301/186</vt:lpwstr>
      </vt:variant>
      <vt:variant>
        <vt:lpwstr/>
      </vt:variant>
      <vt:variant>
        <vt:i4>8257637</vt:i4>
      </vt:variant>
      <vt:variant>
        <vt:i4>138</vt:i4>
      </vt:variant>
      <vt:variant>
        <vt:i4>0</vt:i4>
      </vt:variant>
      <vt:variant>
        <vt:i4>5</vt:i4>
      </vt:variant>
      <vt:variant>
        <vt:lpwstr>http://www.nevo.co.il/law/4216</vt:lpwstr>
      </vt:variant>
      <vt:variant>
        <vt:lpwstr/>
      </vt:variant>
      <vt:variant>
        <vt:i4>8257637</vt:i4>
      </vt:variant>
      <vt:variant>
        <vt:i4>135</vt:i4>
      </vt:variant>
      <vt:variant>
        <vt:i4>0</vt:i4>
      </vt:variant>
      <vt:variant>
        <vt:i4>5</vt:i4>
      </vt:variant>
      <vt:variant>
        <vt:lpwstr>http://www.nevo.co.il/law/4216</vt:lpwstr>
      </vt:variant>
      <vt:variant>
        <vt:lpwstr/>
      </vt:variant>
      <vt:variant>
        <vt:i4>7143524</vt:i4>
      </vt:variant>
      <vt:variant>
        <vt:i4>132</vt:i4>
      </vt:variant>
      <vt:variant>
        <vt:i4>0</vt:i4>
      </vt:variant>
      <vt:variant>
        <vt:i4>5</vt:i4>
      </vt:variant>
      <vt:variant>
        <vt:lpwstr>http://www.nevo.co.il/law/70301/186</vt:lpwstr>
      </vt:variant>
      <vt:variant>
        <vt:lpwstr/>
      </vt:variant>
      <vt:variant>
        <vt:i4>8257637</vt:i4>
      </vt:variant>
      <vt:variant>
        <vt:i4>129</vt:i4>
      </vt:variant>
      <vt:variant>
        <vt:i4>0</vt:i4>
      </vt:variant>
      <vt:variant>
        <vt:i4>5</vt:i4>
      </vt:variant>
      <vt:variant>
        <vt:lpwstr>http://www.nevo.co.il/law/4216</vt:lpwstr>
      </vt:variant>
      <vt:variant>
        <vt:lpwstr/>
      </vt:variant>
      <vt:variant>
        <vt:i4>3473521</vt:i4>
      </vt:variant>
      <vt:variant>
        <vt:i4>126</vt:i4>
      </vt:variant>
      <vt:variant>
        <vt:i4>0</vt:i4>
      </vt:variant>
      <vt:variant>
        <vt:i4>5</vt:i4>
      </vt:variant>
      <vt:variant>
        <vt:lpwstr>http://www.nevo.co.il/case/24380940</vt:lpwstr>
      </vt:variant>
      <vt:variant>
        <vt:lpwstr/>
      </vt:variant>
      <vt:variant>
        <vt:i4>7995492</vt:i4>
      </vt:variant>
      <vt:variant>
        <vt:i4>123</vt:i4>
      </vt:variant>
      <vt:variant>
        <vt:i4>0</vt:i4>
      </vt:variant>
      <vt:variant>
        <vt:i4>5</vt:i4>
      </vt:variant>
      <vt:variant>
        <vt:lpwstr>http://www.nevo.co.il/law/70301</vt:lpwstr>
      </vt:variant>
      <vt:variant>
        <vt:lpwstr/>
      </vt:variant>
      <vt:variant>
        <vt:i4>6488160</vt:i4>
      </vt:variant>
      <vt:variant>
        <vt:i4>120</vt:i4>
      </vt:variant>
      <vt:variant>
        <vt:i4>0</vt:i4>
      </vt:variant>
      <vt:variant>
        <vt:i4>5</vt:i4>
      </vt:variant>
      <vt:variant>
        <vt:lpwstr>http://www.nevo.co.il/law/70301/56</vt:lpwstr>
      </vt:variant>
      <vt:variant>
        <vt:lpwstr/>
      </vt:variant>
      <vt:variant>
        <vt:i4>3473521</vt:i4>
      </vt:variant>
      <vt:variant>
        <vt:i4>117</vt:i4>
      </vt:variant>
      <vt:variant>
        <vt:i4>0</vt:i4>
      </vt:variant>
      <vt:variant>
        <vt:i4>5</vt:i4>
      </vt:variant>
      <vt:variant>
        <vt:lpwstr>http://www.nevo.co.il/case/24380940</vt:lpwstr>
      </vt:variant>
      <vt:variant>
        <vt:lpwstr/>
      </vt:variant>
      <vt:variant>
        <vt:i4>262155</vt:i4>
      </vt:variant>
      <vt:variant>
        <vt:i4>114</vt:i4>
      </vt:variant>
      <vt:variant>
        <vt:i4>0</vt:i4>
      </vt:variant>
      <vt:variant>
        <vt:i4>5</vt:i4>
      </vt:variant>
      <vt:variant>
        <vt:lpwstr>http://www.nevo.co.il/law/70301/40ja</vt:lpwstr>
      </vt:variant>
      <vt:variant>
        <vt:lpwstr/>
      </vt:variant>
      <vt:variant>
        <vt:i4>393227</vt:i4>
      </vt:variant>
      <vt:variant>
        <vt:i4>111</vt:i4>
      </vt:variant>
      <vt:variant>
        <vt:i4>0</vt:i4>
      </vt:variant>
      <vt:variant>
        <vt:i4>5</vt:i4>
      </vt:variant>
      <vt:variant>
        <vt:lpwstr>http://www.nevo.co.il/law/70301/40jc</vt:lpwstr>
      </vt:variant>
      <vt:variant>
        <vt:lpwstr/>
      </vt:variant>
      <vt:variant>
        <vt:i4>7995492</vt:i4>
      </vt:variant>
      <vt:variant>
        <vt:i4>108</vt:i4>
      </vt:variant>
      <vt:variant>
        <vt:i4>0</vt:i4>
      </vt:variant>
      <vt:variant>
        <vt:i4>5</vt:i4>
      </vt:variant>
      <vt:variant>
        <vt:lpwstr>http://www.nevo.co.il/law/70301</vt:lpwstr>
      </vt:variant>
      <vt:variant>
        <vt:lpwstr/>
      </vt:variant>
      <vt:variant>
        <vt:i4>3997809</vt:i4>
      </vt:variant>
      <vt:variant>
        <vt:i4>105</vt:i4>
      </vt:variant>
      <vt:variant>
        <vt:i4>0</vt:i4>
      </vt:variant>
      <vt:variant>
        <vt:i4>5</vt:i4>
      </vt:variant>
      <vt:variant>
        <vt:lpwstr>http://www.nevo.co.il/case/5686959</vt:lpwstr>
      </vt:variant>
      <vt:variant>
        <vt:lpwstr/>
      </vt:variant>
      <vt:variant>
        <vt:i4>3407997</vt:i4>
      </vt:variant>
      <vt:variant>
        <vt:i4>102</vt:i4>
      </vt:variant>
      <vt:variant>
        <vt:i4>0</vt:i4>
      </vt:variant>
      <vt:variant>
        <vt:i4>5</vt:i4>
      </vt:variant>
      <vt:variant>
        <vt:lpwstr>http://www.nevo.co.il/case/2378120</vt:lpwstr>
      </vt:variant>
      <vt:variant>
        <vt:lpwstr/>
      </vt:variant>
      <vt:variant>
        <vt:i4>3276913</vt:i4>
      </vt:variant>
      <vt:variant>
        <vt:i4>99</vt:i4>
      </vt:variant>
      <vt:variant>
        <vt:i4>0</vt:i4>
      </vt:variant>
      <vt:variant>
        <vt:i4>5</vt:i4>
      </vt:variant>
      <vt:variant>
        <vt:lpwstr>http://www.nevo.co.il/case/23411750</vt:lpwstr>
      </vt:variant>
      <vt:variant>
        <vt:lpwstr/>
      </vt:variant>
      <vt:variant>
        <vt:i4>3211380</vt:i4>
      </vt:variant>
      <vt:variant>
        <vt:i4>96</vt:i4>
      </vt:variant>
      <vt:variant>
        <vt:i4>0</vt:i4>
      </vt:variant>
      <vt:variant>
        <vt:i4>5</vt:i4>
      </vt:variant>
      <vt:variant>
        <vt:lpwstr>http://www.nevo.co.il/case/23421162</vt:lpwstr>
      </vt:variant>
      <vt:variant>
        <vt:lpwstr/>
      </vt:variant>
      <vt:variant>
        <vt:i4>3342462</vt:i4>
      </vt:variant>
      <vt:variant>
        <vt:i4>93</vt:i4>
      </vt:variant>
      <vt:variant>
        <vt:i4>0</vt:i4>
      </vt:variant>
      <vt:variant>
        <vt:i4>5</vt:i4>
      </vt:variant>
      <vt:variant>
        <vt:lpwstr>http://www.nevo.co.il/case/27481540</vt:lpwstr>
      </vt:variant>
      <vt:variant>
        <vt:lpwstr/>
      </vt:variant>
      <vt:variant>
        <vt:i4>3866737</vt:i4>
      </vt:variant>
      <vt:variant>
        <vt:i4>90</vt:i4>
      </vt:variant>
      <vt:variant>
        <vt:i4>0</vt:i4>
      </vt:variant>
      <vt:variant>
        <vt:i4>5</vt:i4>
      </vt:variant>
      <vt:variant>
        <vt:lpwstr>http://www.nevo.co.il/case/24318025</vt:lpwstr>
      </vt:variant>
      <vt:variant>
        <vt:lpwstr/>
      </vt:variant>
      <vt:variant>
        <vt:i4>3801201</vt:i4>
      </vt:variant>
      <vt:variant>
        <vt:i4>87</vt:i4>
      </vt:variant>
      <vt:variant>
        <vt:i4>0</vt:i4>
      </vt:variant>
      <vt:variant>
        <vt:i4>5</vt:i4>
      </vt:variant>
      <vt:variant>
        <vt:lpwstr>http://www.nevo.co.il/case/6152069</vt:lpwstr>
      </vt:variant>
      <vt:variant>
        <vt:lpwstr/>
      </vt:variant>
      <vt:variant>
        <vt:i4>3670142</vt:i4>
      </vt:variant>
      <vt:variant>
        <vt:i4>84</vt:i4>
      </vt:variant>
      <vt:variant>
        <vt:i4>0</vt:i4>
      </vt:variant>
      <vt:variant>
        <vt:i4>5</vt:i4>
      </vt:variant>
      <vt:variant>
        <vt:lpwstr>http://www.nevo.co.il/case/5865972</vt:lpwstr>
      </vt:variant>
      <vt:variant>
        <vt:lpwstr/>
      </vt:variant>
      <vt:variant>
        <vt:i4>3276919</vt:i4>
      </vt:variant>
      <vt:variant>
        <vt:i4>81</vt:i4>
      </vt:variant>
      <vt:variant>
        <vt:i4>0</vt:i4>
      </vt:variant>
      <vt:variant>
        <vt:i4>5</vt:i4>
      </vt:variant>
      <vt:variant>
        <vt:lpwstr>http://www.nevo.co.il/case/20317246</vt:lpwstr>
      </vt:variant>
      <vt:variant>
        <vt:lpwstr/>
      </vt:variant>
      <vt:variant>
        <vt:i4>393227</vt:i4>
      </vt:variant>
      <vt:variant>
        <vt:i4>78</vt:i4>
      </vt:variant>
      <vt:variant>
        <vt:i4>0</vt:i4>
      </vt:variant>
      <vt:variant>
        <vt:i4>5</vt:i4>
      </vt:variant>
      <vt:variant>
        <vt:lpwstr>http://www.nevo.co.il/law/70301/40jc</vt:lpwstr>
      </vt:variant>
      <vt:variant>
        <vt:lpwstr/>
      </vt:variant>
      <vt:variant>
        <vt:i4>7995492</vt:i4>
      </vt:variant>
      <vt:variant>
        <vt:i4>75</vt:i4>
      </vt:variant>
      <vt:variant>
        <vt:i4>0</vt:i4>
      </vt:variant>
      <vt:variant>
        <vt:i4>5</vt:i4>
      </vt:variant>
      <vt:variant>
        <vt:lpwstr>http://www.nevo.co.il/law/70301</vt:lpwstr>
      </vt:variant>
      <vt:variant>
        <vt:lpwstr/>
      </vt:variant>
      <vt:variant>
        <vt:i4>3342458</vt:i4>
      </vt:variant>
      <vt:variant>
        <vt:i4>72</vt:i4>
      </vt:variant>
      <vt:variant>
        <vt:i4>0</vt:i4>
      </vt:variant>
      <vt:variant>
        <vt:i4>5</vt:i4>
      </vt:variant>
      <vt:variant>
        <vt:lpwstr>http://www.nevo.co.il/case/2903544</vt:lpwstr>
      </vt:variant>
      <vt:variant>
        <vt:lpwstr/>
      </vt:variant>
      <vt:variant>
        <vt:i4>3276917</vt:i4>
      </vt:variant>
      <vt:variant>
        <vt:i4>69</vt:i4>
      </vt:variant>
      <vt:variant>
        <vt:i4>0</vt:i4>
      </vt:variant>
      <vt:variant>
        <vt:i4>5</vt:i4>
      </vt:variant>
      <vt:variant>
        <vt:lpwstr>http://www.nevo.co.il/case/5607304</vt:lpwstr>
      </vt:variant>
      <vt:variant>
        <vt:lpwstr/>
      </vt:variant>
      <vt:variant>
        <vt:i4>3932280</vt:i4>
      </vt:variant>
      <vt:variant>
        <vt:i4>66</vt:i4>
      </vt:variant>
      <vt:variant>
        <vt:i4>0</vt:i4>
      </vt:variant>
      <vt:variant>
        <vt:i4>5</vt:i4>
      </vt:variant>
      <vt:variant>
        <vt:lpwstr>http://www.nevo.co.il/case/4900850</vt:lpwstr>
      </vt:variant>
      <vt:variant>
        <vt:lpwstr/>
      </vt:variant>
      <vt:variant>
        <vt:i4>3866741</vt:i4>
      </vt:variant>
      <vt:variant>
        <vt:i4>63</vt:i4>
      </vt:variant>
      <vt:variant>
        <vt:i4>0</vt:i4>
      </vt:variant>
      <vt:variant>
        <vt:i4>5</vt:i4>
      </vt:variant>
      <vt:variant>
        <vt:lpwstr>http://www.nevo.co.il/case/22917272</vt:lpwstr>
      </vt:variant>
      <vt:variant>
        <vt:lpwstr/>
      </vt:variant>
      <vt:variant>
        <vt:i4>3866750</vt:i4>
      </vt:variant>
      <vt:variant>
        <vt:i4>60</vt:i4>
      </vt:variant>
      <vt:variant>
        <vt:i4>0</vt:i4>
      </vt:variant>
      <vt:variant>
        <vt:i4>5</vt:i4>
      </vt:variant>
      <vt:variant>
        <vt:lpwstr>http://www.nevo.co.il/case/4914678</vt:lpwstr>
      </vt:variant>
      <vt:variant>
        <vt:lpwstr/>
      </vt:variant>
      <vt:variant>
        <vt:i4>3539063</vt:i4>
      </vt:variant>
      <vt:variant>
        <vt:i4>57</vt:i4>
      </vt:variant>
      <vt:variant>
        <vt:i4>0</vt:i4>
      </vt:variant>
      <vt:variant>
        <vt:i4>5</vt:i4>
      </vt:variant>
      <vt:variant>
        <vt:lpwstr>http://www.nevo.co.il/case/6051623</vt:lpwstr>
      </vt:variant>
      <vt:variant>
        <vt:lpwstr/>
      </vt:variant>
      <vt:variant>
        <vt:i4>3407984</vt:i4>
      </vt:variant>
      <vt:variant>
        <vt:i4>54</vt:i4>
      </vt:variant>
      <vt:variant>
        <vt:i4>0</vt:i4>
      </vt:variant>
      <vt:variant>
        <vt:i4>5</vt:i4>
      </vt:variant>
      <vt:variant>
        <vt:lpwstr>http://www.nevo.co.il/case/5808647</vt:lpwstr>
      </vt:variant>
      <vt:variant>
        <vt:lpwstr/>
      </vt:variant>
      <vt:variant>
        <vt:i4>3473521</vt:i4>
      </vt:variant>
      <vt:variant>
        <vt:i4>51</vt:i4>
      </vt:variant>
      <vt:variant>
        <vt:i4>0</vt:i4>
      </vt:variant>
      <vt:variant>
        <vt:i4>5</vt:i4>
      </vt:variant>
      <vt:variant>
        <vt:lpwstr>http://www.nevo.co.il/case/24380940</vt:lpwstr>
      </vt:variant>
      <vt:variant>
        <vt:lpwstr/>
      </vt:variant>
      <vt:variant>
        <vt:i4>3342448</vt:i4>
      </vt:variant>
      <vt:variant>
        <vt:i4>48</vt:i4>
      </vt:variant>
      <vt:variant>
        <vt:i4>0</vt:i4>
      </vt:variant>
      <vt:variant>
        <vt:i4>5</vt:i4>
      </vt:variant>
      <vt:variant>
        <vt:lpwstr>http://www.nevo.co.il/case/26360426</vt:lpwstr>
      </vt:variant>
      <vt:variant>
        <vt:lpwstr/>
      </vt:variant>
      <vt:variant>
        <vt:i4>8257637</vt:i4>
      </vt:variant>
      <vt:variant>
        <vt:i4>45</vt:i4>
      </vt:variant>
      <vt:variant>
        <vt:i4>0</vt:i4>
      </vt:variant>
      <vt:variant>
        <vt:i4>5</vt:i4>
      </vt:variant>
      <vt:variant>
        <vt:lpwstr>http://www.nevo.co.il/law/4216</vt:lpwstr>
      </vt:variant>
      <vt:variant>
        <vt:lpwstr/>
      </vt:variant>
      <vt:variant>
        <vt:i4>3997821</vt:i4>
      </vt:variant>
      <vt:variant>
        <vt:i4>42</vt:i4>
      </vt:variant>
      <vt:variant>
        <vt:i4>0</vt:i4>
      </vt:variant>
      <vt:variant>
        <vt:i4>5</vt:i4>
      </vt:variant>
      <vt:variant>
        <vt:lpwstr>http://www.nevo.co.il/law/4216/7.a.;7.c</vt:lpwstr>
      </vt:variant>
      <vt:variant>
        <vt:lpwstr/>
      </vt:variant>
      <vt:variant>
        <vt:i4>3342448</vt:i4>
      </vt:variant>
      <vt:variant>
        <vt:i4>39</vt:i4>
      </vt:variant>
      <vt:variant>
        <vt:i4>0</vt:i4>
      </vt:variant>
      <vt:variant>
        <vt:i4>5</vt:i4>
      </vt:variant>
      <vt:variant>
        <vt:lpwstr>http://www.nevo.co.il/case/26360426</vt:lpwstr>
      </vt:variant>
      <vt:variant>
        <vt:lpwstr/>
      </vt:variant>
      <vt:variant>
        <vt:i4>7995492</vt:i4>
      </vt:variant>
      <vt:variant>
        <vt:i4>36</vt:i4>
      </vt:variant>
      <vt:variant>
        <vt:i4>0</vt:i4>
      </vt:variant>
      <vt:variant>
        <vt:i4>5</vt:i4>
      </vt:variant>
      <vt:variant>
        <vt:lpwstr>http://www.nevo.co.il/law/70301</vt:lpwstr>
      </vt:variant>
      <vt:variant>
        <vt:lpwstr/>
      </vt:variant>
      <vt:variant>
        <vt:i4>4390994</vt:i4>
      </vt:variant>
      <vt:variant>
        <vt:i4>33</vt:i4>
      </vt:variant>
      <vt:variant>
        <vt:i4>0</vt:i4>
      </vt:variant>
      <vt:variant>
        <vt:i4>5</vt:i4>
      </vt:variant>
      <vt:variant>
        <vt:lpwstr>http://www.nevo.co.il/law/70301/186.a</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8257637</vt:i4>
      </vt:variant>
      <vt:variant>
        <vt:i4>24</vt:i4>
      </vt:variant>
      <vt:variant>
        <vt:i4>0</vt:i4>
      </vt:variant>
      <vt:variant>
        <vt:i4>5</vt:i4>
      </vt:variant>
      <vt:variant>
        <vt:lpwstr>http://www.nevo.co.il/law/4216</vt:lpwstr>
      </vt:variant>
      <vt:variant>
        <vt:lpwstr/>
      </vt:variant>
      <vt:variant>
        <vt:i4>393227</vt:i4>
      </vt:variant>
      <vt:variant>
        <vt:i4>21</vt:i4>
      </vt:variant>
      <vt:variant>
        <vt:i4>0</vt:i4>
      </vt:variant>
      <vt:variant>
        <vt:i4>5</vt:i4>
      </vt:variant>
      <vt:variant>
        <vt:lpwstr>http://www.nevo.co.il/law/70301/40jc</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4390994</vt:i4>
      </vt:variant>
      <vt:variant>
        <vt:i4>15</vt:i4>
      </vt:variant>
      <vt:variant>
        <vt:i4>0</vt:i4>
      </vt:variant>
      <vt:variant>
        <vt:i4>5</vt:i4>
      </vt:variant>
      <vt:variant>
        <vt:lpwstr>http://www.nevo.co.il/law/70301/186.a</vt:lpwstr>
      </vt:variant>
      <vt:variant>
        <vt:lpwstr/>
      </vt:variant>
      <vt:variant>
        <vt:i4>7143524</vt:i4>
      </vt:variant>
      <vt:variant>
        <vt:i4>12</vt:i4>
      </vt:variant>
      <vt:variant>
        <vt:i4>0</vt:i4>
      </vt:variant>
      <vt:variant>
        <vt:i4>5</vt:i4>
      </vt:variant>
      <vt:variant>
        <vt:lpwstr>http://www.nevo.co.il/law/70301/186</vt:lpwstr>
      </vt:variant>
      <vt:variant>
        <vt:lpwstr/>
      </vt:variant>
      <vt:variant>
        <vt:i4>6488160</vt:i4>
      </vt:variant>
      <vt:variant>
        <vt:i4>9</vt:i4>
      </vt:variant>
      <vt:variant>
        <vt:i4>0</vt:i4>
      </vt:variant>
      <vt:variant>
        <vt:i4>5</vt:i4>
      </vt:variant>
      <vt:variant>
        <vt:lpwstr>http://www.nevo.co.il/law/70301/56</vt:lpwstr>
      </vt:variant>
      <vt:variant>
        <vt:lpwstr/>
      </vt:variant>
      <vt:variant>
        <vt:i4>7995492</vt:i4>
      </vt:variant>
      <vt:variant>
        <vt:i4>6</vt:i4>
      </vt:variant>
      <vt:variant>
        <vt:i4>0</vt:i4>
      </vt:variant>
      <vt:variant>
        <vt:i4>5</vt:i4>
      </vt:variant>
      <vt:variant>
        <vt:lpwstr>http://www.nevo.co.il/law/70301</vt:lpwstr>
      </vt:variant>
      <vt:variant>
        <vt:lpwstr/>
      </vt:variant>
      <vt:variant>
        <vt:i4>3473527</vt:i4>
      </vt:variant>
      <vt:variant>
        <vt:i4>3</vt:i4>
      </vt:variant>
      <vt:variant>
        <vt:i4>0</vt:i4>
      </vt:variant>
      <vt:variant>
        <vt:i4>5</vt:i4>
      </vt:variant>
      <vt:variant>
        <vt:lpwstr>http://www.nevo.co.il/case/26041164</vt:lpwstr>
      </vt:variant>
      <vt:variant>
        <vt:lpwstr/>
      </vt:variant>
      <vt:variant>
        <vt:i4>3342448</vt:i4>
      </vt:variant>
      <vt:variant>
        <vt:i4>0</vt:i4>
      </vt:variant>
      <vt:variant>
        <vt:i4>0</vt:i4>
      </vt:variant>
      <vt:variant>
        <vt:i4>5</vt:i4>
      </vt:variant>
      <vt:variant>
        <vt:lpwstr>http://www.nevo.co.il/case/26360426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2025-04-23T00:25:00Z</dcterms:created>
  <dcterms:modified xsi:type="dcterms:W3CDTF">2025-04-23T00:25:00Z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32253;37053</vt:lpwstr>
  </property>
  <property fmtid="{D5CDD505-2E9C-101B-9397-08002B2CF9AE}" pid="6" name="NEWPARTB">
    <vt:lpwstr>01;09</vt:lpwstr>
  </property>
  <property fmtid="{D5CDD505-2E9C-101B-9397-08002B2CF9AE}" pid="7" name="NEWPARTC">
    <vt:lpwstr>20;19</vt:lpwstr>
  </property>
  <property fmtid="{D5CDD505-2E9C-101B-9397-08002B2CF9AE}" pid="8" name="APPELLANT">
    <vt:lpwstr>מדינת ישראל</vt:lpwstr>
  </property>
  <property fmtid="{D5CDD505-2E9C-101B-9397-08002B2CF9AE}" pid="9" name="APPELLEE">
    <vt:lpwstr>אדגר בייקמן</vt:lpwstr>
  </property>
  <property fmtid="{D5CDD505-2E9C-101B-9397-08002B2CF9AE}" pid="10" name="LAWYER">
    <vt:lpwstr>הילה מלול;פרג'ון</vt:lpwstr>
  </property>
  <property fmtid="{D5CDD505-2E9C-101B-9397-08002B2CF9AE}" pid="11" name="JUDGE">
    <vt:lpwstr>טל לחיאני שהם</vt:lpwstr>
  </property>
  <property fmtid="{D5CDD505-2E9C-101B-9397-08002B2CF9AE}" pid="12" name="CITY">
    <vt:lpwstr>ק"ג</vt:lpwstr>
  </property>
  <property fmtid="{D5CDD505-2E9C-101B-9397-08002B2CF9AE}" pid="13" name="DATE">
    <vt:lpwstr>20210718</vt:lpwstr>
  </property>
  <property fmtid="{D5CDD505-2E9C-101B-9397-08002B2CF9AE}" pid="14" name="TYPE_N_DATE">
    <vt:lpwstr>38020210718</vt:lpwstr>
  </property>
  <property fmtid="{D5CDD505-2E9C-101B-9397-08002B2CF9AE}" pid="15" name="WORDNUMPAGES">
    <vt:lpwstr>11</vt:lpwstr>
  </property>
  <property fmtid="{D5CDD505-2E9C-101B-9397-08002B2CF9AE}" pid="16" name="TYPE_ABS_DATE">
    <vt:lpwstr>380020210718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26360426:3;26041164;24380940:3;5808647;6051623;4914678;22917272;4900850;5607304;2903544;20317246;5865972;6152069;24318025;27481540;23421162;23411750;2378120;5686959</vt:lpwstr>
  </property>
  <property fmtid="{D5CDD505-2E9C-101B-9397-08002B2CF9AE}" pid="36" name="LAWLISTTMP1">
    <vt:lpwstr>70301/186.a;40jc:2;40ja;056;186:2</vt:lpwstr>
  </property>
  <property fmtid="{D5CDD505-2E9C-101B-9397-08002B2CF9AE}" pid="37" name="LAWLISTTMP2">
    <vt:lpwstr>4216/007.a;007.c</vt:lpwstr>
  </property>
</Properties>
</file>