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341DC" w:rsidRPr="008A795D" w14:paraId="273B0A58" w14:textId="77777777" w:rsidTr="005B72B0">
        <w:trPr>
          <w:gridAfter w:val="1"/>
          <w:wAfter w:w="99" w:type="dxa"/>
          <w:trHeight w:hRule="exact" w:val="418"/>
          <w:jc w:val="center"/>
        </w:trPr>
        <w:tc>
          <w:tcPr>
            <w:tcW w:w="8721" w:type="dxa"/>
            <w:gridSpan w:val="4"/>
          </w:tcPr>
          <w:p w14:paraId="3BD2F62E" w14:textId="77777777" w:rsidR="002341DC" w:rsidRPr="008A795D" w:rsidRDefault="002341DC" w:rsidP="004C2CFE">
            <w:pPr>
              <w:pStyle w:val="a3"/>
              <w:jc w:val="center"/>
              <w:rPr>
                <w:rFonts w:ascii="Tahoma" w:hAnsi="Tahoma" w:cs="Tahoma"/>
                <w:color w:val="000080"/>
                <w:rtl/>
              </w:rPr>
            </w:pPr>
            <w:bookmarkStart w:id="0" w:name="LastJudge"/>
            <w:r w:rsidRPr="008A795D">
              <w:rPr>
                <w:rFonts w:ascii="Tahoma" w:hAnsi="Tahoma" w:cs="Tahoma"/>
                <w:b/>
                <w:bCs/>
                <w:color w:val="000080"/>
                <w:rtl/>
              </w:rPr>
              <w:t>בית משפט השלום בפתח תקווה</w:t>
            </w:r>
          </w:p>
        </w:tc>
      </w:tr>
      <w:tr w:rsidR="002341DC" w:rsidRPr="008A795D" w14:paraId="3586EA25" w14:textId="77777777" w:rsidTr="005B72B0">
        <w:trPr>
          <w:gridAfter w:val="1"/>
          <w:wAfter w:w="99" w:type="dxa"/>
          <w:trHeight w:val="337"/>
          <w:jc w:val="center"/>
        </w:trPr>
        <w:tc>
          <w:tcPr>
            <w:tcW w:w="5054" w:type="dxa"/>
            <w:gridSpan w:val="3"/>
          </w:tcPr>
          <w:p w14:paraId="1F089E53" w14:textId="77777777" w:rsidR="002341DC" w:rsidRPr="008A795D" w:rsidRDefault="002341DC" w:rsidP="004C2CFE">
            <w:pPr>
              <w:rPr>
                <w:rFonts w:cs="FrankRuehl"/>
                <w:sz w:val="28"/>
                <w:szCs w:val="28"/>
                <w:rtl/>
              </w:rPr>
            </w:pPr>
            <w:r w:rsidRPr="008A795D">
              <w:rPr>
                <w:rFonts w:cs="FrankRuehl"/>
                <w:sz w:val="28"/>
                <w:szCs w:val="28"/>
                <w:rtl/>
              </w:rPr>
              <w:t>ת"פ</w:t>
            </w:r>
            <w:r w:rsidRPr="008A795D">
              <w:rPr>
                <w:rFonts w:cs="FrankRuehl" w:hint="cs"/>
                <w:sz w:val="28"/>
                <w:szCs w:val="28"/>
                <w:rtl/>
              </w:rPr>
              <w:t xml:space="preserve"> </w:t>
            </w:r>
            <w:r w:rsidRPr="008A795D">
              <w:rPr>
                <w:rFonts w:cs="FrankRuehl"/>
                <w:sz w:val="28"/>
                <w:szCs w:val="28"/>
                <w:rtl/>
              </w:rPr>
              <w:t>38551-01-20</w:t>
            </w:r>
            <w:r w:rsidRPr="008A795D">
              <w:rPr>
                <w:rFonts w:cs="FrankRuehl" w:hint="cs"/>
                <w:sz w:val="28"/>
                <w:szCs w:val="28"/>
                <w:rtl/>
              </w:rPr>
              <w:t xml:space="preserve"> </w:t>
            </w:r>
            <w:r w:rsidRPr="008A795D">
              <w:rPr>
                <w:rFonts w:cs="FrankRuehl"/>
                <w:sz w:val="28"/>
                <w:szCs w:val="28"/>
                <w:rtl/>
              </w:rPr>
              <w:t>מדינת ישראל נ' וטורי</w:t>
            </w:r>
          </w:p>
          <w:p w14:paraId="28AE8D27" w14:textId="77777777" w:rsidR="002341DC" w:rsidRPr="008A795D" w:rsidRDefault="002341DC" w:rsidP="004C2CFE">
            <w:pPr>
              <w:pStyle w:val="a3"/>
              <w:rPr>
                <w:rFonts w:cs="FrankRuehl"/>
                <w:sz w:val="28"/>
                <w:szCs w:val="28"/>
                <w:rtl/>
              </w:rPr>
            </w:pPr>
          </w:p>
        </w:tc>
        <w:tc>
          <w:tcPr>
            <w:tcW w:w="3667" w:type="dxa"/>
          </w:tcPr>
          <w:p w14:paraId="4B69D115" w14:textId="77777777" w:rsidR="002341DC" w:rsidRPr="008A795D" w:rsidRDefault="002341DC" w:rsidP="004C2CFE">
            <w:pPr>
              <w:pStyle w:val="a3"/>
              <w:jc w:val="right"/>
              <w:rPr>
                <w:rFonts w:cs="FrankRuehl"/>
                <w:sz w:val="28"/>
                <w:szCs w:val="28"/>
                <w:rtl/>
              </w:rPr>
            </w:pPr>
          </w:p>
        </w:tc>
      </w:tr>
      <w:tr w:rsidR="002341DC" w:rsidRPr="008A795D" w14:paraId="6E1AE5FF" w14:textId="77777777" w:rsidTr="005B72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3D16D47" w14:textId="77777777" w:rsidR="002341DC" w:rsidRPr="008A795D" w:rsidRDefault="002341DC" w:rsidP="002341DC">
            <w:pPr>
              <w:jc w:val="both"/>
              <w:rPr>
                <w:rFonts w:ascii="David" w:hAnsi="David"/>
                <w:sz w:val="26"/>
                <w:szCs w:val="26"/>
              </w:rPr>
            </w:pPr>
            <w:r w:rsidRPr="008A795D">
              <w:rPr>
                <w:rFonts w:hint="cs"/>
                <w:rtl/>
              </w:rPr>
              <w:t xml:space="preserve"> </w:t>
            </w:r>
            <w:r w:rsidRPr="008A795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459FC7B" w14:textId="77777777" w:rsidR="002341DC" w:rsidRPr="008A795D" w:rsidRDefault="002341DC" w:rsidP="004C2CFE">
            <w:pPr>
              <w:rPr>
                <w:rFonts w:ascii="David" w:hAnsi="David"/>
                <w:b/>
                <w:bCs/>
                <w:sz w:val="26"/>
                <w:szCs w:val="26"/>
                <w:rtl/>
              </w:rPr>
            </w:pPr>
            <w:r w:rsidRPr="008A795D">
              <w:rPr>
                <w:rFonts w:ascii="David" w:hAnsi="David"/>
                <w:b/>
                <w:bCs/>
                <w:sz w:val="26"/>
                <w:szCs w:val="26"/>
                <w:rtl/>
              </w:rPr>
              <w:t>כבוד השופט  דרור קלייטמן</w:t>
            </w:r>
          </w:p>
          <w:p w14:paraId="6B37E3A8" w14:textId="77777777" w:rsidR="002341DC" w:rsidRPr="008A795D" w:rsidRDefault="002341DC" w:rsidP="004C2CFE">
            <w:pPr>
              <w:rPr>
                <w:rFonts w:ascii="David" w:hAnsi="David"/>
                <w:sz w:val="26"/>
                <w:szCs w:val="26"/>
                <w:rtl/>
              </w:rPr>
            </w:pPr>
          </w:p>
          <w:p w14:paraId="5A25903A" w14:textId="77777777" w:rsidR="002341DC" w:rsidRPr="008A795D" w:rsidRDefault="002341DC" w:rsidP="002341DC">
            <w:pPr>
              <w:jc w:val="both"/>
              <w:rPr>
                <w:rFonts w:ascii="David" w:hAnsi="David"/>
                <w:sz w:val="26"/>
                <w:szCs w:val="26"/>
              </w:rPr>
            </w:pPr>
          </w:p>
        </w:tc>
      </w:tr>
      <w:tr w:rsidR="002341DC" w:rsidRPr="008A795D" w14:paraId="5A9D7E99" w14:textId="77777777" w:rsidTr="005B72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F65B2E" w14:textId="77777777" w:rsidR="002341DC" w:rsidRPr="008A795D" w:rsidRDefault="002341DC" w:rsidP="002341DC">
            <w:pPr>
              <w:jc w:val="both"/>
              <w:rPr>
                <w:rFonts w:ascii="David" w:hAnsi="David"/>
                <w:sz w:val="26"/>
                <w:szCs w:val="26"/>
              </w:rPr>
            </w:pPr>
            <w:bookmarkStart w:id="1" w:name="FirstAppellant"/>
            <w:bookmarkStart w:id="2" w:name="FirstLawyer"/>
            <w:r w:rsidRPr="008A795D">
              <w:rPr>
                <w:rFonts w:ascii="David" w:hAnsi="David"/>
                <w:sz w:val="26"/>
                <w:szCs w:val="26"/>
                <w:rtl/>
              </w:rPr>
              <w:t>בעניין:</w:t>
            </w:r>
          </w:p>
        </w:tc>
        <w:tc>
          <w:tcPr>
            <w:tcW w:w="3219" w:type="dxa"/>
            <w:tcBorders>
              <w:top w:val="nil"/>
              <w:left w:val="nil"/>
              <w:bottom w:val="nil"/>
              <w:right w:val="nil"/>
            </w:tcBorders>
            <w:shd w:val="clear" w:color="auto" w:fill="auto"/>
          </w:tcPr>
          <w:p w14:paraId="3E14AAC9" w14:textId="77777777" w:rsidR="002341DC" w:rsidRPr="008A795D" w:rsidRDefault="002341DC" w:rsidP="002341DC">
            <w:pPr>
              <w:suppressLineNumbers/>
            </w:pPr>
            <w:r w:rsidRPr="008A795D">
              <w:rPr>
                <w:rFonts w:ascii="Arial" w:hAnsi="Arial" w:hint="cs"/>
                <w:b/>
                <w:bCs/>
                <w:sz w:val="26"/>
                <w:szCs w:val="26"/>
                <w:rtl/>
              </w:rPr>
              <w:t>ה</w:t>
            </w:r>
            <w:r w:rsidRPr="008A795D">
              <w:rPr>
                <w:rFonts w:ascii="Arial" w:hAnsi="Arial"/>
                <w:b/>
                <w:bCs/>
                <w:sz w:val="26"/>
                <w:szCs w:val="26"/>
                <w:rtl/>
              </w:rPr>
              <w:t>מאשימה</w:t>
            </w:r>
          </w:p>
          <w:p w14:paraId="39E8A7E7" w14:textId="77777777" w:rsidR="002341DC" w:rsidRPr="008A795D" w:rsidRDefault="002341DC" w:rsidP="004C2CF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D7E1C51" w14:textId="77777777" w:rsidR="002341DC" w:rsidRPr="008A795D" w:rsidRDefault="002341DC" w:rsidP="002341DC">
            <w:pPr>
              <w:suppressLineNumbers/>
            </w:pPr>
            <w:r w:rsidRPr="008A795D">
              <w:rPr>
                <w:rFonts w:ascii="Arial" w:hAnsi="Arial"/>
                <w:b/>
                <w:bCs/>
                <w:sz w:val="26"/>
                <w:szCs w:val="26"/>
                <w:rtl/>
              </w:rPr>
              <w:t>מדינת ישראל</w:t>
            </w:r>
          </w:p>
          <w:p w14:paraId="5A110945" w14:textId="77777777" w:rsidR="002341DC" w:rsidRPr="008A795D" w:rsidRDefault="002341DC" w:rsidP="004C2CFE">
            <w:pPr>
              <w:rPr>
                <w:rFonts w:ascii="David" w:hAnsi="David"/>
                <w:sz w:val="26"/>
                <w:szCs w:val="26"/>
              </w:rPr>
            </w:pPr>
            <w:r w:rsidRPr="008A795D">
              <w:rPr>
                <w:rFonts w:ascii="David" w:hAnsi="David" w:hint="cs"/>
                <w:sz w:val="26"/>
                <w:szCs w:val="26"/>
                <w:rtl/>
              </w:rPr>
              <w:t xml:space="preserve">באמצעות ב"כ עו"ד בר נמרי </w:t>
            </w:r>
            <w:r w:rsidRPr="008A795D">
              <w:rPr>
                <w:rFonts w:ascii="David" w:hAnsi="David"/>
                <w:sz w:val="26"/>
                <w:szCs w:val="26"/>
                <w:rtl/>
              </w:rPr>
              <w:t>–</w:t>
            </w:r>
            <w:r w:rsidRPr="008A795D">
              <w:rPr>
                <w:rFonts w:ascii="David" w:hAnsi="David" w:hint="cs"/>
                <w:sz w:val="26"/>
                <w:szCs w:val="26"/>
                <w:rtl/>
              </w:rPr>
              <w:t xml:space="preserve"> לשכת תביעות פ"ת</w:t>
            </w:r>
          </w:p>
        </w:tc>
      </w:tr>
      <w:bookmarkEnd w:id="1"/>
      <w:bookmarkEnd w:id="2"/>
      <w:tr w:rsidR="002341DC" w:rsidRPr="008A795D" w14:paraId="3DBECDEF" w14:textId="77777777" w:rsidTr="005B72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0E87F3" w14:textId="77777777" w:rsidR="002341DC" w:rsidRPr="008A795D" w:rsidRDefault="002341DC" w:rsidP="002341D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3826359" w14:textId="77777777" w:rsidR="002341DC" w:rsidRPr="008A795D" w:rsidRDefault="002341DC" w:rsidP="002341DC">
            <w:pPr>
              <w:jc w:val="center"/>
              <w:rPr>
                <w:rFonts w:ascii="David" w:hAnsi="David"/>
                <w:b/>
                <w:bCs/>
                <w:sz w:val="26"/>
                <w:szCs w:val="26"/>
                <w:rtl/>
              </w:rPr>
            </w:pPr>
          </w:p>
          <w:p w14:paraId="2C2A20A7" w14:textId="77777777" w:rsidR="002341DC" w:rsidRPr="008A795D" w:rsidRDefault="002341DC" w:rsidP="002341DC">
            <w:pPr>
              <w:jc w:val="center"/>
              <w:rPr>
                <w:rFonts w:ascii="David" w:hAnsi="David"/>
                <w:b/>
                <w:bCs/>
                <w:sz w:val="26"/>
                <w:szCs w:val="26"/>
                <w:rtl/>
              </w:rPr>
            </w:pPr>
            <w:r w:rsidRPr="008A795D">
              <w:rPr>
                <w:rFonts w:ascii="David" w:hAnsi="David"/>
                <w:b/>
                <w:bCs/>
                <w:sz w:val="26"/>
                <w:szCs w:val="26"/>
                <w:rtl/>
              </w:rPr>
              <w:t>נגד</w:t>
            </w:r>
          </w:p>
          <w:p w14:paraId="67337FE8" w14:textId="77777777" w:rsidR="002341DC" w:rsidRPr="008A795D" w:rsidRDefault="002341DC" w:rsidP="002341DC">
            <w:pPr>
              <w:jc w:val="both"/>
              <w:rPr>
                <w:rFonts w:ascii="David" w:hAnsi="David"/>
                <w:sz w:val="26"/>
                <w:szCs w:val="26"/>
              </w:rPr>
            </w:pPr>
          </w:p>
        </w:tc>
      </w:tr>
      <w:tr w:rsidR="002341DC" w:rsidRPr="008A795D" w14:paraId="1B2B1394" w14:textId="77777777" w:rsidTr="005B72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EF1DD1" w14:textId="77777777" w:rsidR="002341DC" w:rsidRPr="008A795D" w:rsidRDefault="002341DC" w:rsidP="004C2CFE">
            <w:pPr>
              <w:rPr>
                <w:rFonts w:ascii="David" w:hAnsi="David"/>
                <w:sz w:val="26"/>
                <w:szCs w:val="26"/>
                <w:rtl/>
              </w:rPr>
            </w:pPr>
          </w:p>
        </w:tc>
        <w:tc>
          <w:tcPr>
            <w:tcW w:w="3219" w:type="dxa"/>
            <w:tcBorders>
              <w:top w:val="nil"/>
              <w:left w:val="nil"/>
              <w:bottom w:val="nil"/>
              <w:right w:val="nil"/>
            </w:tcBorders>
            <w:shd w:val="clear" w:color="auto" w:fill="auto"/>
          </w:tcPr>
          <w:p w14:paraId="7F57CC83" w14:textId="77777777" w:rsidR="002341DC" w:rsidRPr="008A795D" w:rsidRDefault="002341DC" w:rsidP="004C2CFE">
            <w:pPr>
              <w:rPr>
                <w:rFonts w:ascii="Arial" w:hAnsi="Arial"/>
                <w:b/>
                <w:bCs/>
                <w:sz w:val="26"/>
                <w:szCs w:val="26"/>
                <w:rtl/>
              </w:rPr>
            </w:pPr>
            <w:r w:rsidRPr="008A795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64DCBE0" w14:textId="77777777" w:rsidR="002341DC" w:rsidRPr="008A795D" w:rsidRDefault="002341DC" w:rsidP="002341DC">
            <w:pPr>
              <w:suppressLineNumbers/>
            </w:pPr>
            <w:r w:rsidRPr="008A795D">
              <w:rPr>
                <w:rFonts w:ascii="Arial" w:hAnsi="Arial"/>
                <w:b/>
                <w:bCs/>
                <w:sz w:val="26"/>
                <w:szCs w:val="26"/>
                <w:rtl/>
              </w:rPr>
              <w:t>גיא וטורי</w:t>
            </w:r>
          </w:p>
          <w:p w14:paraId="51934E2E" w14:textId="77777777" w:rsidR="002341DC" w:rsidRPr="008A795D" w:rsidRDefault="002341DC" w:rsidP="004C2CFE">
            <w:pPr>
              <w:rPr>
                <w:rFonts w:ascii="David" w:hAnsi="David"/>
                <w:sz w:val="26"/>
                <w:szCs w:val="26"/>
              </w:rPr>
            </w:pPr>
            <w:r w:rsidRPr="008A795D">
              <w:rPr>
                <w:rFonts w:ascii="David" w:hAnsi="David" w:hint="cs"/>
                <w:sz w:val="26"/>
                <w:szCs w:val="26"/>
                <w:rtl/>
              </w:rPr>
              <w:t>באמצעות ב"כ עו"ד טלי חזום</w:t>
            </w:r>
          </w:p>
        </w:tc>
      </w:tr>
    </w:tbl>
    <w:p w14:paraId="5E9AD893" w14:textId="77777777" w:rsidR="005B72B0" w:rsidRDefault="005B72B0" w:rsidP="008A795D">
      <w:pPr>
        <w:rPr>
          <w:sz w:val="26"/>
          <w:szCs w:val="26"/>
          <w:rtl/>
        </w:rPr>
      </w:pPr>
    </w:p>
    <w:p w14:paraId="75736800" w14:textId="77777777" w:rsidR="005B72B0" w:rsidRPr="005B72B0" w:rsidRDefault="005B72B0" w:rsidP="005B72B0">
      <w:pPr>
        <w:spacing w:after="120" w:line="240" w:lineRule="exact"/>
        <w:ind w:left="283" w:hanging="283"/>
        <w:jc w:val="both"/>
        <w:rPr>
          <w:rFonts w:ascii="FrankRuehl" w:hAnsi="FrankRuehl" w:cs="FrankRuehl"/>
          <w:rtl/>
        </w:rPr>
      </w:pPr>
    </w:p>
    <w:p w14:paraId="6769B7B7" w14:textId="77777777" w:rsidR="0033333B" w:rsidRPr="0033333B" w:rsidRDefault="0033333B" w:rsidP="0033333B">
      <w:pPr>
        <w:spacing w:before="120" w:after="120" w:line="240" w:lineRule="exact"/>
        <w:ind w:left="283" w:hanging="283"/>
        <w:jc w:val="both"/>
        <w:rPr>
          <w:rFonts w:ascii="FrankRuehl" w:hAnsi="FrankRuehl" w:cs="FrankRuehl"/>
          <w:rtl/>
        </w:rPr>
      </w:pPr>
    </w:p>
    <w:p w14:paraId="5DB9E116" w14:textId="77777777" w:rsidR="000506A9" w:rsidRDefault="000506A9" w:rsidP="000506A9">
      <w:pPr>
        <w:rPr>
          <w:sz w:val="26"/>
          <w:szCs w:val="26"/>
          <w:rtl/>
        </w:rPr>
      </w:pPr>
      <w:bookmarkStart w:id="3" w:name="LawTable"/>
      <w:bookmarkEnd w:id="3"/>
    </w:p>
    <w:p w14:paraId="3EFD01A1" w14:textId="77777777" w:rsidR="000506A9" w:rsidRPr="000506A9" w:rsidRDefault="000506A9" w:rsidP="000506A9">
      <w:pPr>
        <w:spacing w:before="120" w:after="120" w:line="240" w:lineRule="exact"/>
        <w:ind w:left="283" w:hanging="283"/>
        <w:jc w:val="both"/>
        <w:rPr>
          <w:rFonts w:ascii="FrankRuehl" w:hAnsi="FrankRuehl" w:cs="FrankRuehl"/>
          <w:rtl/>
        </w:rPr>
      </w:pPr>
    </w:p>
    <w:p w14:paraId="0B3441E7" w14:textId="77777777" w:rsidR="000506A9" w:rsidRPr="000506A9" w:rsidRDefault="000506A9" w:rsidP="000506A9">
      <w:pPr>
        <w:spacing w:before="120" w:after="120" w:line="240" w:lineRule="exact"/>
        <w:ind w:left="283" w:hanging="283"/>
        <w:jc w:val="both"/>
        <w:rPr>
          <w:rFonts w:ascii="FrankRuehl" w:hAnsi="FrankRuehl" w:cs="FrankRuehl"/>
          <w:rtl/>
        </w:rPr>
      </w:pPr>
    </w:p>
    <w:p w14:paraId="6ED0E82C" w14:textId="77777777" w:rsidR="000506A9" w:rsidRPr="000506A9" w:rsidRDefault="000506A9" w:rsidP="000506A9">
      <w:pPr>
        <w:spacing w:before="120" w:after="120" w:line="240" w:lineRule="exact"/>
        <w:ind w:left="283" w:hanging="283"/>
        <w:jc w:val="both"/>
        <w:rPr>
          <w:rFonts w:ascii="FrankRuehl" w:hAnsi="FrankRuehl" w:cs="FrankRuehl"/>
          <w:rtl/>
        </w:rPr>
      </w:pPr>
      <w:r w:rsidRPr="000506A9">
        <w:rPr>
          <w:rFonts w:ascii="FrankRuehl" w:hAnsi="FrankRuehl" w:cs="FrankRuehl"/>
          <w:rtl/>
        </w:rPr>
        <w:t xml:space="preserve">חקיקה שאוזכרה: </w:t>
      </w:r>
    </w:p>
    <w:p w14:paraId="5F67D519" w14:textId="77777777" w:rsidR="000506A9" w:rsidRPr="000506A9" w:rsidRDefault="000506A9" w:rsidP="000506A9">
      <w:pPr>
        <w:spacing w:before="120" w:after="120" w:line="240" w:lineRule="exact"/>
        <w:ind w:left="283" w:hanging="283"/>
        <w:jc w:val="both"/>
        <w:rPr>
          <w:rFonts w:ascii="FrankRuehl" w:hAnsi="FrankRuehl" w:cs="FrankRuehl"/>
          <w:rtl/>
        </w:rPr>
      </w:pPr>
      <w:hyperlink r:id="rId7" w:history="1">
        <w:r w:rsidRPr="000506A9">
          <w:rPr>
            <w:rFonts w:ascii="FrankRuehl" w:hAnsi="FrankRuehl" w:cs="FrankRuehl"/>
            <w:color w:val="0000FF"/>
            <w:rtl/>
          </w:rPr>
          <w:t>פקודת הסמים המסוכנים [נוסח חדש], תשל"ג-1973</w:t>
        </w:r>
      </w:hyperlink>
      <w:r w:rsidRPr="000506A9">
        <w:rPr>
          <w:rFonts w:ascii="FrankRuehl" w:hAnsi="FrankRuehl" w:cs="FrankRuehl"/>
          <w:rtl/>
        </w:rPr>
        <w:t xml:space="preserve">: סע'  </w:t>
      </w:r>
      <w:hyperlink r:id="rId8" w:history="1">
        <w:r w:rsidRPr="000506A9">
          <w:rPr>
            <w:rFonts w:ascii="FrankRuehl" w:hAnsi="FrankRuehl" w:cs="FrankRuehl"/>
            <w:color w:val="0000FF"/>
            <w:rtl/>
          </w:rPr>
          <w:t>7.א.</w:t>
        </w:r>
      </w:hyperlink>
      <w:r w:rsidRPr="000506A9">
        <w:rPr>
          <w:rFonts w:ascii="FrankRuehl" w:hAnsi="FrankRuehl" w:cs="FrankRuehl"/>
          <w:rtl/>
        </w:rPr>
        <w:t xml:space="preserve">, </w:t>
      </w:r>
      <w:hyperlink r:id="rId9" w:history="1">
        <w:r w:rsidRPr="000506A9">
          <w:rPr>
            <w:rFonts w:ascii="FrankRuehl" w:hAnsi="FrankRuehl" w:cs="FrankRuehl"/>
            <w:color w:val="0000FF"/>
            <w:rtl/>
          </w:rPr>
          <w:t>7.ג</w:t>
        </w:r>
      </w:hyperlink>
      <w:r w:rsidRPr="000506A9">
        <w:rPr>
          <w:rFonts w:ascii="FrankRuehl" w:hAnsi="FrankRuehl" w:cs="FrankRuehl"/>
          <w:rtl/>
        </w:rPr>
        <w:t xml:space="preserve">, </w:t>
      </w:r>
      <w:hyperlink r:id="rId10" w:history="1">
        <w:r w:rsidRPr="000506A9">
          <w:rPr>
            <w:rFonts w:ascii="FrankRuehl" w:hAnsi="FrankRuehl" w:cs="FrankRuehl"/>
            <w:color w:val="0000FF"/>
            <w:rtl/>
          </w:rPr>
          <w:t>10</w:t>
        </w:r>
      </w:hyperlink>
    </w:p>
    <w:p w14:paraId="2D66F653" w14:textId="77777777" w:rsidR="000506A9" w:rsidRPr="000506A9" w:rsidRDefault="000506A9" w:rsidP="000506A9">
      <w:pPr>
        <w:spacing w:before="120" w:after="120" w:line="240" w:lineRule="exact"/>
        <w:ind w:left="283" w:hanging="283"/>
        <w:jc w:val="both"/>
        <w:rPr>
          <w:rFonts w:ascii="FrankRuehl" w:hAnsi="FrankRuehl" w:cs="FrankRuehl"/>
          <w:rtl/>
        </w:rPr>
      </w:pPr>
      <w:hyperlink r:id="rId11" w:history="1">
        <w:r w:rsidRPr="000506A9">
          <w:rPr>
            <w:rFonts w:ascii="FrankRuehl" w:hAnsi="FrankRuehl" w:cs="FrankRuehl"/>
            <w:color w:val="0000FF"/>
            <w:rtl/>
          </w:rPr>
          <w:t>חוק העונשין, תשל"ז-1977</w:t>
        </w:r>
      </w:hyperlink>
      <w:r w:rsidRPr="000506A9">
        <w:rPr>
          <w:rFonts w:ascii="FrankRuehl" w:hAnsi="FrankRuehl" w:cs="FrankRuehl"/>
          <w:rtl/>
        </w:rPr>
        <w:t xml:space="preserve">: סע'  </w:t>
      </w:r>
      <w:hyperlink r:id="rId12" w:history="1">
        <w:r w:rsidRPr="000506A9">
          <w:rPr>
            <w:rFonts w:ascii="FrankRuehl" w:hAnsi="FrankRuehl" w:cs="FrankRuehl"/>
            <w:color w:val="0000FF"/>
            <w:rtl/>
          </w:rPr>
          <w:t>400</w:t>
        </w:r>
      </w:hyperlink>
    </w:p>
    <w:p w14:paraId="6204AA9D" w14:textId="77777777" w:rsidR="000506A9" w:rsidRPr="000506A9" w:rsidRDefault="000506A9" w:rsidP="000506A9">
      <w:pPr>
        <w:rPr>
          <w:sz w:val="26"/>
          <w:szCs w:val="26"/>
          <w:rtl/>
        </w:rPr>
      </w:pPr>
      <w:bookmarkStart w:id="4" w:name="LawTable_End"/>
      <w:bookmarkEnd w:id="4"/>
    </w:p>
    <w:p w14:paraId="6812286B" w14:textId="77777777" w:rsidR="002341DC" w:rsidRPr="0033333B" w:rsidRDefault="002341DC" w:rsidP="0033333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41DC" w14:paraId="3C7618FB" w14:textId="77777777" w:rsidTr="002341DC">
        <w:trPr>
          <w:trHeight w:val="355"/>
          <w:jc w:val="center"/>
        </w:trPr>
        <w:tc>
          <w:tcPr>
            <w:tcW w:w="8820" w:type="dxa"/>
            <w:tcBorders>
              <w:top w:val="nil"/>
              <w:left w:val="nil"/>
              <w:bottom w:val="nil"/>
              <w:right w:val="nil"/>
            </w:tcBorders>
            <w:shd w:val="clear" w:color="auto" w:fill="auto"/>
          </w:tcPr>
          <w:p w14:paraId="1BA5737B" w14:textId="77777777" w:rsidR="008A795D" w:rsidRPr="008A795D" w:rsidRDefault="008A795D" w:rsidP="008A795D">
            <w:pPr>
              <w:jc w:val="center"/>
              <w:rPr>
                <w:rFonts w:ascii="David" w:hAnsi="David"/>
                <w:b/>
                <w:bCs/>
                <w:sz w:val="32"/>
                <w:szCs w:val="32"/>
                <w:u w:val="single"/>
                <w:rtl/>
              </w:rPr>
            </w:pPr>
            <w:bookmarkStart w:id="5" w:name="PsakDin" w:colFirst="0" w:colLast="0"/>
            <w:bookmarkEnd w:id="0"/>
            <w:r w:rsidRPr="008A795D">
              <w:rPr>
                <w:rFonts w:ascii="David" w:hAnsi="David"/>
                <w:b/>
                <w:bCs/>
                <w:sz w:val="32"/>
                <w:szCs w:val="32"/>
                <w:u w:val="single"/>
                <w:rtl/>
              </w:rPr>
              <w:t>גזר דין</w:t>
            </w:r>
          </w:p>
          <w:p w14:paraId="354BEAA9" w14:textId="77777777" w:rsidR="002341DC" w:rsidRPr="008A795D" w:rsidRDefault="002341DC" w:rsidP="008A795D">
            <w:pPr>
              <w:jc w:val="center"/>
              <w:rPr>
                <w:rFonts w:ascii="David" w:hAnsi="David"/>
                <w:bCs/>
                <w:sz w:val="32"/>
                <w:szCs w:val="32"/>
                <w:u w:val="single"/>
                <w:rtl/>
              </w:rPr>
            </w:pPr>
          </w:p>
        </w:tc>
      </w:tr>
      <w:bookmarkEnd w:id="5"/>
    </w:tbl>
    <w:p w14:paraId="19A928E2" w14:textId="77777777" w:rsidR="002341DC" w:rsidRPr="000F2247" w:rsidRDefault="002341DC" w:rsidP="002341DC">
      <w:pPr>
        <w:rPr>
          <w:rFonts w:ascii="Arial" w:hAnsi="Arial"/>
          <w:b/>
          <w:bCs/>
          <w:sz w:val="26"/>
          <w:szCs w:val="26"/>
          <w:rtl/>
        </w:rPr>
      </w:pPr>
    </w:p>
    <w:p w14:paraId="09921576" w14:textId="77777777" w:rsidR="002341DC" w:rsidRPr="007E68F1" w:rsidRDefault="002341DC" w:rsidP="002341DC">
      <w:pPr>
        <w:spacing w:after="160" w:line="480" w:lineRule="auto"/>
        <w:jc w:val="both"/>
        <w:rPr>
          <w:rFonts w:ascii="David" w:eastAsia="Calibri" w:hAnsi="David"/>
          <w:b/>
          <w:bCs/>
          <w:u w:val="single"/>
        </w:rPr>
      </w:pPr>
      <w:r w:rsidRPr="007E68F1">
        <w:rPr>
          <w:rFonts w:ascii="David" w:eastAsia="Calibri" w:hAnsi="David"/>
          <w:b/>
          <w:bCs/>
          <w:u w:val="single"/>
          <w:rtl/>
        </w:rPr>
        <w:t>רקע</w:t>
      </w:r>
    </w:p>
    <w:p w14:paraId="444DFB8D" w14:textId="77777777" w:rsidR="002341DC" w:rsidRPr="007E68F1" w:rsidRDefault="002341DC" w:rsidP="002341DC">
      <w:pPr>
        <w:numPr>
          <w:ilvl w:val="0"/>
          <w:numId w:val="1"/>
        </w:numPr>
        <w:spacing w:after="160" w:line="480" w:lineRule="auto"/>
        <w:contextualSpacing/>
        <w:jc w:val="both"/>
        <w:rPr>
          <w:rFonts w:ascii="David" w:eastAsia="Calibri" w:hAnsi="David"/>
          <w:rtl/>
        </w:rPr>
      </w:pPr>
      <w:bookmarkStart w:id="6" w:name="ABSTRACT_START"/>
      <w:bookmarkEnd w:id="6"/>
      <w:r w:rsidRPr="007E68F1">
        <w:rPr>
          <w:rFonts w:ascii="David" w:eastAsia="Calibri" w:hAnsi="David"/>
          <w:rtl/>
        </w:rPr>
        <w:t xml:space="preserve">הנאשם הורשע על יסוד הודאתו בעובדות כתב האישום מתוקן בעבירות של החזקת סם שלא לצריכה עצמית בהתאם </w:t>
      </w:r>
      <w:hyperlink r:id="rId13" w:history="1">
        <w:r w:rsidR="005B72B0" w:rsidRPr="005B72B0">
          <w:rPr>
            <w:rStyle w:val="Hyperlink"/>
            <w:rFonts w:ascii="David" w:eastAsia="Calibri" w:hAnsi="David"/>
            <w:rtl/>
          </w:rPr>
          <w:t>לסעיף 7(א)+7(ג)</w:t>
        </w:r>
      </w:hyperlink>
      <w:r w:rsidRPr="007E68F1">
        <w:rPr>
          <w:rFonts w:ascii="David" w:eastAsia="Calibri" w:hAnsi="David"/>
          <w:rtl/>
        </w:rPr>
        <w:t xml:space="preserve"> רישא ל</w:t>
      </w:r>
      <w:hyperlink r:id="rId14" w:history="1">
        <w:r w:rsidR="008A795D" w:rsidRPr="008A795D">
          <w:rPr>
            <w:rFonts w:ascii="David" w:eastAsia="Calibri" w:hAnsi="David"/>
            <w:color w:val="0000FF"/>
            <w:u w:val="single"/>
            <w:rtl/>
          </w:rPr>
          <w:t>פקודת הסמים המסוכנים</w:t>
        </w:r>
      </w:hyperlink>
      <w:r w:rsidRPr="007E68F1">
        <w:rPr>
          <w:rFonts w:ascii="David" w:eastAsia="Calibri" w:hAnsi="David"/>
          <w:rtl/>
        </w:rPr>
        <w:t xml:space="preserve"> (נוסח חדש) תשל"ג- 1973 (להלן: "</w:t>
      </w:r>
      <w:r w:rsidRPr="007E68F1">
        <w:rPr>
          <w:rFonts w:ascii="David" w:eastAsia="Calibri" w:hAnsi="David"/>
          <w:b/>
          <w:bCs/>
          <w:rtl/>
        </w:rPr>
        <w:t>הפקודה</w:t>
      </w:r>
      <w:r w:rsidRPr="007E68F1">
        <w:rPr>
          <w:rFonts w:ascii="David" w:eastAsia="Calibri" w:hAnsi="David"/>
          <w:rtl/>
        </w:rPr>
        <w:t xml:space="preserve">"). נטילת חשמל בגניבה בהתאם </w:t>
      </w:r>
      <w:hyperlink r:id="rId15" w:history="1">
        <w:r w:rsidR="005B72B0" w:rsidRPr="005B72B0">
          <w:rPr>
            <w:rStyle w:val="Hyperlink"/>
            <w:rFonts w:ascii="David" w:eastAsia="Calibri" w:hAnsi="David"/>
            <w:rtl/>
          </w:rPr>
          <w:t>לסעיף 400</w:t>
        </w:r>
      </w:hyperlink>
      <w:r w:rsidRPr="007E68F1">
        <w:rPr>
          <w:rFonts w:ascii="David" w:eastAsia="Calibri" w:hAnsi="David"/>
          <w:rtl/>
        </w:rPr>
        <w:t xml:space="preserve"> ל</w:t>
      </w:r>
      <w:hyperlink r:id="rId16" w:history="1">
        <w:r w:rsidR="008A795D" w:rsidRPr="008A795D">
          <w:rPr>
            <w:rFonts w:ascii="David" w:eastAsia="Calibri" w:hAnsi="David"/>
            <w:color w:val="0000FF"/>
            <w:u w:val="single"/>
            <w:rtl/>
          </w:rPr>
          <w:t>חוק העונשין</w:t>
        </w:r>
      </w:hyperlink>
      <w:r w:rsidRPr="007E68F1">
        <w:rPr>
          <w:rFonts w:ascii="David" w:eastAsia="Calibri" w:hAnsi="David"/>
          <w:rtl/>
        </w:rPr>
        <w:t xml:space="preserve">, תשל"ז-1977. גידול, ייצור והכנת סם מסוכן בהתאם לפקודה. החזקת כלים להכנת סם שלא לצריכה עצמית בהתאם </w:t>
      </w:r>
      <w:hyperlink r:id="rId17" w:history="1">
        <w:r w:rsidR="005B72B0" w:rsidRPr="005B72B0">
          <w:rPr>
            <w:rStyle w:val="Hyperlink"/>
            <w:rFonts w:ascii="David" w:eastAsia="Calibri" w:hAnsi="David"/>
            <w:rtl/>
          </w:rPr>
          <w:t>לסעיף 10</w:t>
        </w:r>
      </w:hyperlink>
      <w:r w:rsidRPr="007E68F1">
        <w:rPr>
          <w:rFonts w:ascii="David" w:eastAsia="Calibri" w:hAnsi="David"/>
          <w:rtl/>
        </w:rPr>
        <w:t xml:space="preserve"> רישא לפקודה. </w:t>
      </w:r>
    </w:p>
    <w:p w14:paraId="7EB82616" w14:textId="77777777" w:rsidR="002341DC" w:rsidRPr="007E68F1" w:rsidRDefault="002341DC" w:rsidP="002341DC">
      <w:pPr>
        <w:numPr>
          <w:ilvl w:val="0"/>
          <w:numId w:val="1"/>
        </w:numPr>
        <w:spacing w:after="160" w:line="480" w:lineRule="auto"/>
        <w:contextualSpacing/>
        <w:jc w:val="both"/>
        <w:rPr>
          <w:rFonts w:ascii="David" w:eastAsia="Calibri" w:hAnsi="David"/>
        </w:rPr>
      </w:pPr>
      <w:bookmarkStart w:id="7" w:name="ABSTRACT_END"/>
      <w:bookmarkEnd w:id="7"/>
      <w:r w:rsidRPr="007E68F1">
        <w:rPr>
          <w:rFonts w:ascii="David" w:eastAsia="Calibri" w:hAnsi="David"/>
          <w:rtl/>
        </w:rPr>
        <w:t xml:space="preserve">בהתאם למתואר בכתב האישום המתוקן, כשנה עובר למתואר, הנאשם חיפש דירה גדולה דיה שתתאים לגידול סם מסוכן. לבסוף, התקשר הנאשם עם אחר שזהותו ידועה למאשימה בחוזה שכירות, ולן בדירה מדי פעם. </w:t>
      </w:r>
    </w:p>
    <w:p w14:paraId="799A2056"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lastRenderedPageBreak/>
        <w:t xml:space="preserve">בתאריך 7.1.20 בוצע צו חיפוש בדירה על ידי המשטרה. בדרכם לפתח הדירה הבחינו השוטרים בנאשם בחדר המדרגות מיד לאחר שיצא מהדירה והודיעו לו על צו החיפוש. לאחר שנכנסו השוטרים לדירה הבחינו כי הנאשם גידל והפיק סמים מסוכנים מסוג קנבוס במעבדה לייצור סמים שבנה בחדרי הדירה. הנאשם הקים את המעבדה כאשר בתוכה נמצא ציוד מקצועי ומשוכלל שכלל בין היתר מערכות חשמל ואוורור, אדניות, מפוחים, מזגנים, מדי טמפרטורה ולחות, חומרי דישון רבים, אביזרי תאורה, שני משקלים אלקטרונים. </w:t>
      </w:r>
    </w:p>
    <w:p w14:paraId="28D7774F"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t xml:space="preserve">לצרכי הקמת המעבדה התחבר הנאשם לחוטי ההזנה שבארון החשמל באמצעות מעקף המונה והתחברות ישירה לנתיכי חברת החשמל שבארון המבטחים בחדר המדרגות, כאשר דרך קופסת הנתיכים נכנס לתוך הדירה ללוח פרטי בתוך הדירה וממנו התפצל ל-4 חדרי הגידול. בנסיבות אלה נטל הנאשם חשמל במזיד ושלא כדין באמצעות החיבור, אשר דרכו הזין את חדרי הגידול השונים וגרם לחברת החשמל לנזק בשווי 27,143.42 ₪. </w:t>
      </w:r>
    </w:p>
    <w:p w14:paraId="6D08D31C"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t xml:space="preserve">בהמשך לאמור לעיל ובאותן הנסיבות, גידל הנאשם במעבדה 290 שתילים של סם מסוכן מסוג קנבוס במשקל כולל של כ- 4.3 ק"ג כפי שיפורט להלן: </w:t>
      </w:r>
    </w:p>
    <w:p w14:paraId="0697C8F8" w14:textId="77777777" w:rsidR="002341DC" w:rsidRPr="007E68F1" w:rsidRDefault="002341DC" w:rsidP="002341DC">
      <w:pPr>
        <w:numPr>
          <w:ilvl w:val="0"/>
          <w:numId w:val="2"/>
        </w:numPr>
        <w:spacing w:after="160" w:line="480" w:lineRule="auto"/>
        <w:contextualSpacing/>
        <w:jc w:val="both"/>
        <w:rPr>
          <w:rFonts w:ascii="David" w:eastAsia="Calibri" w:hAnsi="David"/>
        </w:rPr>
      </w:pPr>
      <w:r w:rsidRPr="007E68F1">
        <w:rPr>
          <w:rFonts w:ascii="David" w:eastAsia="Calibri" w:hAnsi="David"/>
          <w:rtl/>
        </w:rPr>
        <w:t xml:space="preserve">בחדר 1- 186 שתילים במשקל כולל של 779.67 גרם נטו. </w:t>
      </w:r>
    </w:p>
    <w:p w14:paraId="080585DF" w14:textId="77777777" w:rsidR="002341DC" w:rsidRPr="007E68F1" w:rsidRDefault="002341DC" w:rsidP="002341DC">
      <w:pPr>
        <w:numPr>
          <w:ilvl w:val="0"/>
          <w:numId w:val="2"/>
        </w:numPr>
        <w:spacing w:after="160" w:line="480" w:lineRule="auto"/>
        <w:contextualSpacing/>
        <w:jc w:val="both"/>
        <w:rPr>
          <w:rFonts w:ascii="David" w:eastAsia="Calibri" w:hAnsi="David"/>
        </w:rPr>
      </w:pPr>
      <w:r w:rsidRPr="007E68F1">
        <w:rPr>
          <w:rFonts w:ascii="David" w:eastAsia="Calibri" w:hAnsi="David"/>
          <w:rtl/>
        </w:rPr>
        <w:t xml:space="preserve">בחדר 2- 34 שתילים במשקל כולל של 640.26 גרם נטו. </w:t>
      </w:r>
    </w:p>
    <w:p w14:paraId="56ED8331" w14:textId="77777777" w:rsidR="002341DC" w:rsidRPr="007E68F1" w:rsidRDefault="002341DC" w:rsidP="002341DC">
      <w:pPr>
        <w:numPr>
          <w:ilvl w:val="0"/>
          <w:numId w:val="2"/>
        </w:numPr>
        <w:spacing w:after="160" w:line="480" w:lineRule="auto"/>
        <w:contextualSpacing/>
        <w:jc w:val="both"/>
        <w:rPr>
          <w:rFonts w:ascii="David" w:eastAsia="Calibri" w:hAnsi="David"/>
        </w:rPr>
      </w:pPr>
      <w:r w:rsidRPr="007E68F1">
        <w:rPr>
          <w:rFonts w:ascii="David" w:eastAsia="Calibri" w:hAnsi="David"/>
          <w:rtl/>
        </w:rPr>
        <w:t xml:space="preserve">בחדר 3- 41 שתילים במשקל כולל של 1188.81 גרם נטו. </w:t>
      </w:r>
    </w:p>
    <w:p w14:paraId="70CEDE11" w14:textId="77777777" w:rsidR="002341DC" w:rsidRPr="007E68F1" w:rsidRDefault="002341DC" w:rsidP="002341DC">
      <w:pPr>
        <w:numPr>
          <w:ilvl w:val="0"/>
          <w:numId w:val="2"/>
        </w:numPr>
        <w:spacing w:after="160" w:line="480" w:lineRule="auto"/>
        <w:contextualSpacing/>
        <w:jc w:val="both"/>
        <w:rPr>
          <w:rFonts w:ascii="David" w:eastAsia="Calibri" w:hAnsi="David"/>
        </w:rPr>
      </w:pPr>
      <w:r w:rsidRPr="007E68F1">
        <w:rPr>
          <w:rFonts w:ascii="David" w:eastAsia="Calibri" w:hAnsi="David"/>
          <w:rtl/>
        </w:rPr>
        <w:t xml:space="preserve">בחדר 4- 29 שתילים במשקל כולל של 1769.42 גרם נטו. </w:t>
      </w:r>
    </w:p>
    <w:p w14:paraId="4B2A2843"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t xml:space="preserve">בהמשך לאותן הנסיבות, החזיק הנאשם בדירה בסמים מסוכנים מסוג קנבוס וחשיש שלא לצריכתו העצמית כפי שיפורט להלן: </w:t>
      </w:r>
    </w:p>
    <w:p w14:paraId="2B57765F" w14:textId="77777777" w:rsidR="002341DC" w:rsidRPr="007E68F1" w:rsidRDefault="002341DC" w:rsidP="002341DC">
      <w:pPr>
        <w:numPr>
          <w:ilvl w:val="0"/>
          <w:numId w:val="3"/>
        </w:numPr>
        <w:spacing w:after="160" w:line="480" w:lineRule="auto"/>
        <w:contextualSpacing/>
        <w:jc w:val="both"/>
        <w:rPr>
          <w:rFonts w:ascii="David" w:eastAsia="Calibri" w:hAnsi="David"/>
        </w:rPr>
      </w:pPr>
      <w:r w:rsidRPr="007E68F1">
        <w:rPr>
          <w:rFonts w:ascii="David" w:eastAsia="Calibri" w:hAnsi="David"/>
          <w:rtl/>
        </w:rPr>
        <w:t xml:space="preserve">על שולחן בסלון הדירה בקבוקון ובתוכו 5 מ"ל סם מסוכן מסוג </w:t>
      </w:r>
      <w:r w:rsidRPr="007E68F1">
        <w:rPr>
          <w:rFonts w:ascii="David" w:eastAsia="Calibri" w:hAnsi="David"/>
        </w:rPr>
        <w:t>Delta9-Tetrahydrocanabinol</w:t>
      </w:r>
      <w:r w:rsidRPr="007E68F1">
        <w:rPr>
          <w:rFonts w:ascii="David" w:eastAsia="Calibri" w:hAnsi="David"/>
          <w:rtl/>
        </w:rPr>
        <w:t>.</w:t>
      </w:r>
    </w:p>
    <w:p w14:paraId="5564E0CB" w14:textId="77777777" w:rsidR="002341DC" w:rsidRPr="007E68F1" w:rsidRDefault="002341DC" w:rsidP="002341DC">
      <w:pPr>
        <w:numPr>
          <w:ilvl w:val="0"/>
          <w:numId w:val="3"/>
        </w:numPr>
        <w:spacing w:after="160" w:line="480" w:lineRule="auto"/>
        <w:contextualSpacing/>
        <w:jc w:val="both"/>
        <w:rPr>
          <w:rFonts w:ascii="David" w:eastAsia="Calibri" w:hAnsi="David"/>
        </w:rPr>
      </w:pPr>
      <w:r w:rsidRPr="007E68F1">
        <w:rPr>
          <w:rFonts w:ascii="David" w:eastAsia="Calibri" w:hAnsi="David"/>
          <w:rtl/>
        </w:rPr>
        <w:t xml:space="preserve">על שולחן בסלון הדירה סם מסוכן קנביס במשקל 3.71 גרם נטו. </w:t>
      </w:r>
    </w:p>
    <w:p w14:paraId="1A10B420" w14:textId="77777777" w:rsidR="002341DC" w:rsidRPr="007E68F1" w:rsidRDefault="002341DC" w:rsidP="002341DC">
      <w:pPr>
        <w:numPr>
          <w:ilvl w:val="0"/>
          <w:numId w:val="3"/>
        </w:numPr>
        <w:spacing w:after="160" w:line="480" w:lineRule="auto"/>
        <w:contextualSpacing/>
        <w:jc w:val="both"/>
        <w:rPr>
          <w:rFonts w:ascii="David" w:eastAsia="Calibri" w:hAnsi="David"/>
        </w:rPr>
      </w:pPr>
      <w:r w:rsidRPr="007E68F1">
        <w:rPr>
          <w:rFonts w:ascii="David" w:eastAsia="Calibri" w:hAnsi="David"/>
          <w:rtl/>
        </w:rPr>
        <w:t xml:space="preserve"> בארון בין הסלון למטבח הדירה סם מסוכן מסוג חשיש במשקל 3.11 גרן נטו. </w:t>
      </w:r>
    </w:p>
    <w:p w14:paraId="0DDAE414" w14:textId="77777777" w:rsidR="002341DC" w:rsidRPr="007E68F1" w:rsidRDefault="002341DC" w:rsidP="002341DC">
      <w:pPr>
        <w:numPr>
          <w:ilvl w:val="0"/>
          <w:numId w:val="3"/>
        </w:numPr>
        <w:spacing w:after="160" w:line="480" w:lineRule="auto"/>
        <w:contextualSpacing/>
        <w:jc w:val="both"/>
        <w:rPr>
          <w:rFonts w:ascii="David" w:eastAsia="Calibri" w:hAnsi="David"/>
        </w:rPr>
      </w:pPr>
      <w:r w:rsidRPr="007E68F1">
        <w:rPr>
          <w:rFonts w:ascii="David" w:eastAsia="Calibri" w:hAnsi="David"/>
          <w:rtl/>
        </w:rPr>
        <w:t xml:space="preserve">בחדר האמבטיה במקומות שונים, סם מסוכן מסוג קנבוס במשקל כולל של 1200 גרם נטו. </w:t>
      </w:r>
    </w:p>
    <w:p w14:paraId="216C8C70" w14:textId="77777777" w:rsidR="002341DC" w:rsidRPr="007E68F1" w:rsidRDefault="002341DC" w:rsidP="002341DC">
      <w:pPr>
        <w:numPr>
          <w:ilvl w:val="0"/>
          <w:numId w:val="3"/>
        </w:numPr>
        <w:spacing w:after="160" w:line="480" w:lineRule="auto"/>
        <w:contextualSpacing/>
        <w:jc w:val="both"/>
        <w:rPr>
          <w:rFonts w:ascii="David" w:eastAsia="Calibri" w:hAnsi="David"/>
        </w:rPr>
      </w:pPr>
      <w:r w:rsidRPr="007E68F1">
        <w:rPr>
          <w:rFonts w:ascii="David" w:eastAsia="Calibri" w:hAnsi="David"/>
          <w:rtl/>
        </w:rPr>
        <w:t xml:space="preserve">בתוך תיק מחשב בסלון הדירה, סם מסוכן מסוג חשיש במשקל 26.23 גרם נטו. </w:t>
      </w:r>
    </w:p>
    <w:p w14:paraId="5C546EDD"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lastRenderedPageBreak/>
        <w:t xml:space="preserve">הסדר הטיעון כלל את הודאתו של הנאשם, הרשעתו ושליחתו לקבלת תסקיר ולבקשת ההגנה הופנה לממונה על עבודות שירות. המאשימה הצהירה כי עמדתה העונשית היא ענישה בדמות מאסר בפועל אך ישובו לשוחח לאחר קבלת התסקיר.   </w:t>
      </w:r>
    </w:p>
    <w:p w14:paraId="2E2E0DBF" w14:textId="77777777" w:rsidR="002341DC" w:rsidRPr="007E68F1" w:rsidRDefault="002341DC" w:rsidP="002341DC">
      <w:pPr>
        <w:spacing w:after="160" w:line="480" w:lineRule="auto"/>
        <w:jc w:val="both"/>
        <w:rPr>
          <w:rFonts w:ascii="David" w:eastAsia="Calibri" w:hAnsi="David"/>
          <w:b/>
          <w:bCs/>
          <w:u w:val="single"/>
        </w:rPr>
      </w:pPr>
      <w:r w:rsidRPr="007E68F1">
        <w:rPr>
          <w:rFonts w:ascii="David" w:eastAsia="Calibri" w:hAnsi="David"/>
          <w:b/>
          <w:bCs/>
          <w:u w:val="single"/>
          <w:rtl/>
        </w:rPr>
        <w:t xml:space="preserve">תסקיר שירות המבחן </w:t>
      </w:r>
    </w:p>
    <w:p w14:paraId="37D21CB9" w14:textId="77777777" w:rsidR="002341DC" w:rsidRPr="007E68F1" w:rsidRDefault="002341DC" w:rsidP="002341DC">
      <w:pPr>
        <w:numPr>
          <w:ilvl w:val="0"/>
          <w:numId w:val="1"/>
        </w:numPr>
        <w:spacing w:after="160" w:line="480" w:lineRule="auto"/>
        <w:contextualSpacing/>
        <w:jc w:val="both"/>
        <w:rPr>
          <w:rFonts w:ascii="David" w:eastAsia="Calibri" w:hAnsi="David"/>
          <w:rtl/>
        </w:rPr>
      </w:pPr>
      <w:r w:rsidRPr="007E68F1">
        <w:rPr>
          <w:rFonts w:ascii="David" w:eastAsia="Calibri" w:hAnsi="David"/>
          <w:rtl/>
        </w:rPr>
        <w:t xml:space="preserve">בעניינו של הנאשם הוגשו שני תסקירים מטעם שירות המבחן. </w:t>
      </w:r>
    </w:p>
    <w:p w14:paraId="12A4B1DD"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t xml:space="preserve">בתסקיר הראשון שהתקבל בתאריך 16.12.21, מתאר שירות המבחן כי מדובר בנאשם בן 41, אב לילד בן 9, עובד כשף במסעדה המתגורר עם אמו בפתח תקווה. לחובתו הרשעה קודמת בגין ביצוע עבירה שעניינה החזקת אגרופן או סכין שלא כדין בגינה נידון למאסר על תנאי. בהתייחסותו לביצוע העבירות לוקח אחריות חלקית על מעשיו אולם מבטא חרטה וצער על מעשיו. הומלץ על דחיית מועד הדיון בשל הבעת מוטיבציה ראשונית להשתלב בטיפול. </w:t>
      </w:r>
    </w:p>
    <w:p w14:paraId="534817CB"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t xml:space="preserve">בתסקיר המשלים שהוגש ביום 10.4.22, שירות המבחן דיווח כי בתקופת הדחייה המשיכו בקשר רציף עם הנאשם ועם גורמי הטיפול ביחידה להתמכרויות. הנאשם השתלב ביחידה במהלך ינואר 2022, כאשר הטיפול כלל טיפול פרטני חד-שבועי ומסירת בדיקות שתן פעמיים בשבוע. מגיע בקביעות לטיפול הפרטני ולבדיקות השתן, אשר העידו על הימנעות משימוש בסמים. ביום 6.4.22 נערכה וועדת אבחון טיפול במהלכה הנאשם תיאר כי אינו זקוק לטיפול בתחום ההתמכרויות ופנה לטיפול במטרה להוכיח שאינו סובל מבעיה בתחום ההתמכרויות ועל מנת שבית המשפט יתחשב בכך בגזר דינו. נוכח התובנה שמגלה באשר לנזקקותו הטיפולית, הוחלט על הפסקת הטיפול בעניינו ביחידה להתמכרויות ולפיכך שירות המבחן לא בא בהמלצה טיפולית - שיקומית בעניינו. </w:t>
      </w:r>
    </w:p>
    <w:p w14:paraId="0FC59C8B" w14:textId="77777777" w:rsidR="002341DC" w:rsidRPr="007E68F1" w:rsidRDefault="002341DC" w:rsidP="002341DC">
      <w:pPr>
        <w:spacing w:after="160" w:line="480" w:lineRule="auto"/>
        <w:jc w:val="both"/>
        <w:rPr>
          <w:rFonts w:ascii="David" w:eastAsia="Calibri" w:hAnsi="David"/>
          <w:b/>
          <w:bCs/>
          <w:u w:val="single"/>
        </w:rPr>
      </w:pPr>
      <w:r w:rsidRPr="007E68F1">
        <w:rPr>
          <w:rFonts w:ascii="David" w:eastAsia="Calibri" w:hAnsi="David"/>
          <w:b/>
          <w:bCs/>
          <w:u w:val="single"/>
          <w:rtl/>
        </w:rPr>
        <w:t>חוות דעת הממונה על עבודות שירות</w:t>
      </w:r>
    </w:p>
    <w:p w14:paraId="2B133326" w14:textId="77777777" w:rsidR="002341DC" w:rsidRPr="007E68F1" w:rsidRDefault="002341DC" w:rsidP="002341DC">
      <w:pPr>
        <w:numPr>
          <w:ilvl w:val="0"/>
          <w:numId w:val="1"/>
        </w:numPr>
        <w:spacing w:after="160" w:line="480" w:lineRule="auto"/>
        <w:contextualSpacing/>
        <w:jc w:val="both"/>
        <w:rPr>
          <w:rFonts w:ascii="David" w:eastAsia="Calibri" w:hAnsi="David"/>
          <w:rtl/>
        </w:rPr>
      </w:pPr>
      <w:r w:rsidRPr="007E68F1">
        <w:rPr>
          <w:rFonts w:ascii="David" w:eastAsia="Calibri" w:hAnsi="David"/>
          <w:rtl/>
        </w:rPr>
        <w:t xml:space="preserve">בחוות הדעת שהתקבלה נקבע כי הנאשם מתאים לביצוע עבודות שירות. </w:t>
      </w:r>
    </w:p>
    <w:p w14:paraId="1A9E0A8E" w14:textId="77777777" w:rsidR="002341DC" w:rsidRPr="007E68F1" w:rsidRDefault="002341DC" w:rsidP="002341DC">
      <w:pPr>
        <w:spacing w:after="160" w:line="480" w:lineRule="auto"/>
        <w:jc w:val="both"/>
        <w:rPr>
          <w:rFonts w:ascii="David" w:eastAsia="Calibri" w:hAnsi="David"/>
          <w:b/>
          <w:bCs/>
          <w:u w:val="single"/>
        </w:rPr>
      </w:pPr>
      <w:r w:rsidRPr="007E68F1">
        <w:rPr>
          <w:rFonts w:ascii="David" w:eastAsia="Calibri" w:hAnsi="David"/>
          <w:b/>
          <w:bCs/>
          <w:u w:val="single"/>
          <w:rtl/>
        </w:rPr>
        <w:t xml:space="preserve">טיעוני הצדדים </w:t>
      </w:r>
    </w:p>
    <w:p w14:paraId="3C07A395" w14:textId="77777777" w:rsidR="002341DC" w:rsidRPr="007E68F1" w:rsidRDefault="002341DC" w:rsidP="002341DC">
      <w:pPr>
        <w:numPr>
          <w:ilvl w:val="0"/>
          <w:numId w:val="1"/>
        </w:numPr>
        <w:spacing w:after="160" w:line="480" w:lineRule="auto"/>
        <w:contextualSpacing/>
        <w:jc w:val="both"/>
        <w:rPr>
          <w:rFonts w:ascii="David" w:eastAsia="Calibri" w:hAnsi="David"/>
          <w:b/>
          <w:bCs/>
          <w:u w:val="single"/>
          <w:rtl/>
        </w:rPr>
      </w:pPr>
      <w:r w:rsidRPr="007E68F1">
        <w:rPr>
          <w:rFonts w:ascii="David" w:eastAsia="Calibri" w:hAnsi="David"/>
          <w:rtl/>
        </w:rPr>
        <w:t xml:space="preserve">בטרם שמיעת הטיעונים מטעם ההגנה העידה הגב' יהודית אודט אבוקסיס - אמו של הנאשם. הרחיבה בתיאור אישיותו ותכונותיו החיוביות של הנאשם ולטענתה המעשים המיוחסים הינם בגדר מעידה חד פעמית. בעדותה סיפרה כי הנאשם סעד את אביו בבית החולים עד פטירתו ותיארה כי העבירות בוצעו על רקע מצבו הנפשי והקושי הכלכלי איתם התמודד באותה העת. ביקשה להתחשב באמור בעת גזירת עונשו.  </w:t>
      </w:r>
    </w:p>
    <w:p w14:paraId="0C1B553D" w14:textId="77777777" w:rsidR="002341DC" w:rsidRPr="007E68F1" w:rsidRDefault="002341DC" w:rsidP="002341DC">
      <w:pPr>
        <w:numPr>
          <w:ilvl w:val="0"/>
          <w:numId w:val="1"/>
        </w:numPr>
        <w:spacing w:after="160" w:line="480" w:lineRule="auto"/>
        <w:contextualSpacing/>
        <w:jc w:val="both"/>
        <w:rPr>
          <w:rFonts w:ascii="David" w:eastAsia="Calibri" w:hAnsi="David"/>
        </w:rPr>
      </w:pPr>
      <w:r w:rsidRPr="007E68F1">
        <w:rPr>
          <w:rFonts w:ascii="David" w:eastAsia="Calibri" w:hAnsi="David"/>
          <w:rtl/>
        </w:rPr>
        <w:t>ב"כ המאשימה, עו"ד בר נמרי, הגישה לבית המשפט רישום פלילי של הנאשם (ת/1) וכן תמונות מחומר הראיות (ת/2). הפנתה לערכים החברתיים המוגנים בביצוע העבירות, למידת הפגיעה המצויה ברף הגבוה של העבירות</w:t>
      </w:r>
      <w:r w:rsidRPr="007E68F1">
        <w:rPr>
          <w:rFonts w:ascii="David" w:eastAsia="Calibri" w:hAnsi="David"/>
        </w:rPr>
        <w:t xml:space="preserve"> </w:t>
      </w:r>
      <w:r w:rsidRPr="007E68F1">
        <w:rPr>
          <w:rFonts w:ascii="David" w:eastAsia="Calibri" w:hAnsi="David"/>
          <w:rtl/>
        </w:rPr>
        <w:t xml:space="preserve">ולפוטנציאל הנזק. על סמך פסיקה שהגישה ביקשה לקבוע מתחם עונש הולם הנע בין 12 ל-36 חודשי מאסר. ציינה כי לחובתו של הנאשם הרשעה בגין החזקת סכין משנת 2020. הפנתה לאמור בתסקירי שירות המבחן והצביעה על כך שלא עבר טיפול משמעותי ומסוכנתו הנשקפת ממנו לא פחתה. עתרה כי העונש לא יפחת מ-14 חודשי מאסר לצד ענישה נלוות וחילוט האופנוע.  </w:t>
      </w:r>
    </w:p>
    <w:p w14:paraId="0FA1AAED" w14:textId="77777777" w:rsidR="002341DC" w:rsidRPr="007E68F1" w:rsidRDefault="002341DC" w:rsidP="002341DC">
      <w:pPr>
        <w:numPr>
          <w:ilvl w:val="0"/>
          <w:numId w:val="1"/>
        </w:numPr>
        <w:spacing w:after="160" w:line="480" w:lineRule="auto"/>
        <w:contextualSpacing/>
        <w:jc w:val="both"/>
        <w:rPr>
          <w:rFonts w:ascii="Calibri" w:eastAsia="Calibri" w:hAnsi="Calibri"/>
          <w:b/>
          <w:bCs/>
          <w:u w:val="single"/>
        </w:rPr>
      </w:pPr>
      <w:r w:rsidRPr="007E68F1">
        <w:rPr>
          <w:rFonts w:ascii="David" w:eastAsia="Calibri" w:hAnsi="David"/>
          <w:rtl/>
        </w:rPr>
        <w:t xml:space="preserve">ב"כ הנאשם, עו"ד טלי חזום, טענה כי העבירות בוצעו לפני כשנתיים וחצי, הנאשם שומר על ניקיון מסמים ומצבו הכלכלי קשה. הטיפול באביו החולה הוביל למצבו הרגשי ואף הגביר את שימושו בסמים. הפנתה לאמור בתסקירי שירות המבחן והדגישה את החרטה והצער שביטא הנאשם על מעשיו. טענה כי לא דבק בנאשם דפוס עברייני, ואין אינדיקציה בחומר הראיות לביצוע עבירות סחר. יתר על כן, הפנתה לפסיקה וטענה כי תחתית מתחם הענישה הינו 4 חודשי מאסר בעבודות שירות. </w:t>
      </w:r>
    </w:p>
    <w:p w14:paraId="48270E8E"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 xml:space="preserve">הנאשם במסגרת זכותו למילה האחרונה אמר את הדברים הבאים: </w:t>
      </w:r>
      <w:r w:rsidRPr="007E68F1">
        <w:rPr>
          <w:rFonts w:ascii="Calibri" w:eastAsia="Calibri" w:hAnsi="Calibri"/>
          <w:i/>
          <w:iCs/>
          <w:rtl/>
        </w:rPr>
        <w:t>"אני עברתי כברת דרך עם כל מה שקרה לי. אני פגעתי במשפחה שלי ובסובבים שלי. בכל דרך. במיוחד בבן שלי פגעתי הכי הרבה. אני חושב שעצם העובדה נכון אני הולך לעבודה וחוזר הביתה אבל עדיין איך שהוא אני עדיין כלוא בתוך עצמי עם כל הסיפור הזה, סוחב את זה יום יום ומרגיש את זה כל הזמן. חוץ מלעבוד ולחזור הביתה אין לי עוד מה לעשות".</w:t>
      </w:r>
      <w:r w:rsidRPr="007E68F1">
        <w:rPr>
          <w:rFonts w:ascii="Calibri" w:eastAsia="Calibri" w:hAnsi="Calibri"/>
          <w:rtl/>
        </w:rPr>
        <w:t xml:space="preserve">  </w:t>
      </w:r>
    </w:p>
    <w:p w14:paraId="1D6629DE" w14:textId="77777777" w:rsidR="002341DC" w:rsidRPr="007E68F1" w:rsidRDefault="002341DC" w:rsidP="002341DC">
      <w:pPr>
        <w:spacing w:after="160" w:line="480" w:lineRule="auto"/>
        <w:jc w:val="both"/>
        <w:rPr>
          <w:rFonts w:ascii="Calibri" w:eastAsia="Calibri" w:hAnsi="Calibri"/>
          <w:b/>
          <w:bCs/>
          <w:u w:val="single"/>
          <w:rtl/>
        </w:rPr>
      </w:pPr>
      <w:r w:rsidRPr="007E68F1">
        <w:rPr>
          <w:rFonts w:ascii="Calibri" w:eastAsia="Calibri" w:hAnsi="Calibri"/>
          <w:b/>
          <w:bCs/>
          <w:u w:val="single"/>
          <w:rtl/>
        </w:rPr>
        <w:t>דיון והכרעה</w:t>
      </w:r>
    </w:p>
    <w:p w14:paraId="7360D9AD" w14:textId="77777777" w:rsidR="002341DC" w:rsidRPr="007E68F1" w:rsidRDefault="002341DC" w:rsidP="002341DC">
      <w:pPr>
        <w:spacing w:after="160" w:line="480" w:lineRule="auto"/>
        <w:jc w:val="both"/>
        <w:rPr>
          <w:rFonts w:ascii="Calibri" w:eastAsia="Calibri" w:hAnsi="Calibri"/>
          <w:b/>
          <w:bCs/>
          <w:u w:val="single"/>
          <w:rtl/>
        </w:rPr>
      </w:pPr>
      <w:r w:rsidRPr="007E68F1">
        <w:rPr>
          <w:rFonts w:ascii="Calibri" w:eastAsia="Calibri" w:hAnsi="Calibri"/>
          <w:rtl/>
        </w:rPr>
        <w:t xml:space="preserve">    </w:t>
      </w:r>
      <w:r w:rsidRPr="007E68F1">
        <w:rPr>
          <w:rFonts w:ascii="Calibri" w:eastAsia="Calibri" w:hAnsi="Calibri"/>
          <w:b/>
          <w:bCs/>
          <w:u w:val="single"/>
          <w:rtl/>
        </w:rPr>
        <w:t>מתחם העונש</w:t>
      </w:r>
    </w:p>
    <w:p w14:paraId="658BAC3E" w14:textId="77777777" w:rsidR="002341DC" w:rsidRPr="007E68F1" w:rsidRDefault="002341DC" w:rsidP="002341DC">
      <w:pPr>
        <w:numPr>
          <w:ilvl w:val="0"/>
          <w:numId w:val="1"/>
        </w:numPr>
        <w:spacing w:after="160" w:line="480" w:lineRule="auto"/>
        <w:contextualSpacing/>
        <w:jc w:val="both"/>
        <w:rPr>
          <w:rFonts w:ascii="Calibri" w:eastAsia="Calibri" w:hAnsi="Calibri"/>
          <w:rtl/>
        </w:rPr>
      </w:pPr>
      <w:r w:rsidRPr="007E68F1">
        <w:rPr>
          <w:rFonts w:ascii="Calibri" w:eastAsia="Calibri" w:hAnsi="Calibri"/>
          <w:rtl/>
        </w:rPr>
        <w:t>הערך החברתי המוגן אשר נפגע כתוצאה מהעבירה אותה ביצע הנאשם הינו שמירה על בריאות הציבור והצורך להילחם בתופעת גידול הסמים בשל הנזקים החברתיים שנגרמים בעטיה. כאשר נאמר כבר רבות על ידי בתי המשפט השונים, לרבות בית המשפט העליון, בדבר חשיבות המלחמה בתופעה זו. ריבוי כתבי האישום בעניין הקמת מעבדות סמים, מצביע על כך כי מדובר בתופעה נפוצה ומחובתו של בית המשפט להעביר מסר מרתיע וברור נגדה. כמו כן, פגע הנאשם בערך של שמירה על רכוש הציבור בכך שגנב חשמל.</w:t>
      </w:r>
    </w:p>
    <w:p w14:paraId="3A5BC407"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באשר לרף הפגיעה בערך המוגן יש להצביע על היקף המעבדה שכללה 4 חדרי גידול מצוידים בציוד רב, ובהם 290 שתילים של סם מסוכן מסוג קנבוס במשקל כולל של 4.3 ק"ג. כאשר לצורך הפעלתה של המעבדה נגנב חשמל בשווי של למעלה מ27,000 ₪. כך גם נתפס במקומות שונים בדירה סם מסוכן מסוג חשיש וקנבוס במשקל של כ-1,233 גרם נטו ובקבוקון נוסף המכיל סם מסוכן בנפח של 5 מ"ל.</w:t>
      </w:r>
    </w:p>
    <w:p w14:paraId="6D7C23E5"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בבחינת הנסיבות הקשורות לביצוע העבירה יש להצביע על פוטנציאל הנזק הקיים בהפצת סם, כאשר פוטנציאל זה מצוי לא רק בסם שהתפתח וגדל אלא בכמות הגדולה מאד של שתילים שהיה בה משום אפשרות להפקת סם רב נוסף.</w:t>
      </w:r>
    </w:p>
    <w:p w14:paraId="4E7A02D9"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 xml:space="preserve">נקבע על ידי בית המשפט העליון כי על בית המשפט לתת חלקו במאבק בהפצת הסמים בדרך של ענישה מרתיעה. למשל </w:t>
      </w:r>
      <w:r w:rsidRPr="007E68F1">
        <w:rPr>
          <w:rFonts w:ascii="Calibri" w:eastAsia="Calibri" w:hAnsi="Calibri"/>
          <w:u w:val="single"/>
          <w:rtl/>
        </w:rPr>
        <w:t>ב</w:t>
      </w:r>
      <w:hyperlink r:id="rId18" w:history="1">
        <w:r w:rsidR="008A795D" w:rsidRPr="008A795D">
          <w:rPr>
            <w:rFonts w:ascii="Calibri" w:eastAsia="Calibri" w:hAnsi="Calibri" w:hint="cs"/>
            <w:color w:val="0000FF"/>
            <w:u w:val="single"/>
            <w:rtl/>
          </w:rPr>
          <w:t>ע</w:t>
        </w:r>
        <w:r w:rsidR="008A795D" w:rsidRPr="008A795D">
          <w:rPr>
            <w:rFonts w:ascii="Calibri" w:eastAsia="Calibri" w:hAnsi="Calibri"/>
            <w:color w:val="0000FF"/>
            <w:u w:val="single"/>
            <w:rtl/>
          </w:rPr>
          <w:t>"</w:t>
        </w:r>
        <w:r w:rsidR="008A795D" w:rsidRPr="008A795D">
          <w:rPr>
            <w:rFonts w:ascii="Calibri" w:eastAsia="Calibri" w:hAnsi="Calibri" w:hint="cs"/>
            <w:color w:val="0000FF"/>
            <w:u w:val="single"/>
            <w:rtl/>
          </w:rPr>
          <w:t>פ</w:t>
        </w:r>
        <w:r w:rsidR="008A795D" w:rsidRPr="008A795D">
          <w:rPr>
            <w:rFonts w:ascii="Calibri" w:eastAsia="Calibri" w:hAnsi="Calibri"/>
            <w:color w:val="0000FF"/>
            <w:u w:val="single"/>
            <w:rtl/>
          </w:rPr>
          <w:t xml:space="preserve"> 2000/06</w:t>
        </w:r>
      </w:hyperlink>
      <w:r w:rsidRPr="007E68F1">
        <w:rPr>
          <w:rFonts w:ascii="Calibri" w:eastAsia="Calibri" w:hAnsi="Calibri"/>
          <w:rtl/>
        </w:rPr>
        <w:t xml:space="preserve"> </w:t>
      </w:r>
      <w:r w:rsidRPr="007E68F1">
        <w:rPr>
          <w:rFonts w:ascii="Calibri" w:eastAsia="Calibri" w:hAnsi="Calibri"/>
          <w:b/>
          <w:bCs/>
          <w:rtl/>
        </w:rPr>
        <w:t xml:space="preserve">מדינת ישראל נגד וייצמן </w:t>
      </w:r>
      <w:r w:rsidRPr="007E68F1">
        <w:rPr>
          <w:rFonts w:ascii="Calibri" w:eastAsia="Calibri" w:hAnsi="Calibri"/>
          <w:rtl/>
        </w:rPr>
        <w:t>(20.7.06), קבע בית המשפט העליון כי: "</w:t>
      </w:r>
      <w:r w:rsidRPr="007E68F1">
        <w:rPr>
          <w:rFonts w:ascii="Calibri" w:eastAsia="Calibri" w:hAnsi="Calibri"/>
          <w:b/>
          <w:bCs/>
          <w:rtl/>
        </w:rPr>
        <w:t>המאבק בנגע הסמים מחייב כי ההתייחסות לכל החוליות בשרשרת המסתיימת בהגעת הסם לציבור תהא מחמירה ועל כל מי שמהווה חוליה מחוליית השרשרת לדעת כי הוא נוטל על עצמו את הסיכון שבנשיאה בעונש המשקף את חומרת העבירות שביצעו ואשר משקף את הנזק שבמעשיהם לחברה"</w:t>
      </w:r>
      <w:r w:rsidRPr="007E68F1">
        <w:rPr>
          <w:rFonts w:ascii="Calibri" w:eastAsia="Calibri" w:hAnsi="Calibri"/>
          <w:rtl/>
        </w:rPr>
        <w:t>.</w:t>
      </w:r>
    </w:p>
    <w:p w14:paraId="39CC2602"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 xml:space="preserve">דווקא לנוכח שינויים בחוק בכל הנוגע לסם מסוג קנבוס מצא בית המשפט העליון להדגיש את חשיבות ענישת העוסקים בגידול או הפצת סם מסוג זה. </w:t>
      </w:r>
      <w:r w:rsidRPr="007E68F1">
        <w:rPr>
          <w:rFonts w:ascii="Calibri" w:eastAsia="Calibri" w:hAnsi="Calibri"/>
          <w:u w:val="single"/>
          <w:rtl/>
        </w:rPr>
        <w:t>ב</w:t>
      </w:r>
      <w:hyperlink r:id="rId19" w:history="1">
        <w:r w:rsidR="008A795D" w:rsidRPr="008A795D">
          <w:rPr>
            <w:rFonts w:ascii="Calibri" w:eastAsia="Calibri" w:hAnsi="Calibri" w:hint="cs"/>
            <w:color w:val="0000FF"/>
            <w:u w:val="single"/>
            <w:rtl/>
          </w:rPr>
          <w:t>ע</w:t>
        </w:r>
        <w:r w:rsidR="008A795D" w:rsidRPr="008A795D">
          <w:rPr>
            <w:rFonts w:ascii="Calibri" w:eastAsia="Calibri" w:hAnsi="Calibri"/>
            <w:color w:val="0000FF"/>
            <w:u w:val="single"/>
            <w:rtl/>
          </w:rPr>
          <w:t>"</w:t>
        </w:r>
        <w:r w:rsidR="008A795D" w:rsidRPr="008A795D">
          <w:rPr>
            <w:rFonts w:ascii="Calibri" w:eastAsia="Calibri" w:hAnsi="Calibri" w:hint="cs"/>
            <w:color w:val="0000FF"/>
            <w:u w:val="single"/>
            <w:rtl/>
          </w:rPr>
          <w:t>פ</w:t>
        </w:r>
        <w:r w:rsidR="008A795D" w:rsidRPr="008A795D">
          <w:rPr>
            <w:rFonts w:ascii="Calibri" w:eastAsia="Calibri" w:hAnsi="Calibri"/>
            <w:color w:val="0000FF"/>
            <w:u w:val="single"/>
            <w:rtl/>
          </w:rPr>
          <w:t xml:space="preserve"> 2596/18</w:t>
        </w:r>
      </w:hyperlink>
      <w:r w:rsidRPr="007E68F1">
        <w:rPr>
          <w:rFonts w:ascii="Calibri" w:eastAsia="Calibri" w:hAnsi="Calibri"/>
          <w:u w:val="single"/>
          <w:rtl/>
        </w:rPr>
        <w:t xml:space="preserve"> </w:t>
      </w:r>
      <w:r w:rsidRPr="007E68F1">
        <w:rPr>
          <w:rFonts w:ascii="Calibri" w:eastAsia="Calibri" w:hAnsi="Calibri"/>
          <w:b/>
          <w:bCs/>
          <w:rtl/>
        </w:rPr>
        <w:t xml:space="preserve">כפיר זנזורי נגד מדינת ישראל </w:t>
      </w:r>
      <w:r w:rsidRPr="007E68F1">
        <w:rPr>
          <w:rFonts w:ascii="Calibri" w:eastAsia="Calibri" w:hAnsi="Calibri"/>
          <w:rtl/>
        </w:rPr>
        <w:t>(12.8.18), קבע כבוד השופט עמית כי: "</w:t>
      </w:r>
      <w:r w:rsidRPr="007E68F1">
        <w:rPr>
          <w:rFonts w:ascii="Calibri" w:eastAsia="Calibri" w:hAnsi="Calibri"/>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w:t>
      </w:r>
    </w:p>
    <w:p w14:paraId="67DAF922" w14:textId="77777777" w:rsidR="002341DC" w:rsidRPr="007E68F1" w:rsidRDefault="002341DC" w:rsidP="002341DC">
      <w:pPr>
        <w:numPr>
          <w:ilvl w:val="0"/>
          <w:numId w:val="1"/>
        </w:numPr>
        <w:spacing w:after="160" w:line="480" w:lineRule="auto"/>
        <w:contextualSpacing/>
        <w:jc w:val="both"/>
        <w:rPr>
          <w:rFonts w:ascii="Calibri" w:eastAsia="Calibri" w:hAnsi="Calibri"/>
          <w:b/>
          <w:bCs/>
          <w:rtl/>
        </w:rPr>
      </w:pPr>
      <w:r w:rsidRPr="007E68F1">
        <w:rPr>
          <w:rFonts w:ascii="Calibri" w:eastAsia="Calibri" w:hAnsi="Calibri"/>
          <w:rtl/>
        </w:rPr>
        <w:t xml:space="preserve">רק לפני מספר ימים, במסגרת </w:t>
      </w:r>
      <w:hyperlink r:id="rId20" w:history="1">
        <w:r w:rsidR="008A795D" w:rsidRPr="008A795D">
          <w:rPr>
            <w:rFonts w:ascii="Calibri" w:eastAsia="Calibri" w:hAnsi="Calibri" w:hint="cs"/>
            <w:color w:val="0000FF"/>
            <w:u w:val="single"/>
            <w:rtl/>
          </w:rPr>
          <w:t>ע</w:t>
        </w:r>
        <w:r w:rsidR="008A795D" w:rsidRPr="008A795D">
          <w:rPr>
            <w:rFonts w:ascii="Calibri" w:eastAsia="Calibri" w:hAnsi="Calibri"/>
            <w:color w:val="0000FF"/>
            <w:u w:val="single"/>
            <w:rtl/>
          </w:rPr>
          <w:t>"</w:t>
        </w:r>
        <w:r w:rsidR="008A795D" w:rsidRPr="008A795D">
          <w:rPr>
            <w:rFonts w:ascii="Calibri" w:eastAsia="Calibri" w:hAnsi="Calibri" w:hint="cs"/>
            <w:color w:val="0000FF"/>
            <w:u w:val="single"/>
            <w:rtl/>
          </w:rPr>
          <w:t>פ</w:t>
        </w:r>
        <w:r w:rsidR="008A795D" w:rsidRPr="008A795D">
          <w:rPr>
            <w:rFonts w:ascii="Calibri" w:eastAsia="Calibri" w:hAnsi="Calibri"/>
            <w:color w:val="0000FF"/>
            <w:u w:val="single"/>
            <w:rtl/>
          </w:rPr>
          <w:t xml:space="preserve"> 126/22</w:t>
        </w:r>
      </w:hyperlink>
      <w:r w:rsidRPr="007E68F1">
        <w:rPr>
          <w:rFonts w:ascii="Calibri" w:eastAsia="Calibri" w:hAnsi="Calibri"/>
          <w:rtl/>
        </w:rPr>
        <w:t xml:space="preserve"> </w:t>
      </w:r>
      <w:r w:rsidRPr="007E68F1">
        <w:rPr>
          <w:rFonts w:ascii="Calibri" w:eastAsia="Calibri" w:hAnsi="Calibri"/>
          <w:b/>
          <w:bCs/>
          <w:rtl/>
        </w:rPr>
        <w:t xml:space="preserve">מדינת ישראל נ' פלוני </w:t>
      </w:r>
      <w:r w:rsidRPr="007E68F1">
        <w:rPr>
          <w:rFonts w:ascii="Calibri" w:eastAsia="Calibri" w:hAnsi="Calibri"/>
          <w:rtl/>
        </w:rPr>
        <w:t xml:space="preserve">( 27.4.22), חזר בית המשפט העליון ונדרש לטענה בנוגע להתייחסות שונה לגידול סם מסוג קנבוס וקבע כי:  </w:t>
      </w:r>
      <w:r w:rsidRPr="007E68F1">
        <w:rPr>
          <w:rFonts w:ascii="Calibri" w:eastAsia="Calibri" w:hAnsi="Calibri"/>
          <w:b/>
          <w:bCs/>
          <w:rtl/>
        </w:rPr>
        <w:t>"הלכה מושרשת היא שבעבירות של ייצור והפקת סם מסוכן בכמות משמעותית, על הענישה להיות מחמירה ומרתיעה (</w:t>
      </w:r>
      <w:hyperlink r:id="rId21" w:history="1">
        <w:r w:rsidR="008A795D" w:rsidRPr="008A795D">
          <w:rPr>
            <w:rFonts w:ascii="Calibri" w:eastAsia="Calibri" w:hAnsi="Calibri" w:hint="cs"/>
            <w:b/>
            <w:bCs/>
            <w:color w:val="0000FF"/>
            <w:u w:val="single"/>
            <w:rtl/>
          </w:rPr>
          <w:t>ע</w:t>
        </w:r>
        <w:r w:rsidR="008A795D" w:rsidRPr="008A795D">
          <w:rPr>
            <w:rFonts w:ascii="Calibri" w:eastAsia="Calibri" w:hAnsi="Calibri"/>
            <w:b/>
            <w:bCs/>
            <w:color w:val="0000FF"/>
            <w:u w:val="single"/>
            <w:rtl/>
          </w:rPr>
          <w:t>"</w:t>
        </w:r>
        <w:r w:rsidR="008A795D" w:rsidRPr="008A795D">
          <w:rPr>
            <w:rFonts w:ascii="Calibri" w:eastAsia="Calibri" w:hAnsi="Calibri" w:hint="cs"/>
            <w:b/>
            <w:bCs/>
            <w:color w:val="0000FF"/>
            <w:u w:val="single"/>
            <w:rtl/>
          </w:rPr>
          <w:t>פ</w:t>
        </w:r>
        <w:r w:rsidR="008A795D" w:rsidRPr="008A795D">
          <w:rPr>
            <w:rFonts w:ascii="Calibri" w:eastAsia="Calibri" w:hAnsi="Calibri"/>
            <w:b/>
            <w:bCs/>
            <w:color w:val="0000FF"/>
            <w:u w:val="single"/>
            <w:rtl/>
          </w:rPr>
          <w:t xml:space="preserve"> 2596/18</w:t>
        </w:r>
      </w:hyperlink>
      <w:r w:rsidRPr="007E68F1">
        <w:rPr>
          <w:rFonts w:ascii="Calibri" w:eastAsia="Calibri" w:hAnsi="Calibri"/>
          <w:b/>
          <w:bCs/>
          <w:rtl/>
        </w:rPr>
        <w:t xml:space="preserve"> זנזורי נ' מדינת ישראל, פס' 8 [פורסם בנבו] (12.8.2018)).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22" w:history="1">
        <w:r w:rsidR="008A795D" w:rsidRPr="008A795D">
          <w:rPr>
            <w:rFonts w:ascii="Calibri" w:eastAsia="Calibri" w:hAnsi="Calibri" w:hint="cs"/>
            <w:b/>
            <w:bCs/>
            <w:color w:val="0000FF"/>
            <w:u w:val="single"/>
            <w:rtl/>
          </w:rPr>
          <w:t>ע</w:t>
        </w:r>
        <w:r w:rsidR="008A795D" w:rsidRPr="008A795D">
          <w:rPr>
            <w:rFonts w:ascii="Calibri" w:eastAsia="Calibri" w:hAnsi="Calibri"/>
            <w:b/>
            <w:bCs/>
            <w:color w:val="0000FF"/>
            <w:u w:val="single"/>
            <w:rtl/>
          </w:rPr>
          <w:t>"</w:t>
        </w:r>
        <w:r w:rsidR="008A795D" w:rsidRPr="008A795D">
          <w:rPr>
            <w:rFonts w:ascii="Calibri" w:eastAsia="Calibri" w:hAnsi="Calibri" w:hint="cs"/>
            <w:b/>
            <w:bCs/>
            <w:color w:val="0000FF"/>
            <w:u w:val="single"/>
            <w:rtl/>
          </w:rPr>
          <w:t>פ</w:t>
        </w:r>
        <w:r w:rsidR="008A795D" w:rsidRPr="008A795D">
          <w:rPr>
            <w:rFonts w:ascii="Calibri" w:eastAsia="Calibri" w:hAnsi="Calibri"/>
            <w:b/>
            <w:bCs/>
            <w:color w:val="0000FF"/>
            <w:u w:val="single"/>
            <w:rtl/>
          </w:rPr>
          <w:t xml:space="preserve"> 4387/20</w:t>
        </w:r>
      </w:hyperlink>
      <w:r w:rsidRPr="007E68F1">
        <w:rPr>
          <w:rFonts w:ascii="Calibri" w:eastAsia="Calibri" w:hAnsi="Calibri"/>
          <w:b/>
          <w:bCs/>
          <w:rtl/>
        </w:rPr>
        <w:t xml:space="preserve"> </w:t>
      </w:r>
      <w:r w:rsidRPr="007E68F1">
        <w:rPr>
          <w:rFonts w:ascii="Calibri" w:eastAsia="Calibri" w:hAnsi="Calibri" w:hint="cs"/>
          <w:b/>
          <w:bCs/>
          <w:rtl/>
        </w:rPr>
        <w:t xml:space="preserve">מדינת ישראל נ' דרור, פס' 13 [פורסם בנבו] (8.2.2021)).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זנזורי, פס' 8; ראו גם: </w:t>
      </w:r>
      <w:hyperlink r:id="rId23" w:history="1">
        <w:r w:rsidR="008A795D" w:rsidRPr="008A795D">
          <w:rPr>
            <w:rFonts w:ascii="Calibri" w:eastAsia="Calibri" w:hAnsi="Calibri" w:hint="cs"/>
            <w:b/>
            <w:bCs/>
            <w:color w:val="0000FF"/>
            <w:u w:val="single"/>
            <w:rtl/>
          </w:rPr>
          <w:t>ע</w:t>
        </w:r>
        <w:r w:rsidR="008A795D" w:rsidRPr="008A795D">
          <w:rPr>
            <w:rFonts w:ascii="Calibri" w:eastAsia="Calibri" w:hAnsi="Calibri"/>
            <w:b/>
            <w:bCs/>
            <w:color w:val="0000FF"/>
            <w:u w:val="single"/>
            <w:rtl/>
          </w:rPr>
          <w:t>"</w:t>
        </w:r>
        <w:r w:rsidR="008A795D" w:rsidRPr="008A795D">
          <w:rPr>
            <w:rFonts w:ascii="Calibri" w:eastAsia="Calibri" w:hAnsi="Calibri" w:hint="cs"/>
            <w:b/>
            <w:bCs/>
            <w:color w:val="0000FF"/>
            <w:u w:val="single"/>
            <w:rtl/>
          </w:rPr>
          <w:t>פ</w:t>
        </w:r>
        <w:r w:rsidR="008A795D" w:rsidRPr="008A795D">
          <w:rPr>
            <w:rFonts w:ascii="Calibri" w:eastAsia="Calibri" w:hAnsi="Calibri"/>
            <w:b/>
            <w:bCs/>
            <w:color w:val="0000FF"/>
            <w:u w:val="single"/>
            <w:rtl/>
          </w:rPr>
          <w:t xml:space="preserve"> 6299/20</w:t>
        </w:r>
      </w:hyperlink>
      <w:r w:rsidRPr="007E68F1">
        <w:rPr>
          <w:rFonts w:ascii="Calibri" w:eastAsia="Calibri" w:hAnsi="Calibri"/>
          <w:b/>
          <w:bCs/>
          <w:rtl/>
        </w:rPr>
        <w:t xml:space="preserve"> </w:t>
      </w:r>
      <w:r w:rsidRPr="007E68F1">
        <w:rPr>
          <w:rFonts w:ascii="Calibri" w:eastAsia="Calibri" w:hAnsi="Calibri" w:hint="cs"/>
          <w:b/>
          <w:bCs/>
          <w:rtl/>
        </w:rPr>
        <w:t xml:space="preserve">חן נ' מדינת ישראל [פורסם בנבו] (4.2.2021))". </w:t>
      </w:r>
    </w:p>
    <w:p w14:paraId="56948875" w14:textId="77777777" w:rsidR="002341DC" w:rsidRPr="007E68F1" w:rsidRDefault="002341DC" w:rsidP="002341DC">
      <w:pPr>
        <w:numPr>
          <w:ilvl w:val="0"/>
          <w:numId w:val="1"/>
        </w:numPr>
        <w:spacing w:after="160" w:line="480" w:lineRule="auto"/>
        <w:jc w:val="both"/>
        <w:rPr>
          <w:rFonts w:ascii="Calibri" w:hAnsi="Calibri"/>
        </w:rPr>
      </w:pPr>
      <w:r w:rsidRPr="007E68F1">
        <w:rPr>
          <w:rFonts w:ascii="Calibri" w:hAnsi="Calibri"/>
          <w:rtl/>
        </w:rPr>
        <w:t>בבחינת מדיניות הענישה הנוהגת ניתן להצביע על מקרים דומים, לרבות אלו שהוצגו בפניי על ידי הצדדים, העוסקים בביצוע עבירה של גידול סמים במעבדה, כמפורט להלן:</w:t>
      </w:r>
    </w:p>
    <w:p w14:paraId="1B43DB0E" w14:textId="77777777" w:rsidR="002341DC" w:rsidRPr="007E68F1" w:rsidRDefault="008A795D" w:rsidP="002341DC">
      <w:pPr>
        <w:numPr>
          <w:ilvl w:val="0"/>
          <w:numId w:val="4"/>
        </w:numPr>
        <w:shd w:val="clear" w:color="auto" w:fill="FFFFFF"/>
        <w:spacing w:after="160" w:line="480" w:lineRule="auto"/>
        <w:ind w:left="1077" w:hanging="357"/>
        <w:contextualSpacing/>
        <w:jc w:val="both"/>
        <w:rPr>
          <w:color w:val="000000"/>
        </w:rPr>
      </w:pPr>
      <w:hyperlink r:id="rId24" w:history="1">
        <w:r w:rsidRPr="008A795D">
          <w:rPr>
            <w:color w:val="0000FF"/>
            <w:u w:val="single"/>
            <w:rtl/>
          </w:rPr>
          <w:t>רע"פ 666/20</w:t>
        </w:r>
      </w:hyperlink>
      <w:r>
        <w:rPr>
          <w:rtl/>
        </w:rPr>
        <w:t xml:space="preserve"> </w:t>
      </w:r>
      <w:r w:rsidR="002341DC" w:rsidRPr="007E68F1">
        <w:rPr>
          <w:b/>
          <w:bCs/>
          <w:color w:val="000000"/>
          <w:rtl/>
        </w:rPr>
        <w:t>רון עמרם</w:t>
      </w:r>
      <w:r>
        <w:rPr>
          <w:color w:val="000000"/>
          <w:rtl/>
        </w:rPr>
        <w:t xml:space="preserve"> </w:t>
      </w:r>
      <w:r w:rsidR="002341DC" w:rsidRPr="007E68F1">
        <w:rPr>
          <w:color w:val="000000"/>
          <w:rtl/>
        </w:rPr>
        <w:t>נ'</w:t>
      </w:r>
      <w:r>
        <w:rPr>
          <w:color w:val="000000"/>
          <w:rtl/>
        </w:rPr>
        <w:t xml:space="preserve"> </w:t>
      </w:r>
      <w:r w:rsidR="002341DC" w:rsidRPr="007E68F1">
        <w:rPr>
          <w:b/>
          <w:bCs/>
          <w:color w:val="000000"/>
          <w:rtl/>
        </w:rPr>
        <w:t>מדינת ישראל</w:t>
      </w:r>
      <w:r>
        <w:rPr>
          <w:color w:val="000000"/>
          <w:rtl/>
        </w:rPr>
        <w:t xml:space="preserve"> </w:t>
      </w:r>
      <w:r w:rsidR="002341DC" w:rsidRPr="007E68F1">
        <w:rPr>
          <w:color w:val="000000"/>
          <w:rtl/>
        </w:rPr>
        <w:t>(3.2.20), המבקש הורשע על פי הודאתו בשתי עבירות של גידול, ייצור והכנת סמים מסוכנים ושתי עבירות החזקת סם שלא לצריכה עצמית. על פי כתב האישום המתוקן, המבקש שכר שתי דירות והקים בהן מעבדות לגידול סם מסוג קנבוס, ובחיפוש שנערך בהן נמצאו, בין היתר, ציוד לגידול סם; למעלה ממאה שתילי סם במשקל כולל של כעשרה ק"ג; וסם שחולק לשקיות במשקל כולל של כ-1.7 ק"ג. בית המשפט קבע כי מתחם העונש ההולם נע בין 15 ל- 36 חודשי מאסר.</w:t>
      </w:r>
      <w:r>
        <w:rPr>
          <w:color w:val="000000"/>
          <w:rtl/>
        </w:rPr>
        <w:t xml:space="preserve"> </w:t>
      </w:r>
      <w:r w:rsidR="002341DC" w:rsidRPr="007E68F1">
        <w:rPr>
          <w:color w:val="000000"/>
          <w:rtl/>
        </w:rPr>
        <w:t xml:space="preserve">נעדר עבר פלילי, עבר הליך שיקומי. בית המשפט גזר על הנאשם 12 חודשי מאסר בפועל וענישה נלווית. ערעורו נדחה בבית המשפט המחוזי ובבית המשפט העליון. </w:t>
      </w:r>
    </w:p>
    <w:p w14:paraId="153766CE" w14:textId="77777777" w:rsidR="002341DC" w:rsidRPr="007E68F1" w:rsidRDefault="008A795D" w:rsidP="002341DC">
      <w:pPr>
        <w:numPr>
          <w:ilvl w:val="0"/>
          <w:numId w:val="4"/>
        </w:numPr>
        <w:shd w:val="clear" w:color="auto" w:fill="FFFFFF"/>
        <w:spacing w:after="160" w:line="480" w:lineRule="auto"/>
        <w:contextualSpacing/>
        <w:jc w:val="both"/>
        <w:rPr>
          <w:color w:val="000000"/>
        </w:rPr>
      </w:pPr>
      <w:hyperlink r:id="rId25" w:history="1">
        <w:r w:rsidRPr="008A795D">
          <w:rPr>
            <w:color w:val="0000FF"/>
            <w:u w:val="single"/>
            <w:rtl/>
          </w:rPr>
          <w:t>רע"פ 6987/13</w:t>
        </w:r>
      </w:hyperlink>
      <w:r>
        <w:rPr>
          <w:rtl/>
        </w:rPr>
        <w:t xml:space="preserve"> </w:t>
      </w:r>
      <w:r w:rsidR="002341DC" w:rsidRPr="007E68F1">
        <w:rPr>
          <w:b/>
          <w:bCs/>
          <w:color w:val="000000"/>
          <w:rtl/>
        </w:rPr>
        <w:t>אברמוב נגד מדינת ישראל</w:t>
      </w:r>
      <w:r>
        <w:rPr>
          <w:color w:val="000000"/>
          <w:rtl/>
        </w:rPr>
        <w:t xml:space="preserve"> </w:t>
      </w:r>
      <w:r w:rsidR="002341DC" w:rsidRPr="007E68F1">
        <w:rPr>
          <w:color w:val="000000"/>
          <w:rtl/>
        </w:rPr>
        <w:t>(21.10.13), גידל שתילי קנביס במשקל</w:t>
      </w:r>
      <w:r>
        <w:rPr>
          <w:color w:val="000000"/>
          <w:rtl/>
        </w:rPr>
        <w:t xml:space="preserve"> </w:t>
      </w:r>
      <w:r w:rsidR="002341DC" w:rsidRPr="007E68F1">
        <w:rPr>
          <w:color w:val="000000"/>
          <w:rtl/>
        </w:rPr>
        <w:t xml:space="preserve">10 ק"ג, </w:t>
      </w:r>
      <w:r w:rsidR="002341DC" w:rsidRPr="007E68F1">
        <w:rPr>
          <w:rFonts w:ascii="FrankRuehl" w:eastAsia="Calibri" w:hAnsi="FrankRuehl"/>
          <w:color w:val="000000"/>
          <w:spacing w:val="10"/>
          <w:shd w:val="clear" w:color="auto" w:fill="FFFFFF"/>
          <w:rtl/>
        </w:rPr>
        <w:t xml:space="preserve">נקבע מתחם ענישה בעניינו של המבקש הנע בין שישה חודשי עבודות שירות לבין 24 חודשי מאסר בפועל, הודאה באופן מידי, נעדר עבר פלילי, שיתף פעולה עם שירות המבחן. </w:t>
      </w:r>
      <w:r w:rsidR="002341DC" w:rsidRPr="007E68F1">
        <w:rPr>
          <w:color w:val="000000"/>
          <w:rtl/>
        </w:rPr>
        <w:t xml:space="preserve">נדון בבית המשפט השלום ל 12 חודשי מאסר בפועל. ערעוריו הן בבית המשפט המחוזי והן בבית המשפט העליון נדחו. </w:t>
      </w:r>
    </w:p>
    <w:p w14:paraId="096FA197" w14:textId="77777777" w:rsidR="002341DC" w:rsidRPr="007E68F1" w:rsidRDefault="001C1446" w:rsidP="002341DC">
      <w:pPr>
        <w:numPr>
          <w:ilvl w:val="0"/>
          <w:numId w:val="4"/>
        </w:numPr>
        <w:spacing w:after="160" w:line="480" w:lineRule="auto"/>
        <w:contextualSpacing/>
        <w:jc w:val="both"/>
        <w:rPr>
          <w:rFonts w:ascii="Calibri" w:eastAsia="Calibri" w:hAnsi="Calibri"/>
          <w:color w:val="000000"/>
          <w:rtl/>
        </w:rPr>
      </w:pPr>
      <w:hyperlink r:id="rId26" w:history="1">
        <w:r w:rsidR="002341DC" w:rsidRPr="007E68F1">
          <w:rPr>
            <w:rFonts w:ascii="Calibri" w:eastAsia="Calibri" w:hAnsi="Calibri"/>
            <w:u w:val="single"/>
            <w:rtl/>
          </w:rPr>
          <w:t>עפ"ג 20592-10-20</w:t>
        </w:r>
        <w:r w:rsidR="008A795D">
          <w:rPr>
            <w:rFonts w:ascii="Calibri" w:eastAsia="Calibri" w:hAnsi="Calibri"/>
            <w:rtl/>
          </w:rPr>
          <w:t xml:space="preserve"> </w:t>
        </w:r>
        <w:r w:rsidR="002341DC" w:rsidRPr="007E68F1">
          <w:rPr>
            <w:rFonts w:ascii="Calibri" w:eastAsia="Calibri" w:hAnsi="Calibri"/>
            <w:b/>
            <w:bCs/>
            <w:rtl/>
          </w:rPr>
          <w:t>מדינת ישראל נ' עידן יהושע</w:t>
        </w:r>
        <w:r w:rsidR="002341DC" w:rsidRPr="007E68F1">
          <w:rPr>
            <w:rFonts w:ascii="Calibri" w:eastAsia="Calibri" w:hAnsi="Calibri"/>
            <w:rtl/>
          </w:rPr>
          <w:t xml:space="preserve"> (5.1.21)‏</w:t>
        </w:r>
      </w:hyperlink>
      <w:r w:rsidR="002341DC" w:rsidRPr="007E68F1">
        <w:rPr>
          <w:rFonts w:ascii="Calibri" w:eastAsia="Calibri" w:hAnsi="Calibri"/>
          <w:color w:val="000000"/>
          <w:rtl/>
        </w:rPr>
        <w:t>, המערער הורשע על סמך הודאתו בעבירה של גידול סמים. על פי הנטען בכתב האישום, המערער הקים במחסן בחצר דירתו מקום לגידול סמים מסוכנים וגידל בו 60 שתילי סם מסוכן מסוג קנאביס במשקל של 10 קילוגרם, תוך שימוש בכלים מתאימים לגידול הסם. המשיב סובל מפגיעת גב וסורב מספר פעמים לקבלת רישיון לקנביס, לאחר הגשת כתב האישום קיבל רישיון. נעדר עבר פלילי, נקבע מתחם הנע בין 6 חודשי מאסר בעבודות שירות ל-24 חודשי מאסר בפועל. שירות המבחן המליץ על של"צ, בית המשפט דן אותו ל-140 שעות של"צ.</w:t>
      </w:r>
      <w:r w:rsidR="002341DC" w:rsidRPr="007E68F1">
        <w:rPr>
          <w:rFonts w:ascii="Calibri" w:eastAsia="Calibri" w:hAnsi="Calibri"/>
          <w:b/>
          <w:bCs/>
          <w:color w:val="000000"/>
          <w:rtl/>
        </w:rPr>
        <w:t xml:space="preserve"> </w:t>
      </w:r>
      <w:r w:rsidR="002341DC" w:rsidRPr="007E68F1">
        <w:rPr>
          <w:rFonts w:ascii="Calibri" w:eastAsia="Calibri" w:hAnsi="Calibri"/>
          <w:color w:val="000000"/>
          <w:rtl/>
        </w:rPr>
        <w:t xml:space="preserve">בבית המשפט המחוזי עונשו הוחמר ל-10 חודשי מאסר בפועל בניכוי ימי מעצרו. </w:t>
      </w:r>
    </w:p>
    <w:p w14:paraId="1A96CC8A" w14:textId="77777777" w:rsidR="002341DC" w:rsidRPr="007E68F1" w:rsidRDefault="008A795D" w:rsidP="002341DC">
      <w:pPr>
        <w:numPr>
          <w:ilvl w:val="0"/>
          <w:numId w:val="4"/>
        </w:numPr>
        <w:shd w:val="clear" w:color="auto" w:fill="FFFFFF"/>
        <w:spacing w:after="160" w:line="480" w:lineRule="auto"/>
        <w:contextualSpacing/>
        <w:jc w:val="both"/>
        <w:rPr>
          <w:color w:val="000000"/>
        </w:rPr>
      </w:pPr>
      <w:hyperlink r:id="rId27" w:history="1">
        <w:r w:rsidRPr="008A795D">
          <w:rPr>
            <w:color w:val="0000FF"/>
            <w:u w:val="single"/>
            <w:rtl/>
          </w:rPr>
          <w:t>עפ"ג 8650-04-15</w:t>
        </w:r>
      </w:hyperlink>
      <w:r w:rsidR="002341DC" w:rsidRPr="007E68F1">
        <w:rPr>
          <w:b/>
          <w:bCs/>
          <w:color w:val="000000"/>
          <w:rtl/>
        </w:rPr>
        <w:t xml:space="preserve"> שורץ נ' מדינת ישראל</w:t>
      </w:r>
      <w:r w:rsidR="002341DC" w:rsidRPr="007E68F1">
        <w:rPr>
          <w:color w:val="000000"/>
          <w:rtl/>
        </w:rPr>
        <w:t xml:space="preserve"> (22.12.15), נדחה ערעור של נאשם, אשר הורשע בגידול 146 שתילי קנבוס במשקל 2.69 ק"ג בחדר נסתר בביתו. בית משפט קמא קבע מתחם עונש הנע בין 6 ל-24 חודשי מאסר. על אף ששירות המבחן המליץ על אפיק שיקומי, הנאשם נידון ל-9 חודשי מאסר בפועל. </w:t>
      </w:r>
    </w:p>
    <w:p w14:paraId="263183D4" w14:textId="77777777" w:rsidR="002341DC" w:rsidRPr="007E68F1" w:rsidRDefault="008A795D" w:rsidP="002341DC">
      <w:pPr>
        <w:numPr>
          <w:ilvl w:val="0"/>
          <w:numId w:val="4"/>
        </w:numPr>
        <w:shd w:val="clear" w:color="auto" w:fill="FFFFFF"/>
        <w:spacing w:after="160" w:line="480" w:lineRule="auto"/>
        <w:contextualSpacing/>
        <w:jc w:val="both"/>
        <w:rPr>
          <w:color w:val="000000"/>
        </w:rPr>
      </w:pPr>
      <w:hyperlink r:id="rId28" w:history="1">
        <w:r w:rsidRPr="008A795D">
          <w:rPr>
            <w:color w:val="0000FF"/>
            <w:u w:val="single"/>
            <w:rtl/>
          </w:rPr>
          <w:t>רע"פ 7005/14</w:t>
        </w:r>
      </w:hyperlink>
      <w:r w:rsidR="002341DC" w:rsidRPr="007E68F1">
        <w:rPr>
          <w:color w:val="000000"/>
          <w:rtl/>
        </w:rPr>
        <w:t xml:space="preserve"> </w:t>
      </w:r>
      <w:r w:rsidR="002341DC" w:rsidRPr="007E68F1">
        <w:rPr>
          <w:b/>
          <w:bCs/>
          <w:color w:val="000000"/>
          <w:rtl/>
        </w:rPr>
        <w:t>עידן דגן נ' מדינת ישראל</w:t>
      </w:r>
      <w:r w:rsidR="002341DC" w:rsidRPr="007E68F1">
        <w:rPr>
          <w:color w:val="000000"/>
          <w:rtl/>
        </w:rPr>
        <w:t xml:space="preserve"> (30.11.14), המבקש הורשע על פי הודאתו בעבירת גידול במעבדה בביתו סם מסוג קנבוס במשקל של 7,721 גרם, ובית המשפט השלום גזר ליו 10 חודשי מאסר בפועל ועונשים נלווים. ערעור שהגיש על חומרת העונש נדחה על ידי בית המשפט המחוזי וכך גם הבקשה לרשות ערעור. </w:t>
      </w:r>
    </w:p>
    <w:p w14:paraId="549B309C" w14:textId="77777777" w:rsidR="002341DC" w:rsidRPr="007E68F1" w:rsidRDefault="008A795D" w:rsidP="002341DC">
      <w:pPr>
        <w:numPr>
          <w:ilvl w:val="0"/>
          <w:numId w:val="4"/>
        </w:numPr>
        <w:shd w:val="clear" w:color="auto" w:fill="FFFFFF"/>
        <w:spacing w:after="160" w:line="480" w:lineRule="auto"/>
        <w:contextualSpacing/>
        <w:jc w:val="both"/>
        <w:rPr>
          <w:color w:val="000000"/>
        </w:rPr>
      </w:pPr>
      <w:hyperlink r:id="rId29" w:history="1">
        <w:r w:rsidRPr="008A795D">
          <w:rPr>
            <w:color w:val="0000FF"/>
            <w:u w:val="single"/>
            <w:rtl/>
          </w:rPr>
          <w:t>עפ"ג 10120-07-17</w:t>
        </w:r>
      </w:hyperlink>
      <w:r w:rsidR="002341DC" w:rsidRPr="007E68F1">
        <w:rPr>
          <w:color w:val="000000"/>
          <w:rtl/>
        </w:rPr>
        <w:t xml:space="preserve"> </w:t>
      </w:r>
      <w:r w:rsidR="002341DC" w:rsidRPr="007E68F1">
        <w:rPr>
          <w:b/>
          <w:bCs/>
          <w:color w:val="000000"/>
          <w:rtl/>
        </w:rPr>
        <w:t xml:space="preserve">מדינת ישראל נ' ניר כהן </w:t>
      </w:r>
      <w:r w:rsidR="002341DC" w:rsidRPr="007E68F1">
        <w:rPr>
          <w:color w:val="000000"/>
          <w:rtl/>
        </w:rPr>
        <w:t xml:space="preserve">(25.2.18), הנאשם הורשע על יסוד הודאתו שבאה לאחר ניהול הוכחות בגידול קנבוס במשקל של 2.850 ק"ג. נדון ל-6 חודשי מאסר בפועל, אשר ירוצו בדרך של עבודות שירות. המאשימה הגישה ערעור על קולת העונש וביקשה לגזור עליו עונש מאסר משמעותי בפועל. בית המשפט המחוזי קיבל את הערעור וקבע כי הנאשם ירצה 9 חודשי מאסר בפועל. </w:t>
      </w:r>
    </w:p>
    <w:p w14:paraId="60A4AD48" w14:textId="77777777" w:rsidR="002341DC" w:rsidRPr="007E68F1" w:rsidRDefault="008A795D" w:rsidP="002341DC">
      <w:pPr>
        <w:numPr>
          <w:ilvl w:val="0"/>
          <w:numId w:val="4"/>
        </w:numPr>
        <w:shd w:val="clear" w:color="auto" w:fill="FFFFFF"/>
        <w:spacing w:after="160" w:line="480" w:lineRule="auto"/>
        <w:contextualSpacing/>
        <w:jc w:val="both"/>
        <w:rPr>
          <w:color w:val="000000"/>
        </w:rPr>
      </w:pPr>
      <w:hyperlink r:id="rId30" w:history="1">
        <w:r w:rsidRPr="008A795D">
          <w:rPr>
            <w:color w:val="0000FF"/>
            <w:u w:val="single"/>
            <w:rtl/>
          </w:rPr>
          <w:t>ת"פ 33150-11-19</w:t>
        </w:r>
      </w:hyperlink>
      <w:r w:rsidR="002341DC" w:rsidRPr="007E68F1">
        <w:rPr>
          <w:color w:val="000000"/>
          <w:rtl/>
        </w:rPr>
        <w:t xml:space="preserve"> </w:t>
      </w:r>
      <w:r w:rsidR="002341DC" w:rsidRPr="007E68F1">
        <w:rPr>
          <w:b/>
          <w:bCs/>
          <w:color w:val="000000"/>
          <w:rtl/>
        </w:rPr>
        <w:t>מדינת ישראל נ' אטיאס</w:t>
      </w:r>
      <w:r w:rsidR="002341DC" w:rsidRPr="007E68F1">
        <w:rPr>
          <w:color w:val="000000"/>
          <w:rtl/>
        </w:rPr>
        <w:t xml:space="preserve"> (14.7.20), הנאשם הורשע על יסוד הודאתו בגידול עשרות של שתילי קנביס במשקל של 9 ק"ג. בית המשפט קבע מתחם עונש הולם שנע בין 6 חודשי מאסר ועד 18 חודשים, לצד ענישה נלווית והשית עליו 7 חודשי מאסר בדרך של עבודות שירות. </w:t>
      </w:r>
    </w:p>
    <w:p w14:paraId="2898907A" w14:textId="77777777" w:rsidR="002341DC" w:rsidRPr="007E68F1" w:rsidRDefault="008A795D" w:rsidP="002341DC">
      <w:pPr>
        <w:numPr>
          <w:ilvl w:val="0"/>
          <w:numId w:val="4"/>
        </w:numPr>
        <w:shd w:val="clear" w:color="auto" w:fill="FFFFFF"/>
        <w:spacing w:after="160" w:line="480" w:lineRule="auto"/>
        <w:contextualSpacing/>
        <w:jc w:val="both"/>
        <w:rPr>
          <w:color w:val="000000"/>
        </w:rPr>
      </w:pPr>
      <w:hyperlink r:id="rId31" w:history="1">
        <w:r w:rsidRPr="008A795D">
          <w:rPr>
            <w:color w:val="0000FF"/>
            <w:u w:val="single"/>
            <w:rtl/>
          </w:rPr>
          <w:t>ת"פ 40204-09-19</w:t>
        </w:r>
      </w:hyperlink>
      <w:r w:rsidR="002341DC" w:rsidRPr="007E68F1">
        <w:rPr>
          <w:color w:val="000000"/>
          <w:rtl/>
        </w:rPr>
        <w:t xml:space="preserve"> </w:t>
      </w:r>
      <w:r w:rsidR="002341DC" w:rsidRPr="007E68F1">
        <w:rPr>
          <w:b/>
          <w:bCs/>
          <w:color w:val="000000"/>
          <w:rtl/>
        </w:rPr>
        <w:t>מדינת ישראל נ' אשכנזי</w:t>
      </w:r>
      <w:r w:rsidR="002341DC" w:rsidRPr="007E68F1">
        <w:rPr>
          <w:color w:val="000000"/>
          <w:rtl/>
        </w:rPr>
        <w:t xml:space="preserve"> (12.12.21), הנאשם הורשע על יסוד הודאתו בגידול סם מסוכן במשקל של 8 ק"ג. בית המשפט קבע מתחם עונש הולם שנע בין 6 חודשי מאסר שיכול וירוצו בעבודות שירות ועד ל-18 חודשי מאסר לריצוי בפועל לצד ענישה נלווית. </w:t>
      </w:r>
    </w:p>
    <w:p w14:paraId="7FEB72AE" w14:textId="77777777" w:rsidR="002341DC" w:rsidRPr="007E68F1" w:rsidRDefault="008A795D" w:rsidP="002341DC">
      <w:pPr>
        <w:numPr>
          <w:ilvl w:val="0"/>
          <w:numId w:val="4"/>
        </w:numPr>
        <w:shd w:val="clear" w:color="auto" w:fill="FFFFFF"/>
        <w:spacing w:after="160" w:line="480" w:lineRule="auto"/>
        <w:contextualSpacing/>
        <w:jc w:val="both"/>
        <w:rPr>
          <w:color w:val="000000"/>
        </w:rPr>
      </w:pPr>
      <w:hyperlink r:id="rId32" w:history="1">
        <w:r w:rsidRPr="008A795D">
          <w:rPr>
            <w:color w:val="0000FF"/>
            <w:u w:val="single"/>
            <w:rtl/>
          </w:rPr>
          <w:t>ת"פ 20310-01-20</w:t>
        </w:r>
      </w:hyperlink>
      <w:r w:rsidR="002341DC" w:rsidRPr="007E68F1">
        <w:rPr>
          <w:color w:val="000000"/>
          <w:rtl/>
        </w:rPr>
        <w:t xml:space="preserve"> </w:t>
      </w:r>
      <w:r w:rsidR="002341DC" w:rsidRPr="007E68F1">
        <w:rPr>
          <w:b/>
          <w:bCs/>
          <w:color w:val="000000"/>
          <w:rtl/>
        </w:rPr>
        <w:t>מדינת ישראל נ' ברג</w:t>
      </w:r>
      <w:r w:rsidR="002341DC" w:rsidRPr="007E68F1">
        <w:rPr>
          <w:color w:val="000000"/>
          <w:rtl/>
        </w:rPr>
        <w:t xml:space="preserve"> (21.7.20), הנאשם הורשע על פי הודאתו בביצוע עבירת גידול סם מסוכן מסוג קנבוס במשקל של 15.644 קילו. נקבע מתחם ענישה שנע בין 4 חודשי מאסר ועד ל- 18 חודשי מאסר בפועל והושת עליו מאסר לתקופה של 3 חודשים בניכוי ימי מעצרו. </w:t>
      </w:r>
    </w:p>
    <w:p w14:paraId="069B7FAA" w14:textId="77777777" w:rsidR="002341DC" w:rsidRPr="007E68F1" w:rsidRDefault="002341DC" w:rsidP="002341DC">
      <w:pPr>
        <w:numPr>
          <w:ilvl w:val="0"/>
          <w:numId w:val="1"/>
        </w:numPr>
        <w:shd w:val="clear" w:color="auto" w:fill="FFFFFF"/>
        <w:spacing w:after="160" w:line="480" w:lineRule="auto"/>
        <w:contextualSpacing/>
        <w:jc w:val="both"/>
        <w:rPr>
          <w:rFonts w:ascii="Calibri" w:eastAsia="Calibri" w:hAnsi="Calibri"/>
        </w:rPr>
      </w:pPr>
      <w:r w:rsidRPr="007E68F1">
        <w:rPr>
          <w:rFonts w:ascii="Calibri" w:eastAsia="Calibri" w:hAnsi="Calibri"/>
          <w:rtl/>
        </w:rPr>
        <w:t>לנוכח כל האמור לעיל, אני קובע כי מתחם הענישה ההולם בנסיבות המקרה שבפניי נע בין 9 ל-18 חודשי מאסר בפועל לצד ענישה נלווית.</w:t>
      </w:r>
    </w:p>
    <w:p w14:paraId="167D5961" w14:textId="77777777" w:rsidR="002341DC" w:rsidRPr="007E68F1" w:rsidRDefault="002341DC" w:rsidP="002341DC">
      <w:pPr>
        <w:shd w:val="clear" w:color="auto" w:fill="FFFFFF"/>
        <w:spacing w:line="480" w:lineRule="auto"/>
        <w:jc w:val="both"/>
        <w:rPr>
          <w:rFonts w:ascii="Calibri" w:eastAsia="Calibri" w:hAnsi="Calibri"/>
        </w:rPr>
      </w:pPr>
      <w:r w:rsidRPr="007E68F1">
        <w:rPr>
          <w:rFonts w:ascii="Calibri" w:eastAsia="Calibri" w:hAnsi="Calibri"/>
          <w:b/>
          <w:bCs/>
          <w:u w:val="single"/>
          <w:rtl/>
        </w:rPr>
        <w:t>גזירת העונש</w:t>
      </w:r>
    </w:p>
    <w:p w14:paraId="61DA8FB0" w14:textId="77777777" w:rsidR="002341DC" w:rsidRPr="007E68F1" w:rsidRDefault="002341DC" w:rsidP="002341DC">
      <w:pPr>
        <w:numPr>
          <w:ilvl w:val="0"/>
          <w:numId w:val="1"/>
        </w:numPr>
        <w:spacing w:after="160" w:line="480" w:lineRule="auto"/>
        <w:contextualSpacing/>
        <w:jc w:val="both"/>
        <w:rPr>
          <w:rFonts w:ascii="Calibri" w:eastAsia="Calibri" w:hAnsi="Calibri"/>
          <w:rtl/>
        </w:rPr>
      </w:pPr>
      <w:r w:rsidRPr="007E68F1">
        <w:rPr>
          <w:rFonts w:ascii="Calibri" w:eastAsia="Calibri" w:hAnsi="Calibri"/>
          <w:rtl/>
        </w:rPr>
        <w:t xml:space="preserve">בכלל הנסיבות שאינן קשורות לביצוע העבירה, שקלתי לקולא את הודאת הנאשם, נטילת אחריות על מעשיו, חיסכון בזמן שיפוטי וכן בצורך בהעדת עדים. עוד נשקלו נסיבות חייו כפי שתוארו לעיל הן בתסקירי שירות המבחן והן בדברי באת כוחו, והעובדה כי בעת שביצע את העבירה בה הורשע בהליך זה, היה נעדר עבר פלילי. לציין כי לחובתו הרשעה מאוחרת בעבירה של החזקת סכין משנת 2020. </w:t>
      </w:r>
    </w:p>
    <w:p w14:paraId="18C74EA6"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בעניינו של הנאשם התקבלו שני תסקירים, מהן ניתן ללמוד על נסיבות חייו והקשיים אותם חווה, כך גם אודות העובדה כי הנאשם לא פגש את בנו בן ה-9, המצוי עם אמו בספרד, כבר למעלה משלש שנים. עוד ניתן ללמוד כי בדיקות לגילוי סם שנערכו לו, התגלו נקיות משרידי סם. שירות המבחן מתאר כי הנאשם לקח אחריות חלקית על מעשיו וטען כי הסם גודל אך לצריכתו העצמית. הערכת שירות המבחן היא כי בלא מעורבות טיפולית, קיים סיכון להישנות עבירות נוספות מצדו של הנאשם בעתיד. הנאשם סבור כי אינו זקוק להמשך טיפול ובשל כך הפסיק את ההליך הטיפולי, אולם שירות המבחן סבור כי הוא זקוק לטיפול. שירות המבחן אף שקל את עמדותיו של הנאשם הנותנות לגיטימציה לשימוש מבוקר בסם מסוג קנאביס ואת שימושו האינטנסיבי לאורך השנים ומעריכים כי לנוכח פרמטרים אלו, רמת הסיכון מהנאשם לא פחתה והם אינם באים בהמלצה טיפולית- שיקומית בעניינו.</w:t>
      </w:r>
    </w:p>
    <w:p w14:paraId="3120E583"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 xml:space="preserve">מצב דברים זה בו על פי הערכת שירות המבחן קיים מהנאשם סיכון להישנות עבירות באם לא יתגייס להליך טיפולי, כאשר נאשם זה נוטל אחריות חלקית בלבד בפני שירות המבחן ואינו נכון להמשיך בהליך טיפולי, אינו מאפשר למקמו בתחתית מתחם הענישה. </w:t>
      </w:r>
    </w:p>
    <w:p w14:paraId="561196B3"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סברתי כי לנוכח כמות הסם שנתפסה, הרי שתחתית מתחם הענישה מאפשרת השתת עונש שאינו מאחורי סורג ובריח, אולם הנאשם לא נטל את ההזדמנות שניתנה לו לצורך כך ולכן לא ניתן לעשות זאת. מסיבה זו לא יכול הנאשם להלין על כך שהסתמך על שליחתו לקבלת חוות דעת ממונה וזאת מאחר ודבר זה נעשה לבקשת ההגנה, טרם התקבלו התסקירים וטרם נטענו טיעונים לעונש וזאת על מנת לאפשר לו את ההזדמנות לנצל הליך זה לטיפול מעמיק. אולם משזה לא נעשה, דינו של הנאשם לעונש מאסר מאחורי סורג ובריח.</w:t>
      </w:r>
    </w:p>
    <w:p w14:paraId="7BCF2F22" w14:textId="77777777" w:rsidR="002341DC" w:rsidRPr="007E68F1" w:rsidRDefault="002341DC" w:rsidP="002341DC">
      <w:pPr>
        <w:numPr>
          <w:ilvl w:val="0"/>
          <w:numId w:val="1"/>
        </w:numPr>
        <w:spacing w:after="160" w:line="480" w:lineRule="auto"/>
        <w:contextualSpacing/>
        <w:jc w:val="both"/>
        <w:rPr>
          <w:rFonts w:ascii="Calibri" w:eastAsia="Calibri" w:hAnsi="Calibri"/>
        </w:rPr>
      </w:pPr>
      <w:r w:rsidRPr="007E68F1">
        <w:rPr>
          <w:rFonts w:ascii="Calibri" w:eastAsia="Calibri" w:hAnsi="Calibri"/>
          <w:rtl/>
        </w:rPr>
        <w:t>לאחר ששקלתי את כל האמור לעיל, אני גוזר על הנאשם את העונשים הבאים:</w:t>
      </w:r>
    </w:p>
    <w:p w14:paraId="565030F3" w14:textId="77777777" w:rsidR="002341DC" w:rsidRPr="007E68F1" w:rsidRDefault="002341DC" w:rsidP="002341DC">
      <w:pPr>
        <w:numPr>
          <w:ilvl w:val="0"/>
          <w:numId w:val="5"/>
        </w:numPr>
        <w:spacing w:after="160" w:line="480" w:lineRule="auto"/>
        <w:contextualSpacing/>
        <w:jc w:val="both"/>
        <w:rPr>
          <w:rFonts w:ascii="Calibri" w:eastAsia="Calibri" w:hAnsi="Calibri"/>
        </w:rPr>
      </w:pPr>
      <w:r w:rsidRPr="007E68F1">
        <w:rPr>
          <w:rFonts w:ascii="Calibri" w:eastAsia="Calibri" w:hAnsi="Calibri"/>
          <w:rtl/>
        </w:rPr>
        <w:t>10 חודשי מאסר בפועל, בניכוי ימי מעצרו, בין התאריכים 7-16.1.20.</w:t>
      </w:r>
    </w:p>
    <w:p w14:paraId="5D72AF05" w14:textId="77777777" w:rsidR="002341DC" w:rsidRPr="007E68F1" w:rsidRDefault="002341DC" w:rsidP="002341DC">
      <w:pPr>
        <w:numPr>
          <w:ilvl w:val="0"/>
          <w:numId w:val="5"/>
        </w:numPr>
        <w:spacing w:after="160" w:line="480" w:lineRule="auto"/>
        <w:contextualSpacing/>
        <w:jc w:val="both"/>
        <w:rPr>
          <w:rFonts w:ascii="Calibri" w:eastAsia="Calibri" w:hAnsi="Calibri"/>
        </w:rPr>
      </w:pPr>
      <w:r w:rsidRPr="007E68F1">
        <w:rPr>
          <w:rFonts w:ascii="Calibri" w:eastAsia="Calibri" w:hAnsi="Calibri"/>
          <w:rtl/>
        </w:rPr>
        <w:t xml:space="preserve">6 חודשי מאסר על תנאי למשך שלש שנים מהיום והתנאי הוא שלא יעבור עבירה על </w:t>
      </w:r>
      <w:hyperlink r:id="rId33" w:history="1">
        <w:r w:rsidR="008A795D" w:rsidRPr="008A795D">
          <w:rPr>
            <w:rFonts w:ascii="Calibri" w:eastAsia="Calibri" w:hAnsi="Calibri" w:hint="cs"/>
            <w:color w:val="0000FF"/>
            <w:u w:val="single"/>
            <w:rtl/>
          </w:rPr>
          <w:t>פקודת</w:t>
        </w:r>
        <w:r w:rsidR="008A795D" w:rsidRPr="008A795D">
          <w:rPr>
            <w:rFonts w:ascii="Calibri" w:eastAsia="Calibri" w:hAnsi="Calibri"/>
            <w:color w:val="0000FF"/>
            <w:u w:val="single"/>
            <w:rtl/>
          </w:rPr>
          <w:t xml:space="preserve"> </w:t>
        </w:r>
        <w:r w:rsidR="008A795D" w:rsidRPr="008A795D">
          <w:rPr>
            <w:rFonts w:ascii="Calibri" w:eastAsia="Calibri" w:hAnsi="Calibri" w:hint="cs"/>
            <w:color w:val="0000FF"/>
            <w:u w:val="single"/>
            <w:rtl/>
          </w:rPr>
          <w:t>הסמים</w:t>
        </w:r>
        <w:r w:rsidR="008A795D" w:rsidRPr="008A795D">
          <w:rPr>
            <w:rFonts w:ascii="Calibri" w:eastAsia="Calibri" w:hAnsi="Calibri"/>
            <w:color w:val="0000FF"/>
            <w:u w:val="single"/>
            <w:rtl/>
          </w:rPr>
          <w:t xml:space="preserve"> </w:t>
        </w:r>
        <w:r w:rsidR="008A795D" w:rsidRPr="008A795D">
          <w:rPr>
            <w:rFonts w:ascii="Calibri" w:eastAsia="Calibri" w:hAnsi="Calibri" w:hint="cs"/>
            <w:color w:val="0000FF"/>
            <w:u w:val="single"/>
            <w:rtl/>
          </w:rPr>
          <w:t>המסוכנים</w:t>
        </w:r>
      </w:hyperlink>
      <w:r w:rsidRPr="007E68F1">
        <w:rPr>
          <w:rFonts w:ascii="Calibri" w:eastAsia="Calibri" w:hAnsi="Calibri"/>
          <w:rtl/>
        </w:rPr>
        <w:t xml:space="preserve"> מסוג פשע.</w:t>
      </w:r>
    </w:p>
    <w:p w14:paraId="13B13D5E" w14:textId="77777777" w:rsidR="002341DC" w:rsidRPr="007E68F1" w:rsidRDefault="002341DC" w:rsidP="002341DC">
      <w:pPr>
        <w:numPr>
          <w:ilvl w:val="0"/>
          <w:numId w:val="5"/>
        </w:numPr>
        <w:spacing w:after="160" w:line="480" w:lineRule="auto"/>
        <w:contextualSpacing/>
        <w:jc w:val="both"/>
        <w:rPr>
          <w:rFonts w:ascii="Calibri" w:eastAsia="Calibri" w:hAnsi="Calibri"/>
        </w:rPr>
      </w:pPr>
      <w:r w:rsidRPr="007E68F1">
        <w:rPr>
          <w:rFonts w:ascii="Calibri" w:eastAsia="Calibri" w:hAnsi="Calibri"/>
          <w:rtl/>
        </w:rPr>
        <w:t>3 חודשי מאסר על תנאי למשך שלש שנים מהיום והתנאי הוא שלא יעבור עבירה על פקודת הסמים מסוג עוון.</w:t>
      </w:r>
    </w:p>
    <w:p w14:paraId="118BFDDE" w14:textId="77777777" w:rsidR="002341DC" w:rsidRPr="007E68F1" w:rsidRDefault="002341DC" w:rsidP="002341DC">
      <w:pPr>
        <w:numPr>
          <w:ilvl w:val="0"/>
          <w:numId w:val="5"/>
        </w:numPr>
        <w:spacing w:after="160" w:line="480" w:lineRule="auto"/>
        <w:contextualSpacing/>
        <w:jc w:val="both"/>
        <w:rPr>
          <w:rFonts w:ascii="Calibri" w:eastAsia="Calibri" w:hAnsi="Calibri"/>
        </w:rPr>
      </w:pPr>
      <w:r w:rsidRPr="007E68F1">
        <w:rPr>
          <w:rFonts w:ascii="Calibri" w:eastAsia="Calibri" w:hAnsi="Calibri"/>
          <w:rtl/>
        </w:rPr>
        <w:t>קנס על סך 3,500 ₪ או 35 ימי מאסר תמורתו. הקנס ישולם בתוך 60 יום מהיום.</w:t>
      </w:r>
    </w:p>
    <w:p w14:paraId="4296E266" w14:textId="77777777" w:rsidR="002341DC" w:rsidRPr="007E68F1" w:rsidRDefault="002341DC" w:rsidP="002341DC">
      <w:pPr>
        <w:numPr>
          <w:ilvl w:val="0"/>
          <w:numId w:val="5"/>
        </w:numPr>
        <w:spacing w:after="160" w:line="480" w:lineRule="auto"/>
        <w:contextualSpacing/>
        <w:jc w:val="both"/>
        <w:rPr>
          <w:rFonts w:ascii="Calibri" w:eastAsia="Calibri" w:hAnsi="Calibri"/>
        </w:rPr>
      </w:pPr>
      <w:r w:rsidRPr="007E68F1">
        <w:rPr>
          <w:rFonts w:ascii="Calibri" w:eastAsia="Calibri" w:hAnsi="Calibri"/>
          <w:rtl/>
        </w:rPr>
        <w:t xml:space="preserve"> </w:t>
      </w:r>
      <w:r w:rsidRPr="007E68F1">
        <w:rPr>
          <w:rFonts w:ascii="Calibri" w:eastAsia="Calibri" w:hAnsi="Calibri" w:hint="cs"/>
          <w:rtl/>
        </w:rPr>
        <w:t>3 חודשי פסילת רישיון נהיגה על תנאי למשך שנתיים מהיום והתנאי הוא שלא יעבור עבירה על פקודת הסמים.</w:t>
      </w:r>
    </w:p>
    <w:p w14:paraId="31783819" w14:textId="77777777" w:rsidR="002341DC" w:rsidRPr="007E68F1" w:rsidRDefault="002341DC" w:rsidP="002341DC">
      <w:pPr>
        <w:numPr>
          <w:ilvl w:val="0"/>
          <w:numId w:val="5"/>
        </w:numPr>
        <w:spacing w:after="160" w:line="480" w:lineRule="auto"/>
        <w:contextualSpacing/>
        <w:jc w:val="both"/>
        <w:rPr>
          <w:rFonts w:ascii="Calibri" w:eastAsia="Calibri" w:hAnsi="Calibri"/>
        </w:rPr>
      </w:pPr>
      <w:r w:rsidRPr="007E68F1">
        <w:rPr>
          <w:rFonts w:ascii="Calibri" w:eastAsia="Calibri" w:hAnsi="Calibri"/>
          <w:rtl/>
        </w:rPr>
        <w:t>צו להשמדת הסמים ולחילוט הציוד שנתפס.</w:t>
      </w:r>
    </w:p>
    <w:p w14:paraId="6C0CF723" w14:textId="77777777" w:rsidR="002341DC" w:rsidRPr="007E68F1" w:rsidRDefault="002341DC" w:rsidP="002341DC">
      <w:pPr>
        <w:spacing w:after="160" w:line="480" w:lineRule="auto"/>
        <w:jc w:val="both"/>
        <w:rPr>
          <w:rFonts w:ascii="Calibri" w:eastAsia="Calibri" w:hAnsi="Calibri"/>
        </w:rPr>
      </w:pPr>
      <w:r w:rsidRPr="007E68F1">
        <w:rPr>
          <w:rFonts w:ascii="Calibri" w:eastAsia="Calibri" w:hAnsi="Calibri"/>
          <w:rtl/>
        </w:rPr>
        <w:t xml:space="preserve">הנאשם יתייצב לריצוי עונש המאסר בתאריך </w:t>
      </w:r>
      <w:r>
        <w:rPr>
          <w:rFonts w:ascii="Calibri" w:eastAsia="Calibri" w:hAnsi="Calibri" w:hint="cs"/>
          <w:rtl/>
        </w:rPr>
        <w:t>25</w:t>
      </w:r>
      <w:r w:rsidRPr="007E68F1">
        <w:rPr>
          <w:rFonts w:ascii="Calibri" w:eastAsia="Calibri" w:hAnsi="Calibri"/>
          <w:rtl/>
        </w:rPr>
        <w:t>.6.22 בשעה 8:00 בבית הכלא "הדרים".</w:t>
      </w:r>
    </w:p>
    <w:p w14:paraId="4871F4AC" w14:textId="77777777" w:rsidR="002341DC" w:rsidRPr="007E68F1" w:rsidRDefault="002341DC" w:rsidP="002341DC">
      <w:pPr>
        <w:spacing w:after="160" w:line="480" w:lineRule="auto"/>
        <w:jc w:val="both"/>
        <w:rPr>
          <w:rFonts w:ascii="Calibri" w:eastAsia="Calibri" w:hAnsi="Calibri"/>
          <w:rtl/>
        </w:rPr>
      </w:pPr>
      <w:r w:rsidRPr="007E68F1">
        <w:rPr>
          <w:rFonts w:ascii="Calibri" w:eastAsia="Calibri" w:hAnsi="Calibri"/>
          <w:rtl/>
        </w:rPr>
        <w:t>ערבויות המצויות בתיק המעצר ישמשו לצורך הבטחת התייצבותו לריצוי המאסר.</w:t>
      </w:r>
    </w:p>
    <w:p w14:paraId="56C4472B" w14:textId="77777777" w:rsidR="002341DC" w:rsidRPr="007E68F1" w:rsidRDefault="002341DC" w:rsidP="002341DC">
      <w:pPr>
        <w:spacing w:after="160" w:line="480" w:lineRule="auto"/>
        <w:jc w:val="both"/>
        <w:rPr>
          <w:rFonts w:ascii="Calibri" w:eastAsia="Calibri" w:hAnsi="Calibri"/>
        </w:rPr>
      </w:pPr>
    </w:p>
    <w:p w14:paraId="42EB30E9" w14:textId="77777777" w:rsidR="002341DC" w:rsidRPr="007E68F1" w:rsidRDefault="002341DC" w:rsidP="002341DC">
      <w:pPr>
        <w:spacing w:after="160" w:line="480" w:lineRule="auto"/>
        <w:jc w:val="center"/>
        <w:rPr>
          <w:rFonts w:ascii="Calibri" w:eastAsia="Calibri" w:hAnsi="Calibri"/>
          <w:u w:val="single"/>
          <w:rtl/>
        </w:rPr>
      </w:pPr>
      <w:r w:rsidRPr="007E68F1">
        <w:rPr>
          <w:rFonts w:ascii="Calibri" w:eastAsia="Calibri" w:hAnsi="Calibri"/>
          <w:u w:val="single"/>
          <w:rtl/>
        </w:rPr>
        <w:t>זכות ערעור בתוך 45 יום לבית המשפט המחוזי מרכז - לוד</w:t>
      </w:r>
    </w:p>
    <w:p w14:paraId="53C030E3" w14:textId="77777777" w:rsidR="002341DC" w:rsidRPr="008A795D" w:rsidRDefault="008A795D" w:rsidP="002341DC">
      <w:pPr>
        <w:rPr>
          <w:rFonts w:ascii="Arial" w:hAnsi="Arial"/>
          <w:b/>
          <w:bCs/>
          <w:color w:val="FFFFFF"/>
          <w:sz w:val="2"/>
          <w:szCs w:val="2"/>
          <w:rtl/>
        </w:rPr>
      </w:pPr>
      <w:r w:rsidRPr="008A795D">
        <w:rPr>
          <w:rFonts w:ascii="Arial" w:hAnsi="Arial"/>
          <w:b/>
          <w:bCs/>
          <w:color w:val="FFFFFF"/>
          <w:sz w:val="2"/>
          <w:szCs w:val="2"/>
          <w:rtl/>
        </w:rPr>
        <w:t>5129371</w:t>
      </w:r>
    </w:p>
    <w:p w14:paraId="0F2050EE" w14:textId="77777777" w:rsidR="002341DC" w:rsidRPr="008A795D" w:rsidRDefault="008A795D" w:rsidP="002341DC">
      <w:pPr>
        <w:rPr>
          <w:rFonts w:ascii="Arial" w:hAnsi="Arial"/>
          <w:b/>
          <w:bCs/>
          <w:color w:val="FFFFFF"/>
          <w:sz w:val="2"/>
          <w:szCs w:val="2"/>
          <w:rtl/>
        </w:rPr>
      </w:pPr>
      <w:r w:rsidRPr="008A795D">
        <w:rPr>
          <w:rFonts w:ascii="Arial" w:hAnsi="Arial"/>
          <w:b/>
          <w:bCs/>
          <w:color w:val="FFFFFF"/>
          <w:sz w:val="2"/>
          <w:szCs w:val="2"/>
          <w:rtl/>
        </w:rPr>
        <w:t>54678313</w:t>
      </w:r>
    </w:p>
    <w:p w14:paraId="65CD737B" w14:textId="77777777" w:rsidR="002341DC" w:rsidRPr="000F2247" w:rsidRDefault="002341DC" w:rsidP="002341DC">
      <w:pPr>
        <w:rPr>
          <w:rFonts w:ascii="Arial" w:hAnsi="Arial"/>
          <w:b/>
          <w:bCs/>
          <w:sz w:val="26"/>
          <w:szCs w:val="26"/>
          <w:rtl/>
        </w:rPr>
      </w:pPr>
    </w:p>
    <w:p w14:paraId="15D4184B" w14:textId="77777777" w:rsidR="002341DC" w:rsidRPr="000F2247" w:rsidRDefault="008A795D" w:rsidP="002341DC">
      <w:pPr>
        <w:rPr>
          <w:rFonts w:ascii="Arial" w:hAnsi="Arial"/>
          <w:b/>
          <w:bCs/>
          <w:sz w:val="26"/>
          <w:szCs w:val="26"/>
          <w:rtl/>
        </w:rPr>
      </w:pPr>
      <w:bookmarkStart w:id="8" w:name="Nitan"/>
      <w:r>
        <w:rPr>
          <w:rFonts w:ascii="Arial" w:hAnsi="Arial"/>
          <w:b/>
          <w:bCs/>
          <w:sz w:val="26"/>
          <w:szCs w:val="26"/>
          <w:rtl/>
        </w:rPr>
        <w:t xml:space="preserve">ניתן היום,  ז' אייר תשפ"ב, 08 מאי 2022, בנוכחות הצדדים. </w:t>
      </w:r>
      <w:bookmarkEnd w:id="8"/>
    </w:p>
    <w:p w14:paraId="04B4AA39" w14:textId="77777777" w:rsidR="002341DC" w:rsidRPr="000F2247" w:rsidRDefault="002341DC" w:rsidP="008A795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1F3104B" w14:textId="77777777" w:rsidR="002341DC" w:rsidRPr="005B72B0" w:rsidRDefault="005B72B0" w:rsidP="002341DC">
      <w:pPr>
        <w:jc w:val="center"/>
        <w:rPr>
          <w:rFonts w:ascii="Arial" w:hAnsi="Arial"/>
          <w:b/>
          <w:bCs/>
          <w:color w:val="FFFFFF"/>
          <w:sz w:val="2"/>
          <w:szCs w:val="2"/>
          <w:rtl/>
        </w:rPr>
      </w:pPr>
      <w:r w:rsidRPr="005B72B0">
        <w:rPr>
          <w:rFonts w:ascii="Arial" w:hAnsi="Arial"/>
          <w:b/>
          <w:bCs/>
          <w:color w:val="FFFFFF"/>
          <w:sz w:val="2"/>
          <w:szCs w:val="2"/>
          <w:rtl/>
        </w:rPr>
        <w:t>5129371</w:t>
      </w:r>
    </w:p>
    <w:p w14:paraId="04C4E0F2" w14:textId="77777777" w:rsidR="004F1C98" w:rsidRPr="005B72B0" w:rsidRDefault="005B72B0" w:rsidP="008A795D">
      <w:pPr>
        <w:keepNext/>
        <w:rPr>
          <w:rFonts w:ascii="David" w:hAnsi="David"/>
          <w:color w:val="FFFFFF"/>
          <w:sz w:val="2"/>
          <w:szCs w:val="2"/>
          <w:rtl/>
        </w:rPr>
      </w:pPr>
      <w:r w:rsidRPr="005B72B0">
        <w:rPr>
          <w:rFonts w:ascii="David" w:hAnsi="David"/>
          <w:color w:val="FFFFFF"/>
          <w:sz w:val="2"/>
          <w:szCs w:val="2"/>
          <w:rtl/>
        </w:rPr>
        <w:t>54678313</w:t>
      </w:r>
    </w:p>
    <w:p w14:paraId="0FF65346" w14:textId="77777777" w:rsidR="008A795D" w:rsidRDefault="008A795D" w:rsidP="008A795D">
      <w:pPr>
        <w:rPr>
          <w:rtl/>
        </w:rPr>
      </w:pPr>
    </w:p>
    <w:p w14:paraId="77E5501C" w14:textId="77777777" w:rsidR="008A795D" w:rsidRDefault="008A795D" w:rsidP="008A795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33F3E67" w14:textId="77777777" w:rsidR="005B72B0" w:rsidRPr="005B72B0" w:rsidRDefault="005B72B0" w:rsidP="005B72B0">
      <w:pPr>
        <w:keepNext/>
        <w:rPr>
          <w:rFonts w:ascii="David" w:hAnsi="David"/>
          <w:color w:val="000000"/>
          <w:sz w:val="22"/>
          <w:szCs w:val="22"/>
          <w:rtl/>
        </w:rPr>
      </w:pPr>
    </w:p>
    <w:p w14:paraId="1C49D58E" w14:textId="77777777" w:rsidR="005B72B0" w:rsidRPr="005B72B0" w:rsidRDefault="005B72B0" w:rsidP="005B72B0">
      <w:pPr>
        <w:keepNext/>
        <w:rPr>
          <w:rFonts w:ascii="David" w:hAnsi="David"/>
          <w:color w:val="000000"/>
          <w:sz w:val="22"/>
          <w:szCs w:val="22"/>
          <w:rtl/>
        </w:rPr>
      </w:pPr>
      <w:r w:rsidRPr="005B72B0">
        <w:rPr>
          <w:rFonts w:ascii="David" w:hAnsi="David"/>
          <w:color w:val="000000"/>
          <w:sz w:val="22"/>
          <w:szCs w:val="22"/>
          <w:rtl/>
        </w:rPr>
        <w:t>דרור קלייטמן 54678313-/</w:t>
      </w:r>
    </w:p>
    <w:p w14:paraId="57925DC9" w14:textId="77777777" w:rsidR="008A795D" w:rsidRPr="008A795D" w:rsidRDefault="005B72B0" w:rsidP="005B72B0">
      <w:pPr>
        <w:rPr>
          <w:color w:val="0000FF"/>
          <w:u w:val="single"/>
        </w:rPr>
      </w:pPr>
      <w:r w:rsidRPr="005B72B0">
        <w:rPr>
          <w:color w:val="000000"/>
          <w:u w:val="single"/>
          <w:rtl/>
        </w:rPr>
        <w:t>נוסח מסמך זה כפוף לשינויי ניסוח ועריכה</w:t>
      </w:r>
    </w:p>
    <w:sectPr w:rsidR="008A795D" w:rsidRPr="008A795D" w:rsidSect="005B72B0">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8495C" w14:textId="77777777" w:rsidR="00316CDF" w:rsidRDefault="00316CDF" w:rsidP="001C1446">
      <w:r>
        <w:separator/>
      </w:r>
    </w:p>
  </w:endnote>
  <w:endnote w:type="continuationSeparator" w:id="0">
    <w:p w14:paraId="20ACCFD7" w14:textId="77777777" w:rsidR="00316CDF" w:rsidRDefault="00316CDF" w:rsidP="001C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C87E7" w14:textId="77777777" w:rsidR="005B72B0" w:rsidRDefault="005B72B0" w:rsidP="005B72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A6A706" w14:textId="77777777" w:rsidR="004C2CFE" w:rsidRPr="005B72B0" w:rsidRDefault="005B72B0" w:rsidP="005B72B0">
    <w:pPr>
      <w:pStyle w:val="a5"/>
      <w:pBdr>
        <w:top w:val="single" w:sz="4" w:space="1" w:color="auto"/>
        <w:between w:val="single" w:sz="4" w:space="0" w:color="auto"/>
      </w:pBdr>
      <w:spacing w:after="60"/>
      <w:jc w:val="center"/>
      <w:rPr>
        <w:rFonts w:ascii="FrankRuehl" w:hAnsi="FrankRuehl" w:cs="FrankRuehl"/>
        <w:color w:val="000000"/>
      </w:rPr>
    </w:pPr>
    <w:r w:rsidRPr="005B72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AC9C" w14:textId="77777777" w:rsidR="005B72B0" w:rsidRDefault="005B72B0" w:rsidP="005B72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7A77">
      <w:rPr>
        <w:rFonts w:ascii="FrankRuehl" w:hAnsi="FrankRuehl" w:cs="FrankRuehl"/>
        <w:noProof/>
        <w:rtl/>
      </w:rPr>
      <w:t>1</w:t>
    </w:r>
    <w:r>
      <w:rPr>
        <w:rFonts w:ascii="FrankRuehl" w:hAnsi="FrankRuehl" w:cs="FrankRuehl"/>
        <w:rtl/>
      </w:rPr>
      <w:fldChar w:fldCharType="end"/>
    </w:r>
  </w:p>
  <w:p w14:paraId="4E18AD85" w14:textId="77777777" w:rsidR="004C2CFE" w:rsidRPr="005B72B0" w:rsidRDefault="005B72B0" w:rsidP="005B72B0">
    <w:pPr>
      <w:pStyle w:val="a5"/>
      <w:pBdr>
        <w:top w:val="single" w:sz="4" w:space="1" w:color="auto"/>
        <w:between w:val="single" w:sz="4" w:space="0" w:color="auto"/>
      </w:pBdr>
      <w:spacing w:after="60"/>
      <w:jc w:val="center"/>
      <w:rPr>
        <w:rFonts w:ascii="FrankRuehl" w:hAnsi="FrankRuehl" w:cs="FrankRuehl"/>
        <w:color w:val="000000"/>
      </w:rPr>
    </w:pPr>
    <w:r w:rsidRPr="005B72B0">
      <w:rPr>
        <w:rFonts w:ascii="FrankRuehl" w:hAnsi="FrankRuehl" w:cs="FrankRuehl"/>
        <w:color w:val="000000"/>
      </w:rPr>
      <w:pict w14:anchorId="31728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A28ED" w14:textId="77777777" w:rsidR="00316CDF" w:rsidRDefault="00316CDF" w:rsidP="001C1446">
      <w:r>
        <w:separator/>
      </w:r>
    </w:p>
  </w:footnote>
  <w:footnote w:type="continuationSeparator" w:id="0">
    <w:p w14:paraId="244F4140" w14:textId="77777777" w:rsidR="00316CDF" w:rsidRDefault="00316CDF" w:rsidP="001C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B3C8A" w14:textId="77777777" w:rsidR="008A795D" w:rsidRPr="005B72B0" w:rsidRDefault="005B72B0" w:rsidP="005B72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38551-01-20</w:t>
    </w:r>
    <w:r>
      <w:rPr>
        <w:rFonts w:ascii="David" w:hAnsi="David"/>
        <w:color w:val="000000"/>
        <w:sz w:val="22"/>
        <w:szCs w:val="22"/>
        <w:rtl/>
      </w:rPr>
      <w:tab/>
      <w:t xml:space="preserve"> מדינת ישראל נ' גיא וטורי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43470" w14:textId="77777777" w:rsidR="008A795D" w:rsidRPr="005B72B0" w:rsidRDefault="005B72B0" w:rsidP="005B72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38551-01-20</w:t>
    </w:r>
    <w:r>
      <w:rPr>
        <w:rFonts w:ascii="David" w:hAnsi="David"/>
        <w:color w:val="000000"/>
        <w:sz w:val="22"/>
        <w:szCs w:val="22"/>
        <w:rtl/>
      </w:rPr>
      <w:tab/>
      <w:t xml:space="preserve"> מדינת ישראל נ' גיא וטורי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6424"/>
    <w:multiLevelType w:val="hybridMultilevel"/>
    <w:tmpl w:val="A3044520"/>
    <w:lvl w:ilvl="0" w:tplc="5204CEAE">
      <w:start w:val="1"/>
      <w:numFmt w:val="hebrew1"/>
      <w:lvlText w:val="%1."/>
      <w:lvlJc w:val="center"/>
      <w:pPr>
        <w:ind w:left="1080" w:hanging="360"/>
      </w:pPr>
      <w:rPr>
        <w:b/>
        <w:bCs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CE6782F"/>
    <w:multiLevelType w:val="hybridMultilevel"/>
    <w:tmpl w:val="53844FE0"/>
    <w:lvl w:ilvl="0" w:tplc="BF9A220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4810520"/>
    <w:multiLevelType w:val="hybridMultilevel"/>
    <w:tmpl w:val="96F0DAF8"/>
    <w:lvl w:ilvl="0" w:tplc="14D2FFCE">
      <w:start w:val="1"/>
      <w:numFmt w:val="hebrew1"/>
      <w:lvlText w:val="%1."/>
      <w:lvlJc w:val="left"/>
      <w:pPr>
        <w:ind w:left="1080" w:hanging="360"/>
      </w:pPr>
      <w:rPr>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88F092C"/>
    <w:multiLevelType w:val="hybridMultilevel"/>
    <w:tmpl w:val="96CC8394"/>
    <w:lvl w:ilvl="0" w:tplc="FCAE3E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470BF9"/>
    <w:multiLevelType w:val="hybridMultilevel"/>
    <w:tmpl w:val="07C2E9CE"/>
    <w:lvl w:ilvl="0" w:tplc="5AF851D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74019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6714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788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9219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3890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41DC"/>
    <w:rsid w:val="000506A9"/>
    <w:rsid w:val="001B5A3B"/>
    <w:rsid w:val="001C1446"/>
    <w:rsid w:val="002341DC"/>
    <w:rsid w:val="00316CDF"/>
    <w:rsid w:val="0033333B"/>
    <w:rsid w:val="004C2CFE"/>
    <w:rsid w:val="004F1C98"/>
    <w:rsid w:val="005B72B0"/>
    <w:rsid w:val="007E6228"/>
    <w:rsid w:val="008A795D"/>
    <w:rsid w:val="00997264"/>
    <w:rsid w:val="00AF7A77"/>
    <w:rsid w:val="00B12924"/>
    <w:rsid w:val="00FA3006"/>
    <w:rsid w:val="00FD1A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5FC383"/>
  <w15:chartTrackingRefBased/>
  <w15:docId w15:val="{E52630FC-E843-4944-9FBA-888DBAEA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41D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41DC"/>
    <w:pPr>
      <w:tabs>
        <w:tab w:val="center" w:pos="4153"/>
        <w:tab w:val="right" w:pos="8306"/>
      </w:tabs>
    </w:pPr>
  </w:style>
  <w:style w:type="character" w:customStyle="1" w:styleId="a4">
    <w:name w:val="כותרת עליונה תו"/>
    <w:link w:val="a3"/>
    <w:rsid w:val="002341DC"/>
    <w:rPr>
      <w:rFonts w:ascii="Times New Roman" w:eastAsia="Times New Roman" w:hAnsi="Times New Roman" w:cs="David"/>
      <w:sz w:val="24"/>
      <w:szCs w:val="24"/>
    </w:rPr>
  </w:style>
  <w:style w:type="paragraph" w:styleId="a5">
    <w:name w:val="footer"/>
    <w:basedOn w:val="a"/>
    <w:link w:val="a6"/>
    <w:rsid w:val="002341DC"/>
    <w:pPr>
      <w:tabs>
        <w:tab w:val="center" w:pos="4153"/>
        <w:tab w:val="right" w:pos="8306"/>
      </w:tabs>
    </w:pPr>
  </w:style>
  <w:style w:type="character" w:customStyle="1" w:styleId="a6">
    <w:name w:val="כותרת תחתונה תו"/>
    <w:link w:val="a5"/>
    <w:rsid w:val="002341DC"/>
    <w:rPr>
      <w:rFonts w:ascii="Times New Roman" w:eastAsia="Times New Roman" w:hAnsi="Times New Roman" w:cs="David"/>
      <w:sz w:val="24"/>
      <w:szCs w:val="24"/>
    </w:rPr>
  </w:style>
  <w:style w:type="table" w:styleId="a7">
    <w:name w:val="Table Grid"/>
    <w:basedOn w:val="a1"/>
    <w:rsid w:val="002341D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341DC"/>
  </w:style>
  <w:style w:type="character" w:styleId="Hyperlink">
    <w:name w:val="Hyperlink"/>
    <w:rsid w:val="008A7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5805976" TargetMode="External"/><Relationship Id="rId26" Type="http://schemas.openxmlformats.org/officeDocument/2006/relationships/hyperlink" Target="https://www.nevo.co.il/psika_html/mechozi/ME-20-10-20592-942.htm" TargetMode="External"/><Relationship Id="rId39" Type="http://schemas.openxmlformats.org/officeDocument/2006/relationships/fontTable" Target="fontTable.xml"/><Relationship Id="rId21" Type="http://schemas.openxmlformats.org/officeDocument/2006/relationships/hyperlink" Target="http://www.nevo.co.il/case/2382760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0"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8291661"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8226828" TargetMode="External"/><Relationship Id="rId29" Type="http://schemas.openxmlformats.org/officeDocument/2006/relationships/hyperlink" Target="http://www.nevo.co.il/case/228054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396568" TargetMode="External"/><Relationship Id="rId32" Type="http://schemas.openxmlformats.org/officeDocument/2006/relationships/hyperlink" Target="http://www.nevo.co.il/case/2634606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6991436" TargetMode="External"/><Relationship Id="rId28" Type="http://schemas.openxmlformats.org/officeDocument/2006/relationships/hyperlink" Target="http://www.nevo.co.il/case/18107527" TargetMode="External"/><Relationship Id="rId36" Type="http://schemas.openxmlformats.org/officeDocument/2006/relationships/header" Target="header2.xml"/><Relationship Id="rId10" Type="http://schemas.openxmlformats.org/officeDocument/2006/relationships/hyperlink" Target="http://www.nevo.co.il/law/4216/10"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604449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797877" TargetMode="External"/><Relationship Id="rId27" Type="http://schemas.openxmlformats.org/officeDocument/2006/relationships/hyperlink" Target="http://www.nevo.co.il/case/20159091" TargetMode="External"/><Relationship Id="rId30" Type="http://schemas.openxmlformats.org/officeDocument/2006/relationships/hyperlink" Target="http://www.nevo.co.il/case/26186358"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2736</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16384</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3211382</vt:i4>
      </vt:variant>
      <vt:variant>
        <vt:i4>75</vt:i4>
      </vt:variant>
      <vt:variant>
        <vt:i4>0</vt:i4>
      </vt:variant>
      <vt:variant>
        <vt:i4>5</vt:i4>
      </vt:variant>
      <vt:variant>
        <vt:lpwstr>http://www.nevo.co.il/case/26346064</vt:lpwstr>
      </vt:variant>
      <vt:variant>
        <vt:lpwstr/>
      </vt:variant>
      <vt:variant>
        <vt:i4>4128882</vt:i4>
      </vt:variant>
      <vt:variant>
        <vt:i4>72</vt:i4>
      </vt:variant>
      <vt:variant>
        <vt:i4>0</vt:i4>
      </vt:variant>
      <vt:variant>
        <vt:i4>5</vt:i4>
      </vt:variant>
      <vt:variant>
        <vt:lpwstr>http://www.nevo.co.il/case/26044491</vt:lpwstr>
      </vt:variant>
      <vt:variant>
        <vt:lpwstr/>
      </vt:variant>
      <vt:variant>
        <vt:i4>3145849</vt:i4>
      </vt:variant>
      <vt:variant>
        <vt:i4>69</vt:i4>
      </vt:variant>
      <vt:variant>
        <vt:i4>0</vt:i4>
      </vt:variant>
      <vt:variant>
        <vt:i4>5</vt:i4>
      </vt:variant>
      <vt:variant>
        <vt:lpwstr>http://www.nevo.co.il/case/26186358</vt:lpwstr>
      </vt:variant>
      <vt:variant>
        <vt:lpwstr/>
      </vt:variant>
      <vt:variant>
        <vt:i4>3670130</vt:i4>
      </vt:variant>
      <vt:variant>
        <vt:i4>66</vt:i4>
      </vt:variant>
      <vt:variant>
        <vt:i4>0</vt:i4>
      </vt:variant>
      <vt:variant>
        <vt:i4>5</vt:i4>
      </vt:variant>
      <vt:variant>
        <vt:lpwstr>http://www.nevo.co.il/case/22805472</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3342449</vt:i4>
      </vt:variant>
      <vt:variant>
        <vt:i4>60</vt:i4>
      </vt:variant>
      <vt:variant>
        <vt:i4>0</vt:i4>
      </vt:variant>
      <vt:variant>
        <vt:i4>5</vt:i4>
      </vt:variant>
      <vt:variant>
        <vt:lpwstr>http://www.nevo.co.il/case/20159091</vt:lpwstr>
      </vt:variant>
      <vt:variant>
        <vt:lpwstr/>
      </vt:variant>
      <vt:variant>
        <vt:i4>1572910</vt:i4>
      </vt:variant>
      <vt:variant>
        <vt:i4>57</vt:i4>
      </vt:variant>
      <vt:variant>
        <vt:i4>0</vt:i4>
      </vt:variant>
      <vt:variant>
        <vt:i4>5</vt:i4>
      </vt:variant>
      <vt:variant>
        <vt:lpwstr>https://www.nevo.co.il/psika_html/mechozi/ME-20-10-20592-942.htm</vt:lpwstr>
      </vt:variant>
      <vt:variant>
        <vt:lpwstr/>
      </vt:variant>
      <vt:variant>
        <vt:i4>3539057</vt:i4>
      </vt:variant>
      <vt:variant>
        <vt:i4>54</vt:i4>
      </vt:variant>
      <vt:variant>
        <vt:i4>0</vt:i4>
      </vt:variant>
      <vt:variant>
        <vt:i4>5</vt:i4>
      </vt:variant>
      <vt:variant>
        <vt:lpwstr>http://www.nevo.co.il/case/8291661</vt:lpwstr>
      </vt:variant>
      <vt:variant>
        <vt:lpwstr/>
      </vt:variant>
      <vt:variant>
        <vt:i4>3211390</vt:i4>
      </vt:variant>
      <vt:variant>
        <vt:i4>51</vt:i4>
      </vt:variant>
      <vt:variant>
        <vt:i4>0</vt:i4>
      </vt:variant>
      <vt:variant>
        <vt:i4>5</vt:i4>
      </vt:variant>
      <vt:variant>
        <vt:lpwstr>http://www.nevo.co.il/case/26396568</vt:lpwstr>
      </vt:variant>
      <vt:variant>
        <vt:lpwstr/>
      </vt:variant>
      <vt:variant>
        <vt:i4>3735679</vt:i4>
      </vt:variant>
      <vt:variant>
        <vt:i4>48</vt:i4>
      </vt:variant>
      <vt:variant>
        <vt:i4>0</vt:i4>
      </vt:variant>
      <vt:variant>
        <vt:i4>5</vt:i4>
      </vt:variant>
      <vt:variant>
        <vt:lpwstr>http://www.nevo.co.il/case/26991436</vt:lpwstr>
      </vt:variant>
      <vt:variant>
        <vt:lpwstr/>
      </vt:variant>
      <vt:variant>
        <vt:i4>3473523</vt:i4>
      </vt:variant>
      <vt:variant>
        <vt:i4>45</vt:i4>
      </vt:variant>
      <vt:variant>
        <vt:i4>0</vt:i4>
      </vt:variant>
      <vt:variant>
        <vt:i4>5</vt:i4>
      </vt:variant>
      <vt:variant>
        <vt:lpwstr>http://www.nevo.co.il/case/26797877</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3407990</vt:i4>
      </vt:variant>
      <vt:variant>
        <vt:i4>39</vt:i4>
      </vt:variant>
      <vt:variant>
        <vt:i4>0</vt:i4>
      </vt:variant>
      <vt:variant>
        <vt:i4>5</vt:i4>
      </vt:variant>
      <vt:variant>
        <vt:lpwstr>http://www.nevo.co.il/case/28226828</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3801214</vt:i4>
      </vt:variant>
      <vt:variant>
        <vt:i4>33</vt:i4>
      </vt:variant>
      <vt:variant>
        <vt:i4>0</vt:i4>
      </vt:variant>
      <vt:variant>
        <vt:i4>5</vt:i4>
      </vt:variant>
      <vt:variant>
        <vt:lpwstr>http://www.nevo.co.il/case/5805976</vt:lpwstr>
      </vt:variant>
      <vt:variant>
        <vt:lpwstr/>
      </vt:variant>
      <vt:variant>
        <vt:i4>5177418</vt:i4>
      </vt:variant>
      <vt:variant>
        <vt:i4>30</vt:i4>
      </vt:variant>
      <vt:variant>
        <vt:i4>0</vt:i4>
      </vt:variant>
      <vt:variant>
        <vt:i4>5</vt:i4>
      </vt:variant>
      <vt:variant>
        <vt:lpwstr>http://www.nevo.co.il/law/4216/10</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38551</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גיא וטורי</vt:lpwstr>
  </property>
  <property fmtid="{D5CDD505-2E9C-101B-9397-08002B2CF9AE}" pid="10" name="LAWYER">
    <vt:lpwstr>בר נמרי;טלי חזום</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20220508</vt:lpwstr>
  </property>
  <property fmtid="{D5CDD505-2E9C-101B-9397-08002B2CF9AE}" pid="14" name="TYPE_N_DATE">
    <vt:lpwstr>38020220508</vt:lpwstr>
  </property>
  <property fmtid="{D5CDD505-2E9C-101B-9397-08002B2CF9AE}" pid="15" name="WORDNUMPAGES">
    <vt:lpwstr>10</vt:lpwstr>
  </property>
  <property fmtid="{D5CDD505-2E9C-101B-9397-08002B2CF9AE}" pid="16" name="TYPE_ABS_DATE">
    <vt:lpwstr>380020220508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5805976;23827604:2;28226828;26797877;26991436;26396568;8291661;20159091;18107527;22805472;26186358;26044491;26346064</vt:lpwstr>
  </property>
  <property fmtid="{D5CDD505-2E9C-101B-9397-08002B2CF9AE}" pid="36" name="LAWLISTTMP1">
    <vt:lpwstr>4216/007.a;007.c;010</vt:lpwstr>
  </property>
  <property fmtid="{D5CDD505-2E9C-101B-9397-08002B2CF9AE}" pid="37" name="LAWLISTTMP2">
    <vt:lpwstr>70301/400</vt:lpwstr>
  </property>
</Properties>
</file>