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961ED8" w:rsidRPr="007C765E" w14:paraId="33C622BB" w14:textId="77777777" w:rsidTr="00D223DA">
        <w:trPr>
          <w:gridAfter w:val="1"/>
          <w:wAfter w:w="99" w:type="dxa"/>
          <w:trHeight w:hRule="exact" w:val="418"/>
          <w:jc w:val="center"/>
        </w:trPr>
        <w:tc>
          <w:tcPr>
            <w:tcW w:w="8721" w:type="dxa"/>
            <w:gridSpan w:val="3"/>
          </w:tcPr>
          <w:p w14:paraId="371B778D" w14:textId="77777777" w:rsidR="00961ED8" w:rsidRPr="007C765E" w:rsidRDefault="00961ED8" w:rsidP="004E0556">
            <w:pPr>
              <w:pStyle w:val="a3"/>
              <w:jc w:val="center"/>
              <w:rPr>
                <w:rFonts w:ascii="Tahoma" w:hAnsi="Tahoma" w:cs="Tahoma"/>
                <w:color w:val="000080"/>
                <w:rtl/>
              </w:rPr>
            </w:pPr>
            <w:r w:rsidRPr="007C765E">
              <w:rPr>
                <w:rFonts w:ascii="Tahoma" w:hAnsi="Tahoma" w:cs="Tahoma"/>
                <w:b/>
                <w:bCs/>
                <w:color w:val="000080"/>
                <w:rtl/>
              </w:rPr>
              <w:t>בית משפט השלום בבאר שבע</w:t>
            </w:r>
          </w:p>
        </w:tc>
      </w:tr>
      <w:tr w:rsidR="00961ED8" w:rsidRPr="007C765E" w14:paraId="2F8FF59A" w14:textId="77777777" w:rsidTr="00D223DA">
        <w:trPr>
          <w:gridAfter w:val="1"/>
          <w:wAfter w:w="99" w:type="dxa"/>
          <w:trHeight w:val="337"/>
          <w:jc w:val="center"/>
        </w:trPr>
        <w:tc>
          <w:tcPr>
            <w:tcW w:w="5054" w:type="dxa"/>
            <w:gridSpan w:val="2"/>
          </w:tcPr>
          <w:p w14:paraId="532F36D9" w14:textId="77777777" w:rsidR="00961ED8" w:rsidRPr="007C765E" w:rsidRDefault="00961ED8" w:rsidP="004E0556">
            <w:pPr>
              <w:rPr>
                <w:rFonts w:ascii="David" w:hAnsi="David"/>
                <w:b/>
                <w:bCs/>
                <w:sz w:val="26"/>
                <w:szCs w:val="26"/>
                <w:rtl/>
              </w:rPr>
            </w:pPr>
            <w:r w:rsidRPr="007C765E">
              <w:rPr>
                <w:rFonts w:ascii="David" w:hAnsi="David"/>
                <w:b/>
                <w:bCs/>
                <w:sz w:val="26"/>
                <w:szCs w:val="26"/>
                <w:rtl/>
              </w:rPr>
              <w:t>ת"פ 58617-01-20 מדינת ישראל נ' אבו רקייק</w:t>
            </w:r>
          </w:p>
        </w:tc>
        <w:tc>
          <w:tcPr>
            <w:tcW w:w="3667" w:type="dxa"/>
          </w:tcPr>
          <w:p w14:paraId="555817A5" w14:textId="77777777" w:rsidR="00961ED8" w:rsidRPr="007C765E" w:rsidRDefault="00961ED8" w:rsidP="004E0556">
            <w:pPr>
              <w:pStyle w:val="a3"/>
              <w:jc w:val="right"/>
              <w:rPr>
                <w:rFonts w:cs="FrankRuehl"/>
                <w:sz w:val="28"/>
                <w:szCs w:val="28"/>
                <w:rtl/>
              </w:rPr>
            </w:pPr>
          </w:p>
        </w:tc>
      </w:tr>
      <w:tr w:rsidR="00961ED8" w:rsidRPr="007C765E" w14:paraId="6940ACA5" w14:textId="77777777" w:rsidTr="00D22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0CDD48F" w14:textId="77777777" w:rsidR="00961ED8" w:rsidRPr="007C765E" w:rsidRDefault="00961ED8" w:rsidP="00961ED8">
            <w:pPr>
              <w:jc w:val="both"/>
              <w:rPr>
                <w:rFonts w:ascii="David" w:hAnsi="David"/>
                <w:b/>
                <w:bCs/>
                <w:sz w:val="26"/>
                <w:szCs w:val="26"/>
              </w:rPr>
            </w:pPr>
            <w:r w:rsidRPr="007C765E">
              <w:rPr>
                <w:rFonts w:hint="cs"/>
                <w:rtl/>
              </w:rPr>
              <w:t xml:space="preserve"> </w:t>
            </w:r>
            <w:r w:rsidRPr="007C765E">
              <w:rPr>
                <w:rFonts w:ascii="David" w:hAnsi="David"/>
                <w:b/>
                <w:bCs/>
                <w:sz w:val="26"/>
                <w:szCs w:val="26"/>
                <w:rtl/>
              </w:rPr>
              <w:t xml:space="preserve">בפני </w:t>
            </w:r>
          </w:p>
        </w:tc>
        <w:tc>
          <w:tcPr>
            <w:tcW w:w="7897" w:type="dxa"/>
            <w:gridSpan w:val="3"/>
            <w:tcBorders>
              <w:top w:val="nil"/>
              <w:left w:val="nil"/>
              <w:bottom w:val="nil"/>
              <w:right w:val="nil"/>
            </w:tcBorders>
            <w:shd w:val="clear" w:color="auto" w:fill="auto"/>
          </w:tcPr>
          <w:p w14:paraId="336053F5" w14:textId="77777777" w:rsidR="00961ED8" w:rsidRPr="007C765E" w:rsidRDefault="00961ED8" w:rsidP="004E0556">
            <w:pPr>
              <w:rPr>
                <w:rFonts w:ascii="David" w:hAnsi="David"/>
                <w:b/>
                <w:bCs/>
                <w:sz w:val="26"/>
                <w:szCs w:val="26"/>
                <w:rtl/>
              </w:rPr>
            </w:pPr>
            <w:r w:rsidRPr="007C765E">
              <w:rPr>
                <w:rFonts w:ascii="David" w:hAnsi="David"/>
                <w:b/>
                <w:bCs/>
                <w:sz w:val="26"/>
                <w:szCs w:val="26"/>
                <w:rtl/>
              </w:rPr>
              <w:t>כבוד השופטת, סגנית הנשיא  ענת חולתא</w:t>
            </w:r>
          </w:p>
          <w:p w14:paraId="1181A7F6" w14:textId="77777777" w:rsidR="00961ED8" w:rsidRPr="007C765E" w:rsidRDefault="00961ED8" w:rsidP="004E0556">
            <w:pPr>
              <w:rPr>
                <w:rFonts w:ascii="David" w:hAnsi="David"/>
                <w:b/>
                <w:bCs/>
                <w:sz w:val="26"/>
                <w:szCs w:val="26"/>
                <w:rtl/>
              </w:rPr>
            </w:pPr>
          </w:p>
          <w:p w14:paraId="3615468F" w14:textId="77777777" w:rsidR="00961ED8" w:rsidRPr="007C765E" w:rsidRDefault="00961ED8" w:rsidP="00961ED8">
            <w:pPr>
              <w:jc w:val="both"/>
              <w:rPr>
                <w:rFonts w:ascii="David" w:hAnsi="David"/>
                <w:b/>
                <w:bCs/>
                <w:sz w:val="26"/>
                <w:szCs w:val="26"/>
              </w:rPr>
            </w:pPr>
          </w:p>
        </w:tc>
      </w:tr>
      <w:tr w:rsidR="00961ED8" w:rsidRPr="007C765E" w14:paraId="7CE93B76" w14:textId="77777777" w:rsidTr="00D22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2C27D4" w14:textId="77777777" w:rsidR="00961ED8" w:rsidRPr="007C765E" w:rsidRDefault="00961ED8" w:rsidP="00961ED8">
            <w:pPr>
              <w:jc w:val="both"/>
              <w:rPr>
                <w:rFonts w:ascii="David" w:hAnsi="David"/>
                <w:b/>
                <w:bCs/>
                <w:sz w:val="26"/>
                <w:szCs w:val="26"/>
              </w:rPr>
            </w:pPr>
            <w:bookmarkStart w:id="0" w:name="FirstAppellant"/>
            <w:bookmarkStart w:id="1" w:name="LastJudge"/>
            <w:bookmarkEnd w:id="1"/>
            <w:r w:rsidRPr="007C765E">
              <w:rPr>
                <w:rFonts w:ascii="David" w:hAnsi="David"/>
                <w:b/>
                <w:bCs/>
                <w:sz w:val="26"/>
                <w:szCs w:val="26"/>
                <w:rtl/>
              </w:rPr>
              <w:t>בעניין:</w:t>
            </w:r>
          </w:p>
        </w:tc>
        <w:tc>
          <w:tcPr>
            <w:tcW w:w="4126" w:type="dxa"/>
            <w:tcBorders>
              <w:top w:val="nil"/>
              <w:left w:val="nil"/>
              <w:bottom w:val="nil"/>
              <w:right w:val="nil"/>
            </w:tcBorders>
            <w:shd w:val="clear" w:color="auto" w:fill="auto"/>
          </w:tcPr>
          <w:p w14:paraId="4600F3D0" w14:textId="77777777" w:rsidR="00961ED8" w:rsidRPr="007C765E" w:rsidRDefault="00961ED8" w:rsidP="004E0556">
            <w:pPr>
              <w:rPr>
                <w:rFonts w:ascii="David" w:hAnsi="David"/>
                <w:b/>
                <w:bCs/>
                <w:sz w:val="26"/>
                <w:szCs w:val="26"/>
              </w:rPr>
            </w:pPr>
            <w:r w:rsidRPr="007C765E">
              <w:rPr>
                <w:rFonts w:ascii="David" w:hAnsi="David"/>
                <w:b/>
                <w:bCs/>
                <w:sz w:val="26"/>
                <w:szCs w:val="26"/>
                <w:rtl/>
              </w:rPr>
              <w:t>מדינת ישראל</w:t>
            </w:r>
            <w:r w:rsidRPr="007C765E">
              <w:rPr>
                <w:rFonts w:ascii="David" w:hAnsi="David" w:hint="cs"/>
                <w:b/>
                <w:bCs/>
                <w:sz w:val="26"/>
                <w:szCs w:val="26"/>
                <w:rtl/>
              </w:rPr>
              <w:t>-תביעות נגב</w:t>
            </w:r>
          </w:p>
        </w:tc>
        <w:tc>
          <w:tcPr>
            <w:tcW w:w="3771" w:type="dxa"/>
            <w:gridSpan w:val="2"/>
            <w:tcBorders>
              <w:top w:val="nil"/>
              <w:left w:val="nil"/>
              <w:bottom w:val="nil"/>
              <w:right w:val="nil"/>
            </w:tcBorders>
            <w:shd w:val="clear" w:color="auto" w:fill="auto"/>
          </w:tcPr>
          <w:p w14:paraId="2D965FE2" w14:textId="77777777" w:rsidR="00961ED8" w:rsidRPr="007C765E" w:rsidRDefault="00961ED8" w:rsidP="00961ED8">
            <w:pPr>
              <w:jc w:val="both"/>
              <w:rPr>
                <w:rFonts w:ascii="David" w:hAnsi="David"/>
                <w:b/>
                <w:bCs/>
                <w:sz w:val="26"/>
                <w:szCs w:val="26"/>
              </w:rPr>
            </w:pPr>
          </w:p>
        </w:tc>
      </w:tr>
      <w:tr w:rsidR="00961ED8" w:rsidRPr="007C765E" w14:paraId="7CC0B1EC" w14:textId="77777777" w:rsidTr="00D22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9B2052" w14:textId="77777777" w:rsidR="00961ED8" w:rsidRPr="007C765E" w:rsidRDefault="00961ED8" w:rsidP="00961ED8">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4C33A668" w14:textId="77777777" w:rsidR="00961ED8" w:rsidRPr="007C765E" w:rsidRDefault="00961ED8" w:rsidP="00961ED8">
            <w:pPr>
              <w:jc w:val="both"/>
              <w:rPr>
                <w:rFonts w:ascii="David" w:hAnsi="David"/>
                <w:b/>
                <w:bCs/>
                <w:sz w:val="26"/>
                <w:szCs w:val="26"/>
                <w:rtl/>
              </w:rPr>
            </w:pPr>
            <w:r w:rsidRPr="007C765E">
              <w:rPr>
                <w:rFonts w:ascii="David" w:hAnsi="David" w:hint="cs"/>
                <w:b/>
                <w:bCs/>
                <w:sz w:val="26"/>
                <w:szCs w:val="26"/>
                <w:rtl/>
              </w:rPr>
              <w:t>ע"י ב"כ עו"ד שגיא אבנעים</w:t>
            </w:r>
          </w:p>
        </w:tc>
        <w:tc>
          <w:tcPr>
            <w:tcW w:w="3771" w:type="dxa"/>
            <w:gridSpan w:val="2"/>
            <w:tcBorders>
              <w:top w:val="nil"/>
              <w:left w:val="nil"/>
              <w:bottom w:val="nil"/>
              <w:right w:val="nil"/>
            </w:tcBorders>
            <w:shd w:val="clear" w:color="auto" w:fill="auto"/>
          </w:tcPr>
          <w:p w14:paraId="7483BB98" w14:textId="77777777" w:rsidR="00961ED8" w:rsidRPr="007C765E" w:rsidRDefault="00961ED8" w:rsidP="00961ED8">
            <w:pPr>
              <w:jc w:val="right"/>
              <w:rPr>
                <w:rFonts w:ascii="David" w:hAnsi="David"/>
                <w:b/>
                <w:bCs/>
                <w:sz w:val="26"/>
                <w:szCs w:val="26"/>
                <w:rtl/>
              </w:rPr>
            </w:pPr>
            <w:r w:rsidRPr="007C765E">
              <w:rPr>
                <w:rFonts w:ascii="David" w:hAnsi="David"/>
                <w:b/>
                <w:bCs/>
                <w:sz w:val="26"/>
                <w:szCs w:val="26"/>
                <w:rtl/>
              </w:rPr>
              <w:t>המאשימה</w:t>
            </w:r>
          </w:p>
        </w:tc>
      </w:tr>
      <w:bookmarkEnd w:id="2"/>
      <w:tr w:rsidR="00961ED8" w:rsidRPr="007C765E" w14:paraId="5D1F5FEA" w14:textId="77777777" w:rsidTr="00D22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76A6BF" w14:textId="77777777" w:rsidR="00961ED8" w:rsidRPr="007C765E" w:rsidRDefault="00961ED8" w:rsidP="00961ED8">
            <w:pPr>
              <w:jc w:val="both"/>
              <w:rPr>
                <w:rFonts w:ascii="David" w:hAnsi="David"/>
                <w:b/>
                <w:bCs/>
                <w:sz w:val="26"/>
                <w:szCs w:val="26"/>
                <w:rtl/>
              </w:rPr>
            </w:pPr>
          </w:p>
        </w:tc>
        <w:tc>
          <w:tcPr>
            <w:tcW w:w="7897" w:type="dxa"/>
            <w:gridSpan w:val="3"/>
            <w:tcBorders>
              <w:top w:val="nil"/>
              <w:left w:val="nil"/>
              <w:bottom w:val="nil"/>
              <w:right w:val="nil"/>
            </w:tcBorders>
            <w:shd w:val="clear" w:color="auto" w:fill="auto"/>
          </w:tcPr>
          <w:p w14:paraId="6DE7922D" w14:textId="77777777" w:rsidR="00961ED8" w:rsidRPr="007C765E" w:rsidRDefault="00961ED8" w:rsidP="00961ED8">
            <w:pPr>
              <w:jc w:val="center"/>
              <w:rPr>
                <w:rFonts w:ascii="David" w:hAnsi="David"/>
                <w:b/>
                <w:bCs/>
                <w:sz w:val="26"/>
                <w:szCs w:val="26"/>
                <w:rtl/>
              </w:rPr>
            </w:pPr>
          </w:p>
          <w:p w14:paraId="67DFA94E" w14:textId="77777777" w:rsidR="00961ED8" w:rsidRPr="007C765E" w:rsidRDefault="00961ED8" w:rsidP="00961ED8">
            <w:pPr>
              <w:jc w:val="center"/>
              <w:rPr>
                <w:rFonts w:ascii="David" w:hAnsi="David"/>
                <w:b/>
                <w:bCs/>
                <w:sz w:val="26"/>
                <w:szCs w:val="26"/>
                <w:rtl/>
              </w:rPr>
            </w:pPr>
            <w:r w:rsidRPr="007C765E">
              <w:rPr>
                <w:rFonts w:ascii="David" w:hAnsi="David"/>
                <w:b/>
                <w:bCs/>
                <w:sz w:val="26"/>
                <w:szCs w:val="26"/>
                <w:rtl/>
              </w:rPr>
              <w:t>נגד</w:t>
            </w:r>
          </w:p>
          <w:p w14:paraId="0A6EF0FA" w14:textId="77777777" w:rsidR="00961ED8" w:rsidRPr="007C765E" w:rsidRDefault="00961ED8" w:rsidP="00961ED8">
            <w:pPr>
              <w:jc w:val="both"/>
              <w:rPr>
                <w:rFonts w:ascii="David" w:hAnsi="David"/>
                <w:b/>
                <w:bCs/>
                <w:sz w:val="26"/>
                <w:szCs w:val="26"/>
              </w:rPr>
            </w:pPr>
          </w:p>
        </w:tc>
      </w:tr>
      <w:tr w:rsidR="00961ED8" w:rsidRPr="007C765E" w14:paraId="44E0B36B" w14:textId="77777777" w:rsidTr="00D22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AF7D96" w14:textId="77777777" w:rsidR="00961ED8" w:rsidRPr="007C765E" w:rsidRDefault="00961ED8" w:rsidP="004E0556">
            <w:pPr>
              <w:rPr>
                <w:rFonts w:ascii="David" w:hAnsi="David"/>
                <w:b/>
                <w:bCs/>
                <w:sz w:val="26"/>
                <w:szCs w:val="26"/>
                <w:rtl/>
              </w:rPr>
            </w:pPr>
          </w:p>
        </w:tc>
        <w:tc>
          <w:tcPr>
            <w:tcW w:w="4126" w:type="dxa"/>
            <w:tcBorders>
              <w:top w:val="nil"/>
              <w:left w:val="nil"/>
              <w:bottom w:val="nil"/>
              <w:right w:val="nil"/>
            </w:tcBorders>
            <w:shd w:val="clear" w:color="auto" w:fill="auto"/>
          </w:tcPr>
          <w:p w14:paraId="42719458" w14:textId="77777777" w:rsidR="00961ED8" w:rsidRPr="007C765E" w:rsidRDefault="00961ED8" w:rsidP="004E0556">
            <w:pPr>
              <w:rPr>
                <w:rFonts w:ascii="David" w:hAnsi="David"/>
                <w:b/>
                <w:bCs/>
                <w:sz w:val="26"/>
                <w:szCs w:val="26"/>
                <w:rtl/>
              </w:rPr>
            </w:pPr>
            <w:r w:rsidRPr="007C765E">
              <w:rPr>
                <w:rFonts w:ascii="David" w:hAnsi="David"/>
                <w:b/>
                <w:bCs/>
                <w:sz w:val="26"/>
                <w:szCs w:val="26"/>
                <w:rtl/>
              </w:rPr>
              <w:t>סאמי אבו רקייק</w:t>
            </w:r>
            <w:r w:rsidRPr="007C765E">
              <w:rPr>
                <w:rFonts w:ascii="David" w:hAnsi="David" w:hint="cs"/>
                <w:b/>
                <w:bCs/>
                <w:sz w:val="26"/>
                <w:szCs w:val="26"/>
                <w:rtl/>
              </w:rPr>
              <w:t>-בעצמו</w:t>
            </w:r>
          </w:p>
        </w:tc>
        <w:tc>
          <w:tcPr>
            <w:tcW w:w="3771" w:type="dxa"/>
            <w:gridSpan w:val="2"/>
            <w:tcBorders>
              <w:top w:val="nil"/>
              <w:left w:val="nil"/>
              <w:bottom w:val="nil"/>
              <w:right w:val="nil"/>
            </w:tcBorders>
            <w:shd w:val="clear" w:color="auto" w:fill="auto"/>
          </w:tcPr>
          <w:p w14:paraId="1A54DE4B" w14:textId="77777777" w:rsidR="00961ED8" w:rsidRPr="007C765E" w:rsidRDefault="00961ED8" w:rsidP="00961ED8">
            <w:pPr>
              <w:jc w:val="right"/>
              <w:rPr>
                <w:rFonts w:ascii="David" w:hAnsi="David"/>
                <w:b/>
                <w:bCs/>
                <w:sz w:val="26"/>
                <w:szCs w:val="26"/>
              </w:rPr>
            </w:pPr>
          </w:p>
        </w:tc>
      </w:tr>
      <w:tr w:rsidR="00961ED8" w:rsidRPr="007C765E" w14:paraId="2E96010F" w14:textId="77777777" w:rsidTr="00D22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B4FF758" w14:textId="77777777" w:rsidR="00961ED8" w:rsidRPr="007C765E" w:rsidRDefault="00961ED8" w:rsidP="00961ED8">
            <w:pPr>
              <w:jc w:val="both"/>
              <w:rPr>
                <w:rFonts w:ascii="David" w:hAnsi="David"/>
                <w:b/>
                <w:bCs/>
                <w:sz w:val="26"/>
                <w:szCs w:val="26"/>
                <w:rtl/>
              </w:rPr>
            </w:pPr>
          </w:p>
        </w:tc>
        <w:tc>
          <w:tcPr>
            <w:tcW w:w="4126" w:type="dxa"/>
            <w:tcBorders>
              <w:top w:val="nil"/>
              <w:left w:val="nil"/>
              <w:bottom w:val="nil"/>
              <w:right w:val="nil"/>
            </w:tcBorders>
            <w:shd w:val="clear" w:color="auto" w:fill="auto"/>
          </w:tcPr>
          <w:p w14:paraId="45D0E540" w14:textId="77777777" w:rsidR="00961ED8" w:rsidRPr="007C765E" w:rsidRDefault="00961ED8" w:rsidP="00961ED8">
            <w:pPr>
              <w:jc w:val="both"/>
              <w:rPr>
                <w:rFonts w:ascii="David" w:hAnsi="David"/>
                <w:b/>
                <w:bCs/>
                <w:sz w:val="26"/>
                <w:szCs w:val="26"/>
                <w:rtl/>
              </w:rPr>
            </w:pPr>
            <w:r w:rsidRPr="007C765E">
              <w:rPr>
                <w:rFonts w:ascii="David" w:hAnsi="David" w:hint="cs"/>
                <w:b/>
                <w:bCs/>
                <w:sz w:val="26"/>
                <w:szCs w:val="26"/>
                <w:rtl/>
              </w:rPr>
              <w:t>ע"י ב"כ עו"ד עידו פורת</w:t>
            </w:r>
          </w:p>
        </w:tc>
        <w:tc>
          <w:tcPr>
            <w:tcW w:w="3771" w:type="dxa"/>
            <w:gridSpan w:val="2"/>
            <w:tcBorders>
              <w:top w:val="nil"/>
              <w:left w:val="nil"/>
              <w:bottom w:val="nil"/>
              <w:right w:val="nil"/>
            </w:tcBorders>
            <w:shd w:val="clear" w:color="auto" w:fill="auto"/>
          </w:tcPr>
          <w:p w14:paraId="79F7B2DF" w14:textId="77777777" w:rsidR="00961ED8" w:rsidRPr="007C765E" w:rsidRDefault="00961ED8" w:rsidP="00961ED8">
            <w:pPr>
              <w:jc w:val="right"/>
              <w:rPr>
                <w:rFonts w:ascii="David" w:hAnsi="David"/>
                <w:b/>
                <w:bCs/>
                <w:sz w:val="26"/>
                <w:szCs w:val="26"/>
              </w:rPr>
            </w:pPr>
            <w:r w:rsidRPr="007C765E">
              <w:rPr>
                <w:rFonts w:ascii="David" w:hAnsi="David"/>
                <w:b/>
                <w:bCs/>
                <w:sz w:val="26"/>
                <w:szCs w:val="26"/>
                <w:rtl/>
              </w:rPr>
              <w:t>הנאשם</w:t>
            </w:r>
          </w:p>
        </w:tc>
      </w:tr>
    </w:tbl>
    <w:p w14:paraId="4BB37397" w14:textId="77777777" w:rsidR="00D223DA" w:rsidRDefault="00D223DA" w:rsidP="00961ED8">
      <w:pPr>
        <w:rPr>
          <w:sz w:val="26"/>
          <w:szCs w:val="26"/>
          <w:rtl/>
        </w:rPr>
      </w:pPr>
    </w:p>
    <w:p w14:paraId="3E664B36" w14:textId="77777777" w:rsidR="00D223DA" w:rsidRPr="00D223DA" w:rsidRDefault="00D223DA" w:rsidP="00D223DA">
      <w:pPr>
        <w:spacing w:after="120" w:line="240" w:lineRule="exact"/>
        <w:ind w:left="283" w:hanging="283"/>
        <w:jc w:val="both"/>
        <w:rPr>
          <w:rFonts w:ascii="FrankRuehl" w:hAnsi="FrankRuehl" w:cs="FrankRuehl"/>
          <w:rtl/>
        </w:rPr>
      </w:pPr>
    </w:p>
    <w:p w14:paraId="75602AE9" w14:textId="77777777" w:rsidR="00BD5690" w:rsidRPr="00BD5690" w:rsidRDefault="00BD5690" w:rsidP="00BD5690">
      <w:pPr>
        <w:spacing w:before="120" w:after="120" w:line="240" w:lineRule="exact"/>
        <w:ind w:left="283" w:hanging="283"/>
        <w:jc w:val="both"/>
        <w:rPr>
          <w:rFonts w:ascii="FrankRuehl" w:hAnsi="FrankRuehl" w:cs="FrankRuehl"/>
          <w:rtl/>
        </w:rPr>
      </w:pPr>
    </w:p>
    <w:p w14:paraId="055B13C0" w14:textId="77777777" w:rsidR="00B43320" w:rsidRDefault="00B43320" w:rsidP="00B43320">
      <w:pPr>
        <w:rPr>
          <w:rFonts w:ascii="David" w:hAnsi="David"/>
          <w:sz w:val="26"/>
          <w:szCs w:val="26"/>
          <w:rtl/>
        </w:rPr>
      </w:pPr>
      <w:bookmarkStart w:id="3" w:name="LawTable"/>
      <w:bookmarkEnd w:id="3"/>
    </w:p>
    <w:p w14:paraId="12115DD5" w14:textId="77777777" w:rsidR="00B43320" w:rsidRPr="00B43320" w:rsidRDefault="00B43320" w:rsidP="00B43320">
      <w:pPr>
        <w:spacing w:before="120" w:after="120" w:line="240" w:lineRule="exact"/>
        <w:ind w:left="283" w:hanging="283"/>
        <w:jc w:val="both"/>
        <w:rPr>
          <w:rFonts w:ascii="FrankRuehl" w:hAnsi="FrankRuehl" w:cs="FrankRuehl"/>
          <w:rtl/>
        </w:rPr>
      </w:pPr>
    </w:p>
    <w:p w14:paraId="3F4966E2" w14:textId="77777777" w:rsidR="00B43320" w:rsidRPr="00B43320" w:rsidRDefault="00B43320" w:rsidP="00B43320">
      <w:pPr>
        <w:spacing w:before="120" w:after="120" w:line="240" w:lineRule="exact"/>
        <w:ind w:left="283" w:hanging="283"/>
        <w:jc w:val="both"/>
        <w:rPr>
          <w:rFonts w:ascii="FrankRuehl" w:hAnsi="FrankRuehl" w:cs="FrankRuehl"/>
          <w:rtl/>
        </w:rPr>
      </w:pPr>
    </w:p>
    <w:p w14:paraId="7DFCAFE9" w14:textId="77777777" w:rsidR="00B43320" w:rsidRPr="00B43320" w:rsidRDefault="00B43320" w:rsidP="00B43320">
      <w:pPr>
        <w:spacing w:before="120" w:after="120" w:line="240" w:lineRule="exact"/>
        <w:ind w:left="283" w:hanging="283"/>
        <w:jc w:val="both"/>
        <w:rPr>
          <w:rFonts w:ascii="FrankRuehl" w:hAnsi="FrankRuehl" w:cs="FrankRuehl"/>
          <w:rtl/>
        </w:rPr>
      </w:pPr>
      <w:r w:rsidRPr="00B43320">
        <w:rPr>
          <w:rFonts w:ascii="FrankRuehl" w:hAnsi="FrankRuehl" w:cs="FrankRuehl"/>
          <w:rtl/>
        </w:rPr>
        <w:t xml:space="preserve">חקיקה שאוזכרה: </w:t>
      </w:r>
    </w:p>
    <w:p w14:paraId="61F5663E" w14:textId="77777777" w:rsidR="00B43320" w:rsidRPr="00B43320" w:rsidRDefault="00B43320" w:rsidP="00B43320">
      <w:pPr>
        <w:spacing w:before="120" w:after="120" w:line="240" w:lineRule="exact"/>
        <w:ind w:left="283" w:hanging="283"/>
        <w:jc w:val="both"/>
        <w:rPr>
          <w:rFonts w:ascii="FrankRuehl" w:hAnsi="FrankRuehl" w:cs="FrankRuehl"/>
          <w:rtl/>
        </w:rPr>
      </w:pPr>
      <w:hyperlink r:id="rId7" w:history="1">
        <w:r w:rsidRPr="00B43320">
          <w:rPr>
            <w:rFonts w:ascii="FrankRuehl" w:hAnsi="FrankRuehl" w:cs="FrankRuehl"/>
            <w:color w:val="0000FF"/>
            <w:rtl/>
          </w:rPr>
          <w:t>פקודת הסמים המסוכנים [נוסח חדש], תשל"ג-1973</w:t>
        </w:r>
      </w:hyperlink>
      <w:r w:rsidRPr="00B43320">
        <w:rPr>
          <w:rFonts w:ascii="FrankRuehl" w:hAnsi="FrankRuehl" w:cs="FrankRuehl"/>
          <w:rtl/>
        </w:rPr>
        <w:t xml:space="preserve">: סע'  </w:t>
      </w:r>
      <w:hyperlink r:id="rId8" w:history="1">
        <w:r w:rsidRPr="00B43320">
          <w:rPr>
            <w:rFonts w:ascii="FrankRuehl" w:hAnsi="FrankRuehl" w:cs="FrankRuehl"/>
            <w:color w:val="0000FF"/>
            <w:rtl/>
          </w:rPr>
          <w:t>6</w:t>
        </w:r>
      </w:hyperlink>
      <w:r w:rsidRPr="00B43320">
        <w:rPr>
          <w:rFonts w:ascii="FrankRuehl" w:hAnsi="FrankRuehl" w:cs="FrankRuehl"/>
          <w:rtl/>
        </w:rPr>
        <w:t xml:space="preserve">, </w:t>
      </w:r>
      <w:hyperlink r:id="rId9" w:history="1">
        <w:r w:rsidRPr="00B43320">
          <w:rPr>
            <w:rFonts w:ascii="FrankRuehl" w:hAnsi="FrankRuehl" w:cs="FrankRuehl"/>
            <w:color w:val="0000FF"/>
            <w:rtl/>
          </w:rPr>
          <w:t>7(א)</w:t>
        </w:r>
      </w:hyperlink>
      <w:r w:rsidRPr="00B43320">
        <w:rPr>
          <w:rFonts w:ascii="FrankRuehl" w:hAnsi="FrankRuehl" w:cs="FrankRuehl"/>
          <w:rtl/>
        </w:rPr>
        <w:t xml:space="preserve">, </w:t>
      </w:r>
      <w:hyperlink r:id="rId10" w:history="1">
        <w:r w:rsidRPr="00B43320">
          <w:rPr>
            <w:rFonts w:ascii="FrankRuehl" w:hAnsi="FrankRuehl" w:cs="FrankRuehl"/>
            <w:color w:val="0000FF"/>
            <w:rtl/>
          </w:rPr>
          <w:t>ו7(ג)</w:t>
        </w:r>
      </w:hyperlink>
    </w:p>
    <w:p w14:paraId="1E60483E" w14:textId="77777777" w:rsidR="00B43320" w:rsidRPr="00B43320" w:rsidRDefault="00B43320" w:rsidP="00B43320">
      <w:pPr>
        <w:spacing w:before="120" w:after="120" w:line="240" w:lineRule="exact"/>
        <w:ind w:left="283" w:hanging="283"/>
        <w:jc w:val="both"/>
        <w:rPr>
          <w:rFonts w:ascii="FrankRuehl" w:hAnsi="FrankRuehl" w:cs="FrankRuehl"/>
          <w:rtl/>
        </w:rPr>
      </w:pPr>
      <w:hyperlink r:id="rId11" w:history="1">
        <w:r w:rsidRPr="00B43320">
          <w:rPr>
            <w:rFonts w:ascii="FrankRuehl" w:hAnsi="FrankRuehl" w:cs="FrankRuehl"/>
            <w:color w:val="0000FF"/>
            <w:rtl/>
          </w:rPr>
          <w:t>חוק העונשין, תשל"ז-1977</w:t>
        </w:r>
      </w:hyperlink>
      <w:r w:rsidRPr="00B43320">
        <w:rPr>
          <w:rFonts w:ascii="FrankRuehl" w:hAnsi="FrankRuehl" w:cs="FrankRuehl"/>
          <w:rtl/>
        </w:rPr>
        <w:t xml:space="preserve">: סע'  </w:t>
      </w:r>
      <w:hyperlink r:id="rId12" w:history="1">
        <w:r w:rsidRPr="00B43320">
          <w:rPr>
            <w:rFonts w:ascii="FrankRuehl" w:hAnsi="FrankRuehl" w:cs="FrankRuehl"/>
            <w:color w:val="0000FF"/>
            <w:rtl/>
          </w:rPr>
          <w:t>51(ב1)(1)</w:t>
        </w:r>
      </w:hyperlink>
    </w:p>
    <w:p w14:paraId="6EC045B1" w14:textId="77777777" w:rsidR="00B43320" w:rsidRPr="00B43320" w:rsidRDefault="00B43320" w:rsidP="00B43320">
      <w:pPr>
        <w:rPr>
          <w:rFonts w:ascii="David" w:hAnsi="David"/>
          <w:sz w:val="26"/>
          <w:szCs w:val="26"/>
          <w:rtl/>
        </w:rPr>
      </w:pPr>
      <w:bookmarkStart w:id="4" w:name="LawTable_End"/>
      <w:bookmarkEnd w:id="4"/>
    </w:p>
    <w:p w14:paraId="613E88F7" w14:textId="77777777" w:rsidR="00961ED8" w:rsidRPr="00BD5690" w:rsidRDefault="00961ED8" w:rsidP="00BD5690">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1ED8" w14:paraId="7C879BAC" w14:textId="77777777" w:rsidTr="00961ED8">
        <w:trPr>
          <w:trHeight w:val="355"/>
          <w:jc w:val="center"/>
        </w:trPr>
        <w:tc>
          <w:tcPr>
            <w:tcW w:w="8820" w:type="dxa"/>
            <w:tcBorders>
              <w:top w:val="nil"/>
              <w:left w:val="nil"/>
              <w:bottom w:val="nil"/>
              <w:right w:val="nil"/>
            </w:tcBorders>
            <w:shd w:val="clear" w:color="auto" w:fill="auto"/>
          </w:tcPr>
          <w:p w14:paraId="37195AB3" w14:textId="77777777" w:rsidR="007C765E" w:rsidRPr="007C765E" w:rsidRDefault="007C765E" w:rsidP="007C765E">
            <w:pPr>
              <w:jc w:val="center"/>
              <w:rPr>
                <w:rFonts w:ascii="David" w:hAnsi="David"/>
                <w:b/>
                <w:bCs/>
                <w:sz w:val="32"/>
                <w:szCs w:val="32"/>
                <w:u w:val="single"/>
                <w:rtl/>
              </w:rPr>
            </w:pPr>
            <w:bookmarkStart w:id="5" w:name="PsakDin" w:colFirst="0" w:colLast="0"/>
            <w:r w:rsidRPr="007C765E">
              <w:rPr>
                <w:rFonts w:ascii="David" w:hAnsi="David"/>
                <w:b/>
                <w:bCs/>
                <w:sz w:val="32"/>
                <w:szCs w:val="32"/>
                <w:u w:val="single"/>
                <w:rtl/>
              </w:rPr>
              <w:t>גזר דין</w:t>
            </w:r>
          </w:p>
          <w:p w14:paraId="62B95F3D" w14:textId="77777777" w:rsidR="00961ED8" w:rsidRPr="007C765E" w:rsidRDefault="00961ED8" w:rsidP="007C765E">
            <w:pPr>
              <w:jc w:val="center"/>
              <w:rPr>
                <w:rFonts w:ascii="David" w:hAnsi="David"/>
                <w:bCs/>
                <w:sz w:val="32"/>
                <w:szCs w:val="32"/>
                <w:u w:val="single"/>
                <w:rtl/>
              </w:rPr>
            </w:pPr>
          </w:p>
        </w:tc>
      </w:tr>
      <w:bookmarkEnd w:id="5"/>
    </w:tbl>
    <w:p w14:paraId="796C00A1" w14:textId="77777777" w:rsidR="00961ED8" w:rsidRPr="002B7D23" w:rsidRDefault="00961ED8" w:rsidP="00961ED8">
      <w:pPr>
        <w:rPr>
          <w:rFonts w:ascii="David" w:hAnsi="David"/>
          <w:sz w:val="26"/>
          <w:szCs w:val="26"/>
          <w:rtl/>
        </w:rPr>
      </w:pPr>
    </w:p>
    <w:p w14:paraId="3F61171A" w14:textId="77777777" w:rsidR="00961ED8" w:rsidRPr="002B7D23" w:rsidRDefault="00961ED8" w:rsidP="00961ED8">
      <w:pPr>
        <w:rPr>
          <w:rFonts w:ascii="David" w:hAnsi="David"/>
          <w:sz w:val="26"/>
          <w:szCs w:val="26"/>
          <w:rtl/>
        </w:rPr>
      </w:pPr>
    </w:p>
    <w:p w14:paraId="0AC0089B" w14:textId="77777777" w:rsidR="00961ED8" w:rsidRPr="00961ED8" w:rsidRDefault="00961ED8" w:rsidP="00961ED8">
      <w:pPr>
        <w:spacing w:after="160" w:line="360" w:lineRule="auto"/>
        <w:jc w:val="both"/>
        <w:rPr>
          <w:rFonts w:ascii="Calibri" w:hAnsi="Calibri"/>
          <w:b/>
          <w:bCs/>
          <w:u w:val="single"/>
          <w:rtl/>
        </w:rPr>
      </w:pPr>
      <w:r w:rsidRPr="00961ED8">
        <w:rPr>
          <w:rFonts w:ascii="Calibri" w:hAnsi="Calibri" w:hint="eastAsia"/>
          <w:b/>
          <w:bCs/>
          <w:u w:val="single"/>
          <w:rtl/>
        </w:rPr>
        <w:t>רקע</w:t>
      </w:r>
    </w:p>
    <w:p w14:paraId="0416D2B7" w14:textId="77777777" w:rsidR="00961ED8" w:rsidRPr="00E164B3" w:rsidRDefault="00961ED8" w:rsidP="00961ED8">
      <w:pPr>
        <w:numPr>
          <w:ilvl w:val="0"/>
          <w:numId w:val="1"/>
        </w:numPr>
        <w:snapToGrid w:val="0"/>
        <w:spacing w:line="360" w:lineRule="auto"/>
        <w:contextualSpacing/>
        <w:jc w:val="both"/>
        <w:rPr>
          <w:lang w:eastAsia="he-IL"/>
        </w:rPr>
      </w:pPr>
      <w:bookmarkStart w:id="6" w:name="ABSTRACT_START"/>
      <w:bookmarkEnd w:id="6"/>
      <w:r w:rsidRPr="00E164B3">
        <w:rPr>
          <w:rtl/>
          <w:lang w:eastAsia="he-IL"/>
        </w:rPr>
        <w:t xml:space="preserve">הנאשם הורשע על פי הודאתו בעובדות כתב האישום המתוקן בעבירה של </w:t>
      </w:r>
      <w:r w:rsidRPr="00E164B3">
        <w:rPr>
          <w:b/>
          <w:bCs/>
          <w:rtl/>
          <w:lang w:eastAsia="he-IL"/>
        </w:rPr>
        <w:t xml:space="preserve">גידול, ייצור, הכנת סמים מסוכנים, </w:t>
      </w:r>
      <w:r w:rsidRPr="00E164B3">
        <w:rPr>
          <w:rtl/>
          <w:lang w:eastAsia="he-IL"/>
        </w:rPr>
        <w:t xml:space="preserve">עבירה לפי </w:t>
      </w:r>
      <w:hyperlink r:id="rId13" w:history="1">
        <w:r w:rsidR="00D223DA" w:rsidRPr="00D223DA">
          <w:rPr>
            <w:rStyle w:val="Hyperlink"/>
            <w:rtl/>
            <w:lang w:eastAsia="he-IL"/>
          </w:rPr>
          <w:t>סעיף 6</w:t>
        </w:r>
      </w:hyperlink>
      <w:r w:rsidRPr="00E164B3">
        <w:rPr>
          <w:rtl/>
          <w:lang w:eastAsia="he-IL"/>
        </w:rPr>
        <w:t xml:space="preserve"> ל</w:t>
      </w:r>
      <w:hyperlink r:id="rId14" w:history="1">
        <w:r w:rsidR="007C765E" w:rsidRPr="007C765E">
          <w:rPr>
            <w:color w:val="0000FF"/>
            <w:u w:val="single"/>
            <w:rtl/>
            <w:lang w:eastAsia="he-IL"/>
          </w:rPr>
          <w:t>פקודת הסמים המסוכנים</w:t>
        </w:r>
      </w:hyperlink>
      <w:r w:rsidRPr="00E164B3">
        <w:rPr>
          <w:rtl/>
          <w:lang w:eastAsia="he-IL"/>
        </w:rPr>
        <w:t xml:space="preserve"> (נוסח חדש) תשל"ג-1973 ו</w:t>
      </w:r>
      <w:r w:rsidRPr="00E164B3">
        <w:rPr>
          <w:b/>
          <w:bCs/>
          <w:rtl/>
          <w:lang w:eastAsia="he-IL"/>
        </w:rPr>
        <w:t xml:space="preserve">החזקת סם שלא לצריכה עצמית </w:t>
      </w:r>
      <w:r w:rsidRPr="00E164B3">
        <w:rPr>
          <w:rtl/>
          <w:lang w:eastAsia="he-IL"/>
        </w:rPr>
        <w:t xml:space="preserve">לפי </w:t>
      </w:r>
      <w:hyperlink r:id="rId15" w:history="1">
        <w:r w:rsidR="00D223DA" w:rsidRPr="00D223DA">
          <w:rPr>
            <w:rStyle w:val="Hyperlink"/>
            <w:rtl/>
            <w:lang w:eastAsia="he-IL"/>
          </w:rPr>
          <w:t>סעיפים 7(א)</w:t>
        </w:r>
      </w:hyperlink>
      <w:r w:rsidRPr="00E164B3">
        <w:rPr>
          <w:rtl/>
          <w:lang w:eastAsia="he-IL"/>
        </w:rPr>
        <w:t xml:space="preserve"> </w:t>
      </w:r>
      <w:hyperlink r:id="rId16" w:history="1">
        <w:r w:rsidR="00D223DA" w:rsidRPr="00D223DA">
          <w:rPr>
            <w:rStyle w:val="Hyperlink"/>
            <w:rtl/>
            <w:lang w:eastAsia="he-IL"/>
          </w:rPr>
          <w:t>ו7(ג)</w:t>
        </w:r>
      </w:hyperlink>
      <w:r w:rsidRPr="00E164B3">
        <w:rPr>
          <w:rtl/>
          <w:lang w:eastAsia="he-IL"/>
        </w:rPr>
        <w:t xml:space="preserve"> רישא לפקודה.</w:t>
      </w:r>
    </w:p>
    <w:p w14:paraId="7A9E76FE" w14:textId="77777777" w:rsidR="00961ED8" w:rsidRPr="00E164B3" w:rsidRDefault="00961ED8" w:rsidP="00961ED8">
      <w:pPr>
        <w:snapToGrid w:val="0"/>
        <w:spacing w:line="360" w:lineRule="auto"/>
        <w:ind w:left="786"/>
        <w:contextualSpacing/>
        <w:jc w:val="both"/>
        <w:rPr>
          <w:rtl/>
          <w:lang w:eastAsia="he-IL"/>
        </w:rPr>
      </w:pPr>
    </w:p>
    <w:p w14:paraId="2C47D72D"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על פי עובדות כתב האישום המתוקן, ביום 19.1.20 גידל הנאשם בביתו בתל-שבע 49 שתילי קנבוס במשקל כולל של 7 ק"ג, במעבדה שהקים בביתו, אשר כללה מאווררים, תאורה ודישון.</w:t>
      </w:r>
    </w:p>
    <w:p w14:paraId="5B169836" w14:textId="77777777" w:rsidR="00961ED8" w:rsidRPr="00E164B3" w:rsidRDefault="00961ED8" w:rsidP="00961ED8">
      <w:pPr>
        <w:snapToGrid w:val="0"/>
        <w:ind w:left="720"/>
        <w:contextualSpacing/>
        <w:rPr>
          <w:rtl/>
          <w:lang w:eastAsia="he-IL"/>
        </w:rPr>
      </w:pPr>
    </w:p>
    <w:p w14:paraId="0CDA38AC" w14:textId="77777777" w:rsidR="00961ED8" w:rsidRPr="00E164B3" w:rsidRDefault="00961ED8" w:rsidP="00961ED8">
      <w:pPr>
        <w:snapToGrid w:val="0"/>
        <w:spacing w:line="360" w:lineRule="auto"/>
        <w:ind w:left="360"/>
        <w:contextualSpacing/>
        <w:jc w:val="both"/>
        <w:rPr>
          <w:lang w:eastAsia="he-IL"/>
        </w:rPr>
      </w:pPr>
      <w:r w:rsidRPr="00E164B3">
        <w:rPr>
          <w:rtl/>
          <w:lang w:eastAsia="he-IL"/>
        </w:rPr>
        <w:t>בנוסף, החזיק במעמד זה בביתו 500 גרם קנבוס.</w:t>
      </w:r>
    </w:p>
    <w:p w14:paraId="2ABCC4ED" w14:textId="77777777" w:rsidR="00961ED8" w:rsidRPr="00E164B3" w:rsidRDefault="00961ED8" w:rsidP="00961ED8">
      <w:pPr>
        <w:snapToGrid w:val="0"/>
        <w:ind w:left="720"/>
        <w:contextualSpacing/>
        <w:rPr>
          <w:rtl/>
          <w:lang w:eastAsia="he-IL"/>
        </w:rPr>
      </w:pPr>
      <w:bookmarkStart w:id="7" w:name="ABSTRACT_END"/>
      <w:bookmarkEnd w:id="7"/>
    </w:p>
    <w:p w14:paraId="26DB728B" w14:textId="77777777" w:rsidR="00961ED8" w:rsidRPr="00E164B3" w:rsidRDefault="00961ED8" w:rsidP="00961ED8">
      <w:pPr>
        <w:snapToGrid w:val="0"/>
        <w:ind w:left="720"/>
        <w:contextualSpacing/>
        <w:rPr>
          <w:rtl/>
          <w:lang w:eastAsia="he-IL"/>
        </w:rPr>
      </w:pPr>
    </w:p>
    <w:p w14:paraId="4BC60C0C"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lastRenderedPageBreak/>
        <w:t>בהתאם להסדר הדיוני אליו הגיעו הצדדים, שירות המבחן התבקש להכין תסקיר לעונש בעניינו של הנאשם.</w:t>
      </w:r>
    </w:p>
    <w:p w14:paraId="07C90221" w14:textId="77777777" w:rsidR="00961ED8" w:rsidRPr="00E164B3" w:rsidRDefault="00961ED8" w:rsidP="00961ED8">
      <w:pPr>
        <w:snapToGrid w:val="0"/>
        <w:spacing w:line="360" w:lineRule="auto"/>
        <w:contextualSpacing/>
        <w:jc w:val="both"/>
        <w:rPr>
          <w:rtl/>
          <w:lang w:eastAsia="he-IL"/>
        </w:rPr>
      </w:pPr>
    </w:p>
    <w:p w14:paraId="45635054" w14:textId="77777777" w:rsidR="00961ED8" w:rsidRPr="00E164B3" w:rsidRDefault="00961ED8" w:rsidP="00961ED8">
      <w:pPr>
        <w:snapToGrid w:val="0"/>
        <w:spacing w:line="360" w:lineRule="auto"/>
        <w:contextualSpacing/>
        <w:jc w:val="both"/>
        <w:rPr>
          <w:b/>
          <w:bCs/>
          <w:u w:val="single"/>
          <w:lang w:eastAsia="he-IL"/>
        </w:rPr>
      </w:pPr>
      <w:r w:rsidRPr="00E164B3">
        <w:rPr>
          <w:b/>
          <w:bCs/>
          <w:u w:val="single"/>
          <w:rtl/>
          <w:lang w:eastAsia="he-IL"/>
        </w:rPr>
        <w:t>תסקירי שירות המבחן:</w:t>
      </w:r>
    </w:p>
    <w:p w14:paraId="0E0D8408" w14:textId="77777777" w:rsidR="00961ED8" w:rsidRPr="00E164B3" w:rsidRDefault="00961ED8" w:rsidP="00961ED8">
      <w:pPr>
        <w:snapToGrid w:val="0"/>
        <w:ind w:left="720"/>
        <w:contextualSpacing/>
        <w:rPr>
          <w:rtl/>
          <w:lang w:eastAsia="he-IL"/>
        </w:rPr>
      </w:pPr>
    </w:p>
    <w:p w14:paraId="378ECE65"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 xml:space="preserve">בתסקיר מיום </w:t>
      </w:r>
      <w:r w:rsidRPr="00E164B3">
        <w:rPr>
          <w:b/>
          <w:bCs/>
          <w:rtl/>
          <w:lang w:eastAsia="he-IL"/>
        </w:rPr>
        <w:t xml:space="preserve">25.11.20 </w:t>
      </w:r>
      <w:r w:rsidRPr="00E164B3">
        <w:rPr>
          <w:rtl/>
          <w:lang w:eastAsia="he-IL"/>
        </w:rPr>
        <w:t xml:space="preserve">שירות המבחן סקר את קורותיו של הנאשם,. בין היתר צוין, כי הנאשם נשוי ואב ל-6 ילדים, שולב בתעסוקה בעברו, אך כיום לא עובד מזה כשנה וחצי. כן נמסר כי לנאשם אין הרשעות קודמות וכי הוא שלל התנסות בחומרים משני תודעה. בדיקות שתן אשר נלקחו ממנו היו נקיות משרידי סם. ביחס לעבירה נמסר כי הנאשם לוקח אחריות על מעשיו, הביט חרטה וחש בושה. כן מסר לשירות המבחן שביצע את העבירות על רקע מצב כלכלי קשה אליו נקלע, עד כדי קושי ברכישת מצרכי יסוד. </w:t>
      </w:r>
    </w:p>
    <w:p w14:paraId="7C90C7F6" w14:textId="77777777" w:rsidR="00961ED8" w:rsidRPr="00E164B3" w:rsidRDefault="00961ED8" w:rsidP="00961ED8">
      <w:pPr>
        <w:snapToGrid w:val="0"/>
        <w:ind w:left="720"/>
        <w:contextualSpacing/>
        <w:rPr>
          <w:rtl/>
          <w:lang w:eastAsia="he-IL"/>
        </w:rPr>
      </w:pPr>
    </w:p>
    <w:p w14:paraId="59542F50"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בבחינת גורמי הסיכון, ההתרשמות היא כי הנאשם מתקשה לשתף במצוקותיו ולהסתגל למצבי חיים משתנים בעת משבר, דבר שהוביל לפניה לגורמים שוליים, במטרה לייצר רווח כלכלי מהיר. זאת, ללא התייחסות לכלל ההשלכות והתוצאות האפשריות של מעשיו.</w:t>
      </w:r>
    </w:p>
    <w:p w14:paraId="0DA7EF26" w14:textId="77777777" w:rsidR="00961ED8" w:rsidRPr="00E164B3" w:rsidRDefault="00961ED8" w:rsidP="00961ED8">
      <w:pPr>
        <w:snapToGrid w:val="0"/>
        <w:spacing w:line="360" w:lineRule="auto"/>
        <w:ind w:left="360"/>
        <w:contextualSpacing/>
        <w:jc w:val="both"/>
        <w:rPr>
          <w:rtl/>
          <w:lang w:eastAsia="he-IL"/>
        </w:rPr>
      </w:pPr>
    </w:p>
    <w:p w14:paraId="7E8E4B89" w14:textId="77777777" w:rsidR="00961ED8" w:rsidRPr="00E164B3" w:rsidRDefault="00961ED8" w:rsidP="00961ED8">
      <w:pPr>
        <w:snapToGrid w:val="0"/>
        <w:spacing w:line="360" w:lineRule="auto"/>
        <w:ind w:left="360"/>
        <w:contextualSpacing/>
        <w:jc w:val="both"/>
        <w:rPr>
          <w:lang w:eastAsia="he-IL"/>
        </w:rPr>
      </w:pPr>
      <w:r w:rsidRPr="00E164B3">
        <w:rPr>
          <w:rtl/>
          <w:lang w:eastAsia="he-IL"/>
        </w:rPr>
        <w:t xml:space="preserve">בבחינת גורמי הסיכוי, שירות המבחן הביא בחשבון כי עד לביצוע העבירות הנאשם ניהל אורח חיים נורמטיבי ותפקד באופן אחראי במסגרות חייו לרבות המשפחתית והתעסוקתית. כן הביא בחשבון את החרטה ונטילת האחריות. ההתרשמות היא, כי ההליך המשפטי מהווה גורם מרתיע ומציב גבולות באופן משמעותי.  כמו כן, הנאשם מקבל תמיכה משפחתית המאפשרת לסייע בשיקומו. עוד צוין, כי הנאשם בעל יכולת להתבוננות פנימית ובעל מוטיבציה להשתלב בהליך טיפולי. </w:t>
      </w:r>
    </w:p>
    <w:p w14:paraId="33F4B298" w14:textId="77777777" w:rsidR="00961ED8" w:rsidRPr="00E164B3" w:rsidRDefault="00961ED8" w:rsidP="00961ED8">
      <w:pPr>
        <w:snapToGrid w:val="0"/>
        <w:ind w:left="720"/>
        <w:contextualSpacing/>
        <w:rPr>
          <w:rtl/>
          <w:lang w:eastAsia="he-IL"/>
        </w:rPr>
      </w:pPr>
    </w:p>
    <w:p w14:paraId="4D743361"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 xml:space="preserve">נוכח המלצת שירות המבחן, הדיון מיום </w:t>
      </w:r>
      <w:r w:rsidRPr="00E164B3">
        <w:rPr>
          <w:b/>
          <w:bCs/>
          <w:rtl/>
          <w:lang w:eastAsia="he-IL"/>
        </w:rPr>
        <w:t>19.11.20</w:t>
      </w:r>
      <w:r w:rsidRPr="00E164B3">
        <w:rPr>
          <w:rtl/>
          <w:lang w:eastAsia="he-IL"/>
        </w:rPr>
        <w:t xml:space="preserve"> נדחה לצורך שילוב בטיפול.</w:t>
      </w:r>
    </w:p>
    <w:p w14:paraId="7DE3F8FC"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 xml:space="preserve">בתסקיר מיום </w:t>
      </w:r>
      <w:r w:rsidRPr="00E164B3">
        <w:rPr>
          <w:b/>
          <w:bCs/>
          <w:rtl/>
          <w:lang w:eastAsia="he-IL"/>
        </w:rPr>
        <w:t>15.3.21</w:t>
      </w:r>
      <w:r w:rsidRPr="00E164B3">
        <w:rPr>
          <w:rtl/>
          <w:lang w:eastAsia="he-IL"/>
        </w:rPr>
        <w:t xml:space="preserve"> נמסר, כי הנאשם החל לעבוד באופן מזדמן עם אחיו וכי הוא ערך מאמצים להשתלב בתעסוקה, אך נוכח התפרצות נגיף הקורונה עניין זה לא הסתייע. כן נמסר, כי בני משפחתו של הנאשם מסייעים לו כלכלית. עוד נמסר, כי לאחר שהיה ברשימת המתנה לטיפול והחל בו, התברר ששני שכניו  משתתפים בקבוצה זו ועל כן בוטלה השתתפות הנאשם בקבוצה והוא הוחזר לרשימת ההמתנה.</w:t>
      </w:r>
    </w:p>
    <w:p w14:paraId="2DD3D934"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בנסיבות אלה נדחה הדיון פעם נוספת.</w:t>
      </w:r>
    </w:p>
    <w:p w14:paraId="33406AE5"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 xml:space="preserve">בתסקיר מיום </w:t>
      </w:r>
      <w:r w:rsidRPr="00E164B3">
        <w:rPr>
          <w:b/>
          <w:bCs/>
          <w:rtl/>
          <w:lang w:eastAsia="he-IL"/>
        </w:rPr>
        <w:t>29.6.21</w:t>
      </w:r>
      <w:r w:rsidRPr="00E164B3">
        <w:rPr>
          <w:rtl/>
          <w:lang w:eastAsia="he-IL"/>
        </w:rPr>
        <w:t xml:space="preserve"> נמסר, כי הנאשם שולב בקבוצה טיפולית ומשתף בה פעולה באופן מלא. שירות המבחן המליץ, בנסיבות אלה, בהם הנאשם נעדר עבר פלילי וללא דפוסים עבריינים, במצב בו הסיכון בעניינו צומצם, להטיל על הנאשם ענישה מוחשית בדרך של מאסר בעבודות שירות, ומאסר מותנה, כעונש מרתיע נוסף ומציב גבולות ברורים.</w:t>
      </w:r>
    </w:p>
    <w:p w14:paraId="4951A636" w14:textId="77777777" w:rsidR="00961ED8" w:rsidRPr="00E164B3" w:rsidRDefault="00961ED8" w:rsidP="00961ED8">
      <w:pPr>
        <w:spacing w:after="160" w:line="360" w:lineRule="auto"/>
        <w:jc w:val="both"/>
        <w:rPr>
          <w:b/>
          <w:bCs/>
          <w:u w:val="single"/>
          <w:rtl/>
          <w:lang w:eastAsia="he-IL"/>
        </w:rPr>
      </w:pPr>
    </w:p>
    <w:p w14:paraId="5C624958" w14:textId="77777777" w:rsidR="00961ED8" w:rsidRPr="00E164B3" w:rsidRDefault="00961ED8" w:rsidP="00961ED8">
      <w:pPr>
        <w:spacing w:after="160" w:line="360" w:lineRule="auto"/>
        <w:jc w:val="both"/>
        <w:rPr>
          <w:b/>
          <w:bCs/>
          <w:u w:val="single"/>
          <w:rtl/>
          <w:lang w:eastAsia="he-IL"/>
        </w:rPr>
      </w:pPr>
      <w:r w:rsidRPr="00E164B3">
        <w:rPr>
          <w:b/>
          <w:bCs/>
          <w:u w:val="single"/>
          <w:rtl/>
          <w:lang w:eastAsia="he-IL"/>
        </w:rPr>
        <w:lastRenderedPageBreak/>
        <w:t>חוות דעת הממונה:</w:t>
      </w:r>
    </w:p>
    <w:p w14:paraId="41A4AC1B"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לבקשת ב"כ הנאשם, הנאשם הופנה לקבלת חוות דעת ממונה לביצוע עבודות שירות.</w:t>
      </w:r>
    </w:p>
    <w:p w14:paraId="656B5A4D"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 xml:space="preserve">בחוות הדעת שהתקבלה ביום </w:t>
      </w:r>
      <w:r w:rsidRPr="00E164B3">
        <w:rPr>
          <w:b/>
          <w:bCs/>
          <w:rtl/>
          <w:lang w:eastAsia="he-IL"/>
        </w:rPr>
        <w:t xml:space="preserve">2.9.21 </w:t>
      </w:r>
      <w:r w:rsidRPr="00E164B3">
        <w:rPr>
          <w:rtl/>
          <w:lang w:eastAsia="he-IL"/>
        </w:rPr>
        <w:t xml:space="preserve">הודיע הממונה, כי הנאשם אינו מתאים לרצות מאסר בדרך של עבודות שירות מנימוקים מודיעיניים הקבועים </w:t>
      </w:r>
      <w:hyperlink r:id="rId17" w:history="1">
        <w:r w:rsidR="00D223DA" w:rsidRPr="00D223DA">
          <w:rPr>
            <w:rStyle w:val="Hyperlink"/>
            <w:rtl/>
            <w:lang w:eastAsia="he-IL"/>
          </w:rPr>
          <w:t>בסעיף 51(ב1)(1)</w:t>
        </w:r>
      </w:hyperlink>
      <w:r w:rsidRPr="00E164B3">
        <w:rPr>
          <w:rtl/>
          <w:lang w:eastAsia="he-IL"/>
        </w:rPr>
        <w:t xml:space="preserve"> ל</w:t>
      </w:r>
      <w:hyperlink r:id="rId18" w:history="1">
        <w:r w:rsidR="007C765E" w:rsidRPr="007C765E">
          <w:rPr>
            <w:color w:val="0000FF"/>
            <w:u w:val="single"/>
            <w:rtl/>
            <w:lang w:eastAsia="he-IL"/>
          </w:rPr>
          <w:t>חוק העונשין</w:t>
        </w:r>
      </w:hyperlink>
      <w:r w:rsidRPr="00E164B3">
        <w:rPr>
          <w:rtl/>
          <w:lang w:eastAsia="he-IL"/>
        </w:rPr>
        <w:t xml:space="preserve">. </w:t>
      </w:r>
    </w:p>
    <w:p w14:paraId="62743BA6" w14:textId="77777777" w:rsidR="00961ED8" w:rsidRPr="00E164B3" w:rsidRDefault="00961ED8" w:rsidP="00961ED8">
      <w:pPr>
        <w:snapToGrid w:val="0"/>
        <w:spacing w:line="360" w:lineRule="auto"/>
        <w:ind w:left="360"/>
        <w:contextualSpacing/>
        <w:jc w:val="both"/>
        <w:rPr>
          <w:lang w:eastAsia="he-IL"/>
        </w:rPr>
      </w:pPr>
      <w:r w:rsidRPr="00E164B3">
        <w:rPr>
          <w:rtl/>
          <w:lang w:eastAsia="he-IL"/>
        </w:rPr>
        <w:t xml:space="preserve">לנוכח האמור, ביקש ב"כ הנאשם, לקיים דיון במעמד קצין המודיעין, לשם הבאת המידע לפני בית המשפט, הדיון נקבע ליום 3.10.21. </w:t>
      </w:r>
    </w:p>
    <w:p w14:paraId="20213CED"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 xml:space="preserve">בדיון מיום </w:t>
      </w:r>
      <w:r w:rsidRPr="00E164B3">
        <w:rPr>
          <w:b/>
          <w:bCs/>
          <w:rtl/>
          <w:lang w:eastAsia="he-IL"/>
        </w:rPr>
        <w:t>3.10.21</w:t>
      </w:r>
      <w:r w:rsidRPr="00E164B3">
        <w:rPr>
          <w:rtl/>
          <w:lang w:eastAsia="he-IL"/>
        </w:rPr>
        <w:t xml:space="preserve">, התייצבו הגורמים הרלוונטיים מהמשטרה ומשב"ס. בית המשפט עיין במעמד צד אחד בחומר המודיעיני. לאחר עיון במסמכים וקבלת מידע נוסף מגורמי המודיעין ניתנה החלטה, כי חוות דעת הממונה מבוססת היטב ואין מקום לשוב ולהפנות את הנאשם לקבלת חוות דעת נוספת, או לתת הוראות אחרות לממונה. </w:t>
      </w:r>
    </w:p>
    <w:p w14:paraId="362B1FF9"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ב"כ הנאשם ביקש, במצב דברים זה, להטיל על הנאשם מאסר קצר ככל הניתן, וקצר משמעותית מהתקופה אותה היה שוקל בית המשפט להטיל בעבודות שירות.</w:t>
      </w:r>
    </w:p>
    <w:p w14:paraId="2F765F10" w14:textId="77777777" w:rsidR="00961ED8" w:rsidRPr="00E164B3" w:rsidRDefault="00961ED8" w:rsidP="00961ED8">
      <w:pPr>
        <w:snapToGrid w:val="0"/>
        <w:spacing w:line="360" w:lineRule="auto"/>
        <w:ind w:left="360"/>
        <w:contextualSpacing/>
        <w:jc w:val="both"/>
        <w:rPr>
          <w:rtl/>
          <w:lang w:eastAsia="he-IL"/>
        </w:rPr>
      </w:pPr>
    </w:p>
    <w:p w14:paraId="6B29A6DA" w14:textId="77777777" w:rsidR="00961ED8" w:rsidRPr="00961ED8" w:rsidRDefault="00961ED8" w:rsidP="00961ED8">
      <w:pPr>
        <w:spacing w:after="160" w:line="360" w:lineRule="auto"/>
        <w:jc w:val="both"/>
        <w:rPr>
          <w:rFonts w:ascii="Calibri" w:hAnsi="Calibri"/>
          <w:b/>
          <w:bCs/>
          <w:u w:val="single"/>
          <w:rtl/>
        </w:rPr>
      </w:pPr>
      <w:r w:rsidRPr="00961ED8">
        <w:rPr>
          <w:rFonts w:ascii="Calibri" w:hAnsi="Calibri" w:hint="eastAsia"/>
          <w:b/>
          <w:bCs/>
          <w:u w:val="single"/>
          <w:rtl/>
        </w:rPr>
        <w:t>עדויות</w:t>
      </w:r>
      <w:r w:rsidRPr="00961ED8">
        <w:rPr>
          <w:rFonts w:ascii="Calibri" w:hAnsi="Calibri"/>
          <w:b/>
          <w:bCs/>
          <w:u w:val="single"/>
          <w:rtl/>
        </w:rPr>
        <w:t xml:space="preserve"> </w:t>
      </w:r>
      <w:r w:rsidRPr="00961ED8">
        <w:rPr>
          <w:rFonts w:ascii="Calibri" w:hAnsi="Calibri" w:hint="eastAsia"/>
          <w:b/>
          <w:bCs/>
          <w:u w:val="single"/>
          <w:rtl/>
        </w:rPr>
        <w:t>וראיות</w:t>
      </w:r>
      <w:r w:rsidRPr="00961ED8">
        <w:rPr>
          <w:rFonts w:ascii="Calibri" w:hAnsi="Calibri"/>
          <w:b/>
          <w:bCs/>
          <w:u w:val="single"/>
          <w:rtl/>
        </w:rPr>
        <w:t xml:space="preserve"> </w:t>
      </w:r>
      <w:r w:rsidRPr="00961ED8">
        <w:rPr>
          <w:rFonts w:ascii="Calibri" w:hAnsi="Calibri" w:hint="eastAsia"/>
          <w:b/>
          <w:bCs/>
          <w:u w:val="single"/>
          <w:rtl/>
        </w:rPr>
        <w:t>לעונש</w:t>
      </w:r>
    </w:p>
    <w:p w14:paraId="37F2E252"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המאשימה סקרה את עובדות כתב האישום וחזרה על הערכים המוגנים אשר נפגעו במקרה זה, כתוצאה מביצוע עבירות סמים למטרות הפצה.</w:t>
      </w:r>
    </w:p>
    <w:p w14:paraId="7BE137A1" w14:textId="77777777" w:rsidR="00961ED8" w:rsidRPr="00E164B3" w:rsidRDefault="00961ED8" w:rsidP="00961ED8">
      <w:pPr>
        <w:snapToGrid w:val="0"/>
        <w:spacing w:line="360" w:lineRule="auto"/>
        <w:ind w:left="360"/>
        <w:contextualSpacing/>
        <w:jc w:val="both"/>
        <w:rPr>
          <w:rtl/>
          <w:lang w:eastAsia="he-IL"/>
        </w:rPr>
      </w:pPr>
    </w:p>
    <w:p w14:paraId="0A202583" w14:textId="77777777" w:rsidR="00961ED8" w:rsidRPr="00E164B3" w:rsidRDefault="00961ED8" w:rsidP="00961ED8">
      <w:pPr>
        <w:snapToGrid w:val="0"/>
        <w:spacing w:line="360" w:lineRule="auto"/>
        <w:ind w:left="360"/>
        <w:contextualSpacing/>
        <w:jc w:val="both"/>
        <w:rPr>
          <w:lang w:eastAsia="he-IL"/>
        </w:rPr>
      </w:pPr>
      <w:r w:rsidRPr="00E164B3">
        <w:rPr>
          <w:rtl/>
          <w:lang w:eastAsia="he-IL"/>
        </w:rPr>
        <w:t xml:space="preserve">כן הפנתה לפסיקה רלוונטית בעניינו של הנאשם, </w:t>
      </w:r>
      <w:hyperlink r:id="rId19" w:history="1">
        <w:r w:rsidR="007C765E" w:rsidRPr="007C765E">
          <w:rPr>
            <w:b/>
            <w:bCs/>
            <w:color w:val="0000FF"/>
            <w:u w:val="single"/>
            <w:rtl/>
            <w:lang w:eastAsia="he-IL"/>
          </w:rPr>
          <w:t>רע"פ 513/21</w:t>
        </w:r>
      </w:hyperlink>
      <w:r w:rsidRPr="00E164B3">
        <w:rPr>
          <w:b/>
          <w:bCs/>
          <w:rtl/>
          <w:lang w:eastAsia="he-IL"/>
        </w:rPr>
        <w:t xml:space="preserve"> ישועה, </w:t>
      </w:r>
      <w:r w:rsidRPr="00E164B3">
        <w:rPr>
          <w:rtl/>
          <w:lang w:eastAsia="he-IL"/>
        </w:rPr>
        <w:t>שם הוטלו על 10 חודשי מאסר בגין גידול של 60 שתילים במשקל 10 ק"ג. כן הפנתה ל</w:t>
      </w:r>
      <w:hyperlink r:id="rId20" w:history="1">
        <w:r w:rsidR="007C765E" w:rsidRPr="007C765E">
          <w:rPr>
            <w:color w:val="0000FF"/>
            <w:u w:val="single"/>
            <w:rtl/>
            <w:lang w:eastAsia="he-IL"/>
          </w:rPr>
          <w:t>רע"פ 666/20;</w:t>
        </w:r>
      </w:hyperlink>
      <w:r w:rsidRPr="00E164B3">
        <w:rPr>
          <w:rtl/>
          <w:lang w:eastAsia="he-IL"/>
        </w:rPr>
        <w:t xml:space="preserve"> </w:t>
      </w:r>
      <w:hyperlink r:id="rId21" w:history="1">
        <w:r w:rsidR="007C765E" w:rsidRPr="007C765E">
          <w:rPr>
            <w:color w:val="0000FF"/>
            <w:u w:val="single"/>
            <w:rtl/>
            <w:lang w:eastAsia="he-IL"/>
          </w:rPr>
          <w:t>רע"פ 2870/18;</w:t>
        </w:r>
      </w:hyperlink>
      <w:r w:rsidRPr="00E164B3">
        <w:rPr>
          <w:rtl/>
          <w:lang w:eastAsia="he-IL"/>
        </w:rPr>
        <w:t xml:space="preserve"> </w:t>
      </w:r>
      <w:hyperlink r:id="rId22" w:history="1">
        <w:r w:rsidR="007C765E" w:rsidRPr="007C765E">
          <w:rPr>
            <w:color w:val="0000FF"/>
            <w:u w:val="single"/>
            <w:rtl/>
            <w:lang w:eastAsia="he-IL"/>
          </w:rPr>
          <w:t>רע"פ 7819/15;</w:t>
        </w:r>
      </w:hyperlink>
      <w:r w:rsidRPr="00E164B3">
        <w:rPr>
          <w:rtl/>
          <w:lang w:eastAsia="he-IL"/>
        </w:rPr>
        <w:t xml:space="preserve"> </w:t>
      </w:r>
      <w:hyperlink r:id="rId23" w:history="1">
        <w:r w:rsidR="007C765E" w:rsidRPr="007C765E">
          <w:rPr>
            <w:color w:val="0000FF"/>
            <w:u w:val="single"/>
            <w:rtl/>
            <w:lang w:eastAsia="he-IL"/>
          </w:rPr>
          <w:t>רע"פ 314/16;</w:t>
        </w:r>
      </w:hyperlink>
      <w:r w:rsidRPr="00E164B3">
        <w:rPr>
          <w:lang w:eastAsia="he-IL"/>
        </w:rPr>
        <w:t xml:space="preserve"> </w:t>
      </w:r>
      <w:hyperlink r:id="rId24" w:history="1">
        <w:r w:rsidR="007C765E" w:rsidRPr="007C765E">
          <w:rPr>
            <w:color w:val="0000FF"/>
            <w:u w:val="single"/>
            <w:rtl/>
            <w:lang w:eastAsia="he-IL"/>
          </w:rPr>
          <w:t>עפ"ג 1890-06-21</w:t>
        </w:r>
      </w:hyperlink>
      <w:r w:rsidRPr="00E164B3">
        <w:rPr>
          <w:rtl/>
          <w:lang w:eastAsia="he-IL"/>
        </w:rPr>
        <w:t>.</w:t>
      </w:r>
    </w:p>
    <w:p w14:paraId="0E4BB62F" w14:textId="77777777" w:rsidR="00961ED8" w:rsidRPr="00E164B3" w:rsidRDefault="00961ED8" w:rsidP="00961ED8">
      <w:pPr>
        <w:snapToGrid w:val="0"/>
        <w:spacing w:line="360" w:lineRule="auto"/>
        <w:ind w:left="360"/>
        <w:contextualSpacing/>
        <w:jc w:val="both"/>
        <w:rPr>
          <w:rtl/>
          <w:lang w:eastAsia="he-IL"/>
        </w:rPr>
      </w:pPr>
    </w:p>
    <w:p w14:paraId="0998E745"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נטען מאידך, כי קיימים במקרה זה שיקולי שיקום, גם אם מינימליים, ובית המשפט מתבקש לאזן בין כלל השיקולים.</w:t>
      </w:r>
    </w:p>
    <w:p w14:paraId="49ECEC67" w14:textId="77777777" w:rsidR="00961ED8" w:rsidRPr="00E164B3" w:rsidRDefault="00961ED8" w:rsidP="00961ED8">
      <w:pPr>
        <w:snapToGrid w:val="0"/>
        <w:spacing w:line="360" w:lineRule="auto"/>
        <w:ind w:left="360"/>
        <w:contextualSpacing/>
        <w:jc w:val="both"/>
        <w:rPr>
          <w:rtl/>
          <w:lang w:eastAsia="he-IL"/>
        </w:rPr>
      </w:pPr>
    </w:p>
    <w:p w14:paraId="2135F6F3"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 xml:space="preserve">נטען, כי מתחם העונש ההולם במקרה זה הוא 15-36 חודשי מאסר בפועל ובכל מקרה המתחם צריך להתחיל במאסר בפועל, כך שממילא מאסר בעבודות שירות אינו חלק ממתחם הענישה.  נטען, כי מדובר בעבירות הדורשות הכנה ותכנון והן אינן מבוצעות באופן ספונטני. </w:t>
      </w:r>
    </w:p>
    <w:p w14:paraId="2E4F7F5A" w14:textId="77777777" w:rsidR="00961ED8" w:rsidRPr="00E164B3" w:rsidRDefault="00961ED8" w:rsidP="00961ED8">
      <w:pPr>
        <w:snapToGrid w:val="0"/>
        <w:spacing w:line="360" w:lineRule="auto"/>
        <w:ind w:left="360"/>
        <w:contextualSpacing/>
        <w:jc w:val="both"/>
        <w:rPr>
          <w:rtl/>
          <w:lang w:eastAsia="he-IL"/>
        </w:rPr>
      </w:pPr>
    </w:p>
    <w:p w14:paraId="3AD56694" w14:textId="77777777" w:rsidR="00961ED8" w:rsidRPr="00E164B3" w:rsidRDefault="00961ED8" w:rsidP="00961ED8">
      <w:pPr>
        <w:snapToGrid w:val="0"/>
        <w:spacing w:line="360" w:lineRule="auto"/>
        <w:ind w:left="360"/>
        <w:contextualSpacing/>
        <w:jc w:val="both"/>
        <w:rPr>
          <w:lang w:eastAsia="he-IL"/>
        </w:rPr>
      </w:pPr>
      <w:r w:rsidRPr="00E164B3">
        <w:rPr>
          <w:rtl/>
          <w:lang w:eastAsia="he-IL"/>
        </w:rPr>
        <w:t xml:space="preserve">בשים לב לשיקולי השיקום המינימליים, יש למקם את עונשו של הנאשם ברף התחתון של המתחם בהתחשב בעובדה שהוא נעדר עבר פלילי, לקח אחריות על מעשיו והחל בהליך טיפולי. </w:t>
      </w:r>
    </w:p>
    <w:p w14:paraId="27CD0F2A" w14:textId="77777777" w:rsidR="00961ED8" w:rsidRPr="00E164B3" w:rsidRDefault="00961ED8" w:rsidP="00961ED8">
      <w:pPr>
        <w:numPr>
          <w:ilvl w:val="0"/>
          <w:numId w:val="1"/>
        </w:numPr>
        <w:snapToGrid w:val="0"/>
        <w:spacing w:line="360" w:lineRule="auto"/>
        <w:contextualSpacing/>
        <w:jc w:val="both"/>
        <w:rPr>
          <w:lang w:eastAsia="he-IL"/>
        </w:rPr>
      </w:pPr>
      <w:r w:rsidRPr="00E164B3">
        <w:rPr>
          <w:b/>
          <w:bCs/>
          <w:rtl/>
          <w:lang w:eastAsia="he-IL"/>
        </w:rPr>
        <w:t xml:space="preserve">ב"כ הנאשם </w:t>
      </w:r>
      <w:r w:rsidRPr="00E164B3">
        <w:rPr>
          <w:rtl/>
          <w:lang w:eastAsia="he-IL"/>
        </w:rPr>
        <w:t>טען, כי מדובר בנאשם צעיר, אשר הורשע במסגרת הסדר טיעון שלא כלל הסכמה לעניין העונש. כן סקר את עובדות כתב האישום וציין, כי עבירת ההחזקה בה הורשע הנאשם היא מאותו סם אותו גידל ולדבריו מדובר ב"פיצול" טכני של כמות הסם אשר נמצאה אצל הנאשם.</w:t>
      </w:r>
    </w:p>
    <w:p w14:paraId="00CB781B" w14:textId="77777777" w:rsidR="00961ED8" w:rsidRPr="00E164B3" w:rsidRDefault="00961ED8" w:rsidP="00961ED8">
      <w:pPr>
        <w:snapToGrid w:val="0"/>
        <w:spacing w:line="360" w:lineRule="auto"/>
        <w:ind w:left="360"/>
        <w:contextualSpacing/>
        <w:jc w:val="both"/>
        <w:rPr>
          <w:lang w:eastAsia="he-IL"/>
        </w:rPr>
      </w:pPr>
      <w:r w:rsidRPr="00E164B3">
        <w:rPr>
          <w:rtl/>
          <w:lang w:eastAsia="he-IL"/>
        </w:rPr>
        <w:t xml:space="preserve">נטען כי הנאשם שוהה במעצר בית ממרץ 2020 ומאז לא נרשמו לחובתו הפרות. </w:t>
      </w:r>
    </w:p>
    <w:p w14:paraId="18CB5FFB"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נטען, כי פסיקת בתי המשפט מקלה יותר כשמדובר בסם מסוג קנבוס, כי כמות השתילים נמוכה וכי משקל הסם הגבוה נבע מכך שכבר היו במצב פריחה סופי.</w:t>
      </w:r>
    </w:p>
    <w:p w14:paraId="4D2DCE31"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נטען כי הנאשם, שלא באשמתו, החל בהליך הטיפולי באיחור ושיתף בו פעולה באופן מלא.</w:t>
      </w:r>
    </w:p>
    <w:p w14:paraId="714C0102"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מנתוני התסקיר עולה כי קיימים שיקולי שיקום. הוסבר כי ברקע לביצוע העבירות מצוקה כלכלית עקב משבר תעסוקתי. כיום הנאשם נעזר במשפחתו ועורך מאמצים תעסוקתיים.</w:t>
      </w:r>
    </w:p>
    <w:p w14:paraId="0BCF8BBC"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נטען, כי מתחם העונש ההולם הוא 7-12 חודשי מאסר.</w:t>
      </w:r>
    </w:p>
    <w:p w14:paraId="34307541"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במצב דברים רגיל, נאשם אחר היה משולב בעבודות שירות.</w:t>
      </w:r>
    </w:p>
    <w:p w14:paraId="420EFCCE"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נטען, כי המתחם לו טוענת המאשימה אינו נתמך בפסיקה.</w:t>
      </w:r>
    </w:p>
    <w:p w14:paraId="54053B88" w14:textId="77777777" w:rsidR="00961ED8" w:rsidRPr="00E164B3" w:rsidRDefault="00961ED8" w:rsidP="00961ED8">
      <w:pPr>
        <w:snapToGrid w:val="0"/>
        <w:spacing w:line="360" w:lineRule="auto"/>
        <w:ind w:left="360"/>
        <w:contextualSpacing/>
        <w:jc w:val="both"/>
        <w:rPr>
          <w:rtl/>
          <w:lang w:eastAsia="he-IL"/>
        </w:rPr>
      </w:pPr>
      <w:r w:rsidRPr="00E164B3">
        <w:rPr>
          <w:rtl/>
          <w:lang w:eastAsia="he-IL"/>
        </w:rPr>
        <w:t>כן הפנה ב"כ הנאשם לפסיקה נוהגת מטעמו:</w:t>
      </w:r>
      <w:r w:rsidRPr="00E164B3">
        <w:rPr>
          <w:sz w:val="20"/>
          <w:rtl/>
          <w:lang w:eastAsia="he-IL"/>
        </w:rPr>
        <w:t xml:space="preserve"> </w:t>
      </w:r>
      <w:hyperlink r:id="rId25" w:history="1">
        <w:r w:rsidR="007C765E" w:rsidRPr="007C765E">
          <w:rPr>
            <w:color w:val="0000FF"/>
            <w:sz w:val="20"/>
            <w:u w:val="single"/>
            <w:rtl/>
            <w:lang w:eastAsia="he-IL"/>
          </w:rPr>
          <w:t>רע"פ 8237/15;</w:t>
        </w:r>
      </w:hyperlink>
      <w:r w:rsidRPr="00E164B3">
        <w:rPr>
          <w:sz w:val="20"/>
          <w:rtl/>
          <w:lang w:eastAsia="he-IL"/>
        </w:rPr>
        <w:t xml:space="preserve"> </w:t>
      </w:r>
      <w:hyperlink r:id="rId26" w:history="1">
        <w:r w:rsidR="007C765E" w:rsidRPr="007C765E">
          <w:rPr>
            <w:color w:val="0000FF"/>
            <w:sz w:val="20"/>
            <w:u w:val="single"/>
            <w:rtl/>
            <w:lang w:eastAsia="he-IL"/>
          </w:rPr>
          <w:t>רע"פ 5261/18;</w:t>
        </w:r>
      </w:hyperlink>
      <w:r w:rsidRPr="00E164B3">
        <w:rPr>
          <w:sz w:val="20"/>
          <w:rtl/>
          <w:lang w:eastAsia="he-IL"/>
        </w:rPr>
        <w:t xml:space="preserve"> </w:t>
      </w:r>
      <w:hyperlink r:id="rId27" w:history="1">
        <w:r w:rsidR="007C765E" w:rsidRPr="007C765E">
          <w:rPr>
            <w:color w:val="0000FF"/>
            <w:sz w:val="20"/>
            <w:u w:val="single"/>
            <w:rtl/>
            <w:lang w:eastAsia="he-IL"/>
          </w:rPr>
          <w:t>ת"פ 26968-01-18</w:t>
        </w:r>
      </w:hyperlink>
      <w:r w:rsidRPr="00E164B3">
        <w:rPr>
          <w:sz w:val="20"/>
          <w:rtl/>
          <w:lang w:eastAsia="he-IL"/>
        </w:rPr>
        <w:t xml:space="preserve">; </w:t>
      </w:r>
      <w:hyperlink r:id="rId28" w:history="1">
        <w:r w:rsidR="007C765E" w:rsidRPr="007C765E">
          <w:rPr>
            <w:color w:val="0000FF"/>
            <w:sz w:val="20"/>
            <w:u w:val="single"/>
            <w:rtl/>
            <w:lang w:eastAsia="he-IL"/>
          </w:rPr>
          <w:t>ת"פ 54487-02-16</w:t>
        </w:r>
      </w:hyperlink>
      <w:r w:rsidRPr="00E164B3">
        <w:rPr>
          <w:sz w:val="20"/>
          <w:rtl/>
          <w:lang w:eastAsia="he-IL"/>
        </w:rPr>
        <w:t xml:space="preserve">; </w:t>
      </w:r>
      <w:hyperlink r:id="rId29" w:history="1">
        <w:r w:rsidR="007C765E" w:rsidRPr="007C765E">
          <w:rPr>
            <w:color w:val="0000FF"/>
            <w:sz w:val="20"/>
            <w:u w:val="single"/>
            <w:rtl/>
            <w:lang w:eastAsia="he-IL"/>
          </w:rPr>
          <w:t>ת"פ 8843-02-15</w:t>
        </w:r>
      </w:hyperlink>
      <w:r w:rsidRPr="00E164B3">
        <w:rPr>
          <w:rtl/>
          <w:lang w:eastAsia="he-IL"/>
        </w:rPr>
        <w:t>.</w:t>
      </w:r>
    </w:p>
    <w:p w14:paraId="67C9C24C" w14:textId="77777777" w:rsidR="00961ED8" w:rsidRPr="00E164B3" w:rsidRDefault="00961ED8" w:rsidP="00961ED8">
      <w:pPr>
        <w:numPr>
          <w:ilvl w:val="0"/>
          <w:numId w:val="1"/>
        </w:numPr>
        <w:snapToGrid w:val="0"/>
        <w:spacing w:line="360" w:lineRule="auto"/>
        <w:contextualSpacing/>
        <w:jc w:val="both"/>
        <w:rPr>
          <w:lang w:eastAsia="he-IL"/>
        </w:rPr>
      </w:pPr>
      <w:r w:rsidRPr="00E164B3">
        <w:rPr>
          <w:b/>
          <w:bCs/>
          <w:rtl/>
          <w:lang w:eastAsia="he-IL"/>
        </w:rPr>
        <w:t xml:space="preserve">הנאשם </w:t>
      </w:r>
      <w:r w:rsidRPr="00E164B3">
        <w:rPr>
          <w:rtl/>
          <w:lang w:eastAsia="he-IL"/>
        </w:rPr>
        <w:t xml:space="preserve">בעצמו הביע צער על העבירה שעשה, טען כי עבר תקופה קשה וכי הטיפול היום היטיב עמו. </w:t>
      </w:r>
    </w:p>
    <w:p w14:paraId="422FBB0C" w14:textId="77777777" w:rsidR="00961ED8" w:rsidRPr="00961ED8" w:rsidRDefault="00961ED8" w:rsidP="00961ED8">
      <w:pPr>
        <w:spacing w:after="160" w:line="360" w:lineRule="auto"/>
        <w:jc w:val="both"/>
        <w:rPr>
          <w:rFonts w:ascii="Calibri" w:hAnsi="Calibri"/>
          <w:bCs/>
          <w:u w:val="single"/>
          <w:rtl/>
        </w:rPr>
      </w:pPr>
    </w:p>
    <w:p w14:paraId="3C27823E" w14:textId="77777777" w:rsidR="00961ED8" w:rsidRPr="00961ED8" w:rsidRDefault="00961ED8" w:rsidP="00961ED8">
      <w:pPr>
        <w:spacing w:after="160" w:line="360" w:lineRule="auto"/>
        <w:jc w:val="both"/>
        <w:rPr>
          <w:rFonts w:ascii="Calibri" w:hAnsi="Calibri"/>
          <w:bCs/>
          <w:u w:val="single"/>
          <w:rtl/>
        </w:rPr>
      </w:pPr>
      <w:r w:rsidRPr="00961ED8">
        <w:rPr>
          <w:rFonts w:ascii="Calibri" w:hAnsi="Calibri" w:hint="eastAsia"/>
          <w:bCs/>
          <w:u w:val="single"/>
          <w:rtl/>
        </w:rPr>
        <w:t>דיון</w:t>
      </w:r>
      <w:r w:rsidRPr="00961ED8">
        <w:rPr>
          <w:rFonts w:ascii="Calibri" w:hAnsi="Calibri"/>
          <w:bCs/>
          <w:u w:val="single"/>
          <w:rtl/>
        </w:rPr>
        <w:t xml:space="preserve"> </w:t>
      </w:r>
      <w:r w:rsidRPr="00961ED8">
        <w:rPr>
          <w:rFonts w:ascii="Calibri" w:hAnsi="Calibri" w:hint="eastAsia"/>
          <w:bCs/>
          <w:u w:val="single"/>
          <w:rtl/>
        </w:rPr>
        <w:t>והכרעה</w:t>
      </w:r>
    </w:p>
    <w:p w14:paraId="52BC57EB" w14:textId="77777777" w:rsidR="00961ED8" w:rsidRPr="00961ED8" w:rsidRDefault="00961ED8" w:rsidP="00961ED8">
      <w:pPr>
        <w:spacing w:after="160" w:line="360" w:lineRule="auto"/>
        <w:jc w:val="both"/>
        <w:rPr>
          <w:rFonts w:ascii="Calibri" w:hAnsi="Calibri"/>
          <w:u w:val="single"/>
        </w:rPr>
      </w:pPr>
      <w:r w:rsidRPr="00961ED8">
        <w:rPr>
          <w:rFonts w:ascii="Calibri" w:hAnsi="Calibri" w:hint="eastAsia"/>
          <w:u w:val="single"/>
          <w:rtl/>
        </w:rPr>
        <w:t>קביעת</w:t>
      </w:r>
      <w:r w:rsidRPr="00961ED8">
        <w:rPr>
          <w:rFonts w:ascii="Calibri" w:hAnsi="Calibri"/>
          <w:u w:val="single"/>
          <w:rtl/>
        </w:rPr>
        <w:t xml:space="preserve"> </w:t>
      </w:r>
      <w:r w:rsidRPr="00961ED8">
        <w:rPr>
          <w:rFonts w:ascii="Calibri" w:hAnsi="Calibri" w:hint="eastAsia"/>
          <w:u w:val="single"/>
          <w:rtl/>
        </w:rPr>
        <w:t>מתחם</w:t>
      </w:r>
      <w:r w:rsidRPr="00961ED8">
        <w:rPr>
          <w:rFonts w:ascii="Calibri" w:hAnsi="Calibri"/>
          <w:u w:val="single"/>
          <w:rtl/>
        </w:rPr>
        <w:t xml:space="preserve"> </w:t>
      </w:r>
      <w:r w:rsidRPr="00961ED8">
        <w:rPr>
          <w:rFonts w:ascii="Calibri" w:hAnsi="Calibri" w:hint="eastAsia"/>
          <w:u w:val="single"/>
          <w:rtl/>
        </w:rPr>
        <w:t>העונש</w:t>
      </w:r>
      <w:r w:rsidRPr="00961ED8">
        <w:rPr>
          <w:rFonts w:ascii="Calibri" w:hAnsi="Calibri"/>
          <w:u w:val="single"/>
          <w:rtl/>
        </w:rPr>
        <w:t xml:space="preserve"> </w:t>
      </w:r>
      <w:r w:rsidRPr="00961ED8">
        <w:rPr>
          <w:rFonts w:ascii="Calibri" w:hAnsi="Calibri" w:hint="eastAsia"/>
          <w:u w:val="single"/>
          <w:rtl/>
        </w:rPr>
        <w:t>ההולם</w:t>
      </w:r>
      <w:r w:rsidRPr="00961ED8">
        <w:rPr>
          <w:rFonts w:ascii="Calibri" w:hAnsi="Calibri"/>
          <w:u w:val="single"/>
          <w:rtl/>
        </w:rPr>
        <w:t>:</w:t>
      </w:r>
    </w:p>
    <w:p w14:paraId="1E85B295"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בגינה.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0A20BA4D" w14:textId="77777777" w:rsidR="00961ED8" w:rsidRPr="00E164B3" w:rsidRDefault="00961ED8" w:rsidP="00961ED8">
      <w:pPr>
        <w:snapToGrid w:val="0"/>
        <w:spacing w:line="360" w:lineRule="auto"/>
        <w:ind w:left="360"/>
        <w:contextualSpacing/>
        <w:jc w:val="both"/>
        <w:rPr>
          <w:rtl/>
          <w:lang w:eastAsia="he-IL"/>
        </w:rPr>
      </w:pPr>
    </w:p>
    <w:p w14:paraId="2497C9FB" w14:textId="77777777" w:rsidR="00961ED8" w:rsidRDefault="00961ED8" w:rsidP="00961ED8">
      <w:pPr>
        <w:numPr>
          <w:ilvl w:val="0"/>
          <w:numId w:val="1"/>
        </w:numPr>
        <w:snapToGrid w:val="0"/>
        <w:spacing w:after="200" w:line="360" w:lineRule="auto"/>
        <w:contextualSpacing/>
        <w:jc w:val="both"/>
        <w:rPr>
          <w:rFonts w:ascii="David" w:hAnsi="David"/>
          <w:lang w:eastAsia="he-IL"/>
        </w:rPr>
      </w:pPr>
      <w:r w:rsidRPr="00E164B3">
        <w:rPr>
          <w:rFonts w:ascii="David" w:hAnsi="David"/>
          <w:rtl/>
          <w:lang w:eastAsia="he-IL"/>
        </w:rPr>
        <w:t xml:space="preserve">הערכים המוגנים בעבירות סמים הם הגנה על בריאות הציבור ועל שלומו הפיזי והנפשי וכן על רכושו, מפני הנזקים הישירים והעקיפים הנגרמים עקב השימוש בסמים. חקיקת הסמים נועדה לעקור את נגע הסמים מהשורש. והמחוקק מצא להחמיר בעבירות ייצור וגידול הסם ולהשוותן לסחר בסמים, מבחינה נורמטיבית.  בגידול הסמים לצרכי הפצה טמון פוטנציאל לנזק רחב, לא רק למעורבים הישירים בביצוע העבירה ואף לא רק לצרכנים המיועדים, אלא לציבור כולו: לבני המשפחה, לבעלי העסקים והציבור הנפגע מעבירות הרכוש הנלוות לעיתים קרובות לתלות בסם, לציבור המצוי במרחבים הציבוריים שהאווירה ואיכות החיים בהם נפגמת כתוצאה מהתופעה הנרחבת של הפצת הסם. כך, במקומות הבילוי, בכבישי הארץ, בגנים ובפארקים הציבוריים. </w:t>
      </w:r>
    </w:p>
    <w:p w14:paraId="6E2C69E3" w14:textId="77777777" w:rsidR="00961ED8" w:rsidRPr="00E164B3" w:rsidRDefault="00961ED8" w:rsidP="00961ED8">
      <w:pPr>
        <w:snapToGrid w:val="0"/>
        <w:spacing w:after="200" w:line="360" w:lineRule="auto"/>
        <w:ind w:left="360"/>
        <w:contextualSpacing/>
        <w:jc w:val="both"/>
        <w:rPr>
          <w:rFonts w:ascii="David" w:hAnsi="David"/>
          <w:lang w:eastAsia="he-IL"/>
        </w:rPr>
      </w:pPr>
    </w:p>
    <w:p w14:paraId="38E72326" w14:textId="77777777" w:rsidR="00961ED8" w:rsidRPr="00E164B3" w:rsidRDefault="00961ED8" w:rsidP="00961ED8">
      <w:pPr>
        <w:snapToGrid w:val="0"/>
        <w:spacing w:line="360" w:lineRule="auto"/>
        <w:ind w:left="360"/>
        <w:contextualSpacing/>
        <w:jc w:val="both"/>
        <w:rPr>
          <w:rFonts w:ascii="David" w:hAnsi="David"/>
          <w:lang w:eastAsia="he-IL"/>
        </w:rPr>
      </w:pPr>
      <w:r w:rsidRPr="00E164B3">
        <w:rPr>
          <w:rFonts w:ascii="David" w:hAnsi="David"/>
          <w:rtl/>
          <w:lang w:eastAsia="he-IL"/>
        </w:rPr>
        <w:t>לעניין זה ראו דבריו הברורים של הרכב בית המשפט המחוזי בתל-אביב במסגרת עפ"ג</w:t>
      </w:r>
      <w:r>
        <w:rPr>
          <w:rFonts w:ascii="David" w:hAnsi="David" w:hint="cs"/>
          <w:rtl/>
          <w:lang w:eastAsia="he-IL"/>
        </w:rPr>
        <w:t xml:space="preserve">                </w:t>
      </w:r>
      <w:r w:rsidRPr="00E164B3">
        <w:rPr>
          <w:rFonts w:ascii="David" w:hAnsi="David"/>
          <w:rtl/>
          <w:lang w:eastAsia="he-IL"/>
        </w:rPr>
        <w:t xml:space="preserve"> </w:t>
      </w:r>
      <w:hyperlink r:id="rId30" w:history="1">
        <w:r w:rsidR="00BD5690" w:rsidRPr="00BD5690">
          <w:rPr>
            <w:rFonts w:ascii="David" w:hAnsi="David"/>
            <w:color w:val="0000FF"/>
            <w:u w:val="single"/>
            <w:rtl/>
            <w:lang w:eastAsia="he-IL"/>
          </w:rPr>
          <w:t xml:space="preserve">46738-09-14 </w:t>
        </w:r>
      </w:hyperlink>
      <w:r w:rsidRPr="00E164B3">
        <w:rPr>
          <w:rFonts w:ascii="David" w:hAnsi="David"/>
          <w:rtl/>
          <w:lang w:eastAsia="he-IL"/>
        </w:rPr>
        <w:t xml:space="preserve"> </w:t>
      </w:r>
      <w:r w:rsidRPr="00E164B3">
        <w:rPr>
          <w:rFonts w:ascii="David" w:hAnsi="David"/>
          <w:b/>
          <w:bCs/>
          <w:rtl/>
          <w:lang w:eastAsia="he-IL"/>
        </w:rPr>
        <w:t>מדינת ישראל נ' צקבאשווילי ואח'</w:t>
      </w:r>
      <w:r w:rsidRPr="00E164B3">
        <w:rPr>
          <w:rFonts w:ascii="David" w:hAnsi="David"/>
          <w:rtl/>
          <w:lang w:eastAsia="he-IL"/>
        </w:rPr>
        <w:t xml:space="preserve"> (31.12.14):</w:t>
      </w:r>
    </w:p>
    <w:p w14:paraId="163C420C" w14:textId="77777777" w:rsidR="00961ED8" w:rsidRPr="00E164B3" w:rsidRDefault="00961ED8" w:rsidP="00961ED8">
      <w:pPr>
        <w:snapToGrid w:val="0"/>
        <w:spacing w:line="360" w:lineRule="auto"/>
        <w:ind w:left="360"/>
        <w:contextualSpacing/>
        <w:jc w:val="both"/>
        <w:rPr>
          <w:rFonts w:ascii="David" w:hAnsi="David"/>
          <w:rtl/>
          <w:lang w:eastAsia="he-IL"/>
        </w:rPr>
      </w:pPr>
    </w:p>
    <w:p w14:paraId="20BE86A6" w14:textId="77777777" w:rsidR="00961ED8" w:rsidRPr="00E164B3" w:rsidRDefault="00961ED8" w:rsidP="00961ED8">
      <w:pPr>
        <w:widowControl w:val="0"/>
        <w:snapToGrid w:val="0"/>
        <w:spacing w:before="60" w:line="360" w:lineRule="auto"/>
        <w:ind w:left="1440" w:right="992"/>
        <w:jc w:val="both"/>
        <w:rPr>
          <w:rFonts w:ascii="David" w:hAnsi="David"/>
          <w:rtl/>
          <w:lang w:eastAsia="he-IL"/>
        </w:rPr>
      </w:pPr>
      <w:r w:rsidRPr="00E164B3">
        <w:rPr>
          <w:rFonts w:ascii="David" w:hAnsi="David"/>
          <w:rtl/>
          <w:lang w:eastAsia="he-IL"/>
        </w:rPr>
        <w:t>"</w:t>
      </w:r>
      <w:r w:rsidRPr="00E164B3">
        <w:rPr>
          <w:rFonts w:ascii="David" w:hAnsi="David"/>
          <w:b/>
          <w:bCs/>
          <w:rtl/>
          <w:lang w:eastAsia="he-IL"/>
        </w:rPr>
        <w:t>גידול סמים לשיטתנו כמוהו, מבחינת החומרה, כסחר והפצת סמים. לא זו בלבד, אלא שבהינתן המציאות הנוכחית שבה גידול הסמים הפך להיות למכת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r w:rsidRPr="00E164B3">
        <w:rPr>
          <w:rFonts w:ascii="David" w:hAnsi="David"/>
          <w:rtl/>
          <w:lang w:eastAsia="he-IL"/>
        </w:rPr>
        <w:t>".</w:t>
      </w:r>
    </w:p>
    <w:p w14:paraId="4840624D" w14:textId="77777777" w:rsidR="00961ED8" w:rsidRPr="00E164B3" w:rsidRDefault="00961ED8" w:rsidP="00961ED8">
      <w:pPr>
        <w:widowControl w:val="0"/>
        <w:snapToGrid w:val="0"/>
        <w:spacing w:before="120" w:line="360" w:lineRule="auto"/>
        <w:ind w:left="714"/>
        <w:jc w:val="both"/>
        <w:rPr>
          <w:rFonts w:ascii="David" w:hAnsi="David"/>
          <w:rtl/>
          <w:lang w:eastAsia="he-IL"/>
        </w:rPr>
      </w:pPr>
      <w:r w:rsidRPr="00E164B3">
        <w:rPr>
          <w:rFonts w:ascii="David" w:hAnsi="David"/>
          <w:rtl/>
          <w:lang w:eastAsia="he-IL"/>
        </w:rPr>
        <w:t>ראו עוד גם ב</w:t>
      </w:r>
      <w:hyperlink r:id="rId31" w:history="1">
        <w:r w:rsidR="007C765E" w:rsidRPr="007C765E">
          <w:rPr>
            <w:rFonts w:ascii="David" w:hAnsi="David"/>
            <w:color w:val="0000FF"/>
            <w:u w:val="single"/>
            <w:rtl/>
            <w:lang w:eastAsia="he-IL"/>
          </w:rPr>
          <w:t>עפ"ג 42358-10-14</w:t>
        </w:r>
      </w:hyperlink>
      <w:r w:rsidRPr="00E164B3">
        <w:rPr>
          <w:rFonts w:ascii="David" w:hAnsi="David"/>
          <w:rtl/>
          <w:lang w:eastAsia="he-IL"/>
        </w:rPr>
        <w:t xml:space="preserve"> </w:t>
      </w:r>
      <w:r w:rsidRPr="00E164B3">
        <w:rPr>
          <w:rFonts w:ascii="David" w:hAnsi="David"/>
          <w:b/>
          <w:bCs/>
          <w:rtl/>
          <w:lang w:eastAsia="he-IL"/>
        </w:rPr>
        <w:t xml:space="preserve">גיא נ' מדינת ישראל </w:t>
      </w:r>
      <w:r w:rsidRPr="00E164B3">
        <w:rPr>
          <w:rFonts w:ascii="David" w:hAnsi="David"/>
          <w:rtl/>
          <w:lang w:eastAsia="he-IL"/>
        </w:rPr>
        <w:t xml:space="preserve">(18.2.15):  </w:t>
      </w:r>
    </w:p>
    <w:p w14:paraId="6907EF33" w14:textId="77777777" w:rsidR="00961ED8" w:rsidRPr="00E164B3" w:rsidRDefault="00961ED8" w:rsidP="00961ED8">
      <w:pPr>
        <w:widowControl w:val="0"/>
        <w:snapToGrid w:val="0"/>
        <w:spacing w:before="120"/>
        <w:ind w:left="714"/>
        <w:jc w:val="both"/>
        <w:rPr>
          <w:rFonts w:ascii="David" w:hAnsi="David"/>
          <w:b/>
          <w:bCs/>
          <w:lang w:eastAsia="he-IL"/>
        </w:rPr>
      </w:pPr>
      <w:r w:rsidRPr="00E164B3">
        <w:rPr>
          <w:rFonts w:ascii="David" w:hAnsi="David"/>
          <w:rtl/>
          <w:lang w:eastAsia="he-IL"/>
        </w:rPr>
        <w:t xml:space="preserve">  </w:t>
      </w:r>
    </w:p>
    <w:p w14:paraId="70705F73" w14:textId="77777777" w:rsidR="00961ED8" w:rsidRPr="00E164B3" w:rsidRDefault="00961ED8" w:rsidP="00961ED8">
      <w:pPr>
        <w:widowControl w:val="0"/>
        <w:spacing w:before="60" w:after="160" w:line="360" w:lineRule="auto"/>
        <w:ind w:left="1440" w:right="993"/>
        <w:jc w:val="both"/>
        <w:rPr>
          <w:rFonts w:ascii="David" w:hAnsi="David"/>
          <w:b/>
          <w:bCs/>
        </w:rPr>
      </w:pPr>
      <w:r w:rsidRPr="00E164B3">
        <w:rPr>
          <w:rFonts w:ascii="David" w:hAnsi="David"/>
          <w:b/>
          <w:bCs/>
          <w:rtl/>
        </w:rPr>
        <w:t>"דומה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w:t>
      </w:r>
    </w:p>
    <w:p w14:paraId="220ABC82" w14:textId="77777777" w:rsidR="00961ED8" w:rsidRPr="00E164B3" w:rsidRDefault="00961ED8" w:rsidP="00961ED8">
      <w:pPr>
        <w:numPr>
          <w:ilvl w:val="0"/>
          <w:numId w:val="1"/>
        </w:numPr>
        <w:snapToGrid w:val="0"/>
        <w:spacing w:after="200" w:line="360" w:lineRule="auto"/>
        <w:contextualSpacing/>
        <w:jc w:val="both"/>
        <w:rPr>
          <w:rFonts w:ascii="David" w:hAnsi="David"/>
          <w:lang w:eastAsia="he-IL"/>
        </w:rPr>
      </w:pPr>
      <w:r w:rsidRPr="00E164B3">
        <w:rPr>
          <w:rFonts w:ascii="David" w:hAnsi="David"/>
          <w:rtl/>
          <w:lang w:eastAsia="he-IL"/>
        </w:rPr>
        <w:t>בבחינת נסיבות ביצוע העבירה במקרה זה, יש לקחת בחשבון את היקף הגידול שבאופן יחסי אינו גדול – הן מבחינת מספר השתילים והן מבחינת היקף התשתית. על פי כתב האישום מדובר במעבדה מאולתרת באחד מהחדרים בבית הנאשם ולא מדובר בפעילות מסחרית שיטתית, המוכרת מתיקים אחרים, הכרוכה בהקצאת מקום, בבניית חממה ובגידול המוני.</w:t>
      </w:r>
    </w:p>
    <w:p w14:paraId="10EE9947" w14:textId="77777777" w:rsidR="00961ED8" w:rsidRPr="00E164B3" w:rsidRDefault="00961ED8" w:rsidP="00961ED8">
      <w:pPr>
        <w:snapToGrid w:val="0"/>
        <w:spacing w:after="200" w:line="360" w:lineRule="auto"/>
        <w:ind w:left="360"/>
        <w:contextualSpacing/>
        <w:jc w:val="both"/>
        <w:rPr>
          <w:rFonts w:ascii="David" w:hAnsi="David"/>
          <w:rtl/>
          <w:lang w:eastAsia="he-IL"/>
        </w:rPr>
      </w:pPr>
    </w:p>
    <w:p w14:paraId="2C7AE84D" w14:textId="77777777" w:rsidR="00961ED8" w:rsidRPr="00E164B3" w:rsidRDefault="00961ED8" w:rsidP="00961ED8">
      <w:pPr>
        <w:snapToGrid w:val="0"/>
        <w:spacing w:after="200" w:line="360" w:lineRule="auto"/>
        <w:ind w:left="360"/>
        <w:contextualSpacing/>
        <w:jc w:val="both"/>
        <w:rPr>
          <w:rFonts w:ascii="David" w:hAnsi="David"/>
          <w:b/>
          <w:bCs/>
          <w:lang w:eastAsia="he-IL"/>
        </w:rPr>
      </w:pPr>
      <w:r w:rsidRPr="00E164B3">
        <w:rPr>
          <w:rFonts w:ascii="David" w:hAnsi="David"/>
          <w:rtl/>
          <w:lang w:eastAsia="he-IL"/>
        </w:rPr>
        <w:t>לעניין זה ראו הערותיו המנחות של בית המשפט המחוזי, לאחרונה ממש, במסגרת ערעור על פסק דינו של מותב זה ב</w:t>
      </w:r>
      <w:hyperlink r:id="rId32" w:history="1">
        <w:r w:rsidR="007C765E" w:rsidRPr="007C765E">
          <w:rPr>
            <w:rFonts w:ascii="David" w:hAnsi="David"/>
            <w:color w:val="0000FF"/>
            <w:u w:val="single"/>
            <w:rtl/>
            <w:lang w:eastAsia="he-IL"/>
          </w:rPr>
          <w:t>עפ"ג (ב"ש) 39979-05-21</w:t>
        </w:r>
      </w:hyperlink>
      <w:r w:rsidRPr="00E164B3">
        <w:rPr>
          <w:rFonts w:ascii="David" w:hAnsi="David"/>
          <w:rtl/>
          <w:lang w:eastAsia="he-IL"/>
        </w:rPr>
        <w:t xml:space="preserve"> </w:t>
      </w:r>
      <w:r w:rsidRPr="00E164B3">
        <w:rPr>
          <w:rFonts w:ascii="David" w:hAnsi="David"/>
          <w:b/>
          <w:bCs/>
          <w:rtl/>
          <w:lang w:eastAsia="he-IL"/>
        </w:rPr>
        <w:t>אגיבייב נ' מ"י (9.9.21, ההדגשה הוספה):</w:t>
      </w:r>
    </w:p>
    <w:p w14:paraId="022E8B99" w14:textId="77777777" w:rsidR="00961ED8" w:rsidRPr="00E164B3" w:rsidRDefault="00961ED8" w:rsidP="00961ED8">
      <w:pPr>
        <w:spacing w:after="160" w:line="259" w:lineRule="auto"/>
        <w:rPr>
          <w:rFonts w:ascii="Arial" w:hAnsi="Arial" w:cs="Arial"/>
          <w:sz w:val="22"/>
          <w:szCs w:val="22"/>
          <w:rtl/>
        </w:rPr>
      </w:pPr>
    </w:p>
    <w:p w14:paraId="4EAE13D8" w14:textId="77777777" w:rsidR="00961ED8" w:rsidRPr="00E164B3" w:rsidRDefault="00961ED8" w:rsidP="00961ED8">
      <w:pPr>
        <w:spacing w:after="160" w:line="360" w:lineRule="auto"/>
        <w:ind w:left="793" w:right="426"/>
        <w:jc w:val="both"/>
        <w:rPr>
          <w:rFonts w:ascii="David" w:hAnsi="David"/>
        </w:rPr>
      </w:pPr>
      <w:r w:rsidRPr="00E164B3">
        <w:rPr>
          <w:rFonts w:ascii="David" w:hAnsi="David"/>
          <w:rtl/>
        </w:rPr>
        <w:t xml:space="preserve">"...הכלל שנקבע בפסיקה, ואשר בהחלט מחמיר את הענישה בעת האחרונה, קובע כי מתחם העונש ההולם ייקבע בהתאם לעקרון המנחה, תוך מתן משקל לפגיעה בערכים המוגנים, למידת הפגיעה בהם ולמדיניות הענישה בנסיבות הקשורות לביצוע העבירה. כך גם בעבירות של גידול, ייצור והחזקה של סמים מסוכנים, כאשר </w:t>
      </w:r>
      <w:r w:rsidRPr="00E164B3">
        <w:rPr>
          <w:rFonts w:ascii="David" w:hAnsi="David"/>
          <w:b/>
          <w:bCs/>
          <w:rtl/>
        </w:rPr>
        <w:t>מירב המשקל יינתן להיקף הגידול והחזקה של הסמים ולהיקף פוטנציאל לגידול בהחזקה לאור כמות השתילים שגידל הנאשם. כמו כן, יינתן משקל למשאבים שהשקיע הנאשם על מנת לקדם הצלחת הגידול. המשקל של הסם בעבירות של גידול סמים, הגם שהוא רלוונטי, עדיין מדובר בנקודת זמן מקרי, היינו מועד גילוי העבירה ע"י המשטרה, כאשר אין כל מקום לדרוש מהמשטרה להמתין עד שהשתילים יגדלו רק כדי להחמיר בענישה.</w:t>
      </w:r>
      <w:r w:rsidRPr="00E164B3">
        <w:rPr>
          <w:rFonts w:ascii="David" w:hAnsi="David"/>
          <w:rtl/>
        </w:rPr>
        <w:t xml:space="preserve"> די בכמות השתילים כדי ללמד על פוטנציאל הנזק הצפוי מהעבירה, ובמקרה שבפנינו, מדובר בכמות גבוהה ביותר של שתילים..."</w:t>
      </w:r>
    </w:p>
    <w:p w14:paraId="073C2635" w14:textId="77777777" w:rsidR="00961ED8" w:rsidRPr="00E164B3" w:rsidRDefault="00961ED8" w:rsidP="00961ED8">
      <w:pPr>
        <w:snapToGrid w:val="0"/>
        <w:spacing w:after="200" w:line="360" w:lineRule="auto"/>
        <w:ind w:left="360"/>
        <w:contextualSpacing/>
        <w:jc w:val="both"/>
        <w:rPr>
          <w:rFonts w:ascii="David" w:hAnsi="David"/>
          <w:rtl/>
          <w:lang w:eastAsia="he-IL"/>
        </w:rPr>
      </w:pPr>
    </w:p>
    <w:p w14:paraId="2992767A" w14:textId="77777777" w:rsidR="00961ED8" w:rsidRPr="00E164B3" w:rsidRDefault="00961ED8" w:rsidP="00961ED8">
      <w:pPr>
        <w:numPr>
          <w:ilvl w:val="0"/>
          <w:numId w:val="1"/>
        </w:numPr>
        <w:snapToGrid w:val="0"/>
        <w:spacing w:after="200" w:line="360" w:lineRule="auto"/>
        <w:contextualSpacing/>
        <w:jc w:val="both"/>
        <w:rPr>
          <w:rFonts w:ascii="David" w:hAnsi="David"/>
          <w:rtl/>
          <w:lang w:eastAsia="he-IL"/>
        </w:rPr>
      </w:pPr>
      <w:r w:rsidRPr="00E164B3">
        <w:rPr>
          <w:rFonts w:ascii="David" w:hAnsi="David"/>
          <w:rtl/>
          <w:lang w:eastAsia="he-IL"/>
        </w:rPr>
        <w:t>הנאשם הורשע גם בהחזקת 500 גרם קנבוס. גם המאשימה רואה בהחזקה ובגידול אירוע אחד, וטענה לעונש אחד. עם זאת, אין לראות בכך פיצול "טכני" כנטען. גם אם מקבלים לזכות הנאשם את הטענה, כי מדובר בתוצרי הגידול ולא ברכישת סם נוספת, הדבר מלמד על פוריות והצלחת הגידול ועל פוטנציאל הנזק במקרה זה שהוא מוגבר, חרף כמות השתילים הלא גדולה.</w:t>
      </w:r>
    </w:p>
    <w:p w14:paraId="72D7FB23" w14:textId="77777777" w:rsidR="00961ED8" w:rsidRPr="00E164B3" w:rsidRDefault="00961ED8" w:rsidP="00961ED8">
      <w:pPr>
        <w:snapToGrid w:val="0"/>
        <w:spacing w:after="200" w:line="360" w:lineRule="auto"/>
        <w:ind w:left="360"/>
        <w:contextualSpacing/>
        <w:jc w:val="both"/>
        <w:rPr>
          <w:rFonts w:ascii="David" w:hAnsi="David"/>
          <w:rtl/>
          <w:lang w:eastAsia="he-IL"/>
        </w:rPr>
      </w:pPr>
    </w:p>
    <w:p w14:paraId="62CA5F3B" w14:textId="77777777" w:rsidR="00961ED8" w:rsidRPr="00E164B3" w:rsidRDefault="00961ED8" w:rsidP="00961ED8">
      <w:pPr>
        <w:snapToGrid w:val="0"/>
        <w:spacing w:after="200" w:line="360" w:lineRule="auto"/>
        <w:ind w:left="360"/>
        <w:contextualSpacing/>
        <w:jc w:val="both"/>
        <w:rPr>
          <w:rFonts w:ascii="David" w:hAnsi="David"/>
          <w:rtl/>
          <w:lang w:eastAsia="he-IL"/>
        </w:rPr>
      </w:pPr>
      <w:r w:rsidRPr="00E164B3">
        <w:rPr>
          <w:rFonts w:ascii="David" w:hAnsi="David"/>
          <w:rtl/>
          <w:lang w:eastAsia="he-IL"/>
        </w:rPr>
        <w:t>מידת הפגיעה בערכים המוגנים במקרה זה היא, איפוא, ברף הבינוני.</w:t>
      </w:r>
    </w:p>
    <w:p w14:paraId="08B43B78" w14:textId="77777777" w:rsidR="00961ED8" w:rsidRPr="00E164B3" w:rsidRDefault="00961ED8" w:rsidP="00961ED8">
      <w:pPr>
        <w:snapToGrid w:val="0"/>
        <w:spacing w:after="200" w:line="360" w:lineRule="auto"/>
        <w:ind w:left="360"/>
        <w:contextualSpacing/>
        <w:jc w:val="both"/>
        <w:rPr>
          <w:rFonts w:ascii="David" w:hAnsi="David"/>
          <w:lang w:eastAsia="he-IL"/>
        </w:rPr>
      </w:pPr>
    </w:p>
    <w:p w14:paraId="055A26B1" w14:textId="77777777" w:rsidR="00961ED8" w:rsidRPr="00E164B3" w:rsidRDefault="00961ED8" w:rsidP="00961ED8">
      <w:pPr>
        <w:spacing w:after="200" w:line="360" w:lineRule="auto"/>
        <w:jc w:val="both"/>
        <w:rPr>
          <w:rFonts w:ascii="David" w:hAnsi="David"/>
          <w:b/>
          <w:bCs/>
          <w:u w:val="single"/>
        </w:rPr>
      </w:pPr>
      <w:r w:rsidRPr="00E164B3">
        <w:rPr>
          <w:rFonts w:ascii="David" w:hAnsi="David"/>
          <w:b/>
          <w:bCs/>
          <w:u w:val="single"/>
          <w:rtl/>
        </w:rPr>
        <w:t>בחינת מדיניות הענישה בעבירת הגידול:</w:t>
      </w:r>
    </w:p>
    <w:p w14:paraId="6E8AFB56" w14:textId="77777777" w:rsidR="00961ED8" w:rsidRPr="00E164B3" w:rsidRDefault="00961ED8" w:rsidP="00961ED8">
      <w:pPr>
        <w:numPr>
          <w:ilvl w:val="0"/>
          <w:numId w:val="1"/>
        </w:numPr>
        <w:snapToGrid w:val="0"/>
        <w:spacing w:after="200" w:line="360" w:lineRule="auto"/>
        <w:contextualSpacing/>
        <w:jc w:val="both"/>
        <w:rPr>
          <w:rFonts w:ascii="David" w:hAnsi="David"/>
          <w:lang w:eastAsia="he-IL"/>
        </w:rPr>
      </w:pPr>
      <w:r w:rsidRPr="00E164B3">
        <w:rPr>
          <w:rFonts w:ascii="David" w:hAnsi="David"/>
          <w:rtl/>
          <w:lang w:eastAsia="he-IL"/>
        </w:rPr>
        <w:t xml:space="preserve">בבחינת </w:t>
      </w:r>
      <w:r w:rsidRPr="00E164B3">
        <w:rPr>
          <w:rFonts w:ascii="David" w:hAnsi="David"/>
          <w:b/>
          <w:bCs/>
          <w:rtl/>
          <w:lang w:eastAsia="he-IL"/>
        </w:rPr>
        <w:t xml:space="preserve">מדיניות הענישה הנוהגת בעבירה זו </w:t>
      </w:r>
      <w:r w:rsidRPr="00E164B3">
        <w:rPr>
          <w:rFonts w:ascii="David" w:hAnsi="David"/>
          <w:rtl/>
          <w:lang w:eastAsia="he-IL"/>
        </w:rPr>
        <w:t xml:space="preserve">עיינתי באסמכתאות אליהן הפנו ב"כ הצדדים. העיון מלמד, כי במקרים שונים נקבעו מתחמי ענישה במנעד המשקף בעיקר את נסיבות הגידול ואת היקפו, ותוך התחשבות בטיב ובהיקף התשתית, מספר השתילים, כמות הסם בפועל, ונסיבות אחרות של מעשה העבירה. </w:t>
      </w:r>
    </w:p>
    <w:p w14:paraId="64D9046E" w14:textId="77777777" w:rsidR="00961ED8" w:rsidRPr="00E164B3" w:rsidRDefault="00961ED8" w:rsidP="00961ED8">
      <w:pPr>
        <w:snapToGrid w:val="0"/>
        <w:spacing w:after="200" w:line="360" w:lineRule="auto"/>
        <w:ind w:left="360"/>
        <w:contextualSpacing/>
        <w:jc w:val="both"/>
        <w:rPr>
          <w:rFonts w:ascii="David" w:hAnsi="David"/>
          <w:lang w:eastAsia="he-IL"/>
        </w:rPr>
      </w:pPr>
    </w:p>
    <w:p w14:paraId="748BE944" w14:textId="77777777" w:rsidR="00961ED8" w:rsidRPr="00E164B3" w:rsidRDefault="00961ED8" w:rsidP="00961ED8">
      <w:pPr>
        <w:numPr>
          <w:ilvl w:val="0"/>
          <w:numId w:val="1"/>
        </w:numPr>
        <w:snapToGrid w:val="0"/>
        <w:spacing w:after="200" w:line="360" w:lineRule="auto"/>
        <w:contextualSpacing/>
        <w:jc w:val="both"/>
        <w:rPr>
          <w:rFonts w:ascii="David" w:hAnsi="David"/>
          <w:lang w:eastAsia="he-IL"/>
        </w:rPr>
      </w:pPr>
      <w:r w:rsidRPr="00E164B3">
        <w:rPr>
          <w:rFonts w:ascii="David" w:hAnsi="David"/>
          <w:rtl/>
          <w:lang w:eastAsia="he-IL"/>
        </w:rPr>
        <w:t>להלן פסיקה נוספת ממנה ניתן ללמוד את המתחם הנוהג:</w:t>
      </w:r>
    </w:p>
    <w:p w14:paraId="3680D8D4" w14:textId="77777777" w:rsidR="00961ED8" w:rsidRPr="00E164B3" w:rsidRDefault="00961ED8" w:rsidP="00961ED8">
      <w:pPr>
        <w:snapToGrid w:val="0"/>
        <w:spacing w:after="200" w:line="360" w:lineRule="auto"/>
        <w:ind w:left="360"/>
        <w:contextualSpacing/>
        <w:jc w:val="both"/>
        <w:rPr>
          <w:rFonts w:ascii="David" w:hAnsi="David"/>
          <w:lang w:eastAsia="he-IL"/>
        </w:rPr>
      </w:pPr>
    </w:p>
    <w:p w14:paraId="080B1210" w14:textId="77777777" w:rsidR="00961ED8" w:rsidRPr="00E164B3" w:rsidRDefault="007C765E" w:rsidP="00961ED8">
      <w:pPr>
        <w:widowControl w:val="0"/>
        <w:numPr>
          <w:ilvl w:val="0"/>
          <w:numId w:val="3"/>
        </w:numPr>
        <w:snapToGrid w:val="0"/>
        <w:spacing w:before="120" w:line="360" w:lineRule="auto"/>
        <w:jc w:val="both"/>
        <w:rPr>
          <w:rFonts w:ascii="David" w:hAnsi="David"/>
          <w:lang w:eastAsia="he-IL"/>
        </w:rPr>
      </w:pPr>
      <w:hyperlink r:id="rId33" w:history="1">
        <w:r w:rsidRPr="007C765E">
          <w:rPr>
            <w:rFonts w:ascii="David" w:hAnsi="David"/>
            <w:color w:val="0000FF"/>
            <w:u w:val="single"/>
            <w:rtl/>
            <w:lang w:eastAsia="he-IL"/>
          </w:rPr>
          <w:t>רע"פ 8563/18</w:t>
        </w:r>
      </w:hyperlink>
      <w:r w:rsidR="00961ED8" w:rsidRPr="00E164B3">
        <w:rPr>
          <w:rFonts w:ascii="David" w:hAnsi="David"/>
          <w:rtl/>
          <w:lang w:eastAsia="he-IL"/>
        </w:rPr>
        <w:t xml:space="preserve"> </w:t>
      </w:r>
      <w:r w:rsidR="00961ED8" w:rsidRPr="00E164B3">
        <w:rPr>
          <w:rFonts w:ascii="David" w:hAnsi="David"/>
          <w:b/>
          <w:bCs/>
          <w:rtl/>
          <w:lang w:eastAsia="he-IL"/>
        </w:rPr>
        <w:t>שרפוב נ' מדינת ישראל</w:t>
      </w:r>
      <w:r w:rsidR="00961ED8" w:rsidRPr="00E164B3">
        <w:rPr>
          <w:rFonts w:ascii="David" w:hAnsi="David"/>
          <w:rtl/>
          <w:lang w:eastAsia="he-IL"/>
        </w:rPr>
        <w:t xml:space="preserve"> (12.12.18) – שם הורשעו הנאשמים ושותפיו בגידול של כ- 18 ק"ג קנבוס, תוך גניבת חשמל, ונקבע מתחם ענישה של 10-30 חודשי מאסר בפועל. על הנאשם הושת עונש מאסר בתחתית המתחם, בהינתן נתוניו האישיים לרבות נטילת אחריות והיעדר הרשעות קודמות ונוכח המלצת שירות המבחן, אשר הייתה חיובית, אולם לא הצביע על הישג שיקומי משמעותי.  </w:t>
      </w:r>
    </w:p>
    <w:p w14:paraId="2BC0A982" w14:textId="77777777" w:rsidR="00961ED8" w:rsidRPr="00E164B3" w:rsidRDefault="007C765E" w:rsidP="00961ED8">
      <w:pPr>
        <w:widowControl w:val="0"/>
        <w:numPr>
          <w:ilvl w:val="0"/>
          <w:numId w:val="3"/>
        </w:numPr>
        <w:snapToGrid w:val="0"/>
        <w:spacing w:before="120" w:line="360" w:lineRule="auto"/>
        <w:jc w:val="both"/>
        <w:rPr>
          <w:rFonts w:ascii="David" w:hAnsi="David"/>
          <w:lang w:eastAsia="he-IL"/>
        </w:rPr>
      </w:pPr>
      <w:hyperlink r:id="rId34" w:history="1">
        <w:r w:rsidRPr="007C765E">
          <w:rPr>
            <w:rFonts w:ascii="David" w:hAnsi="David"/>
            <w:color w:val="0000FF"/>
            <w:u w:val="single"/>
            <w:rtl/>
            <w:lang w:eastAsia="he-IL"/>
          </w:rPr>
          <w:t>עפ"ג 33215-12-18</w:t>
        </w:r>
      </w:hyperlink>
      <w:r w:rsidR="00961ED8" w:rsidRPr="00E164B3">
        <w:rPr>
          <w:rFonts w:ascii="David" w:hAnsi="David"/>
          <w:rtl/>
          <w:lang w:eastAsia="he-IL"/>
        </w:rPr>
        <w:t xml:space="preserve"> </w:t>
      </w:r>
      <w:r w:rsidR="00961ED8" w:rsidRPr="00E164B3">
        <w:rPr>
          <w:rFonts w:ascii="David" w:hAnsi="David"/>
          <w:b/>
          <w:bCs/>
          <w:rtl/>
          <w:lang w:eastAsia="he-IL"/>
        </w:rPr>
        <w:t>אבו עיאדה נ' מדינת ישראל</w:t>
      </w:r>
      <w:r w:rsidR="00961ED8" w:rsidRPr="00E164B3">
        <w:rPr>
          <w:rFonts w:ascii="David" w:hAnsi="David"/>
          <w:rtl/>
          <w:lang w:eastAsia="he-IL"/>
        </w:rPr>
        <w:t xml:space="preserve"> (23.1.19) – שם אושר פסק הדין במסגרתו נקבע מתחם ענישה של 10-20 חודשי מאסר בפועל בגין גידול 900 שתילי קנבוס במשקל כולל של 44.80 </w:t>
      </w:r>
      <w:r w:rsidR="00961ED8" w:rsidRPr="00E164B3">
        <w:rPr>
          <w:rFonts w:ascii="David" w:hAnsi="David"/>
          <w:b/>
          <w:bCs/>
          <w:rtl/>
          <w:lang w:eastAsia="he-IL"/>
        </w:rPr>
        <w:t>גרם</w:t>
      </w:r>
      <w:r w:rsidR="00961ED8" w:rsidRPr="00E164B3">
        <w:rPr>
          <w:rFonts w:ascii="David" w:hAnsi="David"/>
          <w:rtl/>
          <w:lang w:eastAsia="he-IL"/>
        </w:rPr>
        <w:t>. על הנאשם באותו מקרה, צעיר כבן 26 ללא הרשעות קודמות, שעבד בתחום החשמל וביצע את העבירות על מנת להפיק רווח כספי קל ומהיר, הוטלו 12 חודשי מאסר לריצוי בפועל.</w:t>
      </w:r>
    </w:p>
    <w:p w14:paraId="1933B4D3" w14:textId="77777777" w:rsidR="00961ED8" w:rsidRPr="00E164B3" w:rsidRDefault="007C765E" w:rsidP="00961ED8">
      <w:pPr>
        <w:widowControl w:val="0"/>
        <w:numPr>
          <w:ilvl w:val="0"/>
          <w:numId w:val="3"/>
        </w:numPr>
        <w:snapToGrid w:val="0"/>
        <w:spacing w:before="120" w:line="360" w:lineRule="auto"/>
        <w:jc w:val="both"/>
        <w:rPr>
          <w:rFonts w:ascii="David" w:hAnsi="David"/>
          <w:lang w:eastAsia="he-IL"/>
        </w:rPr>
      </w:pPr>
      <w:hyperlink r:id="rId35" w:history="1">
        <w:r w:rsidRPr="007C765E">
          <w:rPr>
            <w:rFonts w:ascii="David" w:hAnsi="David"/>
            <w:color w:val="0000FF"/>
            <w:u w:val="single"/>
            <w:rtl/>
            <w:lang w:eastAsia="he-IL"/>
          </w:rPr>
          <w:t>עפ"ג 5788-09-18</w:t>
        </w:r>
      </w:hyperlink>
      <w:r w:rsidR="00961ED8" w:rsidRPr="00E164B3">
        <w:rPr>
          <w:rFonts w:ascii="David" w:hAnsi="David"/>
          <w:rtl/>
          <w:lang w:eastAsia="he-IL"/>
        </w:rPr>
        <w:t xml:space="preserve"> </w:t>
      </w:r>
      <w:r w:rsidR="00961ED8" w:rsidRPr="00E164B3">
        <w:rPr>
          <w:rFonts w:ascii="David" w:hAnsi="David"/>
          <w:b/>
          <w:bCs/>
          <w:rtl/>
          <w:lang w:eastAsia="he-IL"/>
        </w:rPr>
        <w:t>אבו עסא נ' מדינת ישראל</w:t>
      </w:r>
      <w:r w:rsidR="00961ED8" w:rsidRPr="00E164B3">
        <w:rPr>
          <w:rFonts w:ascii="David" w:hAnsi="David"/>
          <w:rtl/>
          <w:lang w:eastAsia="he-IL"/>
        </w:rPr>
        <w:t xml:space="preserve"> (28.11.18) – שם אושר פסק הדין במסגרתו נקבע מתחם ענישה של 9-22 חודשי מאסר בפועל בגין גידול 254 שתילי קנבוס במשקל של כ-6.5 ק"ג. על הנאשם הושם עונש מאסר של 9 חודשי מאסר בפועל, בהיותו צעיר, ללא הרשעות קודמות, שהודה במיוחס לו ושיתרת מאסרו קצרה. </w:t>
      </w:r>
    </w:p>
    <w:p w14:paraId="6FACB8E6" w14:textId="77777777" w:rsidR="00961ED8" w:rsidRPr="00E164B3" w:rsidRDefault="007C765E" w:rsidP="00961ED8">
      <w:pPr>
        <w:widowControl w:val="0"/>
        <w:numPr>
          <w:ilvl w:val="0"/>
          <w:numId w:val="3"/>
        </w:numPr>
        <w:snapToGrid w:val="0"/>
        <w:spacing w:before="120" w:line="360" w:lineRule="auto"/>
        <w:jc w:val="both"/>
        <w:rPr>
          <w:rFonts w:ascii="David" w:hAnsi="David"/>
          <w:lang w:eastAsia="he-IL"/>
        </w:rPr>
      </w:pPr>
      <w:hyperlink r:id="rId36" w:history="1">
        <w:r w:rsidRPr="007C765E">
          <w:rPr>
            <w:color w:val="0000FF"/>
            <w:u w:val="single"/>
            <w:rtl/>
            <w:lang w:eastAsia="he-IL"/>
          </w:rPr>
          <w:t>עפ"ג 8650-04-15</w:t>
        </w:r>
      </w:hyperlink>
      <w:r w:rsidR="00961ED8" w:rsidRPr="00E164B3">
        <w:rPr>
          <w:rtl/>
          <w:lang w:eastAsia="he-IL"/>
        </w:rPr>
        <w:t xml:space="preserve"> </w:t>
      </w:r>
      <w:r w:rsidR="00961ED8" w:rsidRPr="00E164B3">
        <w:rPr>
          <w:b/>
          <w:bCs/>
          <w:rtl/>
          <w:lang w:eastAsia="he-IL"/>
        </w:rPr>
        <w:t>שוורץ נ' מדינת ישראל</w:t>
      </w:r>
      <w:r w:rsidR="00961ED8" w:rsidRPr="00E164B3">
        <w:rPr>
          <w:rtl/>
          <w:lang w:eastAsia="he-IL"/>
        </w:rPr>
        <w:t xml:space="preserve"> (7.1.16) – שם נדחה ערעור של נאשם, אשר הורשע בגידול 146 שתילי קנבוס במשקל 2.69 ק"ג בחדר נסתר בביתו. נקבע מתחם של 6-24 חודשי מאסר. אף ששירות המבחן המליץ על אפיק שיקומי, הנאשם נדון ל-9 חודשי מאסר בפועל.</w:t>
      </w:r>
    </w:p>
    <w:p w14:paraId="503E3CE0" w14:textId="77777777" w:rsidR="00961ED8" w:rsidRPr="00E164B3" w:rsidRDefault="007C765E" w:rsidP="00961ED8">
      <w:pPr>
        <w:widowControl w:val="0"/>
        <w:numPr>
          <w:ilvl w:val="0"/>
          <w:numId w:val="3"/>
        </w:numPr>
        <w:snapToGrid w:val="0"/>
        <w:spacing w:before="120" w:line="360" w:lineRule="auto"/>
        <w:jc w:val="both"/>
        <w:rPr>
          <w:rFonts w:ascii="David" w:hAnsi="David"/>
          <w:lang w:eastAsia="he-IL"/>
        </w:rPr>
      </w:pPr>
      <w:hyperlink r:id="rId37" w:history="1">
        <w:r w:rsidRPr="007C765E">
          <w:rPr>
            <w:color w:val="0000FF"/>
            <w:u w:val="single"/>
            <w:rtl/>
            <w:lang w:eastAsia="he-IL"/>
          </w:rPr>
          <w:t>עפ"ג 62171-05-17</w:t>
        </w:r>
      </w:hyperlink>
      <w:r w:rsidR="00961ED8" w:rsidRPr="00E164B3">
        <w:rPr>
          <w:rtl/>
          <w:lang w:eastAsia="he-IL"/>
        </w:rPr>
        <w:t xml:space="preserve">  </w:t>
      </w:r>
      <w:r w:rsidR="00961ED8" w:rsidRPr="00E164B3">
        <w:rPr>
          <w:b/>
          <w:bCs/>
          <w:rtl/>
          <w:lang w:eastAsia="he-IL"/>
        </w:rPr>
        <w:t>חן נ' מדינת ישראל</w:t>
      </w:r>
      <w:r w:rsidR="00961ED8" w:rsidRPr="00E164B3">
        <w:rPr>
          <w:rtl/>
          <w:lang w:eastAsia="he-IL"/>
        </w:rPr>
        <w:t xml:space="preserve"> (10.7.17) – נדחה ערעור של נאשם שהורשע בגידול 18 שתילי קנבוס במשקל 3.85 ק"ג. נקבע מתחם של 8-20 חודשי מאסר והוטלו על הנאשם 12 חודשי מאסר בפועל.</w:t>
      </w:r>
    </w:p>
    <w:p w14:paraId="7EB237CF" w14:textId="77777777" w:rsidR="00961ED8" w:rsidRPr="00E164B3" w:rsidRDefault="007C765E" w:rsidP="00961ED8">
      <w:pPr>
        <w:widowControl w:val="0"/>
        <w:numPr>
          <w:ilvl w:val="0"/>
          <w:numId w:val="3"/>
        </w:numPr>
        <w:snapToGrid w:val="0"/>
        <w:spacing w:before="120" w:line="360" w:lineRule="auto"/>
        <w:jc w:val="both"/>
        <w:rPr>
          <w:rFonts w:ascii="David" w:hAnsi="David"/>
          <w:lang w:eastAsia="he-IL"/>
        </w:rPr>
      </w:pPr>
      <w:hyperlink r:id="rId38" w:history="1">
        <w:r w:rsidRPr="007C765E">
          <w:rPr>
            <w:color w:val="0000FF"/>
            <w:u w:val="single"/>
            <w:rtl/>
            <w:lang w:eastAsia="he-IL"/>
          </w:rPr>
          <w:t>רע"פ 314/16</w:t>
        </w:r>
      </w:hyperlink>
      <w:r w:rsidR="00961ED8" w:rsidRPr="00E164B3">
        <w:rPr>
          <w:rtl/>
          <w:lang w:eastAsia="he-IL"/>
        </w:rPr>
        <w:t xml:space="preserve"> </w:t>
      </w:r>
      <w:r w:rsidR="00961ED8" w:rsidRPr="00E164B3">
        <w:rPr>
          <w:b/>
          <w:bCs/>
          <w:color w:val="000000"/>
          <w:rtl/>
          <w:lang w:eastAsia="he-IL"/>
        </w:rPr>
        <w:t xml:space="preserve">בן צבי נ' מדינת ישראל (22.6.16) </w:t>
      </w:r>
      <w:r w:rsidR="00961ED8" w:rsidRPr="00E164B3">
        <w:rPr>
          <w:color w:val="000000"/>
          <w:rtl/>
          <w:lang w:eastAsia="he-IL"/>
        </w:rPr>
        <w:t>–</w:t>
      </w:r>
      <w:r w:rsidR="00961ED8" w:rsidRPr="00E164B3">
        <w:rPr>
          <w:color w:val="000000"/>
          <w:sz w:val="27"/>
          <w:szCs w:val="27"/>
          <w:rtl/>
          <w:lang w:eastAsia="he-IL"/>
        </w:rPr>
        <w:t xml:space="preserve"> </w:t>
      </w:r>
      <w:r w:rsidR="00961ED8" w:rsidRPr="00E164B3">
        <w:rPr>
          <w:rtl/>
          <w:lang w:eastAsia="he-IL"/>
        </w:rPr>
        <w:t xml:space="preserve">נדחה ערעור של נאשם, אשר הורשע בגידול שתילי קנבוס במשקל 2.5. ק"ג. בבית משפט השלום הוטלו עליו 6 חודשי מאסר לריצוי בעבודות שירות. במסגרת הערעור הוחמר עונשו והועמד על 10 חודשי מאסר בפועל. </w:t>
      </w:r>
    </w:p>
    <w:p w14:paraId="1614099F" w14:textId="77777777" w:rsidR="00961ED8" w:rsidRPr="00E164B3" w:rsidRDefault="00961ED8" w:rsidP="00961ED8">
      <w:pPr>
        <w:widowControl w:val="0"/>
        <w:spacing w:before="120" w:after="160" w:line="360" w:lineRule="auto"/>
        <w:jc w:val="both"/>
        <w:rPr>
          <w:rtl/>
          <w:lang w:eastAsia="he-IL"/>
        </w:rPr>
      </w:pPr>
      <w:r w:rsidRPr="00E164B3">
        <w:rPr>
          <w:rtl/>
          <w:lang w:eastAsia="he-IL"/>
        </w:rPr>
        <w:t xml:space="preserve">23. </w:t>
      </w:r>
      <w:r w:rsidRPr="00E164B3">
        <w:rPr>
          <w:b/>
          <w:bCs/>
          <w:u w:val="single"/>
          <w:rtl/>
          <w:lang w:eastAsia="he-IL"/>
        </w:rPr>
        <w:t>מדיניות הענישה הנוהגת בעבירות ההחזקה שלא לצ"ע:</w:t>
      </w:r>
      <w:r w:rsidRPr="00E164B3">
        <w:rPr>
          <w:rtl/>
          <w:lang w:eastAsia="he-IL"/>
        </w:rPr>
        <w:t xml:space="preserve"> </w:t>
      </w:r>
    </w:p>
    <w:p w14:paraId="19C1D156" w14:textId="77777777" w:rsidR="00961ED8" w:rsidRPr="00E164B3" w:rsidRDefault="00961ED8" w:rsidP="00961ED8">
      <w:pPr>
        <w:widowControl w:val="0"/>
        <w:numPr>
          <w:ilvl w:val="0"/>
          <w:numId w:val="4"/>
        </w:numPr>
        <w:snapToGrid w:val="0"/>
        <w:spacing w:before="120" w:line="360" w:lineRule="auto"/>
        <w:contextualSpacing/>
        <w:jc w:val="both"/>
        <w:rPr>
          <w:lang w:eastAsia="he-IL"/>
        </w:rPr>
      </w:pPr>
      <w:r w:rsidRPr="00E164B3">
        <w:rPr>
          <w:b/>
          <w:bCs/>
          <w:rtl/>
          <w:lang w:eastAsia="he-IL"/>
        </w:rPr>
        <w:t>ב</w:t>
      </w:r>
      <w:hyperlink r:id="rId39" w:history="1">
        <w:r w:rsidR="007C765E" w:rsidRPr="007C765E">
          <w:rPr>
            <w:b/>
            <w:bCs/>
            <w:color w:val="0000FF"/>
            <w:u w:val="single"/>
            <w:rtl/>
            <w:lang w:eastAsia="he-IL"/>
          </w:rPr>
          <w:t>ת"פ 63029-12-20</w:t>
        </w:r>
      </w:hyperlink>
      <w:r w:rsidRPr="00E164B3">
        <w:rPr>
          <w:rFonts w:ascii="David" w:hAnsi="David"/>
          <w:b/>
          <w:bCs/>
          <w:rtl/>
          <w:lang w:eastAsia="he-IL"/>
        </w:rPr>
        <w:t xml:space="preserve"> מ"י נ' שליף (8.4.21)</w:t>
      </w:r>
      <w:r w:rsidRPr="00E164B3">
        <w:rPr>
          <w:rFonts w:ascii="David" w:hAnsi="David"/>
          <w:rtl/>
          <w:lang w:eastAsia="he-IL"/>
        </w:rPr>
        <w:t xml:space="preserve"> – נקבע ע"י מותב זה מתחם עונש של 6-18 חודשי מאסר בפועל בגין החזקת סם מסוכן מסוג קנבוס במשקל של 1,033.6 גרם נטו וכן בסם מסוכן מסוג חשיש במשקל כולל של 1,125.5 גרם נטו.</w:t>
      </w:r>
    </w:p>
    <w:p w14:paraId="3B88890A" w14:textId="77777777" w:rsidR="00961ED8" w:rsidRPr="00E164B3" w:rsidRDefault="00961ED8" w:rsidP="00961ED8">
      <w:pPr>
        <w:widowControl w:val="0"/>
        <w:numPr>
          <w:ilvl w:val="0"/>
          <w:numId w:val="4"/>
        </w:numPr>
        <w:snapToGrid w:val="0"/>
        <w:spacing w:before="120" w:line="360" w:lineRule="auto"/>
        <w:contextualSpacing/>
        <w:jc w:val="both"/>
        <w:rPr>
          <w:lang w:eastAsia="he-IL"/>
        </w:rPr>
      </w:pPr>
      <w:r w:rsidRPr="00E164B3">
        <w:rPr>
          <w:b/>
          <w:bCs/>
          <w:rtl/>
          <w:lang w:eastAsia="he-IL"/>
        </w:rPr>
        <w:t>ב</w:t>
      </w:r>
      <w:hyperlink r:id="rId40" w:history="1">
        <w:r w:rsidR="007C765E" w:rsidRPr="007C765E">
          <w:rPr>
            <w:b/>
            <w:bCs/>
            <w:color w:val="0000FF"/>
            <w:u w:val="single"/>
            <w:rtl/>
            <w:lang w:eastAsia="he-IL"/>
          </w:rPr>
          <w:t>ת"פ 31479-11-20</w:t>
        </w:r>
      </w:hyperlink>
      <w:r w:rsidRPr="00E164B3">
        <w:rPr>
          <w:b/>
          <w:bCs/>
          <w:rtl/>
          <w:lang w:eastAsia="he-IL"/>
        </w:rPr>
        <w:t xml:space="preserve"> מ"י נ' אבו סבית (16.3.21) –</w:t>
      </w:r>
      <w:r w:rsidRPr="00E164B3">
        <w:rPr>
          <w:rtl/>
          <w:lang w:eastAsia="he-IL"/>
        </w:rPr>
        <w:t xml:space="preserve"> אשר ניתן גם הוא על ידי מותב זה ניתן מתחם של 6-18 חודשי מאסר בגין החזקת סם מסוכן מסוג </w:t>
      </w:r>
      <w:r w:rsidRPr="00E164B3">
        <w:rPr>
          <w:sz w:val="20"/>
          <w:rtl/>
          <w:lang w:eastAsia="he-IL"/>
        </w:rPr>
        <w:t>קנבוס במשקל 4.12 ק"ג מחולק לשתי שקיות.</w:t>
      </w:r>
    </w:p>
    <w:p w14:paraId="7FFE1254" w14:textId="77777777" w:rsidR="00961ED8" w:rsidRPr="00E164B3" w:rsidRDefault="00961ED8" w:rsidP="00961ED8">
      <w:pPr>
        <w:widowControl w:val="0"/>
        <w:spacing w:before="120" w:after="160" w:line="360" w:lineRule="auto"/>
        <w:ind w:left="360"/>
        <w:jc w:val="both"/>
        <w:rPr>
          <w:rFonts w:ascii="David" w:hAnsi="David"/>
          <w:rtl/>
        </w:rPr>
      </w:pPr>
      <w:r w:rsidRPr="00E164B3">
        <w:rPr>
          <w:rFonts w:ascii="David" w:hAnsi="David"/>
          <w:rtl/>
        </w:rPr>
        <w:t>בשני המקרים שלעיל מדובר בחוליות מובהקות בשרשרת ההפצה, אשר הובילו את הסמים המוכנים. מדובר בנסיבות אחזקה חמורות מ</w:t>
      </w:r>
      <w:r>
        <w:rPr>
          <w:rFonts w:ascii="David" w:hAnsi="David" w:hint="cs"/>
          <w:rtl/>
        </w:rPr>
        <w:t xml:space="preserve">אשר </w:t>
      </w:r>
      <w:r w:rsidRPr="00E164B3">
        <w:rPr>
          <w:rFonts w:ascii="David" w:hAnsi="David"/>
          <w:rtl/>
        </w:rPr>
        <w:t>במקרה שבפניי.</w:t>
      </w:r>
    </w:p>
    <w:p w14:paraId="51122E94" w14:textId="77777777" w:rsidR="00961ED8" w:rsidRPr="00E164B3" w:rsidRDefault="00961ED8" w:rsidP="00961ED8">
      <w:pPr>
        <w:widowControl w:val="0"/>
        <w:snapToGrid w:val="0"/>
        <w:spacing w:before="120" w:line="360" w:lineRule="auto"/>
        <w:ind w:left="720"/>
        <w:contextualSpacing/>
        <w:jc w:val="both"/>
        <w:rPr>
          <w:rtl/>
          <w:lang w:eastAsia="he-IL"/>
        </w:rPr>
      </w:pPr>
    </w:p>
    <w:p w14:paraId="4191CC97" w14:textId="77777777" w:rsidR="00961ED8" w:rsidRPr="00E164B3" w:rsidRDefault="00961ED8" w:rsidP="00961ED8">
      <w:pPr>
        <w:spacing w:after="160" w:line="360" w:lineRule="auto"/>
        <w:contextualSpacing/>
        <w:jc w:val="both"/>
        <w:rPr>
          <w:rFonts w:ascii="David" w:hAnsi="David"/>
          <w:b/>
          <w:bCs/>
          <w:rtl/>
        </w:rPr>
      </w:pPr>
      <w:r w:rsidRPr="00E164B3">
        <w:rPr>
          <w:rFonts w:ascii="David" w:hAnsi="David"/>
          <w:b/>
          <w:bCs/>
          <w:rtl/>
        </w:rPr>
        <w:t>במכלול נסיבות המקרה, אופי המעבדה והתשתית, מיקום המעבדה, כמות השתילים – מחד גיסא  ונסיבות ההחזקה, פוריות הגידול מאידך גיסא יש לקבוע, כי מתחם הענישה לו עותרת המאשימה גבוה מהנגזר מהאסמכתאות אליהן הפנתה בעצמה ומהפסיקה הנוהגת במקרים אחרים בפני מותב זה.</w:t>
      </w:r>
    </w:p>
    <w:p w14:paraId="11629B1E" w14:textId="77777777" w:rsidR="00961ED8" w:rsidRPr="00E164B3" w:rsidRDefault="00961ED8" w:rsidP="00961ED8">
      <w:pPr>
        <w:spacing w:after="160" w:line="360" w:lineRule="auto"/>
        <w:contextualSpacing/>
        <w:jc w:val="both"/>
        <w:rPr>
          <w:rFonts w:ascii="David" w:hAnsi="David"/>
          <w:b/>
          <w:bCs/>
          <w:rtl/>
        </w:rPr>
      </w:pPr>
      <w:r w:rsidRPr="00E164B3">
        <w:rPr>
          <w:rFonts w:ascii="David" w:hAnsi="David"/>
          <w:b/>
          <w:bCs/>
          <w:rtl/>
        </w:rPr>
        <w:t>יש לקבוע, כי המתחם במקרה זה הוא 6-18 חודשי מאסר בפועל, בצירוף עונשים נלווים.</w:t>
      </w:r>
    </w:p>
    <w:p w14:paraId="0EE594B6" w14:textId="77777777" w:rsidR="00961ED8" w:rsidRPr="00E164B3" w:rsidRDefault="00961ED8" w:rsidP="00961ED8">
      <w:pPr>
        <w:spacing w:after="160" w:line="360" w:lineRule="auto"/>
        <w:contextualSpacing/>
        <w:jc w:val="both"/>
        <w:rPr>
          <w:rFonts w:ascii="David" w:hAnsi="David"/>
          <w:b/>
          <w:bCs/>
          <w:rtl/>
        </w:rPr>
      </w:pPr>
    </w:p>
    <w:p w14:paraId="1886B02F" w14:textId="77777777" w:rsidR="00961ED8" w:rsidRPr="00E164B3" w:rsidRDefault="00961ED8" w:rsidP="00961ED8">
      <w:pPr>
        <w:snapToGrid w:val="0"/>
        <w:spacing w:line="360" w:lineRule="auto"/>
        <w:contextualSpacing/>
        <w:jc w:val="both"/>
        <w:rPr>
          <w:b/>
          <w:bCs/>
          <w:u w:val="single"/>
          <w:lang w:eastAsia="he-IL"/>
        </w:rPr>
      </w:pPr>
      <w:r w:rsidRPr="00E164B3">
        <w:rPr>
          <w:b/>
          <w:bCs/>
          <w:u w:val="single"/>
          <w:rtl/>
          <w:lang w:eastAsia="he-IL"/>
        </w:rPr>
        <w:t>קביעת העונש בגדרי המתחם:</w:t>
      </w:r>
    </w:p>
    <w:p w14:paraId="0221B90B"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בבחינת שיקולי הענישה בגדרי המתחם הבאתי בחשבון כי מדובר באדם אשר נעדר עבר פלילי, אשר הודה במיוחס לו וחסך זמן שיפוטי יקר.</w:t>
      </w:r>
    </w:p>
    <w:p w14:paraId="62C496C9"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עוד יש להביא בחשבון כי הנאשם שיתף פעולה עם שירות המבחן וכי חלק הליך הטיפול בעניינו התעכב מנסיבות חיצוניות אשר לא היו בשליטתו כלל. עם שילובו הנאשם בטיפול שיתף פעו</w:t>
      </w:r>
      <w:r>
        <w:rPr>
          <w:rFonts w:hint="cs"/>
          <w:rtl/>
          <w:lang w:eastAsia="he-IL"/>
        </w:rPr>
        <w:t>ל</w:t>
      </w:r>
      <w:r w:rsidRPr="00E164B3">
        <w:rPr>
          <w:rtl/>
          <w:lang w:eastAsia="he-IL"/>
        </w:rPr>
        <w:t xml:space="preserve">ה באופן מלא. </w:t>
      </w:r>
    </w:p>
    <w:p w14:paraId="2AD99B47"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 xml:space="preserve">שירות המבחן התרשם ממי שנרתע מההליך הפלילי, שאינו בעל דפוסים עברייניים ושהמסוכנות בעניינו אינה גבוהה. </w:t>
      </w:r>
    </w:p>
    <w:p w14:paraId="7926BFBE"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מדובר במקרה שעל</w:t>
      </w:r>
      <w:r>
        <w:rPr>
          <w:rtl/>
          <w:lang w:eastAsia="he-IL"/>
        </w:rPr>
        <w:t xml:space="preserve"> פי מהותו היה מתאים להטלת עונש </w:t>
      </w:r>
      <w:r w:rsidRPr="00E164B3">
        <w:rPr>
          <w:rtl/>
          <w:lang w:eastAsia="he-IL"/>
        </w:rPr>
        <w:t>מ</w:t>
      </w:r>
      <w:r>
        <w:rPr>
          <w:rFonts w:hint="cs"/>
          <w:rtl/>
          <w:lang w:eastAsia="he-IL"/>
        </w:rPr>
        <w:t>א</w:t>
      </w:r>
      <w:r w:rsidRPr="00E164B3">
        <w:rPr>
          <w:rtl/>
          <w:lang w:eastAsia="he-IL"/>
        </w:rPr>
        <w:t>סר לריצוי בעבודות שירות. לקחתי בחשבון, כי בנסיבות בהן הנאשם מעוניין לבצע עבודות שירות אך הדבר נמנע בשל נסיבות שאינן קשורות בתיק זה, יש להביא בחשבון את הקושי הנוסף הכרוך בריצוי מאסר בפועל הן לנאשם והן לבני משפחתו בנסיבות אלה ולאור מ</w:t>
      </w:r>
      <w:r>
        <w:rPr>
          <w:rFonts w:hint="cs"/>
          <w:rtl/>
          <w:lang w:eastAsia="he-IL"/>
        </w:rPr>
        <w:t>צ</w:t>
      </w:r>
      <w:r w:rsidRPr="00E164B3">
        <w:rPr>
          <w:rtl/>
          <w:lang w:eastAsia="he-IL"/>
        </w:rPr>
        <w:t>בו הכלכלי של הנאשם שנמצא ברקע לאירוע, וכעולה מהתסקיר, א</w:t>
      </w:r>
      <w:r>
        <w:rPr>
          <w:rFonts w:hint="cs"/>
          <w:rtl/>
          <w:lang w:eastAsia="he-IL"/>
        </w:rPr>
        <w:t>מ</w:t>
      </w:r>
      <w:r w:rsidRPr="00E164B3">
        <w:rPr>
          <w:rtl/>
          <w:lang w:eastAsia="he-IL"/>
        </w:rPr>
        <w:t>נע מהטלת קנס כספי.  לעניין זה לקחתי בחשבון גם את התקופה הארוכה בה היה הנאשם נתון בתנאים מגבילים.</w:t>
      </w:r>
    </w:p>
    <w:p w14:paraId="5E96CAC4" w14:textId="77777777" w:rsidR="00961ED8" w:rsidRPr="00E164B3" w:rsidRDefault="00961ED8" w:rsidP="00961ED8">
      <w:pPr>
        <w:numPr>
          <w:ilvl w:val="0"/>
          <w:numId w:val="1"/>
        </w:numPr>
        <w:snapToGrid w:val="0"/>
        <w:spacing w:line="360" w:lineRule="auto"/>
        <w:contextualSpacing/>
        <w:jc w:val="both"/>
        <w:rPr>
          <w:rtl/>
          <w:lang w:eastAsia="he-IL"/>
        </w:rPr>
      </w:pPr>
      <w:r w:rsidRPr="00E164B3">
        <w:rPr>
          <w:rtl/>
          <w:lang w:eastAsia="he-IL"/>
        </w:rPr>
        <w:t>לאור כל האמור, מצאתי כי מדובר במקרה חריג שבו יש להטיל על הנאשם עונש בתחתית המתחם ממש.</w:t>
      </w:r>
    </w:p>
    <w:p w14:paraId="59EDAD06" w14:textId="77777777" w:rsidR="00961ED8" w:rsidRPr="00E164B3" w:rsidRDefault="00961ED8" w:rsidP="00961ED8">
      <w:pPr>
        <w:spacing w:after="160" w:line="360" w:lineRule="auto"/>
        <w:jc w:val="both"/>
        <w:rPr>
          <w:rFonts w:ascii="David" w:hAnsi="David"/>
          <w:b/>
          <w:bCs/>
          <w:u w:val="single"/>
          <w:rtl/>
        </w:rPr>
      </w:pPr>
    </w:p>
    <w:p w14:paraId="0E13A7A2" w14:textId="77777777" w:rsidR="00961ED8" w:rsidRPr="00E164B3" w:rsidRDefault="00961ED8" w:rsidP="00961ED8">
      <w:pPr>
        <w:spacing w:after="160" w:line="360" w:lineRule="auto"/>
        <w:jc w:val="both"/>
        <w:rPr>
          <w:rFonts w:ascii="David" w:hAnsi="David"/>
          <w:b/>
          <w:bCs/>
          <w:u w:val="single"/>
          <w:rtl/>
        </w:rPr>
      </w:pPr>
      <w:r w:rsidRPr="00E164B3">
        <w:rPr>
          <w:rFonts w:ascii="David" w:hAnsi="David"/>
          <w:b/>
          <w:bCs/>
          <w:u w:val="single"/>
          <w:rtl/>
        </w:rPr>
        <w:t>סוף דבר:</w:t>
      </w:r>
    </w:p>
    <w:p w14:paraId="2312AD46" w14:textId="77777777" w:rsidR="00961ED8" w:rsidRPr="00E164B3" w:rsidRDefault="00961ED8" w:rsidP="00961ED8">
      <w:pPr>
        <w:numPr>
          <w:ilvl w:val="0"/>
          <w:numId w:val="1"/>
        </w:numPr>
        <w:snapToGrid w:val="0"/>
        <w:spacing w:line="360" w:lineRule="auto"/>
        <w:contextualSpacing/>
        <w:jc w:val="both"/>
        <w:rPr>
          <w:lang w:eastAsia="he-IL"/>
        </w:rPr>
      </w:pPr>
      <w:r w:rsidRPr="00E164B3">
        <w:rPr>
          <w:rtl/>
          <w:lang w:eastAsia="he-IL"/>
        </w:rPr>
        <w:t>לאחר ששקלתי את מכלול השיקולים כמפורט לעיל אני מטילה על הנאשם את העונשים הבאים:</w:t>
      </w:r>
    </w:p>
    <w:p w14:paraId="1E8E0B7B" w14:textId="77777777" w:rsidR="00961ED8" w:rsidRPr="00E164B3" w:rsidRDefault="00961ED8" w:rsidP="00961ED8">
      <w:pPr>
        <w:numPr>
          <w:ilvl w:val="0"/>
          <w:numId w:val="2"/>
        </w:numPr>
        <w:snapToGrid w:val="0"/>
        <w:spacing w:line="360" w:lineRule="auto"/>
        <w:contextualSpacing/>
        <w:jc w:val="both"/>
        <w:rPr>
          <w:lang w:eastAsia="he-IL"/>
        </w:rPr>
      </w:pPr>
      <w:r w:rsidRPr="00E164B3">
        <w:rPr>
          <w:rtl/>
          <w:lang w:eastAsia="he-IL"/>
        </w:rPr>
        <w:t>6 חודשי מאסר בפועל בניכוי ימי מעצרו של הנאשם בהתאם לרישומי שב"ס.</w:t>
      </w:r>
    </w:p>
    <w:p w14:paraId="4A5B383D" w14:textId="77777777" w:rsidR="00961ED8" w:rsidRDefault="00961ED8" w:rsidP="00961ED8">
      <w:pPr>
        <w:spacing w:line="360" w:lineRule="auto"/>
        <w:ind w:left="720"/>
        <w:jc w:val="both"/>
        <w:rPr>
          <w:sz w:val="22"/>
          <w:szCs w:val="22"/>
        </w:rPr>
      </w:pPr>
      <w:r>
        <w:rPr>
          <w:rFonts w:hint="cs"/>
          <w:rtl/>
        </w:rPr>
        <w:t xml:space="preserve">לבקשת הנאשם, יתייצב למאסרו בבית סוהר אלה ביום 2.11.2021 עד השעה 10:00, או על פי החלטת שב"ס, כשברשותו תעודת זהות או דרכון. </w:t>
      </w:r>
    </w:p>
    <w:p w14:paraId="28894BBC" w14:textId="77777777" w:rsidR="00961ED8" w:rsidRDefault="00961ED8" w:rsidP="00961ED8">
      <w:pPr>
        <w:spacing w:line="360" w:lineRule="auto"/>
        <w:ind w:left="720"/>
        <w:jc w:val="both"/>
        <w:rPr>
          <w:sz w:val="22"/>
          <w:szCs w:val="22"/>
        </w:rPr>
      </w:pPr>
      <w:r>
        <w:rPr>
          <w:rFonts w:hint="cs"/>
          <w:rtl/>
        </w:rPr>
        <w:t>על הנאשם לתאם את הכניסה למאסר, כולל האפשרות למיון מוקדם, עם ענף אבחון ומיון של שב"ס, בטלפונים: מרים חייאיב רכזת מיון מוקדם – 074-7831077 (במקום 08-9787377)</w:t>
      </w:r>
    </w:p>
    <w:p w14:paraId="362B4164" w14:textId="77777777" w:rsidR="00961ED8" w:rsidRDefault="00961ED8" w:rsidP="00961ED8">
      <w:pPr>
        <w:spacing w:line="360" w:lineRule="auto"/>
        <w:ind w:left="720"/>
        <w:jc w:val="both"/>
      </w:pPr>
      <w:r>
        <w:rPr>
          <w:rFonts w:hint="cs"/>
          <w:rtl/>
        </w:rPr>
        <w:t xml:space="preserve">מירב אבוחצירה רשמת מאסרים נדחים – 074-7831078 (במקום 08-9787336) </w:t>
      </w:r>
      <w:r w:rsidRPr="00887FF5">
        <w:rPr>
          <w:rFonts w:hint="cs"/>
          <w:rtl/>
        </w:rPr>
        <w:t>וכן להתעדכן באתר האינטרנט של שב"ס, ברשימת הציוד הראשוני שניתן להביא בעת ההתייצבות.</w:t>
      </w:r>
    </w:p>
    <w:p w14:paraId="347867DB" w14:textId="77777777" w:rsidR="00961ED8" w:rsidRPr="00E164B3" w:rsidRDefault="00961ED8" w:rsidP="00961ED8">
      <w:pPr>
        <w:snapToGrid w:val="0"/>
        <w:spacing w:line="360" w:lineRule="auto"/>
        <w:ind w:left="720"/>
        <w:contextualSpacing/>
        <w:jc w:val="both"/>
        <w:rPr>
          <w:rtl/>
          <w:lang w:eastAsia="he-IL"/>
        </w:rPr>
      </w:pPr>
    </w:p>
    <w:p w14:paraId="0A34FDD3" w14:textId="77777777" w:rsidR="00961ED8" w:rsidRPr="00E164B3" w:rsidRDefault="00961ED8" w:rsidP="00961ED8">
      <w:pPr>
        <w:numPr>
          <w:ilvl w:val="0"/>
          <w:numId w:val="2"/>
        </w:numPr>
        <w:spacing w:after="160" w:line="360" w:lineRule="auto"/>
        <w:contextualSpacing/>
        <w:jc w:val="both"/>
        <w:rPr>
          <w:rFonts w:ascii="Arial" w:hAnsi="Arial"/>
        </w:rPr>
      </w:pPr>
      <w:r w:rsidRPr="00E164B3">
        <w:rPr>
          <w:rFonts w:ascii="Arial" w:hAnsi="Arial"/>
          <w:rtl/>
        </w:rPr>
        <w:t xml:space="preserve">מאסר על תנאי לתקופה של 6 חודשים המאסר המותנה יופעל אם תוך תקופה של 3 שנים </w:t>
      </w:r>
      <w:r w:rsidRPr="00887FF5">
        <w:rPr>
          <w:rFonts w:ascii="Arial" w:hAnsi="Arial" w:hint="cs"/>
          <w:rtl/>
        </w:rPr>
        <w:t>מיום שחרורו</w:t>
      </w:r>
      <w:r w:rsidRPr="00E164B3">
        <w:rPr>
          <w:rFonts w:ascii="Arial" w:hAnsi="Arial"/>
          <w:rtl/>
        </w:rPr>
        <w:t>, יעבור הנאשם  עבירת סמים מסוג פשע.</w:t>
      </w:r>
    </w:p>
    <w:p w14:paraId="2DFA4326" w14:textId="77777777" w:rsidR="00961ED8" w:rsidRPr="00961ED8" w:rsidRDefault="00961ED8" w:rsidP="00961ED8">
      <w:pPr>
        <w:spacing w:after="160" w:line="360" w:lineRule="auto"/>
        <w:jc w:val="both"/>
        <w:rPr>
          <w:rFonts w:ascii="Calibri" w:hAnsi="Calibri"/>
          <w:b/>
          <w:bCs/>
          <w:rtl/>
        </w:rPr>
      </w:pPr>
    </w:p>
    <w:p w14:paraId="74EEC4D2" w14:textId="77777777" w:rsidR="00961ED8" w:rsidRPr="00961ED8" w:rsidRDefault="00961ED8" w:rsidP="00961ED8">
      <w:pPr>
        <w:spacing w:after="160" w:line="360" w:lineRule="auto"/>
        <w:jc w:val="both"/>
        <w:rPr>
          <w:rFonts w:ascii="Calibri" w:hAnsi="Calibri"/>
          <w:b/>
          <w:bCs/>
          <w:rtl/>
        </w:rPr>
      </w:pPr>
      <w:r w:rsidRPr="00961ED8">
        <w:rPr>
          <w:rFonts w:ascii="Calibri" w:hAnsi="Calibri" w:hint="cs"/>
          <w:b/>
          <w:bCs/>
          <w:rtl/>
        </w:rPr>
        <w:t xml:space="preserve">צו להשמדת מוצג </w:t>
      </w:r>
      <w:r w:rsidRPr="00961ED8">
        <w:rPr>
          <w:rFonts w:ascii="Calibri" w:hAnsi="Calibri"/>
          <w:b/>
          <w:bCs/>
          <w:rtl/>
        </w:rPr>
        <w:t>–</w:t>
      </w:r>
      <w:r w:rsidRPr="00961ED8">
        <w:rPr>
          <w:rFonts w:ascii="Calibri" w:hAnsi="Calibri" w:hint="cs"/>
          <w:b/>
          <w:bCs/>
          <w:rtl/>
        </w:rPr>
        <w:t xml:space="preserve"> סמים וציוד גידול, בכפוף לחלוף תקופת הערעור.</w:t>
      </w:r>
    </w:p>
    <w:p w14:paraId="07019917" w14:textId="77777777" w:rsidR="00961ED8" w:rsidRPr="00961ED8" w:rsidRDefault="00961ED8" w:rsidP="00961ED8">
      <w:pPr>
        <w:spacing w:after="160" w:line="360" w:lineRule="auto"/>
        <w:jc w:val="both"/>
        <w:rPr>
          <w:rFonts w:ascii="Calibri" w:hAnsi="Calibri"/>
          <w:b/>
          <w:bCs/>
          <w:rtl/>
        </w:rPr>
      </w:pPr>
      <w:r w:rsidRPr="00961ED8">
        <w:rPr>
          <w:rFonts w:ascii="Calibri" w:hAnsi="Calibri" w:hint="cs"/>
          <w:b/>
          <w:bCs/>
          <w:rtl/>
        </w:rPr>
        <w:t xml:space="preserve">תפוסים השייכים לנאשם שאינם קשורים בביצוע העבירה יוחזרו לנאשם. </w:t>
      </w:r>
    </w:p>
    <w:p w14:paraId="635AB0F0" w14:textId="77777777" w:rsidR="00961ED8" w:rsidRPr="00961ED8" w:rsidRDefault="00961ED8" w:rsidP="00961ED8">
      <w:pPr>
        <w:spacing w:after="160" w:line="360" w:lineRule="auto"/>
        <w:jc w:val="both"/>
        <w:rPr>
          <w:rFonts w:ascii="Calibri" w:hAnsi="Calibri"/>
          <w:b/>
          <w:bCs/>
          <w:rtl/>
        </w:rPr>
      </w:pPr>
      <w:r w:rsidRPr="00961ED8">
        <w:rPr>
          <w:rFonts w:ascii="Calibri" w:hAnsi="Calibri" w:hint="cs"/>
          <w:b/>
          <w:bCs/>
          <w:rtl/>
        </w:rPr>
        <w:t xml:space="preserve">הערבויות הכספיות שבתיק ישמשו להבטחת התייצבות הנאשם לריצוי עונשו. ככל שיתייצב במועד, ניתן יהיה להחזיר את הערבויות הכספיות לב"כ הנאשם וזאת לבקשת הנאשם, ככל שאין מניעה כספית הנובעת מחשבונו של הנאשם. </w:t>
      </w:r>
    </w:p>
    <w:p w14:paraId="2942E020" w14:textId="77777777" w:rsidR="00961ED8" w:rsidRPr="00961ED8" w:rsidRDefault="007C765E" w:rsidP="00961ED8">
      <w:pPr>
        <w:spacing w:after="160" w:line="360" w:lineRule="auto"/>
        <w:jc w:val="both"/>
        <w:rPr>
          <w:rFonts w:ascii="Calibri" w:hAnsi="Calibri"/>
          <w:b/>
          <w:bCs/>
          <w:rtl/>
        </w:rPr>
      </w:pPr>
      <w:r w:rsidRPr="007C765E">
        <w:rPr>
          <w:rFonts w:ascii="Calibri" w:hAnsi="Calibri"/>
          <w:b/>
          <w:bCs/>
          <w:color w:val="FFFFFF"/>
          <w:sz w:val="2"/>
          <w:szCs w:val="2"/>
          <w:rtl/>
        </w:rPr>
        <w:t>5129371</w:t>
      </w:r>
      <w:r w:rsidR="00961ED8" w:rsidRPr="00961ED8">
        <w:rPr>
          <w:rFonts w:ascii="Calibri" w:hAnsi="Calibri" w:hint="eastAsia"/>
          <w:b/>
          <w:bCs/>
          <w:rtl/>
        </w:rPr>
        <w:t>העתק</w:t>
      </w:r>
      <w:r w:rsidR="00961ED8" w:rsidRPr="00961ED8">
        <w:rPr>
          <w:rFonts w:ascii="Calibri" w:hAnsi="Calibri"/>
          <w:b/>
          <w:bCs/>
          <w:rtl/>
        </w:rPr>
        <w:t xml:space="preserve"> </w:t>
      </w:r>
      <w:r w:rsidR="00961ED8" w:rsidRPr="00961ED8">
        <w:rPr>
          <w:rFonts w:ascii="Calibri" w:hAnsi="Calibri" w:hint="cs"/>
          <w:b/>
          <w:bCs/>
          <w:rtl/>
        </w:rPr>
        <w:t xml:space="preserve">גזר הדין </w:t>
      </w:r>
      <w:r w:rsidR="00961ED8" w:rsidRPr="00961ED8">
        <w:rPr>
          <w:rFonts w:ascii="Calibri" w:hAnsi="Calibri" w:hint="eastAsia"/>
          <w:b/>
          <w:bCs/>
          <w:rtl/>
        </w:rPr>
        <w:t>לשירות</w:t>
      </w:r>
      <w:r w:rsidR="00961ED8" w:rsidRPr="00961ED8">
        <w:rPr>
          <w:rFonts w:ascii="Calibri" w:hAnsi="Calibri"/>
          <w:b/>
          <w:bCs/>
          <w:rtl/>
        </w:rPr>
        <w:t xml:space="preserve"> </w:t>
      </w:r>
      <w:r w:rsidR="00961ED8" w:rsidRPr="00961ED8">
        <w:rPr>
          <w:rFonts w:ascii="Calibri" w:hAnsi="Calibri" w:hint="eastAsia"/>
          <w:b/>
          <w:bCs/>
          <w:rtl/>
        </w:rPr>
        <w:t>המבחן</w:t>
      </w:r>
      <w:r w:rsidR="00961ED8" w:rsidRPr="00961ED8">
        <w:rPr>
          <w:rFonts w:ascii="Calibri" w:hAnsi="Calibri"/>
          <w:b/>
          <w:bCs/>
          <w:rtl/>
        </w:rPr>
        <w:t xml:space="preserve"> </w:t>
      </w:r>
      <w:r w:rsidR="00961ED8" w:rsidRPr="00961ED8">
        <w:rPr>
          <w:rFonts w:ascii="Calibri" w:hAnsi="Calibri" w:hint="eastAsia"/>
          <w:b/>
          <w:bCs/>
          <w:rtl/>
        </w:rPr>
        <w:t>ולממונה</w:t>
      </w:r>
      <w:r w:rsidR="00961ED8" w:rsidRPr="00961ED8">
        <w:rPr>
          <w:rFonts w:ascii="Calibri" w:hAnsi="Calibri"/>
          <w:b/>
          <w:bCs/>
          <w:rtl/>
        </w:rPr>
        <w:t xml:space="preserve"> </w:t>
      </w:r>
      <w:r w:rsidR="00961ED8" w:rsidRPr="00961ED8">
        <w:rPr>
          <w:rFonts w:ascii="Calibri" w:hAnsi="Calibri" w:hint="eastAsia"/>
          <w:b/>
          <w:bCs/>
          <w:rtl/>
        </w:rPr>
        <w:t>על</w:t>
      </w:r>
      <w:r w:rsidR="00961ED8" w:rsidRPr="00961ED8">
        <w:rPr>
          <w:rFonts w:ascii="Calibri" w:hAnsi="Calibri"/>
          <w:b/>
          <w:bCs/>
          <w:rtl/>
        </w:rPr>
        <w:t xml:space="preserve"> </w:t>
      </w:r>
      <w:r w:rsidR="00961ED8" w:rsidRPr="00961ED8">
        <w:rPr>
          <w:rFonts w:ascii="Calibri" w:hAnsi="Calibri" w:hint="eastAsia"/>
          <w:b/>
          <w:bCs/>
          <w:rtl/>
        </w:rPr>
        <w:t>עבודות</w:t>
      </w:r>
      <w:r w:rsidR="00961ED8" w:rsidRPr="00961ED8">
        <w:rPr>
          <w:rFonts w:ascii="Calibri" w:hAnsi="Calibri"/>
          <w:b/>
          <w:bCs/>
          <w:rtl/>
        </w:rPr>
        <w:t xml:space="preserve"> </w:t>
      </w:r>
      <w:r w:rsidR="00961ED8" w:rsidRPr="00961ED8">
        <w:rPr>
          <w:rFonts w:ascii="Calibri" w:hAnsi="Calibri" w:hint="eastAsia"/>
          <w:b/>
          <w:bCs/>
          <w:rtl/>
        </w:rPr>
        <w:t>השירות</w:t>
      </w:r>
      <w:r w:rsidR="00961ED8" w:rsidRPr="00961ED8">
        <w:rPr>
          <w:rFonts w:ascii="Calibri" w:hAnsi="Calibri"/>
          <w:b/>
          <w:bCs/>
          <w:rtl/>
        </w:rPr>
        <w:t>.</w:t>
      </w:r>
    </w:p>
    <w:p w14:paraId="059CE58C" w14:textId="77777777" w:rsidR="00961ED8" w:rsidRPr="00961ED8" w:rsidRDefault="007C765E" w:rsidP="00961ED8">
      <w:pPr>
        <w:spacing w:after="160" w:line="360" w:lineRule="auto"/>
        <w:jc w:val="both"/>
        <w:rPr>
          <w:rFonts w:ascii="Calibri" w:hAnsi="Calibri"/>
          <w:b/>
          <w:bCs/>
        </w:rPr>
      </w:pPr>
      <w:r w:rsidRPr="007C765E">
        <w:rPr>
          <w:rFonts w:ascii="Calibri" w:hAnsi="Calibri"/>
          <w:b/>
          <w:bCs/>
          <w:color w:val="FFFFFF"/>
          <w:sz w:val="2"/>
          <w:szCs w:val="2"/>
          <w:rtl/>
        </w:rPr>
        <w:t>54678313</w:t>
      </w:r>
      <w:r w:rsidR="00961ED8" w:rsidRPr="00961ED8">
        <w:rPr>
          <w:rFonts w:ascii="Calibri" w:hAnsi="Calibri" w:hint="eastAsia"/>
          <w:b/>
          <w:bCs/>
          <w:rtl/>
        </w:rPr>
        <w:t>זכות</w:t>
      </w:r>
      <w:r w:rsidR="00961ED8" w:rsidRPr="00961ED8">
        <w:rPr>
          <w:rFonts w:ascii="Calibri" w:hAnsi="Calibri"/>
          <w:b/>
          <w:bCs/>
          <w:rtl/>
        </w:rPr>
        <w:t xml:space="preserve"> </w:t>
      </w:r>
      <w:r w:rsidR="00961ED8" w:rsidRPr="00961ED8">
        <w:rPr>
          <w:rFonts w:ascii="Calibri" w:hAnsi="Calibri" w:hint="eastAsia"/>
          <w:b/>
          <w:bCs/>
          <w:rtl/>
        </w:rPr>
        <w:t>ערעור</w:t>
      </w:r>
      <w:r w:rsidR="00961ED8" w:rsidRPr="00961ED8">
        <w:rPr>
          <w:rFonts w:ascii="Calibri" w:hAnsi="Calibri"/>
          <w:b/>
          <w:bCs/>
          <w:rtl/>
        </w:rPr>
        <w:t xml:space="preserve"> </w:t>
      </w:r>
      <w:r w:rsidR="00961ED8" w:rsidRPr="00961ED8">
        <w:rPr>
          <w:rFonts w:ascii="Calibri" w:hAnsi="Calibri" w:hint="eastAsia"/>
          <w:b/>
          <w:bCs/>
          <w:rtl/>
        </w:rPr>
        <w:t>כחוק</w:t>
      </w:r>
      <w:r w:rsidR="00961ED8" w:rsidRPr="00961ED8">
        <w:rPr>
          <w:rFonts w:ascii="Calibri" w:hAnsi="Calibri"/>
          <w:b/>
          <w:bCs/>
          <w:rtl/>
        </w:rPr>
        <w:t>.</w:t>
      </w:r>
    </w:p>
    <w:p w14:paraId="6F1EEEFE" w14:textId="77777777" w:rsidR="00961ED8" w:rsidRPr="002B7D23" w:rsidRDefault="00961ED8" w:rsidP="00961ED8">
      <w:pPr>
        <w:rPr>
          <w:rFonts w:ascii="David" w:hAnsi="David"/>
          <w:sz w:val="26"/>
          <w:szCs w:val="26"/>
          <w:rtl/>
        </w:rPr>
      </w:pPr>
    </w:p>
    <w:p w14:paraId="10C37CE3" w14:textId="77777777" w:rsidR="00961ED8" w:rsidRPr="002B7D23" w:rsidRDefault="007C765E" w:rsidP="00961ED8">
      <w:pPr>
        <w:rPr>
          <w:rFonts w:ascii="David" w:hAnsi="David"/>
          <w:sz w:val="26"/>
          <w:szCs w:val="26"/>
          <w:rtl/>
        </w:rPr>
      </w:pPr>
      <w:bookmarkStart w:id="8" w:name="Nitan"/>
      <w:r>
        <w:rPr>
          <w:rFonts w:ascii="David" w:hAnsi="David"/>
          <w:b/>
          <w:bCs/>
          <w:sz w:val="26"/>
          <w:szCs w:val="26"/>
          <w:rtl/>
        </w:rPr>
        <w:t xml:space="preserve">ניתן היום,  י"א חשוון תשפ"ב, 17 אוקטובר 2021, במעמד הצדדים. </w:t>
      </w:r>
      <w:bookmarkEnd w:id="8"/>
    </w:p>
    <w:p w14:paraId="369AD89F" w14:textId="77777777" w:rsidR="00961ED8" w:rsidRPr="002B7D23" w:rsidRDefault="00961ED8" w:rsidP="007C765E">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D752287" w14:textId="77777777" w:rsidR="00961ED8" w:rsidRPr="002B7D23" w:rsidRDefault="00961ED8" w:rsidP="00961ED8">
      <w:pPr>
        <w:jc w:val="center"/>
        <w:rPr>
          <w:rFonts w:ascii="David" w:hAnsi="David"/>
          <w:sz w:val="26"/>
          <w:szCs w:val="26"/>
          <w:rtl/>
        </w:rPr>
      </w:pPr>
    </w:p>
    <w:p w14:paraId="41BA7BEB" w14:textId="77777777" w:rsidR="00CC03A0" w:rsidRPr="007C765E" w:rsidRDefault="00CC03A0" w:rsidP="007C765E">
      <w:pPr>
        <w:keepNext/>
        <w:rPr>
          <w:rFonts w:ascii="David" w:hAnsi="David"/>
          <w:color w:val="000000"/>
          <w:sz w:val="22"/>
          <w:szCs w:val="22"/>
          <w:rtl/>
        </w:rPr>
      </w:pPr>
    </w:p>
    <w:p w14:paraId="2A30CF59" w14:textId="77777777" w:rsidR="007C765E" w:rsidRPr="007C765E" w:rsidRDefault="007C765E" w:rsidP="007C765E">
      <w:pPr>
        <w:keepNext/>
        <w:rPr>
          <w:rFonts w:ascii="David" w:hAnsi="David"/>
          <w:color w:val="000000"/>
          <w:sz w:val="22"/>
          <w:szCs w:val="22"/>
          <w:rtl/>
        </w:rPr>
      </w:pPr>
      <w:r w:rsidRPr="007C765E">
        <w:rPr>
          <w:rFonts w:ascii="David" w:hAnsi="David"/>
          <w:color w:val="000000"/>
          <w:sz w:val="22"/>
          <w:szCs w:val="22"/>
          <w:rtl/>
        </w:rPr>
        <w:t>ענת חולתא 54678313</w:t>
      </w:r>
    </w:p>
    <w:p w14:paraId="2D8F4F2B" w14:textId="77777777" w:rsidR="007C765E" w:rsidRDefault="007C765E" w:rsidP="007C765E">
      <w:r w:rsidRPr="007C765E">
        <w:rPr>
          <w:color w:val="000000"/>
          <w:rtl/>
        </w:rPr>
        <w:t>נוסח מסמך זה כפוף לשינויי ניסוח ועריכה</w:t>
      </w:r>
    </w:p>
    <w:p w14:paraId="6DDCE32F" w14:textId="77777777" w:rsidR="007C765E" w:rsidRDefault="007C765E" w:rsidP="007C765E">
      <w:pPr>
        <w:rPr>
          <w:rtl/>
        </w:rPr>
      </w:pPr>
    </w:p>
    <w:p w14:paraId="4E04759D" w14:textId="77777777" w:rsidR="007C765E" w:rsidRDefault="007C765E" w:rsidP="007C765E">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1C20E579" w14:textId="77777777" w:rsidR="007C765E" w:rsidRPr="007C765E" w:rsidRDefault="007C765E" w:rsidP="007C765E">
      <w:pPr>
        <w:jc w:val="center"/>
        <w:rPr>
          <w:color w:val="0000FF"/>
          <w:u w:val="single"/>
        </w:rPr>
      </w:pPr>
    </w:p>
    <w:sectPr w:rsidR="007C765E" w:rsidRPr="007C765E" w:rsidSect="007C765E">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31E8A" w14:textId="77777777" w:rsidR="006725B1" w:rsidRDefault="006725B1" w:rsidP="0053528B">
      <w:r>
        <w:separator/>
      </w:r>
    </w:p>
  </w:endnote>
  <w:endnote w:type="continuationSeparator" w:id="0">
    <w:p w14:paraId="1598E899" w14:textId="77777777" w:rsidR="006725B1" w:rsidRDefault="006725B1" w:rsidP="0053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E6CE6" w14:textId="77777777" w:rsidR="007C765E" w:rsidRDefault="007C765E" w:rsidP="007C76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F46C21" w14:textId="77777777" w:rsidR="004E0556" w:rsidRPr="007C765E" w:rsidRDefault="007C765E" w:rsidP="007C76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67AB9" w14:textId="77777777" w:rsidR="007C765E" w:rsidRDefault="007C765E" w:rsidP="007C76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70F9">
      <w:rPr>
        <w:rFonts w:ascii="FrankRuehl" w:hAnsi="FrankRuehl" w:cs="FrankRuehl"/>
        <w:noProof/>
        <w:rtl/>
      </w:rPr>
      <w:t>1</w:t>
    </w:r>
    <w:r>
      <w:rPr>
        <w:rFonts w:ascii="FrankRuehl" w:hAnsi="FrankRuehl" w:cs="FrankRuehl"/>
        <w:rtl/>
      </w:rPr>
      <w:fldChar w:fldCharType="end"/>
    </w:r>
  </w:p>
  <w:p w14:paraId="4C4ECC8B" w14:textId="77777777" w:rsidR="004E0556" w:rsidRPr="007C765E" w:rsidRDefault="007C765E" w:rsidP="007C76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912A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C2080" w14:textId="77777777" w:rsidR="006725B1" w:rsidRDefault="006725B1" w:rsidP="0053528B">
      <w:r>
        <w:separator/>
      </w:r>
    </w:p>
  </w:footnote>
  <w:footnote w:type="continuationSeparator" w:id="0">
    <w:p w14:paraId="3C363849" w14:textId="77777777" w:rsidR="006725B1" w:rsidRDefault="006725B1" w:rsidP="00535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84002" w14:textId="77777777" w:rsidR="007C765E" w:rsidRPr="007C765E" w:rsidRDefault="007C765E" w:rsidP="007C76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58617-01-20</w:t>
    </w:r>
    <w:r>
      <w:rPr>
        <w:rFonts w:ascii="David" w:hAnsi="David"/>
        <w:color w:val="000000"/>
        <w:sz w:val="22"/>
        <w:szCs w:val="22"/>
        <w:rtl/>
      </w:rPr>
      <w:tab/>
      <w:t xml:space="preserve"> מדינת ישראל-תביעות נגב נ' סאמי אבו רקייק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71392" w14:textId="77777777" w:rsidR="007C765E" w:rsidRPr="007C765E" w:rsidRDefault="007C765E" w:rsidP="007C76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58617-01-20</w:t>
    </w:r>
    <w:r>
      <w:rPr>
        <w:rFonts w:ascii="David" w:hAnsi="David"/>
        <w:color w:val="000000"/>
        <w:sz w:val="22"/>
        <w:szCs w:val="22"/>
        <w:rtl/>
      </w:rPr>
      <w:tab/>
      <w:t xml:space="preserve"> מדינת ישראל-תביעות נגב נ' סאמי אבו רקייק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9C2"/>
    <w:multiLevelType w:val="hybridMultilevel"/>
    <w:tmpl w:val="05BC6C88"/>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A2768B"/>
    <w:multiLevelType w:val="hybridMultilevel"/>
    <w:tmpl w:val="FFECB42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9B3242C"/>
    <w:multiLevelType w:val="hybridMultilevel"/>
    <w:tmpl w:val="AE30E6E2"/>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2047AD2"/>
    <w:multiLevelType w:val="hybridMultilevel"/>
    <w:tmpl w:val="E3B2AA3A"/>
    <w:lvl w:ilvl="0" w:tplc="F400628E">
      <w:start w:val="1"/>
      <w:numFmt w:val="decimal"/>
      <w:lvlText w:val="%1."/>
      <w:lvlJc w:val="left"/>
      <w:pPr>
        <w:ind w:left="360"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51247475">
    <w:abstractNumId w:val="3"/>
  </w:num>
  <w:num w:numId="2" w16cid:durableId="932737081">
    <w:abstractNumId w:val="1"/>
  </w:num>
  <w:num w:numId="3" w16cid:durableId="102388056">
    <w:abstractNumId w:val="2"/>
  </w:num>
  <w:num w:numId="4" w16cid:durableId="142410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1ED8"/>
    <w:rsid w:val="00124821"/>
    <w:rsid w:val="00175B5F"/>
    <w:rsid w:val="001B5A3B"/>
    <w:rsid w:val="00397B0A"/>
    <w:rsid w:val="004E0556"/>
    <w:rsid w:val="0053528B"/>
    <w:rsid w:val="005F70F9"/>
    <w:rsid w:val="006725B1"/>
    <w:rsid w:val="007935A7"/>
    <w:rsid w:val="007C765E"/>
    <w:rsid w:val="00961ED8"/>
    <w:rsid w:val="00B43320"/>
    <w:rsid w:val="00BD5690"/>
    <w:rsid w:val="00CC03A0"/>
    <w:rsid w:val="00D223DA"/>
    <w:rsid w:val="00DE17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235AB6"/>
  <w15:chartTrackingRefBased/>
  <w15:docId w15:val="{7D8E4935-7BBE-4CF9-B003-921A7B53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1ED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1ED8"/>
    <w:pPr>
      <w:tabs>
        <w:tab w:val="center" w:pos="4153"/>
        <w:tab w:val="right" w:pos="8306"/>
      </w:tabs>
    </w:pPr>
  </w:style>
  <w:style w:type="character" w:customStyle="1" w:styleId="a4">
    <w:name w:val="כותרת עליונה תו"/>
    <w:link w:val="a3"/>
    <w:rsid w:val="00961ED8"/>
    <w:rPr>
      <w:rFonts w:ascii="Times New Roman" w:eastAsia="Times New Roman" w:hAnsi="Times New Roman" w:cs="David"/>
      <w:sz w:val="24"/>
      <w:szCs w:val="24"/>
    </w:rPr>
  </w:style>
  <w:style w:type="paragraph" w:styleId="a5">
    <w:name w:val="footer"/>
    <w:basedOn w:val="a"/>
    <w:link w:val="a6"/>
    <w:rsid w:val="00961ED8"/>
    <w:pPr>
      <w:tabs>
        <w:tab w:val="center" w:pos="4153"/>
        <w:tab w:val="right" w:pos="8306"/>
      </w:tabs>
    </w:pPr>
  </w:style>
  <w:style w:type="character" w:customStyle="1" w:styleId="a6">
    <w:name w:val="כותרת תחתונה תו"/>
    <w:link w:val="a5"/>
    <w:rsid w:val="00961ED8"/>
    <w:rPr>
      <w:rFonts w:ascii="Times New Roman" w:eastAsia="Times New Roman" w:hAnsi="Times New Roman" w:cs="David"/>
      <w:sz w:val="24"/>
      <w:szCs w:val="24"/>
    </w:rPr>
  </w:style>
  <w:style w:type="table" w:styleId="a7">
    <w:name w:val="Table Grid"/>
    <w:basedOn w:val="a1"/>
    <w:rsid w:val="00961E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1ED8"/>
  </w:style>
  <w:style w:type="character" w:styleId="Hyperlink">
    <w:name w:val="Hyperlink"/>
    <w:rsid w:val="007C7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4492956" TargetMode="External"/><Relationship Id="rId39" Type="http://schemas.openxmlformats.org/officeDocument/2006/relationships/hyperlink" Target="http://www.nevo.co.il/case/27274743" TargetMode="External"/><Relationship Id="rId21" Type="http://schemas.openxmlformats.org/officeDocument/2006/relationships/hyperlink" Target="http://www.nevo.co.il/case/23858961" TargetMode="External"/><Relationship Id="rId34" Type="http://schemas.openxmlformats.org/officeDocument/2006/relationships/hyperlink" Target="http://www.nevo.co.il/case/25231460"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00088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667706" TargetMode="External"/><Relationship Id="rId32" Type="http://schemas.openxmlformats.org/officeDocument/2006/relationships/hyperlink" Target="http://www.nevo.co.il/case/27634418" TargetMode="External"/><Relationship Id="rId37" Type="http://schemas.openxmlformats.org/officeDocument/2006/relationships/hyperlink" Target="http://www.nevo.co.il/case/22656269" TargetMode="External"/><Relationship Id="rId40" Type="http://schemas.openxmlformats.org/officeDocument/2006/relationships/hyperlink" Target="http://www.nevo.co.il/case/27153038"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0881083" TargetMode="External"/><Relationship Id="rId28" Type="http://schemas.openxmlformats.org/officeDocument/2006/relationships/hyperlink" Target="http://www.nevo.co.il/case/20992814" TargetMode="External"/><Relationship Id="rId36" Type="http://schemas.openxmlformats.org/officeDocument/2006/relationships/hyperlink" Target="http://www.nevo.co.il/case/20159091"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7347635" TargetMode="External"/><Relationship Id="rId31" Type="http://schemas.openxmlformats.org/officeDocument/2006/relationships/hyperlink" Target="http://www.nevo.co.il/case/1811916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685141" TargetMode="External"/><Relationship Id="rId27" Type="http://schemas.openxmlformats.org/officeDocument/2006/relationships/hyperlink" Target="http://www.nevo.co.il/case/23541922" TargetMode="External"/><Relationship Id="rId30" Type="http://schemas.openxmlformats.org/officeDocument/2006/relationships/hyperlink" Target="http://www.nevo.co.il/case/18045843" TargetMode="External"/><Relationship Id="rId35" Type="http://schemas.openxmlformats.org/officeDocument/2006/relationships/hyperlink" Target="http://www.nevo.co.il/case/24965143"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51.b1.1" TargetMode="External"/><Relationship Id="rId17" Type="http://schemas.openxmlformats.org/officeDocument/2006/relationships/hyperlink" Target="http://www.nevo.co.il/law/70301/51.b1.1" TargetMode="External"/><Relationship Id="rId25" Type="http://schemas.openxmlformats.org/officeDocument/2006/relationships/hyperlink" Target="http://www.nevo.co.il/case/20770504" TargetMode="External"/><Relationship Id="rId33" Type="http://schemas.openxmlformats.org/officeDocument/2006/relationships/hyperlink" Target="http://www.nevo.co.il/case/25202760" TargetMode="External"/><Relationship Id="rId38" Type="http://schemas.openxmlformats.org/officeDocument/2006/relationships/hyperlink" Target="http://www.nevo.co.il/case/20881083" TargetMode="External"/><Relationship Id="rId46" Type="http://schemas.openxmlformats.org/officeDocument/2006/relationships/fontTable" Target="fontTable.xml"/><Relationship Id="rId20" Type="http://schemas.openxmlformats.org/officeDocument/2006/relationships/hyperlink" Target="http://www.nevo.co.il/case/26396568"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2672</Words>
  <Characters>13365</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16005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3342454</vt:i4>
      </vt:variant>
      <vt:variant>
        <vt:i4>99</vt:i4>
      </vt:variant>
      <vt:variant>
        <vt:i4>0</vt:i4>
      </vt:variant>
      <vt:variant>
        <vt:i4>5</vt:i4>
      </vt:variant>
      <vt:variant>
        <vt:lpwstr>http://www.nevo.co.il/case/27153038</vt:lpwstr>
      </vt:variant>
      <vt:variant>
        <vt:lpwstr/>
      </vt:variant>
      <vt:variant>
        <vt:i4>3145843</vt:i4>
      </vt:variant>
      <vt:variant>
        <vt:i4>96</vt:i4>
      </vt:variant>
      <vt:variant>
        <vt:i4>0</vt:i4>
      </vt:variant>
      <vt:variant>
        <vt:i4>5</vt:i4>
      </vt:variant>
      <vt:variant>
        <vt:lpwstr>http://www.nevo.co.il/case/27274743</vt:lpwstr>
      </vt:variant>
      <vt:variant>
        <vt:lpwstr/>
      </vt:variant>
      <vt:variant>
        <vt:i4>3342460</vt:i4>
      </vt:variant>
      <vt:variant>
        <vt:i4>93</vt:i4>
      </vt:variant>
      <vt:variant>
        <vt:i4>0</vt:i4>
      </vt:variant>
      <vt:variant>
        <vt:i4>5</vt:i4>
      </vt:variant>
      <vt:variant>
        <vt:lpwstr>http://www.nevo.co.il/case/20881083</vt:lpwstr>
      </vt:variant>
      <vt:variant>
        <vt:lpwstr/>
      </vt:variant>
      <vt:variant>
        <vt:i4>3407985</vt:i4>
      </vt:variant>
      <vt:variant>
        <vt:i4>90</vt:i4>
      </vt:variant>
      <vt:variant>
        <vt:i4>0</vt:i4>
      </vt:variant>
      <vt:variant>
        <vt:i4>5</vt:i4>
      </vt:variant>
      <vt:variant>
        <vt:lpwstr>http://www.nevo.co.il/case/22656269</vt:lpwstr>
      </vt:variant>
      <vt:variant>
        <vt:lpwstr/>
      </vt:variant>
      <vt:variant>
        <vt:i4>3342449</vt:i4>
      </vt:variant>
      <vt:variant>
        <vt:i4>87</vt:i4>
      </vt:variant>
      <vt:variant>
        <vt:i4>0</vt:i4>
      </vt:variant>
      <vt:variant>
        <vt:i4>5</vt:i4>
      </vt:variant>
      <vt:variant>
        <vt:lpwstr>http://www.nevo.co.il/case/20159091</vt:lpwstr>
      </vt:variant>
      <vt:variant>
        <vt:lpwstr/>
      </vt:variant>
      <vt:variant>
        <vt:i4>3801207</vt:i4>
      </vt:variant>
      <vt:variant>
        <vt:i4>84</vt:i4>
      </vt:variant>
      <vt:variant>
        <vt:i4>0</vt:i4>
      </vt:variant>
      <vt:variant>
        <vt:i4>5</vt:i4>
      </vt:variant>
      <vt:variant>
        <vt:lpwstr>http://www.nevo.co.il/case/24965143</vt:lpwstr>
      </vt:variant>
      <vt:variant>
        <vt:lpwstr/>
      </vt:variant>
      <vt:variant>
        <vt:i4>3604598</vt:i4>
      </vt:variant>
      <vt:variant>
        <vt:i4>81</vt:i4>
      </vt:variant>
      <vt:variant>
        <vt:i4>0</vt:i4>
      </vt:variant>
      <vt:variant>
        <vt:i4>5</vt:i4>
      </vt:variant>
      <vt:variant>
        <vt:lpwstr>http://www.nevo.co.il/case/25231460</vt:lpwstr>
      </vt:variant>
      <vt:variant>
        <vt:lpwstr/>
      </vt:variant>
      <vt:variant>
        <vt:i4>3407990</vt:i4>
      </vt:variant>
      <vt:variant>
        <vt:i4>78</vt:i4>
      </vt:variant>
      <vt:variant>
        <vt:i4>0</vt:i4>
      </vt:variant>
      <vt:variant>
        <vt:i4>5</vt:i4>
      </vt:variant>
      <vt:variant>
        <vt:lpwstr>http://www.nevo.co.il/case/25202760</vt:lpwstr>
      </vt:variant>
      <vt:variant>
        <vt:lpwstr/>
      </vt:variant>
      <vt:variant>
        <vt:i4>3211380</vt:i4>
      </vt:variant>
      <vt:variant>
        <vt:i4>75</vt:i4>
      </vt:variant>
      <vt:variant>
        <vt:i4>0</vt:i4>
      </vt:variant>
      <vt:variant>
        <vt:i4>5</vt:i4>
      </vt:variant>
      <vt:variant>
        <vt:lpwstr>http://www.nevo.co.il/case/27634418</vt:lpwstr>
      </vt:variant>
      <vt:variant>
        <vt:lpwstr/>
      </vt:variant>
      <vt:variant>
        <vt:i4>4128892</vt:i4>
      </vt:variant>
      <vt:variant>
        <vt:i4>72</vt:i4>
      </vt:variant>
      <vt:variant>
        <vt:i4>0</vt:i4>
      </vt:variant>
      <vt:variant>
        <vt:i4>5</vt:i4>
      </vt:variant>
      <vt:variant>
        <vt:lpwstr>http://www.nevo.co.il/case/18119161</vt:lpwstr>
      </vt:variant>
      <vt:variant>
        <vt:lpwstr/>
      </vt:variant>
      <vt:variant>
        <vt:i4>3145840</vt:i4>
      </vt:variant>
      <vt:variant>
        <vt:i4>69</vt:i4>
      </vt:variant>
      <vt:variant>
        <vt:i4>0</vt:i4>
      </vt:variant>
      <vt:variant>
        <vt:i4>5</vt:i4>
      </vt:variant>
      <vt:variant>
        <vt:lpwstr>http://www.nevo.co.il/case/18045843</vt:lpwstr>
      </vt:variant>
      <vt:variant>
        <vt:lpwstr/>
      </vt:variant>
      <vt:variant>
        <vt:i4>3932284</vt:i4>
      </vt:variant>
      <vt:variant>
        <vt:i4>66</vt:i4>
      </vt:variant>
      <vt:variant>
        <vt:i4>0</vt:i4>
      </vt:variant>
      <vt:variant>
        <vt:i4>5</vt:i4>
      </vt:variant>
      <vt:variant>
        <vt:lpwstr>http://www.nevo.co.il/case/20008867</vt:lpwstr>
      </vt:variant>
      <vt:variant>
        <vt:lpwstr/>
      </vt:variant>
      <vt:variant>
        <vt:i4>3670133</vt:i4>
      </vt:variant>
      <vt:variant>
        <vt:i4>63</vt:i4>
      </vt:variant>
      <vt:variant>
        <vt:i4>0</vt:i4>
      </vt:variant>
      <vt:variant>
        <vt:i4>5</vt:i4>
      </vt:variant>
      <vt:variant>
        <vt:lpwstr>http://www.nevo.co.il/case/20992814</vt:lpwstr>
      </vt:variant>
      <vt:variant>
        <vt:lpwstr/>
      </vt:variant>
      <vt:variant>
        <vt:i4>3407994</vt:i4>
      </vt:variant>
      <vt:variant>
        <vt:i4>60</vt:i4>
      </vt:variant>
      <vt:variant>
        <vt:i4>0</vt:i4>
      </vt:variant>
      <vt:variant>
        <vt:i4>5</vt:i4>
      </vt:variant>
      <vt:variant>
        <vt:lpwstr>http://www.nevo.co.il/case/23541922</vt:lpwstr>
      </vt:variant>
      <vt:variant>
        <vt:lpwstr/>
      </vt:variant>
      <vt:variant>
        <vt:i4>3211376</vt:i4>
      </vt:variant>
      <vt:variant>
        <vt:i4>57</vt:i4>
      </vt:variant>
      <vt:variant>
        <vt:i4>0</vt:i4>
      </vt:variant>
      <vt:variant>
        <vt:i4>5</vt:i4>
      </vt:variant>
      <vt:variant>
        <vt:lpwstr>http://www.nevo.co.il/case/24492956</vt:lpwstr>
      </vt:variant>
      <vt:variant>
        <vt:lpwstr/>
      </vt:variant>
      <vt:variant>
        <vt:i4>3473526</vt:i4>
      </vt:variant>
      <vt:variant>
        <vt:i4>54</vt:i4>
      </vt:variant>
      <vt:variant>
        <vt:i4>0</vt:i4>
      </vt:variant>
      <vt:variant>
        <vt:i4>5</vt:i4>
      </vt:variant>
      <vt:variant>
        <vt:lpwstr>http://www.nevo.co.il/case/20770504</vt:lpwstr>
      </vt:variant>
      <vt:variant>
        <vt:lpwstr/>
      </vt:variant>
      <vt:variant>
        <vt:i4>3342450</vt:i4>
      </vt:variant>
      <vt:variant>
        <vt:i4>51</vt:i4>
      </vt:variant>
      <vt:variant>
        <vt:i4>0</vt:i4>
      </vt:variant>
      <vt:variant>
        <vt:i4>5</vt:i4>
      </vt:variant>
      <vt:variant>
        <vt:lpwstr>http://www.nevo.co.il/case/27667706</vt:lpwstr>
      </vt:variant>
      <vt:variant>
        <vt:lpwstr/>
      </vt:variant>
      <vt:variant>
        <vt:i4>3342460</vt:i4>
      </vt:variant>
      <vt:variant>
        <vt:i4>48</vt:i4>
      </vt:variant>
      <vt:variant>
        <vt:i4>0</vt:i4>
      </vt:variant>
      <vt:variant>
        <vt:i4>5</vt:i4>
      </vt:variant>
      <vt:variant>
        <vt:lpwstr>http://www.nevo.co.il/case/20881083</vt:lpwstr>
      </vt:variant>
      <vt:variant>
        <vt:lpwstr/>
      </vt:variant>
      <vt:variant>
        <vt:i4>3473533</vt:i4>
      </vt:variant>
      <vt:variant>
        <vt:i4>45</vt:i4>
      </vt:variant>
      <vt:variant>
        <vt:i4>0</vt:i4>
      </vt:variant>
      <vt:variant>
        <vt:i4>5</vt:i4>
      </vt:variant>
      <vt:variant>
        <vt:lpwstr>http://www.nevo.co.il/case/20685141</vt:lpwstr>
      </vt:variant>
      <vt:variant>
        <vt:lpwstr/>
      </vt:variant>
      <vt:variant>
        <vt:i4>3407995</vt:i4>
      </vt:variant>
      <vt:variant>
        <vt:i4>42</vt:i4>
      </vt:variant>
      <vt:variant>
        <vt:i4>0</vt:i4>
      </vt:variant>
      <vt:variant>
        <vt:i4>5</vt:i4>
      </vt:variant>
      <vt:variant>
        <vt:lpwstr>http://www.nevo.co.il/case/23858961</vt:lpwstr>
      </vt:variant>
      <vt:variant>
        <vt:lpwstr/>
      </vt:variant>
      <vt:variant>
        <vt:i4>3211390</vt:i4>
      </vt:variant>
      <vt:variant>
        <vt:i4>39</vt:i4>
      </vt:variant>
      <vt:variant>
        <vt:i4>0</vt:i4>
      </vt:variant>
      <vt:variant>
        <vt:i4>5</vt:i4>
      </vt:variant>
      <vt:variant>
        <vt:lpwstr>http://www.nevo.co.il/case/26396568</vt:lpwstr>
      </vt:variant>
      <vt:variant>
        <vt:lpwstr/>
      </vt:variant>
      <vt:variant>
        <vt:i4>3473521</vt:i4>
      </vt:variant>
      <vt:variant>
        <vt:i4>36</vt:i4>
      </vt:variant>
      <vt:variant>
        <vt:i4>0</vt:i4>
      </vt:variant>
      <vt:variant>
        <vt:i4>5</vt:i4>
      </vt:variant>
      <vt:variant>
        <vt:lpwstr>http://www.nevo.co.il/case/27347635</vt:lpwstr>
      </vt:variant>
      <vt:variant>
        <vt:lpwstr/>
      </vt:variant>
      <vt:variant>
        <vt:i4>7995492</vt:i4>
      </vt:variant>
      <vt:variant>
        <vt:i4>33</vt:i4>
      </vt:variant>
      <vt:variant>
        <vt:i4>0</vt:i4>
      </vt:variant>
      <vt:variant>
        <vt:i4>5</vt:i4>
      </vt:variant>
      <vt:variant>
        <vt:lpwstr>http://www.nevo.co.il/law/70301</vt:lpwstr>
      </vt:variant>
      <vt:variant>
        <vt:lpwstr/>
      </vt:variant>
      <vt:variant>
        <vt:i4>2621567</vt:i4>
      </vt:variant>
      <vt:variant>
        <vt:i4>30</vt:i4>
      </vt:variant>
      <vt:variant>
        <vt:i4>0</vt:i4>
      </vt:variant>
      <vt:variant>
        <vt:i4>5</vt:i4>
      </vt:variant>
      <vt:variant>
        <vt:lpwstr>http://www.nevo.co.il/law/70301/51.b1.1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2621567</vt:i4>
      </vt:variant>
      <vt:variant>
        <vt:i4>15</vt:i4>
      </vt:variant>
      <vt:variant>
        <vt:i4>0</vt:i4>
      </vt:variant>
      <vt:variant>
        <vt:i4>5</vt:i4>
      </vt:variant>
      <vt:variant>
        <vt:lpwstr>http://www.nevo.co.il/law/70301/51.b1.1</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2025-04-23T00:26:00Z</dcterms:created>
  <dcterms:modified xsi:type="dcterms:W3CDTF">2025-04-23T00:26:00Z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58617</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ישראל-תביעות נגב</vt:lpwstr>
  </property>
  <property fmtid="{D5CDD505-2E9C-101B-9397-08002B2CF9AE}" pid="9" name="APPELLEE">
    <vt:lpwstr>סאמי אבו רקייק</vt:lpwstr>
  </property>
  <property fmtid="{D5CDD505-2E9C-101B-9397-08002B2CF9AE}" pid="10" name="LAWYER">
    <vt:lpwstr>שגיא אבנעים;עידו פורת</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20211017</vt:lpwstr>
  </property>
  <property fmtid="{D5CDD505-2E9C-101B-9397-08002B2CF9AE}" pid="14" name="TYPE_N_DATE">
    <vt:lpwstr>38020211017</vt:lpwstr>
  </property>
  <property fmtid="{D5CDD505-2E9C-101B-9397-08002B2CF9AE}" pid="15" name="WORDNUMPAGES">
    <vt:lpwstr>9</vt:lpwstr>
  </property>
  <property fmtid="{D5CDD505-2E9C-101B-9397-08002B2CF9AE}" pid="16" name="TYPE_ABS_DATE">
    <vt:lpwstr>380020211017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27347635;26396568;23858961;20685141;20881083:2;27667706;20770504;24492956;23541922;20992814;20008867;18045843;18119161;27634418;25202760;25231460;24965143;20159091;22656269;27274743;27153038</vt:lpwstr>
  </property>
  <property fmtid="{D5CDD505-2E9C-101B-9397-08002B2CF9AE}" pid="36" name="LAWLISTTMP1">
    <vt:lpwstr>4216/006;007.a;007.c</vt:lpwstr>
  </property>
  <property fmtid="{D5CDD505-2E9C-101B-9397-08002B2CF9AE}" pid="37" name="LAWLISTTMP2">
    <vt:lpwstr>70301/051.b1.1</vt:lpwstr>
  </property>
</Properties>
</file>