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16695F" w:rsidRPr="00E20A02" w14:paraId="2B36C6EB" w14:textId="77777777" w:rsidTr="002A71E8">
        <w:trPr>
          <w:trHeight w:hRule="exact" w:val="418"/>
          <w:jc w:val="center"/>
        </w:trPr>
        <w:tc>
          <w:tcPr>
            <w:tcW w:w="8523" w:type="dxa"/>
            <w:gridSpan w:val="2"/>
          </w:tcPr>
          <w:p w14:paraId="155CFBDB" w14:textId="77777777" w:rsidR="0016695F" w:rsidRPr="00E20A02" w:rsidRDefault="0016695F" w:rsidP="00C26D88">
            <w:pPr>
              <w:pStyle w:val="a3"/>
              <w:jc w:val="center"/>
              <w:rPr>
                <w:rFonts w:ascii="Tahoma" w:hAnsi="Tahoma"/>
                <w:color w:val="000080"/>
                <w:sz w:val="32"/>
                <w:szCs w:val="32"/>
                <w:rtl/>
              </w:rPr>
            </w:pPr>
            <w:bookmarkStart w:id="0" w:name="LastJudge"/>
            <w:r w:rsidRPr="00E20A02">
              <w:rPr>
                <w:rFonts w:ascii="Tahoma" w:hAnsi="Tahoma"/>
                <w:b/>
                <w:bCs/>
                <w:color w:val="000080"/>
                <w:sz w:val="32"/>
                <w:szCs w:val="32"/>
                <w:rtl/>
              </w:rPr>
              <w:t>בית משפט השלום בתל אביב - יפו</w:t>
            </w:r>
          </w:p>
        </w:tc>
      </w:tr>
      <w:tr w:rsidR="0016695F" w:rsidRPr="00E20A02" w14:paraId="796FBAF2" w14:textId="77777777" w:rsidTr="002A71E8">
        <w:trPr>
          <w:trHeight w:val="337"/>
          <w:jc w:val="center"/>
        </w:trPr>
        <w:tc>
          <w:tcPr>
            <w:tcW w:w="4945" w:type="dxa"/>
          </w:tcPr>
          <w:p w14:paraId="6F79EE59" w14:textId="77777777" w:rsidR="0016695F" w:rsidRPr="00E20A02" w:rsidRDefault="0016695F" w:rsidP="00C26D88">
            <w:pPr>
              <w:rPr>
                <w:sz w:val="26"/>
                <w:szCs w:val="26"/>
                <w:rtl/>
              </w:rPr>
            </w:pPr>
            <w:r w:rsidRPr="00E20A02">
              <w:rPr>
                <w:sz w:val="26"/>
                <w:szCs w:val="26"/>
                <w:rtl/>
              </w:rPr>
              <w:t>ת"פ</w:t>
            </w:r>
            <w:r w:rsidRPr="00E20A02">
              <w:rPr>
                <w:rFonts w:hint="cs"/>
                <w:sz w:val="26"/>
                <w:szCs w:val="26"/>
                <w:rtl/>
              </w:rPr>
              <w:t xml:space="preserve"> </w:t>
            </w:r>
            <w:r w:rsidRPr="00E20A02">
              <w:rPr>
                <w:sz w:val="26"/>
                <w:szCs w:val="26"/>
                <w:rtl/>
              </w:rPr>
              <w:t>61659-01-20</w:t>
            </w:r>
            <w:r w:rsidRPr="00E20A02">
              <w:rPr>
                <w:rFonts w:hint="cs"/>
                <w:sz w:val="26"/>
                <w:szCs w:val="26"/>
                <w:rtl/>
              </w:rPr>
              <w:t xml:space="preserve"> </w:t>
            </w:r>
            <w:r w:rsidRPr="00E20A02">
              <w:rPr>
                <w:b/>
                <w:bCs/>
                <w:sz w:val="26"/>
                <w:szCs w:val="26"/>
                <w:rtl/>
              </w:rPr>
              <w:t>מדינת ישראל נ' בלולו</w:t>
            </w:r>
          </w:p>
        </w:tc>
        <w:tc>
          <w:tcPr>
            <w:tcW w:w="3578" w:type="dxa"/>
          </w:tcPr>
          <w:p w14:paraId="33B9C963" w14:textId="77777777" w:rsidR="0016695F" w:rsidRPr="00E20A02" w:rsidRDefault="0016695F" w:rsidP="00C26D88">
            <w:pPr>
              <w:pStyle w:val="a3"/>
              <w:jc w:val="right"/>
              <w:rPr>
                <w:rFonts w:cs="FrankRuehl"/>
                <w:sz w:val="28"/>
                <w:szCs w:val="28"/>
                <w:rtl/>
              </w:rPr>
            </w:pPr>
          </w:p>
        </w:tc>
      </w:tr>
    </w:tbl>
    <w:p w14:paraId="4E63C9E7" w14:textId="77777777" w:rsidR="0016695F" w:rsidRPr="00E20A02" w:rsidRDefault="0016695F" w:rsidP="0016695F">
      <w:pPr>
        <w:pStyle w:val="a3"/>
        <w:rPr>
          <w:rtl/>
        </w:rPr>
      </w:pPr>
      <w:r w:rsidRPr="00E20A02">
        <w:rPr>
          <w:rFonts w:hint="cs"/>
          <w:rtl/>
        </w:rPr>
        <w:t xml:space="preserve"> </w:t>
      </w:r>
    </w:p>
    <w:p w14:paraId="654583A6" w14:textId="77777777" w:rsidR="0016695F" w:rsidRPr="00E20A02" w:rsidRDefault="0016695F" w:rsidP="0016695F">
      <w:pPr>
        <w:spacing w:line="360" w:lineRule="auto"/>
        <w:rPr>
          <w:rtl/>
        </w:rPr>
      </w:pPr>
    </w:p>
    <w:p w14:paraId="36D86440" w14:textId="77777777" w:rsidR="0016695F" w:rsidRPr="00E20A02" w:rsidRDefault="0016695F" w:rsidP="0016695F">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62"/>
        <w:gridCol w:w="3326"/>
      </w:tblGrid>
      <w:tr w:rsidR="0016695F" w:rsidRPr="00E20A02" w14:paraId="4E4E9D07" w14:textId="77777777" w:rsidTr="0016695F">
        <w:trPr>
          <w:trHeight w:val="295"/>
          <w:jc w:val="center"/>
        </w:trPr>
        <w:tc>
          <w:tcPr>
            <w:tcW w:w="8820" w:type="dxa"/>
            <w:gridSpan w:val="3"/>
            <w:tcBorders>
              <w:top w:val="nil"/>
              <w:left w:val="nil"/>
              <w:bottom w:val="nil"/>
              <w:right w:val="nil"/>
            </w:tcBorders>
            <w:shd w:val="clear" w:color="auto" w:fill="auto"/>
          </w:tcPr>
          <w:p w14:paraId="268AC923" w14:textId="77777777" w:rsidR="0016695F" w:rsidRPr="00E20A02" w:rsidRDefault="0016695F" w:rsidP="0016695F">
            <w:pPr>
              <w:spacing w:line="360" w:lineRule="auto"/>
              <w:jc w:val="both"/>
              <w:rPr>
                <w:b/>
                <w:bCs/>
                <w:sz w:val="26"/>
                <w:szCs w:val="26"/>
                <w:rtl/>
              </w:rPr>
            </w:pPr>
            <w:r w:rsidRPr="00E20A02">
              <w:rPr>
                <w:rFonts w:ascii="Arial" w:hAnsi="Arial" w:hint="cs"/>
                <w:b/>
                <w:bCs/>
                <w:sz w:val="26"/>
                <w:szCs w:val="26"/>
                <w:rtl/>
              </w:rPr>
              <w:t>ל</w:t>
            </w:r>
            <w:r w:rsidRPr="00E20A02">
              <w:rPr>
                <w:rFonts w:ascii="Arial" w:hAnsi="Arial"/>
                <w:b/>
                <w:bCs/>
                <w:sz w:val="26"/>
                <w:szCs w:val="26"/>
                <w:rtl/>
              </w:rPr>
              <w:t xml:space="preserve">פני </w:t>
            </w:r>
            <w:r w:rsidRPr="00E20A02">
              <w:rPr>
                <w:rFonts w:ascii="Arial" w:hAnsi="Arial" w:hint="cs"/>
                <w:b/>
                <w:bCs/>
                <w:sz w:val="26"/>
                <w:szCs w:val="26"/>
                <w:rtl/>
              </w:rPr>
              <w:t>כבוד ה</w:t>
            </w:r>
            <w:r w:rsidRPr="00E20A02">
              <w:rPr>
                <w:rFonts w:ascii="Arial" w:hAnsi="Arial"/>
                <w:b/>
                <w:bCs/>
                <w:sz w:val="26"/>
                <w:szCs w:val="26"/>
                <w:rtl/>
              </w:rPr>
              <w:t>שופט</w:t>
            </w:r>
            <w:r w:rsidRPr="00E20A02">
              <w:rPr>
                <w:rFonts w:ascii="Arial" w:hAnsi="Arial" w:hint="cs"/>
                <w:b/>
                <w:bCs/>
                <w:sz w:val="26"/>
                <w:szCs w:val="26"/>
                <w:rtl/>
              </w:rPr>
              <w:t xml:space="preserve"> </w:t>
            </w:r>
            <w:r w:rsidRPr="00E20A02">
              <w:rPr>
                <w:rFonts w:ascii="Arial" w:hAnsi="Arial"/>
                <w:b/>
                <w:bCs/>
                <w:sz w:val="26"/>
                <w:szCs w:val="26"/>
                <w:rtl/>
              </w:rPr>
              <w:t>שאול אבינור</w:t>
            </w:r>
          </w:p>
          <w:p w14:paraId="35530E0B" w14:textId="77777777" w:rsidR="0016695F" w:rsidRPr="00E20A02" w:rsidRDefault="0016695F" w:rsidP="0016695F">
            <w:pPr>
              <w:spacing w:line="360" w:lineRule="auto"/>
              <w:jc w:val="both"/>
              <w:rPr>
                <w:rFonts w:ascii="Arial" w:hAnsi="Arial"/>
                <w:b/>
                <w:bCs/>
                <w:sz w:val="26"/>
                <w:szCs w:val="26"/>
              </w:rPr>
            </w:pPr>
          </w:p>
        </w:tc>
      </w:tr>
      <w:tr w:rsidR="0016695F" w:rsidRPr="00E20A02" w14:paraId="333398F9" w14:textId="77777777" w:rsidTr="0016695F">
        <w:trPr>
          <w:trHeight w:val="355"/>
          <w:jc w:val="center"/>
        </w:trPr>
        <w:tc>
          <w:tcPr>
            <w:tcW w:w="885" w:type="dxa"/>
            <w:tcBorders>
              <w:top w:val="nil"/>
              <w:left w:val="nil"/>
              <w:bottom w:val="nil"/>
              <w:right w:val="nil"/>
            </w:tcBorders>
            <w:shd w:val="clear" w:color="auto" w:fill="auto"/>
          </w:tcPr>
          <w:p w14:paraId="38EAF800" w14:textId="77777777" w:rsidR="0016695F" w:rsidRPr="00E20A02" w:rsidRDefault="0016695F" w:rsidP="0016695F">
            <w:pPr>
              <w:spacing w:line="360" w:lineRule="auto"/>
              <w:jc w:val="both"/>
              <w:rPr>
                <w:rFonts w:ascii="Arial" w:hAnsi="Arial"/>
                <w:b/>
                <w:bCs/>
                <w:sz w:val="26"/>
                <w:szCs w:val="26"/>
              </w:rPr>
            </w:pPr>
            <w:bookmarkStart w:id="1" w:name="FirstAppellant"/>
            <w:bookmarkStart w:id="2" w:name="FirstLawyer"/>
            <w:r w:rsidRPr="00E20A02">
              <w:rPr>
                <w:rFonts w:ascii="Arial" w:hAnsi="Arial" w:hint="cs"/>
                <w:b/>
                <w:bCs/>
                <w:sz w:val="26"/>
                <w:szCs w:val="26"/>
                <w:rtl/>
              </w:rPr>
              <w:t>ה</w:t>
            </w:r>
            <w:r w:rsidRPr="00E20A02">
              <w:rPr>
                <w:rFonts w:ascii="Arial" w:hAnsi="Arial"/>
                <w:b/>
                <w:bCs/>
                <w:sz w:val="26"/>
                <w:szCs w:val="26"/>
                <w:rtl/>
              </w:rPr>
              <w:t>מאשימה</w:t>
            </w:r>
            <w:r w:rsidRPr="00E20A02">
              <w:rPr>
                <w:rFonts w:ascii="Arial" w:hAnsi="Arial" w:hint="cs"/>
                <w:b/>
                <w:bCs/>
                <w:sz w:val="26"/>
                <w:szCs w:val="26"/>
                <w:rtl/>
              </w:rPr>
              <w:t>:</w:t>
            </w:r>
          </w:p>
        </w:tc>
        <w:tc>
          <w:tcPr>
            <w:tcW w:w="4384" w:type="dxa"/>
            <w:tcBorders>
              <w:top w:val="nil"/>
              <w:left w:val="nil"/>
              <w:bottom w:val="nil"/>
              <w:right w:val="nil"/>
            </w:tcBorders>
            <w:shd w:val="clear" w:color="auto" w:fill="auto"/>
          </w:tcPr>
          <w:p w14:paraId="2938E567" w14:textId="77777777" w:rsidR="0016695F" w:rsidRPr="00E20A02" w:rsidRDefault="0016695F" w:rsidP="0016695F">
            <w:pPr>
              <w:spacing w:line="360" w:lineRule="auto"/>
              <w:rPr>
                <w:b/>
                <w:bCs/>
                <w:sz w:val="26"/>
                <w:szCs w:val="26"/>
                <w:rtl/>
              </w:rPr>
            </w:pPr>
            <w:r w:rsidRPr="00E20A02">
              <w:rPr>
                <w:rFonts w:ascii="Arial" w:hAnsi="Arial"/>
                <w:b/>
                <w:bCs/>
                <w:sz w:val="26"/>
                <w:szCs w:val="26"/>
                <w:rtl/>
              </w:rPr>
              <w:t>מדינת ישראל</w:t>
            </w:r>
          </w:p>
          <w:p w14:paraId="06C56C40" w14:textId="77777777" w:rsidR="0016695F" w:rsidRPr="00E20A02" w:rsidRDefault="0016695F" w:rsidP="0016695F">
            <w:pPr>
              <w:spacing w:line="360" w:lineRule="auto"/>
              <w:rPr>
                <w:rtl/>
              </w:rPr>
            </w:pPr>
            <w:r w:rsidRPr="00E20A02">
              <w:rPr>
                <w:rFonts w:hint="cs"/>
                <w:rtl/>
              </w:rPr>
              <w:t>ע"י ב"כ עו"ד יפית דרי</w:t>
            </w:r>
          </w:p>
          <w:p w14:paraId="5ED67FD5" w14:textId="77777777" w:rsidR="0016695F" w:rsidRPr="00E20A02" w:rsidRDefault="0016695F" w:rsidP="0016695F">
            <w:pPr>
              <w:spacing w:line="360" w:lineRule="auto"/>
              <w:rPr>
                <w:b/>
                <w:bCs/>
                <w:sz w:val="26"/>
                <w:szCs w:val="26"/>
              </w:rPr>
            </w:pPr>
            <w:r w:rsidRPr="00E20A02">
              <w:rPr>
                <w:rFonts w:hint="cs"/>
                <w:rtl/>
              </w:rPr>
              <w:t>פרקליטות מחוז תל-אביב (פלילי)</w:t>
            </w:r>
          </w:p>
        </w:tc>
        <w:tc>
          <w:tcPr>
            <w:tcW w:w="3551" w:type="dxa"/>
            <w:tcBorders>
              <w:top w:val="nil"/>
              <w:left w:val="nil"/>
              <w:bottom w:val="nil"/>
              <w:right w:val="nil"/>
            </w:tcBorders>
            <w:shd w:val="clear" w:color="auto" w:fill="auto"/>
          </w:tcPr>
          <w:p w14:paraId="65F2EB23" w14:textId="77777777" w:rsidR="0016695F" w:rsidRPr="00E20A02" w:rsidRDefault="0016695F" w:rsidP="0016695F">
            <w:pPr>
              <w:spacing w:line="360" w:lineRule="auto"/>
              <w:jc w:val="both"/>
              <w:rPr>
                <w:rFonts w:ascii="Arial" w:hAnsi="Arial"/>
                <w:b/>
                <w:bCs/>
                <w:sz w:val="26"/>
                <w:szCs w:val="26"/>
              </w:rPr>
            </w:pPr>
          </w:p>
        </w:tc>
      </w:tr>
      <w:bookmarkEnd w:id="1"/>
      <w:bookmarkEnd w:id="2"/>
      <w:tr w:rsidR="0016695F" w:rsidRPr="00E20A02" w14:paraId="27A37BA7" w14:textId="77777777" w:rsidTr="0016695F">
        <w:trPr>
          <w:trHeight w:val="373"/>
          <w:jc w:val="center"/>
        </w:trPr>
        <w:tc>
          <w:tcPr>
            <w:tcW w:w="885" w:type="dxa"/>
            <w:tcBorders>
              <w:top w:val="nil"/>
              <w:left w:val="nil"/>
              <w:bottom w:val="nil"/>
              <w:right w:val="nil"/>
            </w:tcBorders>
            <w:shd w:val="clear" w:color="auto" w:fill="auto"/>
          </w:tcPr>
          <w:p w14:paraId="5D805A94" w14:textId="77777777" w:rsidR="0016695F" w:rsidRPr="00E20A02" w:rsidRDefault="0016695F" w:rsidP="0016695F">
            <w:pPr>
              <w:spacing w:line="360" w:lineRule="auto"/>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201FBC9B" w14:textId="77777777" w:rsidR="0016695F" w:rsidRPr="00E20A02" w:rsidRDefault="0016695F" w:rsidP="0016695F">
            <w:pPr>
              <w:spacing w:line="360" w:lineRule="auto"/>
              <w:jc w:val="center"/>
              <w:rPr>
                <w:rFonts w:ascii="Arial" w:hAnsi="Arial"/>
                <w:b/>
                <w:bCs/>
                <w:sz w:val="26"/>
                <w:szCs w:val="26"/>
                <w:rtl/>
              </w:rPr>
            </w:pPr>
          </w:p>
          <w:p w14:paraId="7C933BCE" w14:textId="77777777" w:rsidR="0016695F" w:rsidRPr="00E20A02" w:rsidRDefault="0016695F" w:rsidP="0016695F">
            <w:pPr>
              <w:spacing w:line="360" w:lineRule="auto"/>
              <w:jc w:val="center"/>
              <w:rPr>
                <w:rFonts w:ascii="Arial" w:hAnsi="Arial"/>
                <w:b/>
                <w:bCs/>
                <w:sz w:val="26"/>
                <w:szCs w:val="26"/>
                <w:rtl/>
              </w:rPr>
            </w:pPr>
          </w:p>
          <w:p w14:paraId="376A4233" w14:textId="77777777" w:rsidR="0016695F" w:rsidRPr="00E20A02" w:rsidRDefault="0016695F" w:rsidP="0016695F">
            <w:pPr>
              <w:spacing w:line="360" w:lineRule="auto"/>
              <w:jc w:val="center"/>
              <w:rPr>
                <w:rFonts w:ascii="Arial" w:hAnsi="Arial"/>
                <w:b/>
                <w:bCs/>
                <w:sz w:val="26"/>
                <w:szCs w:val="26"/>
                <w:rtl/>
              </w:rPr>
            </w:pPr>
            <w:r w:rsidRPr="00E20A02">
              <w:rPr>
                <w:rFonts w:ascii="Arial" w:hAnsi="Arial"/>
                <w:b/>
                <w:bCs/>
                <w:sz w:val="26"/>
                <w:szCs w:val="26"/>
                <w:rtl/>
              </w:rPr>
              <w:t>נגד</w:t>
            </w:r>
          </w:p>
          <w:p w14:paraId="027A7BD1" w14:textId="77777777" w:rsidR="0016695F" w:rsidRPr="00E20A02" w:rsidRDefault="0016695F" w:rsidP="0016695F">
            <w:pPr>
              <w:spacing w:line="360" w:lineRule="auto"/>
              <w:jc w:val="both"/>
              <w:rPr>
                <w:rFonts w:ascii="Arial" w:hAnsi="Arial"/>
                <w:b/>
                <w:bCs/>
                <w:sz w:val="26"/>
                <w:szCs w:val="26"/>
                <w:rtl/>
              </w:rPr>
            </w:pPr>
          </w:p>
          <w:p w14:paraId="2FECB9DF" w14:textId="77777777" w:rsidR="0016695F" w:rsidRPr="00E20A02" w:rsidRDefault="0016695F" w:rsidP="0016695F">
            <w:pPr>
              <w:spacing w:line="360" w:lineRule="auto"/>
              <w:jc w:val="both"/>
              <w:rPr>
                <w:rFonts w:ascii="Arial" w:hAnsi="Arial"/>
                <w:b/>
                <w:bCs/>
                <w:sz w:val="26"/>
                <w:szCs w:val="26"/>
              </w:rPr>
            </w:pPr>
          </w:p>
        </w:tc>
      </w:tr>
      <w:tr w:rsidR="0016695F" w:rsidRPr="00E20A02" w14:paraId="05D467DD" w14:textId="77777777" w:rsidTr="0016695F">
        <w:trPr>
          <w:trHeight w:val="355"/>
          <w:jc w:val="center"/>
        </w:trPr>
        <w:tc>
          <w:tcPr>
            <w:tcW w:w="885" w:type="dxa"/>
            <w:tcBorders>
              <w:top w:val="nil"/>
              <w:left w:val="nil"/>
              <w:bottom w:val="nil"/>
              <w:right w:val="nil"/>
            </w:tcBorders>
            <w:shd w:val="clear" w:color="auto" w:fill="auto"/>
          </w:tcPr>
          <w:p w14:paraId="45CB85C4" w14:textId="77777777" w:rsidR="0016695F" w:rsidRPr="00E20A02" w:rsidRDefault="0016695F" w:rsidP="0016695F">
            <w:pPr>
              <w:spacing w:line="360" w:lineRule="auto"/>
              <w:rPr>
                <w:rFonts w:ascii="Arial" w:hAnsi="Arial"/>
                <w:b/>
                <w:bCs/>
                <w:sz w:val="26"/>
                <w:szCs w:val="26"/>
                <w:rtl/>
              </w:rPr>
            </w:pPr>
            <w:r w:rsidRPr="00E20A02">
              <w:rPr>
                <w:rFonts w:ascii="Arial" w:hAnsi="Arial" w:hint="cs"/>
                <w:b/>
                <w:bCs/>
                <w:sz w:val="26"/>
                <w:szCs w:val="26"/>
                <w:rtl/>
              </w:rPr>
              <w:t>ה</w:t>
            </w:r>
            <w:r w:rsidRPr="00E20A02">
              <w:rPr>
                <w:rFonts w:ascii="Arial" w:hAnsi="Arial"/>
                <w:b/>
                <w:bCs/>
                <w:sz w:val="26"/>
                <w:szCs w:val="26"/>
                <w:rtl/>
              </w:rPr>
              <w:t>נאשם</w:t>
            </w:r>
            <w:r w:rsidRPr="00E20A02">
              <w:rPr>
                <w:rFonts w:ascii="Arial" w:hAnsi="Arial" w:hint="cs"/>
                <w:b/>
                <w:bCs/>
                <w:sz w:val="26"/>
                <w:szCs w:val="26"/>
                <w:rtl/>
              </w:rPr>
              <w:t>:</w:t>
            </w:r>
          </w:p>
        </w:tc>
        <w:tc>
          <w:tcPr>
            <w:tcW w:w="4384" w:type="dxa"/>
            <w:tcBorders>
              <w:top w:val="nil"/>
              <w:left w:val="nil"/>
              <w:bottom w:val="nil"/>
              <w:right w:val="nil"/>
            </w:tcBorders>
            <w:shd w:val="clear" w:color="auto" w:fill="auto"/>
          </w:tcPr>
          <w:p w14:paraId="2BD790B6" w14:textId="77777777" w:rsidR="0016695F" w:rsidRPr="00E20A02" w:rsidRDefault="0016695F" w:rsidP="0016695F">
            <w:pPr>
              <w:spacing w:line="360" w:lineRule="auto"/>
              <w:rPr>
                <w:b/>
                <w:bCs/>
                <w:sz w:val="26"/>
                <w:szCs w:val="26"/>
                <w:rtl/>
              </w:rPr>
            </w:pPr>
            <w:r w:rsidRPr="00E20A02">
              <w:rPr>
                <w:rFonts w:ascii="Arial" w:hAnsi="Arial"/>
                <w:b/>
                <w:bCs/>
                <w:sz w:val="26"/>
                <w:szCs w:val="26"/>
                <w:rtl/>
              </w:rPr>
              <w:t>שמואל בלולו</w:t>
            </w:r>
          </w:p>
          <w:p w14:paraId="07D76E29" w14:textId="77777777" w:rsidR="0016695F" w:rsidRPr="00E20A02" w:rsidRDefault="0016695F" w:rsidP="0016695F">
            <w:pPr>
              <w:spacing w:line="360" w:lineRule="auto"/>
              <w:rPr>
                <w:sz w:val="26"/>
                <w:szCs w:val="26"/>
                <w:rtl/>
              </w:rPr>
            </w:pPr>
            <w:r w:rsidRPr="00E20A02">
              <w:rPr>
                <w:rFonts w:hint="cs"/>
                <w:rtl/>
              </w:rPr>
              <w:t>ע"י ב"כ עו"ד שני מורן</w:t>
            </w:r>
          </w:p>
        </w:tc>
        <w:tc>
          <w:tcPr>
            <w:tcW w:w="3551" w:type="dxa"/>
            <w:tcBorders>
              <w:top w:val="nil"/>
              <w:left w:val="nil"/>
              <w:bottom w:val="nil"/>
              <w:right w:val="nil"/>
            </w:tcBorders>
            <w:shd w:val="clear" w:color="auto" w:fill="auto"/>
          </w:tcPr>
          <w:p w14:paraId="6EA9DEC7" w14:textId="77777777" w:rsidR="0016695F" w:rsidRPr="00E20A02" w:rsidRDefault="0016695F" w:rsidP="0016695F">
            <w:pPr>
              <w:spacing w:line="360" w:lineRule="auto"/>
              <w:jc w:val="right"/>
              <w:rPr>
                <w:rFonts w:ascii="Arial" w:hAnsi="Arial"/>
                <w:b/>
                <w:bCs/>
                <w:sz w:val="26"/>
                <w:szCs w:val="26"/>
              </w:rPr>
            </w:pPr>
          </w:p>
        </w:tc>
      </w:tr>
    </w:tbl>
    <w:p w14:paraId="40A14E98" w14:textId="77777777" w:rsidR="0016695F" w:rsidRPr="00E20A02" w:rsidRDefault="0016695F" w:rsidP="0016695F">
      <w:pPr>
        <w:spacing w:line="360" w:lineRule="auto"/>
        <w:rPr>
          <w:b/>
          <w:bCs/>
          <w:rtl/>
        </w:rPr>
      </w:pPr>
    </w:p>
    <w:p w14:paraId="0750F7BC" w14:textId="77777777" w:rsidR="00834BC6" w:rsidRPr="00834BC6" w:rsidRDefault="00834BC6" w:rsidP="00834BC6">
      <w:pPr>
        <w:spacing w:before="120" w:after="120" w:line="240" w:lineRule="exact"/>
        <w:ind w:left="283" w:hanging="283"/>
        <w:jc w:val="both"/>
        <w:rPr>
          <w:rFonts w:ascii="FrankRuehl" w:hAnsi="FrankRuehl" w:cs="FrankRuehl"/>
          <w:rtl/>
        </w:rPr>
      </w:pPr>
    </w:p>
    <w:p w14:paraId="483CAAF5" w14:textId="77777777" w:rsidR="002C2545" w:rsidRDefault="002C2545" w:rsidP="002C2545">
      <w:pPr>
        <w:spacing w:line="360" w:lineRule="auto"/>
        <w:rPr>
          <w:rtl/>
        </w:rPr>
      </w:pPr>
      <w:bookmarkStart w:id="3" w:name="LawTable"/>
      <w:bookmarkEnd w:id="3"/>
    </w:p>
    <w:p w14:paraId="5A7753AA" w14:textId="77777777" w:rsidR="002C2545" w:rsidRPr="002C2545" w:rsidRDefault="002C2545" w:rsidP="002C2545">
      <w:pPr>
        <w:spacing w:before="120" w:after="120" w:line="240" w:lineRule="exact"/>
        <w:ind w:left="283" w:hanging="283"/>
        <w:jc w:val="both"/>
        <w:rPr>
          <w:rFonts w:ascii="FrankRuehl" w:hAnsi="FrankRuehl" w:cs="FrankRuehl"/>
          <w:rtl/>
        </w:rPr>
      </w:pPr>
    </w:p>
    <w:p w14:paraId="2ED198B8" w14:textId="77777777" w:rsidR="002C2545" w:rsidRPr="002C2545" w:rsidRDefault="002C2545" w:rsidP="002C2545">
      <w:pPr>
        <w:spacing w:before="120" w:after="120" w:line="240" w:lineRule="exact"/>
        <w:ind w:left="283" w:hanging="283"/>
        <w:jc w:val="both"/>
        <w:rPr>
          <w:rFonts w:ascii="FrankRuehl" w:hAnsi="FrankRuehl" w:cs="FrankRuehl"/>
          <w:rtl/>
        </w:rPr>
      </w:pPr>
    </w:p>
    <w:p w14:paraId="39DC9D44" w14:textId="77777777" w:rsidR="002C2545" w:rsidRPr="002C2545" w:rsidRDefault="002C2545" w:rsidP="002C2545">
      <w:pPr>
        <w:spacing w:before="120" w:after="120" w:line="240" w:lineRule="exact"/>
        <w:ind w:left="283" w:hanging="283"/>
        <w:jc w:val="both"/>
        <w:rPr>
          <w:rFonts w:ascii="FrankRuehl" w:hAnsi="FrankRuehl" w:cs="FrankRuehl"/>
          <w:rtl/>
        </w:rPr>
      </w:pPr>
      <w:r w:rsidRPr="002C2545">
        <w:rPr>
          <w:rFonts w:ascii="FrankRuehl" w:hAnsi="FrankRuehl" w:cs="FrankRuehl"/>
          <w:rtl/>
        </w:rPr>
        <w:t xml:space="preserve">חקיקה שאוזכרה: </w:t>
      </w:r>
    </w:p>
    <w:p w14:paraId="5F8A0C0C" w14:textId="77777777" w:rsidR="002C2545" w:rsidRPr="002C2545" w:rsidRDefault="002C2545" w:rsidP="002C2545">
      <w:pPr>
        <w:spacing w:before="120" w:after="120" w:line="240" w:lineRule="exact"/>
        <w:ind w:left="283" w:hanging="283"/>
        <w:jc w:val="both"/>
        <w:rPr>
          <w:rFonts w:ascii="FrankRuehl" w:hAnsi="FrankRuehl" w:cs="FrankRuehl"/>
          <w:rtl/>
        </w:rPr>
      </w:pPr>
      <w:hyperlink r:id="rId7" w:history="1">
        <w:r w:rsidRPr="002C2545">
          <w:rPr>
            <w:rFonts w:ascii="FrankRuehl" w:hAnsi="FrankRuehl" w:cs="FrankRuehl"/>
            <w:color w:val="0000FF"/>
            <w:rtl/>
          </w:rPr>
          <w:t>פקודת הסמים המסוכנים [נוסח חדש], תשל"ג-1973</w:t>
        </w:r>
      </w:hyperlink>
      <w:r w:rsidRPr="002C2545">
        <w:rPr>
          <w:rFonts w:ascii="FrankRuehl" w:hAnsi="FrankRuehl" w:cs="FrankRuehl"/>
          <w:rtl/>
        </w:rPr>
        <w:t xml:space="preserve">: סע'  </w:t>
      </w:r>
      <w:hyperlink r:id="rId8" w:history="1">
        <w:r w:rsidRPr="002C2545">
          <w:rPr>
            <w:rFonts w:ascii="FrankRuehl" w:hAnsi="FrankRuehl" w:cs="FrankRuehl"/>
            <w:color w:val="0000FF"/>
            <w:rtl/>
          </w:rPr>
          <w:t>6</w:t>
        </w:r>
      </w:hyperlink>
      <w:r w:rsidRPr="002C2545">
        <w:rPr>
          <w:rFonts w:ascii="FrankRuehl" w:hAnsi="FrankRuehl" w:cs="FrankRuehl"/>
          <w:rtl/>
        </w:rPr>
        <w:t xml:space="preserve">, </w:t>
      </w:r>
      <w:hyperlink r:id="rId9" w:history="1">
        <w:r w:rsidRPr="002C2545">
          <w:rPr>
            <w:rFonts w:ascii="FrankRuehl" w:hAnsi="FrankRuehl" w:cs="FrankRuehl"/>
            <w:color w:val="0000FF"/>
            <w:rtl/>
          </w:rPr>
          <w:t>9(א)</w:t>
        </w:r>
      </w:hyperlink>
      <w:r w:rsidRPr="002C2545">
        <w:rPr>
          <w:rFonts w:ascii="FrankRuehl" w:hAnsi="FrankRuehl" w:cs="FrankRuehl"/>
          <w:rtl/>
        </w:rPr>
        <w:t xml:space="preserve">, </w:t>
      </w:r>
      <w:hyperlink r:id="rId10" w:history="1">
        <w:r w:rsidRPr="002C2545">
          <w:rPr>
            <w:rFonts w:ascii="FrankRuehl" w:hAnsi="FrankRuehl" w:cs="FrankRuehl"/>
            <w:color w:val="0000FF"/>
            <w:rtl/>
          </w:rPr>
          <w:t>9(ב)</w:t>
        </w:r>
      </w:hyperlink>
    </w:p>
    <w:p w14:paraId="4DFD1A1A" w14:textId="77777777" w:rsidR="002C2545" w:rsidRPr="002C2545" w:rsidRDefault="002C2545" w:rsidP="002C2545">
      <w:pPr>
        <w:spacing w:before="120" w:after="120" w:line="240" w:lineRule="exact"/>
        <w:ind w:left="283" w:hanging="283"/>
        <w:jc w:val="both"/>
        <w:rPr>
          <w:rFonts w:ascii="FrankRuehl" w:hAnsi="FrankRuehl" w:cs="FrankRuehl"/>
          <w:rtl/>
        </w:rPr>
      </w:pPr>
      <w:hyperlink r:id="rId11" w:history="1">
        <w:r w:rsidRPr="002C2545">
          <w:rPr>
            <w:rFonts w:ascii="FrankRuehl" w:hAnsi="FrankRuehl" w:cs="FrankRuehl"/>
            <w:color w:val="0000FF"/>
            <w:rtl/>
          </w:rPr>
          <w:t>חוק העונשין, תשל"ז-1977</w:t>
        </w:r>
      </w:hyperlink>
      <w:r w:rsidRPr="002C2545">
        <w:rPr>
          <w:rFonts w:ascii="FrankRuehl" w:hAnsi="FrankRuehl" w:cs="FrankRuehl"/>
          <w:rtl/>
        </w:rPr>
        <w:t xml:space="preserve">: סע'  </w:t>
      </w:r>
      <w:hyperlink r:id="rId12" w:history="1">
        <w:r w:rsidRPr="002C2545">
          <w:rPr>
            <w:rFonts w:ascii="FrankRuehl" w:hAnsi="FrankRuehl" w:cs="FrankRuehl"/>
            <w:color w:val="0000FF"/>
            <w:rtl/>
          </w:rPr>
          <w:t>40ד</w:t>
        </w:r>
      </w:hyperlink>
    </w:p>
    <w:p w14:paraId="01DF26F3" w14:textId="77777777" w:rsidR="002C2545" w:rsidRPr="002C2545" w:rsidRDefault="002C2545" w:rsidP="002C2545">
      <w:pPr>
        <w:spacing w:line="360" w:lineRule="auto"/>
        <w:rPr>
          <w:rtl/>
        </w:rPr>
      </w:pPr>
      <w:bookmarkStart w:id="4" w:name="LawTable_End"/>
      <w:bookmarkEnd w:id="4"/>
    </w:p>
    <w:p w14:paraId="68E5E109" w14:textId="77777777" w:rsidR="0016695F" w:rsidRPr="00834BC6" w:rsidRDefault="0016695F" w:rsidP="00834BC6">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695F" w14:paraId="0ABE49AD" w14:textId="77777777" w:rsidTr="0016695F">
        <w:trPr>
          <w:trHeight w:val="355"/>
          <w:jc w:val="center"/>
        </w:trPr>
        <w:tc>
          <w:tcPr>
            <w:tcW w:w="8820" w:type="dxa"/>
            <w:tcBorders>
              <w:top w:val="nil"/>
              <w:left w:val="nil"/>
              <w:bottom w:val="nil"/>
              <w:right w:val="nil"/>
            </w:tcBorders>
            <w:shd w:val="clear" w:color="auto" w:fill="auto"/>
          </w:tcPr>
          <w:p w14:paraId="55F70F48" w14:textId="77777777" w:rsidR="00E20A02" w:rsidRPr="00E20A02" w:rsidRDefault="00E20A02" w:rsidP="00E20A02">
            <w:pPr>
              <w:spacing w:after="240" w:line="360" w:lineRule="auto"/>
              <w:jc w:val="center"/>
              <w:rPr>
                <w:rFonts w:ascii="Arial" w:hAnsi="Arial"/>
                <w:b/>
                <w:bCs/>
                <w:sz w:val="36"/>
                <w:szCs w:val="36"/>
                <w:u w:val="single"/>
                <w:rtl/>
              </w:rPr>
            </w:pPr>
            <w:bookmarkStart w:id="5" w:name="PsakDin" w:colFirst="0" w:colLast="0"/>
            <w:bookmarkEnd w:id="0"/>
            <w:r w:rsidRPr="00E20A02">
              <w:rPr>
                <w:rFonts w:ascii="Arial" w:hAnsi="Arial"/>
                <w:b/>
                <w:bCs/>
                <w:sz w:val="36"/>
                <w:szCs w:val="36"/>
                <w:u w:val="single"/>
                <w:rtl/>
              </w:rPr>
              <w:t>גזר דין</w:t>
            </w:r>
          </w:p>
          <w:p w14:paraId="0212150D" w14:textId="77777777" w:rsidR="0016695F" w:rsidRPr="00E20A02" w:rsidRDefault="0016695F" w:rsidP="00E20A02">
            <w:pPr>
              <w:spacing w:after="240" w:line="360" w:lineRule="auto"/>
              <w:jc w:val="center"/>
              <w:rPr>
                <w:rFonts w:ascii="Arial" w:hAnsi="Arial"/>
                <w:bCs/>
                <w:sz w:val="36"/>
                <w:szCs w:val="36"/>
                <w:u w:val="single"/>
                <w:rtl/>
              </w:rPr>
            </w:pPr>
          </w:p>
        </w:tc>
      </w:tr>
    </w:tbl>
    <w:bookmarkEnd w:id="5"/>
    <w:p w14:paraId="411D1CEF" w14:textId="77777777" w:rsidR="0016695F" w:rsidRDefault="0016695F" w:rsidP="0016695F">
      <w:pPr>
        <w:spacing w:after="120" w:line="360" w:lineRule="auto"/>
        <w:jc w:val="both"/>
        <w:rPr>
          <w:rFonts w:ascii="David" w:hAnsi="David"/>
          <w:b/>
          <w:bCs/>
        </w:rPr>
      </w:pPr>
      <w:r>
        <w:rPr>
          <w:rFonts w:ascii="David" w:hAnsi="David"/>
          <w:b/>
          <w:bCs/>
          <w:rtl/>
        </w:rPr>
        <w:t>א.</w:t>
      </w:r>
      <w:r>
        <w:rPr>
          <w:rFonts w:ascii="David" w:hAnsi="David"/>
          <w:b/>
          <w:bCs/>
          <w:rtl/>
        </w:rPr>
        <w:tab/>
      </w:r>
      <w:r>
        <w:rPr>
          <w:rFonts w:ascii="David" w:hAnsi="David"/>
          <w:b/>
          <w:bCs/>
          <w:u w:val="single"/>
          <w:rtl/>
        </w:rPr>
        <w:t>רקע כללי:</w:t>
      </w:r>
    </w:p>
    <w:p w14:paraId="14EBD84E" w14:textId="77777777" w:rsidR="0016695F" w:rsidRDefault="0016695F" w:rsidP="0016695F">
      <w:pPr>
        <w:numPr>
          <w:ilvl w:val="0"/>
          <w:numId w:val="1"/>
        </w:numPr>
        <w:tabs>
          <w:tab w:val="num" w:pos="720"/>
        </w:tabs>
        <w:spacing w:after="120" w:line="360" w:lineRule="auto"/>
        <w:ind w:left="720"/>
        <w:jc w:val="both"/>
        <w:rPr>
          <w:rFonts w:ascii="David" w:eastAsia="David" w:hAnsi="David"/>
          <w:rtl/>
        </w:rPr>
      </w:pPr>
      <w:bookmarkStart w:id="6" w:name="ABSTRACT_START"/>
      <w:bookmarkEnd w:id="6"/>
      <w:r>
        <w:rPr>
          <w:rFonts w:ascii="David" w:eastAsia="David" w:hAnsi="David"/>
          <w:rtl/>
        </w:rPr>
        <w:t>הנאשם הורשע לפניי – על יסוד הודאתו בעובדות כתב האישום המתוקן, שניתנה במסגרת הסדר טיעון דיוני בעיקרו – בעבירות של</w:t>
      </w:r>
      <w:r>
        <w:rPr>
          <w:rFonts w:ascii="David" w:eastAsia="David" w:hAnsi="David"/>
          <w:b/>
          <w:bCs/>
          <w:rtl/>
        </w:rPr>
        <w:t xml:space="preserve"> גידול סמים מסוכנים</w:t>
      </w:r>
      <w:r>
        <w:rPr>
          <w:rFonts w:ascii="David" w:eastAsia="David" w:hAnsi="David"/>
          <w:rtl/>
        </w:rPr>
        <w:t xml:space="preserve">, לפי הוראות </w:t>
      </w:r>
      <w:hyperlink r:id="rId13" w:history="1">
        <w:r w:rsidR="002A71E8" w:rsidRPr="002A71E8">
          <w:rPr>
            <w:rStyle w:val="Hyperlink"/>
            <w:rFonts w:ascii="David" w:eastAsia="David" w:hAnsi="David"/>
            <w:rtl/>
          </w:rPr>
          <w:t>סעיף 6</w:t>
        </w:r>
      </w:hyperlink>
      <w:r>
        <w:rPr>
          <w:rFonts w:ascii="David" w:eastAsia="David" w:hAnsi="David"/>
          <w:rtl/>
        </w:rPr>
        <w:t xml:space="preserve"> ל</w:t>
      </w:r>
      <w:hyperlink r:id="rId14" w:history="1">
        <w:r w:rsidR="00E20A02" w:rsidRPr="00E20A02">
          <w:rPr>
            <w:rFonts w:ascii="David" w:eastAsia="David" w:hAnsi="David"/>
            <w:color w:val="0000FF"/>
            <w:u w:val="single"/>
            <w:rtl/>
          </w:rPr>
          <w:t>פקודת הסמים המסוכנים</w:t>
        </w:r>
      </w:hyperlink>
      <w:r>
        <w:rPr>
          <w:rFonts w:ascii="David" w:eastAsia="David" w:hAnsi="David"/>
          <w:rtl/>
        </w:rPr>
        <w:t xml:space="preserve"> [נוסח חדש], תשל"ג-1973 (להלן – פקודת הסמים </w:t>
      </w:r>
      <w:r>
        <w:rPr>
          <w:rFonts w:ascii="David" w:eastAsia="David" w:hAnsi="David"/>
          <w:rtl/>
        </w:rPr>
        <w:lastRenderedPageBreak/>
        <w:t xml:space="preserve">המסוכנים), </w:t>
      </w:r>
      <w:r>
        <w:rPr>
          <w:rFonts w:ascii="David" w:eastAsia="David" w:hAnsi="David"/>
          <w:b/>
          <w:bCs/>
          <w:rtl/>
        </w:rPr>
        <w:t>והחזקת חצרים</w:t>
      </w:r>
      <w:r>
        <w:rPr>
          <w:rFonts w:ascii="David" w:eastAsia="David" w:hAnsi="David"/>
          <w:rtl/>
        </w:rPr>
        <w:t xml:space="preserve">, לפי הוראות </w:t>
      </w:r>
      <w:hyperlink r:id="rId15" w:history="1">
        <w:r w:rsidR="002A71E8" w:rsidRPr="002A71E8">
          <w:rPr>
            <w:rStyle w:val="Hyperlink"/>
            <w:rFonts w:ascii="David" w:eastAsia="David" w:hAnsi="David"/>
            <w:rtl/>
          </w:rPr>
          <w:t>סעיף 9(א)</w:t>
        </w:r>
      </w:hyperlink>
      <w:r>
        <w:rPr>
          <w:rFonts w:ascii="David" w:eastAsia="David" w:hAnsi="David"/>
          <w:rtl/>
        </w:rPr>
        <w:t xml:space="preserve"> יחד עם </w:t>
      </w:r>
      <w:hyperlink r:id="rId16" w:history="1">
        <w:r w:rsidR="002A71E8" w:rsidRPr="002A71E8">
          <w:rPr>
            <w:rStyle w:val="Hyperlink"/>
            <w:rFonts w:ascii="David" w:eastAsia="David" w:hAnsi="David"/>
            <w:rtl/>
          </w:rPr>
          <w:t>סעיף 9(ב)</w:t>
        </w:r>
      </w:hyperlink>
      <w:r>
        <w:rPr>
          <w:rFonts w:ascii="David" w:eastAsia="David" w:hAnsi="David"/>
          <w:rtl/>
        </w:rPr>
        <w:t xml:space="preserve"> לפקודת הסמים המסוכנים.</w:t>
      </w:r>
    </w:p>
    <w:p w14:paraId="36D5EA93"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bookmarkStart w:id="7" w:name="ABSTRACT_END"/>
      <w:bookmarkEnd w:id="7"/>
      <w:r>
        <w:rPr>
          <w:rFonts w:ascii="David" w:eastAsia="David" w:hAnsi="David"/>
          <w:rtl/>
        </w:rPr>
        <w:t>בעובדות כתב האישום המתוקן נטען, בתמצית, כלהלן:</w:t>
      </w:r>
    </w:p>
    <w:p w14:paraId="4794D2C2" w14:textId="77777777" w:rsidR="0016695F" w:rsidRDefault="0016695F" w:rsidP="0016695F">
      <w:pPr>
        <w:numPr>
          <w:ilvl w:val="0"/>
          <w:numId w:val="2"/>
        </w:numPr>
        <w:spacing w:after="120" w:line="360" w:lineRule="auto"/>
        <w:jc w:val="both"/>
        <w:rPr>
          <w:rFonts w:ascii="David" w:eastAsia="David" w:hAnsi="David"/>
          <w:rtl/>
        </w:rPr>
      </w:pPr>
      <w:r>
        <w:rPr>
          <w:rFonts w:ascii="David" w:eastAsia="David" w:hAnsi="David"/>
          <w:rtl/>
        </w:rPr>
        <w:t xml:space="preserve">הנאשם הוא הבעלים של נגרייה באזור התעשייה בחולון. במועד שאינו ידוע במדויק למאשימה הקים הנאשם בנגרייה מעבדה לגידול סמים מסוכנים, מסוג קנבוס, בה התקין ציוד שכלל 17 מנורות, מפוח, 3 מאווררים, מערכת השקיה, שני מזגנים ו-19 שנאים חשמליים. </w:t>
      </w:r>
    </w:p>
    <w:p w14:paraId="33662FA6" w14:textId="77777777" w:rsidR="0016695F" w:rsidRDefault="0016695F" w:rsidP="0016695F">
      <w:pPr>
        <w:numPr>
          <w:ilvl w:val="0"/>
          <w:numId w:val="2"/>
        </w:numPr>
        <w:spacing w:after="120" w:line="360" w:lineRule="auto"/>
        <w:jc w:val="both"/>
        <w:rPr>
          <w:rFonts w:ascii="David" w:eastAsia="David" w:hAnsi="David"/>
        </w:rPr>
      </w:pPr>
      <w:r>
        <w:rPr>
          <w:rFonts w:ascii="David" w:eastAsia="David" w:hAnsi="David"/>
          <w:rtl/>
        </w:rPr>
        <w:t>ביום 19.01.20 החזיק הנאשם במעבדה 290 שתילים של סמים מסוכנים מסוג קנבוס, במשקל כולל של 30 ק"ג נטו.</w:t>
      </w:r>
    </w:p>
    <w:p w14:paraId="723EBE9B" w14:textId="77777777" w:rsidR="0016695F" w:rsidRDefault="0016695F" w:rsidP="0016695F">
      <w:pPr>
        <w:numPr>
          <w:ilvl w:val="0"/>
          <w:numId w:val="2"/>
        </w:numPr>
        <w:spacing w:after="120" w:line="360" w:lineRule="auto"/>
        <w:jc w:val="both"/>
        <w:rPr>
          <w:rFonts w:ascii="David" w:eastAsia="David" w:hAnsi="David"/>
        </w:rPr>
      </w:pPr>
      <w:r>
        <w:rPr>
          <w:rFonts w:ascii="David" w:eastAsia="David" w:hAnsi="David"/>
          <w:rtl/>
        </w:rPr>
        <w:t xml:space="preserve">שווי קנבוס הוא 45,000 ₪ לק"ג. בהתאם, שווי הסם שנתפס במעבדה הוא 1,350,000 ₪. </w:t>
      </w:r>
    </w:p>
    <w:p w14:paraId="6C232F33" w14:textId="77777777" w:rsidR="0016695F" w:rsidRDefault="0016695F" w:rsidP="0016695F">
      <w:pPr>
        <w:numPr>
          <w:ilvl w:val="0"/>
          <w:numId w:val="1"/>
        </w:numPr>
        <w:tabs>
          <w:tab w:val="num" w:pos="720"/>
        </w:tabs>
        <w:spacing w:after="120" w:line="360" w:lineRule="auto"/>
        <w:ind w:left="720"/>
        <w:jc w:val="both"/>
        <w:rPr>
          <w:rFonts w:ascii="David" w:eastAsia="David" w:hAnsi="David"/>
          <w:rtl/>
        </w:rPr>
      </w:pPr>
      <w:r>
        <w:rPr>
          <w:rFonts w:ascii="David" w:eastAsia="David" w:hAnsi="David"/>
          <w:rtl/>
        </w:rPr>
        <w:t>במסגרת הדיונים המקדמיים הגיעו הצדדים להסדר טיעון, שהוגש לפניי גם בכתב, שעיקרו כלהלן:</w:t>
      </w:r>
    </w:p>
    <w:p w14:paraId="1CD6B123" w14:textId="77777777" w:rsidR="0016695F" w:rsidRDefault="0016695F" w:rsidP="0016695F">
      <w:pPr>
        <w:spacing w:after="120" w:line="360" w:lineRule="auto"/>
        <w:ind w:left="1440"/>
        <w:jc w:val="both"/>
        <w:rPr>
          <w:rFonts w:ascii="David" w:eastAsia="David" w:hAnsi="David"/>
        </w:rPr>
      </w:pPr>
      <w:r>
        <w:rPr>
          <w:rFonts w:ascii="David" w:eastAsia="David" w:hAnsi="David"/>
          <w:b/>
          <w:bCs/>
          <w:rtl/>
        </w:rPr>
        <w:t>במישור הדיוני</w:t>
      </w:r>
      <w:r>
        <w:rPr>
          <w:rFonts w:ascii="David" w:eastAsia="David" w:hAnsi="David"/>
          <w:rtl/>
        </w:rPr>
        <w:t xml:space="preserve"> – הוגש כתב האישום המתוקן</w:t>
      </w:r>
      <w:r>
        <w:rPr>
          <w:rFonts w:ascii="David" w:eastAsia="David" w:hAnsi="David" w:hint="cs"/>
          <w:rtl/>
        </w:rPr>
        <w:t>,</w:t>
      </w:r>
      <w:r>
        <w:rPr>
          <w:rFonts w:ascii="David" w:eastAsia="David" w:hAnsi="David"/>
          <w:rtl/>
        </w:rPr>
        <w:t xml:space="preserve"> בו תוקן לקולה משקל הסמים המסוכנים, שנתפסו במעבדה, ובהתאם הופחת שווי הסמים שנתפסו. הוסכם כי בטעונים לעונש לא יחרגו הצדדים מעובדות כתב האישום המתוקן, פרט לטיעון ב"כ הנאשם בדבר חלקו של אחר במעורבות בביצוע העבירות כעולה מחומר</w:t>
      </w:r>
      <w:r>
        <w:rPr>
          <w:rFonts w:ascii="David" w:eastAsia="David" w:hAnsi="David" w:hint="cs"/>
          <w:rtl/>
        </w:rPr>
        <w:t>י</w:t>
      </w:r>
      <w:r>
        <w:rPr>
          <w:rFonts w:ascii="David" w:eastAsia="David" w:hAnsi="David"/>
          <w:rtl/>
        </w:rPr>
        <w:t xml:space="preserve"> החקירה. </w:t>
      </w:r>
    </w:p>
    <w:p w14:paraId="73565E0F" w14:textId="77777777" w:rsidR="0016695F" w:rsidRDefault="0016695F" w:rsidP="0016695F">
      <w:pPr>
        <w:spacing w:after="120" w:line="360" w:lineRule="auto"/>
        <w:ind w:left="1440"/>
        <w:jc w:val="both"/>
        <w:rPr>
          <w:rFonts w:ascii="David" w:eastAsia="David" w:hAnsi="David"/>
          <w:rtl/>
        </w:rPr>
      </w:pPr>
      <w:r>
        <w:rPr>
          <w:rFonts w:ascii="David" w:eastAsia="David" w:hAnsi="David"/>
          <w:b/>
          <w:bCs/>
          <w:rtl/>
        </w:rPr>
        <w:t xml:space="preserve">במישור המהותי </w:t>
      </w:r>
      <w:r>
        <w:rPr>
          <w:rFonts w:ascii="David" w:eastAsia="David" w:hAnsi="David"/>
          <w:rtl/>
        </w:rPr>
        <w:t xml:space="preserve">– הוסכם כי הצדדים יעתרו במשותף לשליחת הנאשם לשירות המבחן לצורך עריכת תסקיר בעניינו. הובהר כי אין הסכמות לעניין העונש וכל צד יטען כדרכו. עם זאת הוסכם, כתחליף לבקשת חילוט הנגרייה </w:t>
      </w:r>
      <w:r>
        <w:rPr>
          <w:rFonts w:ascii="David" w:eastAsia="David" w:hAnsi="David" w:hint="cs"/>
          <w:rtl/>
        </w:rPr>
        <w:t>ש</w:t>
      </w:r>
      <w:r>
        <w:rPr>
          <w:rFonts w:ascii="David" w:eastAsia="David" w:hAnsi="David"/>
          <w:rtl/>
        </w:rPr>
        <w:t>בכתב האישום</w:t>
      </w:r>
      <w:r>
        <w:rPr>
          <w:rFonts w:ascii="David" w:eastAsia="David" w:hAnsi="David" w:hint="cs"/>
          <w:rtl/>
        </w:rPr>
        <w:t xml:space="preserve"> המקורי</w:t>
      </w:r>
      <w:r>
        <w:rPr>
          <w:rFonts w:ascii="David" w:eastAsia="David" w:hAnsi="David"/>
          <w:rtl/>
        </w:rPr>
        <w:t>, לטעון להשתת קנס כספי בסכום של 30,000 ₪</w:t>
      </w:r>
      <w:r>
        <w:rPr>
          <w:rFonts w:ascii="David" w:eastAsia="David" w:hAnsi="David" w:hint="cs"/>
          <w:rtl/>
        </w:rPr>
        <w:t>. זאת</w:t>
      </w:r>
      <w:r>
        <w:rPr>
          <w:rFonts w:ascii="David" w:eastAsia="David" w:hAnsi="David"/>
          <w:rtl/>
        </w:rPr>
        <w:t xml:space="preserve">, בנוסף לחילוט הציוד שנתפס בנגרייה (ר' בפרוטוקול, עמ' 2 שורה 14 ואילך). </w:t>
      </w:r>
    </w:p>
    <w:p w14:paraId="53635731" w14:textId="77777777" w:rsidR="0016695F" w:rsidRDefault="0016695F" w:rsidP="0016695F">
      <w:pPr>
        <w:numPr>
          <w:ilvl w:val="0"/>
          <w:numId w:val="1"/>
        </w:numPr>
        <w:tabs>
          <w:tab w:val="num" w:pos="720"/>
        </w:tabs>
        <w:spacing w:after="120" w:line="360" w:lineRule="auto"/>
        <w:ind w:left="720"/>
        <w:jc w:val="both"/>
        <w:rPr>
          <w:rFonts w:ascii="David" w:eastAsia="David" w:hAnsi="David"/>
          <w:rtl/>
        </w:rPr>
      </w:pPr>
      <w:r>
        <w:rPr>
          <w:rFonts w:ascii="David" w:eastAsia="David" w:hAnsi="David"/>
          <w:rtl/>
        </w:rPr>
        <w:t xml:space="preserve">הנאשם הודה </w:t>
      </w:r>
      <w:r>
        <w:rPr>
          <w:rFonts w:ascii="David" w:eastAsia="David" w:hAnsi="David" w:hint="cs"/>
          <w:rtl/>
        </w:rPr>
        <w:t xml:space="preserve">בעובדות </w:t>
      </w:r>
      <w:r>
        <w:rPr>
          <w:rFonts w:ascii="David" w:eastAsia="David" w:hAnsi="David"/>
          <w:rtl/>
        </w:rPr>
        <w:t xml:space="preserve">בכתב האישום המתוקן, </w:t>
      </w:r>
      <w:r>
        <w:rPr>
          <w:rFonts w:ascii="David" w:eastAsia="David" w:hAnsi="David" w:hint="cs"/>
          <w:rtl/>
        </w:rPr>
        <w:t xml:space="preserve">הורשע בעבירות בהן הואשם </w:t>
      </w:r>
      <w:r>
        <w:rPr>
          <w:rFonts w:ascii="David" w:eastAsia="David" w:hAnsi="David"/>
          <w:rtl/>
        </w:rPr>
        <w:t>כאמור בפסקה 1 דלעיל והוכרז כסוחר סמים (ר' בפרוטוקול, עמ' 10 שורה 25). בית המשפט נעתר לבקשת הצדדים והורה על עריכת תסקיר שירות המבחן בעניינו של הנאשם.</w:t>
      </w:r>
    </w:p>
    <w:p w14:paraId="2514C274" w14:textId="77777777" w:rsidR="0016695F" w:rsidRDefault="0016695F" w:rsidP="0016695F">
      <w:pPr>
        <w:spacing w:after="120" w:line="360" w:lineRule="auto"/>
        <w:jc w:val="both"/>
        <w:rPr>
          <w:rFonts w:ascii="David" w:eastAsia="David" w:hAnsi="David"/>
        </w:rPr>
      </w:pPr>
    </w:p>
    <w:p w14:paraId="287492D7" w14:textId="77777777" w:rsidR="0016695F" w:rsidRDefault="0016695F" w:rsidP="0016695F">
      <w:pPr>
        <w:spacing w:after="120" w:line="360" w:lineRule="auto"/>
        <w:jc w:val="both"/>
        <w:rPr>
          <w:rFonts w:ascii="David" w:eastAsia="David" w:hAnsi="David"/>
          <w:b/>
          <w:bCs/>
          <w:u w:val="single"/>
          <w:rtl/>
        </w:rPr>
      </w:pPr>
      <w:r>
        <w:rPr>
          <w:rFonts w:ascii="David" w:eastAsia="David" w:hAnsi="David"/>
          <w:b/>
          <w:bCs/>
          <w:rtl/>
        </w:rPr>
        <w:t>ב.</w:t>
      </w:r>
      <w:r>
        <w:rPr>
          <w:rFonts w:ascii="David" w:eastAsia="David" w:hAnsi="David"/>
          <w:b/>
          <w:bCs/>
          <w:rtl/>
        </w:rPr>
        <w:tab/>
      </w:r>
      <w:r>
        <w:rPr>
          <w:rFonts w:ascii="David" w:eastAsia="David" w:hAnsi="David"/>
          <w:b/>
          <w:bCs/>
          <w:u w:val="single"/>
          <w:rtl/>
        </w:rPr>
        <w:t>עיקר תסקירי שירות המבחן:</w:t>
      </w:r>
    </w:p>
    <w:p w14:paraId="1B320C83" w14:textId="77777777" w:rsidR="0016695F" w:rsidRDefault="0016695F" w:rsidP="0016695F">
      <w:pPr>
        <w:numPr>
          <w:ilvl w:val="0"/>
          <w:numId w:val="1"/>
        </w:numPr>
        <w:tabs>
          <w:tab w:val="num" w:pos="720"/>
        </w:tabs>
        <w:spacing w:after="120" w:line="360" w:lineRule="auto"/>
        <w:ind w:left="720"/>
        <w:jc w:val="both"/>
        <w:rPr>
          <w:rFonts w:ascii="David" w:eastAsia="David" w:hAnsi="David"/>
          <w:rtl/>
        </w:rPr>
      </w:pPr>
      <w:r>
        <w:rPr>
          <w:rFonts w:ascii="David" w:eastAsia="David" w:hAnsi="David"/>
          <w:rtl/>
        </w:rPr>
        <w:t xml:space="preserve">בתסקיר שירות המבחן (מיום 08.03.21) עמד שירות המבחן, בהרחבה, על נסיבות חייו של הנאשם. כאן רק יצוין, בתמצית, כי הנאשם, אלמן יליד שנת 1975 (בן 46 שנים כיום), מתגורר עם שני ילדיו (בני 17 ו-21) ואחייניתו בנס ציונה. הנאשם השלים 12 שנות לימוד במגמת נגרות, ללא תעודת בגרות, ומגיל 19 החל לעבוד בתחום באופן עצמאי. בשנת 1994 גויס הנאשם לשירות צבאי, אך נעדר מן השירות ובהמשך פוטר ממנו בשל אי התאמה. הנאשם הביע בפני שירות המבחן את חרטתו על כך שלא השלים את שירותו הצבאי. </w:t>
      </w:r>
      <w:r>
        <w:rPr>
          <w:rFonts w:ascii="David" w:eastAsia="David" w:hAnsi="David"/>
          <w:rtl/>
        </w:rPr>
        <w:lastRenderedPageBreak/>
        <w:t>הנאשם מסר כי הנגרייה נמצאת בבעלותו מזה כ-25 שנים, תיאר את יכולותיו וכישוריו בתחום הנגרות וכן את חשיבות עבודתו בחייו ומשמעותה.</w:t>
      </w:r>
    </w:p>
    <w:p w14:paraId="6A16BF3A"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לאחר מות אשתו נישא הנאשם בשנית, ובעקבות סכסוך כספי ע</w:t>
      </w:r>
      <w:r>
        <w:rPr>
          <w:rFonts w:ascii="David" w:eastAsia="David" w:hAnsi="David" w:hint="cs"/>
          <w:rtl/>
        </w:rPr>
        <w:t xml:space="preserve">ם אשתו השנייה, </w:t>
      </w:r>
      <w:r>
        <w:rPr>
          <w:rFonts w:ascii="David" w:eastAsia="David" w:hAnsi="David"/>
          <w:rtl/>
        </w:rPr>
        <w:t>לאחר גירושיהם</w:t>
      </w:r>
      <w:r>
        <w:rPr>
          <w:rFonts w:ascii="David" w:eastAsia="David" w:hAnsi="David" w:hint="cs"/>
          <w:rtl/>
        </w:rPr>
        <w:t>,</w:t>
      </w:r>
      <w:r>
        <w:rPr>
          <w:rFonts w:ascii="David" w:eastAsia="David" w:hAnsi="David"/>
          <w:rtl/>
        </w:rPr>
        <w:t xml:space="preserve"> צבר חובות</w:t>
      </w:r>
      <w:r>
        <w:rPr>
          <w:rFonts w:ascii="David" w:eastAsia="David" w:hAnsi="David" w:hint="cs"/>
          <w:rtl/>
        </w:rPr>
        <w:t xml:space="preserve"> כבדים</w:t>
      </w:r>
      <w:r>
        <w:rPr>
          <w:rFonts w:ascii="David" w:eastAsia="David" w:hAnsi="David"/>
          <w:rtl/>
        </w:rPr>
        <w:t xml:space="preserve">. הנאשם תיאר תחושות ייאוש וחוסר אונים שחש, לאחר שנדרש למכור את דירתו על מנת לשלם את חובותיו. הנאשם נטל אחריות על מעשיו, הגם שבד בבד מסר כי ביצוע העבירות נעשה בעזרת שותף, </w:t>
      </w:r>
      <w:r>
        <w:rPr>
          <w:rFonts w:ascii="David" w:eastAsia="David" w:hAnsi="David" w:hint="cs"/>
          <w:rtl/>
        </w:rPr>
        <w:t>א</w:t>
      </w:r>
      <w:r>
        <w:rPr>
          <w:rFonts w:ascii="David" w:eastAsia="David" w:hAnsi="David"/>
          <w:rtl/>
        </w:rPr>
        <w:t>ש</w:t>
      </w:r>
      <w:r>
        <w:rPr>
          <w:rFonts w:ascii="David" w:eastAsia="David" w:hAnsi="David" w:hint="cs"/>
          <w:rtl/>
        </w:rPr>
        <w:t xml:space="preserve">ר </w:t>
      </w:r>
      <w:r>
        <w:rPr>
          <w:rFonts w:ascii="David" w:eastAsia="David" w:hAnsi="David"/>
          <w:rtl/>
        </w:rPr>
        <w:t>סייע לו בחשיבה ובתכנון. עוד טען</w:t>
      </w:r>
      <w:r>
        <w:rPr>
          <w:rFonts w:ascii="David" w:eastAsia="David" w:hAnsi="David" w:hint="cs"/>
          <w:rtl/>
        </w:rPr>
        <w:t xml:space="preserve"> הנאשם </w:t>
      </w:r>
      <w:r>
        <w:rPr>
          <w:rFonts w:ascii="David" w:eastAsia="David" w:hAnsi="David"/>
          <w:rtl/>
        </w:rPr>
        <w:t>כי ביצע את העבירות על רקע חובותיו שהצטברו, כפתרון קל ומהיר מבלי שלקח בחשבון את ההשלכות האישיות, המשפחתיות והחברתיות שלצדן. הנאשם תאר חרטה על ביצוע העבירות, צער ואכזבה מהתנהגותו ובחירותיו, תוך שביטא חשש מפגיעה בעסקו אם יושת עליו עונש מאסר בפועל, ולו לנשיאה בדרך של עבודות שירות. הנאשם לא הביע בפני שירות המבחן נזקקות טיפולית, אך ציין כי הוא מוכן לשתף פעולה עם השירות.</w:t>
      </w:r>
    </w:p>
    <w:p w14:paraId="05B2F269"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שירות המבחן בחן את גורמי הסיכון והסיכוי בעניינו של הנאשם. מחד גיסא ציין השירות את התרשמותו, שלפיה במצבי משבר מתקשה הנאשם לפעול באופן מסתגל, וכפי שנראה מביצוע העבירות דנא פונה לפתרון קל ומהיר. מאידך התרשם שירות המבחן כי מדובר בנאשם שאינו בעל קווי אישיות עברייניים או התמכרותיים, המנהל אורח חיים חיובי ויציב. </w:t>
      </w:r>
      <w:r>
        <w:rPr>
          <w:rFonts w:ascii="David" w:eastAsia="David" w:hAnsi="David" w:hint="cs"/>
          <w:rtl/>
        </w:rPr>
        <w:t xml:space="preserve">בנסיבות אלה המליץ </w:t>
      </w:r>
      <w:r>
        <w:rPr>
          <w:rFonts w:ascii="David" w:eastAsia="David" w:hAnsi="David"/>
          <w:rtl/>
        </w:rPr>
        <w:t xml:space="preserve">שירות המבחן </w:t>
      </w:r>
      <w:r>
        <w:rPr>
          <w:rFonts w:ascii="David" w:eastAsia="David" w:hAnsi="David" w:hint="cs"/>
          <w:rtl/>
        </w:rPr>
        <w:t xml:space="preserve">להשית </w:t>
      </w:r>
      <w:r>
        <w:rPr>
          <w:rFonts w:ascii="David" w:eastAsia="David" w:hAnsi="David"/>
          <w:rtl/>
        </w:rPr>
        <w:t>ענישה שיקומית, אשר תכלול ענישה קונקרטית לצד שילוב</w:t>
      </w:r>
      <w:r>
        <w:rPr>
          <w:rFonts w:ascii="David" w:eastAsia="David" w:hAnsi="David" w:hint="cs"/>
          <w:rtl/>
        </w:rPr>
        <w:t xml:space="preserve"> הנאשם</w:t>
      </w:r>
      <w:r>
        <w:rPr>
          <w:rFonts w:ascii="David" w:eastAsia="David" w:hAnsi="David"/>
          <w:rtl/>
        </w:rPr>
        <w:t xml:space="preserve"> בטיפול שיהא בו כדי להפחית את הסיכון להישנות עבירות נוספות מצדו. בסופו של דבר – ועל אף חומרת העבירות – המליץ שירות המבחן על ענישה מקלה מאוד, של מאסר מותנה, של"צ בהיקף של 250 שעות וצו מבחן, תוך שציין כי מאסר בפועל עלול להגביר את מצוקתו הכלכלית של הנאשם.</w:t>
      </w:r>
    </w:p>
    <w:p w14:paraId="3D0A4D8F"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בתסקיר המשלים (מיום 12.10.21) תואר</w:t>
      </w:r>
      <w:r>
        <w:rPr>
          <w:rFonts w:ascii="David" w:eastAsia="David" w:hAnsi="David" w:hint="cs"/>
          <w:rtl/>
        </w:rPr>
        <w:t xml:space="preserve">ה השתלבותו </w:t>
      </w:r>
      <w:r>
        <w:rPr>
          <w:rFonts w:ascii="David" w:eastAsia="David" w:hAnsi="David"/>
          <w:rtl/>
        </w:rPr>
        <w:t xml:space="preserve">של הנאשם בהליך טיפולי-קבוצתי במסגרת שירות המבחן. צוין כי הנאשם נוטל חלק פעיל בקבוצה, מתמיד בהגעתו לפגישות ומפיק תועלת מההליך. שירות המבחן התרשם כי השתתפות הנאשם בטיפול תסייע בצמצום הסיכון לחזרתו להתנהגות עוברת חוק. שירות המבחן חזר </w:t>
      </w:r>
      <w:r>
        <w:rPr>
          <w:rFonts w:ascii="David" w:eastAsia="David" w:hAnsi="David" w:hint="cs"/>
          <w:rtl/>
        </w:rPr>
        <w:t xml:space="preserve">אפוא </w:t>
      </w:r>
      <w:r>
        <w:rPr>
          <w:rFonts w:ascii="David" w:eastAsia="David" w:hAnsi="David"/>
          <w:rtl/>
        </w:rPr>
        <w:t>על המלצותיו להשתת ענישה מקלה, הגם שהפעם המליץ על של"צ בהיקף של 300 שעות.</w:t>
      </w:r>
    </w:p>
    <w:p w14:paraId="4F4E2F41" w14:textId="77777777" w:rsidR="0016695F" w:rsidRDefault="0016695F" w:rsidP="0016695F">
      <w:pPr>
        <w:spacing w:after="120" w:line="360" w:lineRule="auto"/>
        <w:jc w:val="both"/>
        <w:rPr>
          <w:rFonts w:ascii="David" w:eastAsia="David" w:hAnsi="David"/>
        </w:rPr>
      </w:pPr>
    </w:p>
    <w:p w14:paraId="0577B552" w14:textId="77777777" w:rsidR="0016695F" w:rsidRDefault="0016695F" w:rsidP="0016695F">
      <w:pPr>
        <w:spacing w:after="120" w:line="360" w:lineRule="auto"/>
        <w:jc w:val="both"/>
        <w:rPr>
          <w:rFonts w:ascii="David" w:eastAsia="David" w:hAnsi="David"/>
          <w:b/>
          <w:bCs/>
          <w:u w:val="single"/>
          <w:rtl/>
        </w:rPr>
      </w:pPr>
      <w:r>
        <w:rPr>
          <w:rFonts w:ascii="David" w:eastAsia="David" w:hAnsi="David"/>
          <w:b/>
          <w:bCs/>
          <w:rtl/>
        </w:rPr>
        <w:t>ג.</w:t>
      </w:r>
      <w:r>
        <w:rPr>
          <w:rFonts w:ascii="David" w:eastAsia="David" w:hAnsi="David"/>
          <w:b/>
          <w:bCs/>
          <w:rtl/>
        </w:rPr>
        <w:tab/>
      </w:r>
      <w:r>
        <w:rPr>
          <w:rFonts w:ascii="David" w:eastAsia="David" w:hAnsi="David"/>
          <w:b/>
          <w:bCs/>
          <w:u w:val="single"/>
          <w:rtl/>
        </w:rPr>
        <w:t>עיקר הראיות לקביעת העונש:</w:t>
      </w:r>
    </w:p>
    <w:p w14:paraId="5C73C30F"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מטעם המאשימה לא הוגשו ראיות לקביעת העונש. להבדיל, מטעם ההגנה העידו בתו וחמותו </w:t>
      </w:r>
      <w:r>
        <w:rPr>
          <w:rFonts w:ascii="David" w:eastAsia="David" w:hAnsi="David" w:hint="cs"/>
          <w:rtl/>
        </w:rPr>
        <w:t xml:space="preserve">של הנאשם </w:t>
      </w:r>
      <w:r>
        <w:rPr>
          <w:rFonts w:ascii="David" w:eastAsia="David" w:hAnsi="David"/>
          <w:rtl/>
        </w:rPr>
        <w:t xml:space="preserve">(אם אשתו המנוחה). הבת סיפרה על קורות המשפחה מאז פטירת אמה בעת שהיא </w:t>
      </w:r>
      <w:r>
        <w:rPr>
          <w:rFonts w:ascii="David" w:eastAsia="David" w:hAnsi="David" w:hint="cs"/>
          <w:rtl/>
        </w:rPr>
        <w:t xml:space="preserve">(הבת) </w:t>
      </w:r>
      <w:r>
        <w:rPr>
          <w:rFonts w:ascii="David" w:eastAsia="David" w:hAnsi="David"/>
          <w:rtl/>
        </w:rPr>
        <w:t xml:space="preserve">היתה בת 8 שנים בלבד. כפי דבריה, הנאשם לא ויתר עליה ועל אחיה, לא שלח אותם לפנימיות, ודאג לכל מחסורם. עוד סיפרה הבת כי נישואיו השניים של הנאשם הובילו לגירושין מכוערים ולהסתבכות כספית. לדבריה, לאחר מעצרו של הנאשם בגין תיק זה עבר הנאשם שינוי מהותי </w:t>
      </w:r>
      <w:r>
        <w:rPr>
          <w:rFonts w:ascii="David" w:eastAsia="David" w:hAnsi="David" w:hint="cs"/>
          <w:rtl/>
        </w:rPr>
        <w:t xml:space="preserve">בהתנהגותו ובהתנהלותו </w:t>
      </w:r>
      <w:r>
        <w:rPr>
          <w:rFonts w:ascii="David" w:eastAsia="David" w:hAnsi="David"/>
          <w:rtl/>
        </w:rPr>
        <w:t>ופתח דף חדש בחייו.</w:t>
      </w:r>
    </w:p>
    <w:p w14:paraId="600F0019"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החמות העידה כי היא מכירה את הנאשם מאז שהיה בן 19 שנים, והוא עבורה כבן יקר ואהוב. החמות הפליגה בשבחי הנאשם, כאשר לדבריה העבירות דנא "</w:t>
      </w:r>
      <w:r>
        <w:rPr>
          <w:rFonts w:ascii="David" w:eastAsia="David" w:hAnsi="David"/>
          <w:b/>
          <w:bCs/>
          <w:rtl/>
        </w:rPr>
        <w:t>זה לא הוא</w:t>
      </w:r>
      <w:r>
        <w:rPr>
          <w:rFonts w:ascii="David" w:eastAsia="David" w:hAnsi="David"/>
          <w:rtl/>
        </w:rPr>
        <w:t>" (בפרוטוקול, עמ' 5 שורה 17). עוד פנתה לרחמי בית המשפט, בתחינה להקלה בדינו של הנאשם.</w:t>
      </w:r>
    </w:p>
    <w:p w14:paraId="3A839D44" w14:textId="77777777" w:rsidR="0016695F" w:rsidRDefault="0016695F" w:rsidP="0016695F">
      <w:pPr>
        <w:spacing w:after="120" w:line="360" w:lineRule="auto"/>
        <w:ind w:left="720"/>
        <w:jc w:val="both"/>
        <w:rPr>
          <w:rFonts w:ascii="David" w:eastAsia="David" w:hAnsi="David"/>
        </w:rPr>
      </w:pPr>
    </w:p>
    <w:p w14:paraId="66351FE7" w14:textId="77777777" w:rsidR="0016695F" w:rsidRDefault="0016695F" w:rsidP="0016695F">
      <w:pPr>
        <w:spacing w:after="120" w:line="360" w:lineRule="auto"/>
        <w:jc w:val="both"/>
        <w:rPr>
          <w:rFonts w:ascii="David" w:eastAsia="David" w:hAnsi="David"/>
        </w:rPr>
      </w:pPr>
      <w:r>
        <w:rPr>
          <w:rFonts w:ascii="David" w:eastAsia="David" w:hAnsi="David"/>
          <w:b/>
          <w:bCs/>
          <w:rtl/>
        </w:rPr>
        <w:t>ד.</w:t>
      </w:r>
      <w:r>
        <w:rPr>
          <w:rFonts w:ascii="David" w:eastAsia="David" w:hAnsi="David"/>
          <w:b/>
          <w:bCs/>
          <w:rtl/>
        </w:rPr>
        <w:tab/>
      </w:r>
      <w:r>
        <w:rPr>
          <w:rFonts w:ascii="David" w:eastAsia="David" w:hAnsi="David"/>
          <w:b/>
          <w:bCs/>
          <w:u w:val="single"/>
          <w:rtl/>
        </w:rPr>
        <w:t>עיקר טיעוני הצדדים:</w:t>
      </w:r>
    </w:p>
    <w:p w14:paraId="1F15D7D5"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במסגרת טיעוניה לעונש חזרה ב"כ המאשימה על עובדות כתב האישום המתוקן</w:t>
      </w:r>
      <w:r>
        <w:rPr>
          <w:rFonts w:ascii="David" w:eastAsia="David" w:hAnsi="David" w:hint="cs"/>
          <w:rtl/>
        </w:rPr>
        <w:t>,</w:t>
      </w:r>
      <w:r>
        <w:rPr>
          <w:rFonts w:ascii="David" w:eastAsia="David" w:hAnsi="David"/>
          <w:rtl/>
        </w:rPr>
        <w:t xml:space="preserve"> בהן הודה הנאשם, </w:t>
      </w:r>
      <w:r>
        <w:rPr>
          <w:rFonts w:ascii="David" w:eastAsia="David" w:hAnsi="David" w:hint="cs"/>
          <w:rtl/>
        </w:rPr>
        <w:t xml:space="preserve">תוך </w:t>
      </w:r>
      <w:r>
        <w:rPr>
          <w:rFonts w:ascii="David" w:eastAsia="David" w:hAnsi="David"/>
          <w:rtl/>
        </w:rPr>
        <w:t>הדגש</w:t>
      </w:r>
      <w:r>
        <w:rPr>
          <w:rFonts w:ascii="David" w:eastAsia="David" w:hAnsi="David" w:hint="cs"/>
          <w:rtl/>
        </w:rPr>
        <w:t>ת</w:t>
      </w:r>
      <w:r>
        <w:rPr>
          <w:rFonts w:ascii="David" w:eastAsia="David" w:hAnsi="David"/>
          <w:rtl/>
        </w:rPr>
        <w:t xml:space="preserve"> נסיבות החומרה שב</w:t>
      </w:r>
      <w:r>
        <w:rPr>
          <w:rFonts w:ascii="David" w:eastAsia="David" w:hAnsi="David" w:hint="cs"/>
          <w:rtl/>
        </w:rPr>
        <w:t>ביצוע ה</w:t>
      </w:r>
      <w:r>
        <w:rPr>
          <w:rFonts w:ascii="David" w:eastAsia="David" w:hAnsi="David"/>
          <w:rtl/>
        </w:rPr>
        <w:t>עבירות: הנאשם הקים בנגרייה שבבעלותו מעבדה לגידול ולייצור סמים מסוכנים מסוג קנבוס, בה גידל 290 שתילים ובהם 30 ק"ג נטו סמים מסוכנים. ב"כ המאשימה הטעימה כי מדובר במעבדה משוכללת מאוד, שרק הציוד שהתקין הנאשם בה שוויו עשרות אלפי ₪. עוד הוסיפה ב"כ המאשימה כי לאור הנסיבות שפורטו על ידי משפחתו של הנאשם הסכימה המאשימה להקלה מהותית, לפנים משורת הדין, בכך שלא עתרה לחילוט הנגרייה אלא רק להשתת קנס כספי בסך של 30,000 ₪.</w:t>
      </w:r>
    </w:p>
    <w:p w14:paraId="2405C3F9"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ב"כ המאשימה ציינה – תוך הפנייה לפסיקה – כי מדיניות הענישה הנהוגה במקרים דומים קובעת, ככלל, מתחם עונש הולם שבין 18 חודשי מאסר בפועל לבין 30 חודשי מאסר בפועל. עוד הוסיפה, כי גם בהתקיים שיקולי שיקום גזרו בתי המשפט עונשי מאסר לנשיאה מאחורי סורג ובריח (ר' למשל </w:t>
      </w:r>
      <w:r>
        <w:rPr>
          <w:rFonts w:ascii="David" w:eastAsia="David" w:hAnsi="David" w:hint="cs"/>
          <w:rtl/>
        </w:rPr>
        <w:t xml:space="preserve">לאחרונה </w:t>
      </w:r>
      <w:hyperlink r:id="rId17" w:history="1">
        <w:r w:rsidR="00E20A02" w:rsidRPr="00E20A02">
          <w:rPr>
            <w:rFonts w:ascii="David" w:eastAsia="David" w:hAnsi="David"/>
            <w:color w:val="0000FF"/>
            <w:u w:val="single"/>
            <w:rtl/>
          </w:rPr>
          <w:t>ת"פ 52209-01-20</w:t>
        </w:r>
      </w:hyperlink>
      <w:r>
        <w:rPr>
          <w:rFonts w:ascii="David" w:eastAsia="David" w:hAnsi="David"/>
          <w:rtl/>
        </w:rPr>
        <w:t xml:space="preserve"> </w:t>
      </w:r>
      <w:r>
        <w:rPr>
          <w:rFonts w:ascii="David" w:eastAsia="David" w:hAnsi="David"/>
          <w:b/>
          <w:bCs/>
          <w:rtl/>
        </w:rPr>
        <w:t>מדינת ישראל נ' פפו</w:t>
      </w:r>
      <w:r>
        <w:rPr>
          <w:rFonts w:ascii="David" w:eastAsia="David" w:hAnsi="David"/>
          <w:rtl/>
        </w:rPr>
        <w:t xml:space="preserve"> (11.10.21)), ועתרה לקביעת מתחם עונש הולם דומה.</w:t>
      </w:r>
    </w:p>
    <w:p w14:paraId="0C3BE6C6"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hint="cs"/>
          <w:rtl/>
        </w:rPr>
        <w:t xml:space="preserve">נוכח הנסיבות הנ"ל טענה </w:t>
      </w:r>
      <w:r>
        <w:rPr>
          <w:rFonts w:ascii="David" w:eastAsia="David" w:hAnsi="David"/>
          <w:rtl/>
        </w:rPr>
        <w:t>ב"כ המאשימה כי המלצ</w:t>
      </w:r>
      <w:r>
        <w:rPr>
          <w:rFonts w:ascii="David" w:eastAsia="David" w:hAnsi="David" w:hint="cs"/>
          <w:rtl/>
        </w:rPr>
        <w:t>ו</w:t>
      </w:r>
      <w:r>
        <w:rPr>
          <w:rFonts w:ascii="David" w:eastAsia="David" w:hAnsi="David"/>
          <w:rtl/>
        </w:rPr>
        <w:t>ת שירות המבחן אינן עולות בקנה אחד עם חומרת העבירות, בפרט נוכח הנסיבות הלא חיוביות המצוינות בתסקירים. עוד הדגישה ב"כ המאשימה כי בפני שירות המבחן טען הנאשם שביצע את העבירות בסיוע שותף, בעוד שבחקירותיו במשטרה מסר כי ביצע את העבירות לבדו והאדם הנוסף שנכח במקום אינו קשור לעבירות.</w:t>
      </w:r>
    </w:p>
    <w:p w14:paraId="7111000F"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עם זאת, נוכח נסיבותיו האישיות של הנאשם והליך שיקומי אותו הוא עובר – הגם שראשוני בלבד – הסכימה ב"כ המאשימה כי יש מקום לחריגה מסוימת לכף קולה ממתחם העונש ההולם לו טענה ולהסתפקות בעונש של מאסר בפועל לתקופה של 15 חודשים, בצירוף ענישה נלווית של מאסר מותנה, פסילת רישיון נהיגה בפועל, קנס כספי כמוסכם (לטובת קרן החילוט) וחילוט הציוד שנתפס במעבדה.</w:t>
      </w:r>
    </w:p>
    <w:p w14:paraId="343C4041"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ב"כ הנאשם, מצידה, טענה כי מנעד הענישה בכגון דא הוא רחב, וקיימים מקרים בהם בתי המשפט הסתפקו בענישה שיקומית, כעולה מאסמכתאות שאליהן הפנתה. ב"כ הנאשם הרחיבה מאוד בתיאור נסיבותיו האישיות של הנאשם והקשיים שחווה, בעיקר לאחר מות אשתו הראשונה, והמצוקה הכלכלית החמורה אליה נקלע בעקבות גירושיו מאשתו השנייה. בהקשר זה הפנתה ב"כ הנאשם לפירוט חובות הנאשם בהוצאה לפועל (ס/1) וכן להזמנות עבודה שקיבל בחודשים האחרונים, המלמדות על כך שמדובר באדם עובד ויצרני (ס/2). </w:t>
      </w:r>
    </w:p>
    <w:p w14:paraId="0679BA62"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ב"כ הנאשם עמדה על הנסיבות החיוביות העולות מתסקירי שירות המבחן ובמיוחד </w:t>
      </w:r>
      <w:r>
        <w:rPr>
          <w:rFonts w:ascii="David" w:eastAsia="David" w:hAnsi="David" w:hint="cs"/>
          <w:rtl/>
        </w:rPr>
        <w:t xml:space="preserve">על </w:t>
      </w:r>
      <w:r>
        <w:rPr>
          <w:rFonts w:ascii="David" w:eastAsia="David" w:hAnsi="David"/>
          <w:rtl/>
        </w:rPr>
        <w:t xml:space="preserve">ההליך השיקומי בו שולב הנאשם. ב"כ הנאשם ערה לכך שהנאשם ביצע את העבירות על רקע כלכלי, אך לשיטתה לא מדובר בבצע כסף – לצורך חיי מותרות – אלא באדם שעמד בתחתית הסולם הכלכלי והיה צריך לגדל את שני ילדיו. אשר לחלקו של האחר הפנתה ב"כ הנאשם לכך שבהסדר </w:t>
      </w:r>
      <w:r>
        <w:rPr>
          <w:rFonts w:ascii="David" w:eastAsia="David" w:hAnsi="David" w:hint="cs"/>
          <w:rtl/>
        </w:rPr>
        <w:t xml:space="preserve">הטיעון </w:t>
      </w:r>
      <w:r>
        <w:rPr>
          <w:rFonts w:ascii="David" w:eastAsia="David" w:hAnsi="David"/>
          <w:rtl/>
        </w:rPr>
        <w:t>הוסכם שההגנה תוכל לטעון בעניין זה. ב"כ הנאשם ערה לכך שבחקירתו במשטרה טען הנאשם שהוא ורק הוא ביצע את העבירות, אך לשיטתה אין להתעלם מכך שהאחר – שעליו נתפס מפתח של המעבדה – לא הועמד לדין, למרות ש</w:t>
      </w:r>
      <w:r>
        <w:rPr>
          <w:rFonts w:ascii="David" w:eastAsia="David" w:hAnsi="David" w:hint="cs"/>
          <w:rtl/>
        </w:rPr>
        <w:t xml:space="preserve">לגישתה </w:t>
      </w:r>
      <w:r>
        <w:rPr>
          <w:rFonts w:ascii="David" w:eastAsia="David" w:hAnsi="David"/>
          <w:rtl/>
        </w:rPr>
        <w:t>היה מקום לכך.</w:t>
      </w:r>
    </w:p>
    <w:p w14:paraId="06F000FF"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עוד ציינה ב"כ הנאשם כי בהסכמות שהושגו בהתייחס לענישה הכלכלית, חלף חילוט המעבדה, לא היתה משום הקלה משמעותית, שכן הנגרייה אינה רשומה על שמו של הנאשם אלא על שם ילדיו. מכל מקום חזרה ב"כ הנאשם ועתרה</w:t>
      </w:r>
      <w:r>
        <w:rPr>
          <w:rFonts w:ascii="David" w:eastAsia="David" w:hAnsi="David" w:hint="cs"/>
          <w:rtl/>
        </w:rPr>
        <w:t>,</w:t>
      </w:r>
      <w:r>
        <w:rPr>
          <w:rFonts w:ascii="David" w:eastAsia="David" w:hAnsi="David"/>
          <w:rtl/>
        </w:rPr>
        <w:t xml:space="preserve"> במקרה זה</w:t>
      </w:r>
      <w:r>
        <w:rPr>
          <w:rFonts w:ascii="David" w:eastAsia="David" w:hAnsi="David" w:hint="cs"/>
          <w:rtl/>
        </w:rPr>
        <w:t>,</w:t>
      </w:r>
      <w:r>
        <w:rPr>
          <w:rFonts w:ascii="David" w:eastAsia="David" w:hAnsi="David"/>
          <w:rtl/>
        </w:rPr>
        <w:t xml:space="preserve"> לאימוץ המלצות שירות המבחן ולהסתפקות בענישה שיקומית.</w:t>
      </w:r>
    </w:p>
    <w:p w14:paraId="4062DD60"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לבסוף הנאשם, בדברו האחרון לעונש, אמר: "</w:t>
      </w:r>
      <w:r>
        <w:rPr>
          <w:rFonts w:ascii="David" w:eastAsia="David" w:hAnsi="David"/>
          <w:b/>
          <w:bCs/>
          <w:rtl/>
        </w:rPr>
        <w:t>אני מצטער ומביע חרטה על מה שעשיתי. כל מה שהיה זה היה ממקום מאוד נמוך בחיים. מה שהיה היה. היום אני במקום אחר בחיים...</w:t>
      </w:r>
      <w:r>
        <w:rPr>
          <w:rFonts w:ascii="David" w:eastAsia="David" w:hAnsi="David"/>
          <w:rtl/>
        </w:rPr>
        <w:t>" (ר' בפרוטוקול, עמ' 10 שורה 17 ואילך).</w:t>
      </w:r>
    </w:p>
    <w:p w14:paraId="2BD38232" w14:textId="77777777" w:rsidR="0016695F" w:rsidRDefault="0016695F" w:rsidP="0016695F">
      <w:pPr>
        <w:spacing w:after="120" w:line="360" w:lineRule="auto"/>
        <w:jc w:val="both"/>
        <w:rPr>
          <w:rFonts w:ascii="David" w:eastAsia="David" w:hAnsi="David"/>
        </w:rPr>
      </w:pPr>
    </w:p>
    <w:p w14:paraId="6C36753A" w14:textId="77777777" w:rsidR="0016695F" w:rsidRDefault="0016695F" w:rsidP="0016695F">
      <w:pPr>
        <w:spacing w:after="120" w:line="360" w:lineRule="auto"/>
        <w:jc w:val="both"/>
        <w:rPr>
          <w:rFonts w:ascii="David" w:eastAsia="David" w:hAnsi="David"/>
          <w:b/>
          <w:bCs/>
          <w:u w:val="single"/>
          <w:rtl/>
        </w:rPr>
      </w:pPr>
      <w:r>
        <w:rPr>
          <w:rFonts w:ascii="David" w:eastAsia="David" w:hAnsi="David"/>
          <w:b/>
          <w:bCs/>
          <w:rtl/>
        </w:rPr>
        <w:t>ה.</w:t>
      </w:r>
      <w:r>
        <w:rPr>
          <w:rFonts w:ascii="David" w:eastAsia="David" w:hAnsi="David"/>
          <w:b/>
          <w:bCs/>
          <w:rtl/>
        </w:rPr>
        <w:tab/>
      </w:r>
      <w:r>
        <w:rPr>
          <w:rFonts w:ascii="David" w:eastAsia="David" w:hAnsi="David"/>
          <w:b/>
          <w:bCs/>
          <w:u w:val="single"/>
          <w:rtl/>
        </w:rPr>
        <w:t>קביעת מתחם העונש ההולם:</w:t>
      </w:r>
    </w:p>
    <w:p w14:paraId="003C33B3" w14:textId="77777777" w:rsidR="0016695F" w:rsidRDefault="0016695F" w:rsidP="0016695F">
      <w:pPr>
        <w:numPr>
          <w:ilvl w:val="0"/>
          <w:numId w:val="1"/>
        </w:numPr>
        <w:tabs>
          <w:tab w:val="num" w:pos="720"/>
        </w:tabs>
        <w:spacing w:after="120" w:line="360" w:lineRule="auto"/>
        <w:ind w:left="720"/>
        <w:jc w:val="both"/>
        <w:rPr>
          <w:rFonts w:ascii="David" w:eastAsia="David" w:hAnsi="David"/>
          <w:rtl/>
        </w:rPr>
      </w:pPr>
      <w:r>
        <w:rPr>
          <w:rFonts w:ascii="David" w:eastAsia="David" w:hAnsi="David"/>
          <w:rtl/>
        </w:rPr>
        <w:t>בעת גזירת עונשו של נאשם על בית המשפט לקבוע, תחילה, את מתחם העונש ההולם לאירוע שבגינו הורשע הנאשם, וזאת בהתאם לעיקרון ההלימה. עוד יתחשב בית המשפט, בהקשר זה, בערכים החברתיים שנפגעו מביצוע העבירות ובמידת הפגיעה בהם, במדיניות הענישה הנהוגה ובנסיבות הקשורות בביצוע העבירות.</w:t>
      </w:r>
    </w:p>
    <w:p w14:paraId="209816CC"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הפסיקה חזרה ועמדה על חומרתן הרבה של עבירות הסמים, הן בשל הסכנה הנשקפת לבריאות הציבור מצריכתם של סמים מסוכנים והן בשל היותן גורם "מחולל פשיעה", דהיינו: גורם הכרוך או אף עומד ביסוד ביצוען של עבירות רבות אחרות. ברי אפוא כי ביצוען של עבירות סמים פוגע, ובמידה משמעותית, בערכים החברתיים של ההגנה על שלום הציבור ועל בריאותו מפני הנזקים הישירים והעקיפים</w:t>
      </w:r>
      <w:r>
        <w:rPr>
          <w:rFonts w:ascii="David" w:eastAsia="David" w:hAnsi="David" w:hint="cs"/>
          <w:rtl/>
        </w:rPr>
        <w:t>,</w:t>
      </w:r>
      <w:r>
        <w:rPr>
          <w:rFonts w:ascii="David" w:eastAsia="David" w:hAnsi="David"/>
          <w:rtl/>
        </w:rPr>
        <w:t xml:space="preserve"> אשר נגרמים עקב השימוש בסמים מסוכנים. מידת הפגיעה בערכים החברתיים האמורים היא גדולה במיוחד כאשר מדובר בהקמת מעבדות לגידול ולייצור סמים, שכן מעבדות כאלה מאפשרות ייצור סמים בהיקפים משמעותיים.</w:t>
      </w:r>
    </w:p>
    <w:p w14:paraId="05AF4F81"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למרבה הצער, אף אנשים נורמטיביים העובדים למחייתם, וללא כל הסתבכות קודמת עם החוק בעברם, מתפתים לעיתים להקמתן של מעבדות לגידול וייצור סמים מסוכנים מתוך ציפייה לרווח כספי קל ומהיר (ר' לאחרונה </w:t>
      </w:r>
      <w:hyperlink r:id="rId18" w:history="1">
        <w:r w:rsidR="00E20A02" w:rsidRPr="00E20A02">
          <w:rPr>
            <w:rFonts w:ascii="David" w:eastAsia="David" w:hAnsi="David"/>
            <w:color w:val="0000FF"/>
            <w:u w:val="single"/>
            <w:rtl/>
          </w:rPr>
          <w:t>ת"פ (שלום ת"א) 59811-06-20</w:t>
        </w:r>
      </w:hyperlink>
      <w:r w:rsidR="00E20A02">
        <w:rPr>
          <w:rFonts w:ascii="David" w:eastAsia="David" w:hAnsi="David"/>
          <w:rtl/>
        </w:rPr>
        <w:t xml:space="preserve"> </w:t>
      </w:r>
      <w:r>
        <w:rPr>
          <w:rFonts w:ascii="David" w:eastAsia="David" w:hAnsi="David"/>
          <w:b/>
          <w:bCs/>
          <w:rtl/>
        </w:rPr>
        <w:t>מדינת ישראל נ' קושנרקו</w:t>
      </w:r>
      <w:r w:rsidR="00E20A02">
        <w:rPr>
          <w:rFonts w:ascii="David" w:eastAsia="David" w:hAnsi="David"/>
          <w:rtl/>
        </w:rPr>
        <w:t xml:space="preserve"> </w:t>
      </w:r>
      <w:r>
        <w:rPr>
          <w:rFonts w:ascii="David" w:eastAsia="David" w:hAnsi="David"/>
          <w:rtl/>
        </w:rPr>
        <w:t xml:space="preserve">(20.10.2021). השווה גם </w:t>
      </w:r>
      <w:hyperlink r:id="rId19" w:history="1">
        <w:r w:rsidR="00E20A02" w:rsidRPr="00E20A02">
          <w:rPr>
            <w:rFonts w:ascii="David" w:eastAsia="David" w:hAnsi="David"/>
            <w:color w:val="0000FF"/>
            <w:u w:val="single"/>
            <w:rtl/>
          </w:rPr>
          <w:t>ע"פ 2596/18</w:t>
        </w:r>
      </w:hyperlink>
      <w:r w:rsidR="00E20A02">
        <w:rPr>
          <w:rFonts w:ascii="David" w:eastAsia="David" w:hAnsi="David"/>
          <w:rtl/>
        </w:rPr>
        <w:t xml:space="preserve"> </w:t>
      </w:r>
      <w:r>
        <w:rPr>
          <w:rFonts w:ascii="David" w:eastAsia="David" w:hAnsi="David"/>
          <w:b/>
          <w:bCs/>
          <w:rtl/>
        </w:rPr>
        <w:t>זנזורי נ' מדינת ישראל</w:t>
      </w:r>
      <w:r w:rsidR="00E20A02">
        <w:rPr>
          <w:rFonts w:ascii="David" w:eastAsia="David" w:hAnsi="David"/>
          <w:rtl/>
        </w:rPr>
        <w:t xml:space="preserve"> </w:t>
      </w:r>
      <w:r>
        <w:rPr>
          <w:rFonts w:ascii="David" w:eastAsia="David" w:hAnsi="David"/>
          <w:rtl/>
        </w:rPr>
        <w:t>(12.08.2018), בפסקה 8 לפסק הדין). המקרה שלפנינו אינ</w:t>
      </w:r>
      <w:r>
        <w:rPr>
          <w:rFonts w:ascii="David" w:eastAsia="David" w:hAnsi="David" w:hint="cs"/>
          <w:rtl/>
        </w:rPr>
        <w:t>נ</w:t>
      </w:r>
      <w:r>
        <w:rPr>
          <w:rFonts w:ascii="David" w:eastAsia="David" w:hAnsi="David"/>
          <w:rtl/>
        </w:rPr>
        <w:t>ו יוצא דופן בהקשר זה, שכן הנאשם ציין במפורש כי פנה להקמת המעבדה כפתרון קל ומהיר לחובותיו, מבלי שלקח בחשבון את ההשלכות האישיות, המשפחתיות והחברתיות הנובעות מביצוע העבירות. יוטעם, כי אין לקבל את האבחנה שביקשה ב"כ הנאשם ליצור בין מקרה שבו העבירות מבוצעות לצורך כיסוי חובות לבין מקרה שבו העבירות מבוצעות לצורך התעשרות, שכן בשני המקרים מדובר בבצע כסף ובנכונות להשיגו בדרכים לא חוקיות, ופשיטא שמי שפונה למעשי עבירה על מנת להשיג כספים צריך לשאת עונש בהתאם.</w:t>
      </w:r>
    </w:p>
    <w:p w14:paraId="3189BCFD"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עוד יש להתייחס כאן לטיעון, אם גם המרומז, של אכיפה בררנית כנגד הנאשם בהשוואה לעניינו של האחר. אכן, הפסיקה קובעת כי אכיפה בררנית עשויה להשפיע – במקרים המתאימים – גם על קביעת מתחם העונש ההולם. ואולם, במקרה דנא התנהלותו של הנאשם אינה יכולה להצדיק התחשבות כלשה</w:t>
      </w:r>
      <w:r>
        <w:rPr>
          <w:rFonts w:ascii="David" w:eastAsia="David" w:hAnsi="David" w:hint="cs"/>
          <w:rtl/>
        </w:rPr>
        <w:t>י</w:t>
      </w:r>
      <w:r>
        <w:rPr>
          <w:rFonts w:ascii="David" w:eastAsia="David" w:hAnsi="David"/>
          <w:rtl/>
        </w:rPr>
        <w:t xml:space="preserve"> לקולה בגין טיעון זה. ואבאר. הנאשם טען כאמור בפני שירות המבחן כי האחר היה שותף לעבירות, שסייע לו בחשיבה ובתכנון. דא עקא, שבמהלך חקירת המשטרה הסיר הנאשם כל אחריות מהאחר, וטען כי הוא ורק הוא ביצע את העבירות. ברי, כי נאשם אינו יכול למסור במשטרה גרסה – לפי טענתו שבדיעבד כוזבת – בה הוא מנקה את שותפו מכל אחריות ולאחר מכן, בעת שהוא נדרש ליתן את הדין על מעשיו, להלין על כך שהשותף לא הועמד לדין.</w:t>
      </w:r>
    </w:p>
    <w:p w14:paraId="0C240770"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 xml:space="preserve">המקרה שלפנינו דומה בנסיבותיו לעניין </w:t>
      </w:r>
      <w:r>
        <w:rPr>
          <w:rFonts w:ascii="David" w:eastAsia="David" w:hAnsi="David"/>
          <w:b/>
          <w:bCs/>
          <w:rtl/>
        </w:rPr>
        <w:t>קושנרקו</w:t>
      </w:r>
      <w:r>
        <w:rPr>
          <w:rFonts w:ascii="David" w:eastAsia="David" w:hAnsi="David"/>
          <w:rtl/>
        </w:rPr>
        <w:t xml:space="preserve"> הנ"ל. כמות הסמים שם היתה אמנם גדולה יותר, אך מספר השתילים קטן בהרבה. במקרה דנא אף מוסכם, כפי שנטען בעובדות כתב האישום המתוקן בהן הודה הנאשם, כי שווי הסמים שנתפסו היה 1,350,000 ₪. אני קובע אפוא את מתחם העונש ההולם, במקרה זה, בין 14 חודשי מאסר בפועל לבין 24 חודשי מאסר בפועל (השווה גם לפסיקה הנ"ל, אליה הפנתה ב"כ המאשימה, וכן ל</w:t>
      </w:r>
      <w:hyperlink r:id="rId20" w:history="1">
        <w:r w:rsidR="00E20A02" w:rsidRPr="00E20A02">
          <w:rPr>
            <w:rFonts w:ascii="David" w:eastAsia="David" w:hAnsi="David"/>
            <w:color w:val="0000FF"/>
            <w:u w:val="single"/>
            <w:rtl/>
          </w:rPr>
          <w:t>ע"פ 2194/14</w:t>
        </w:r>
      </w:hyperlink>
      <w:r w:rsidR="00E20A02">
        <w:rPr>
          <w:rFonts w:ascii="David" w:eastAsia="David" w:hAnsi="David"/>
          <w:rtl/>
        </w:rPr>
        <w:t xml:space="preserve"> </w:t>
      </w:r>
      <w:r>
        <w:rPr>
          <w:rFonts w:ascii="David" w:eastAsia="David" w:hAnsi="David"/>
          <w:b/>
          <w:bCs/>
          <w:rtl/>
        </w:rPr>
        <w:t>בן שמעון נ' מדינת ישראל</w:t>
      </w:r>
      <w:r w:rsidR="00E20A02">
        <w:rPr>
          <w:rFonts w:ascii="David" w:eastAsia="David" w:hAnsi="David"/>
          <w:rtl/>
        </w:rPr>
        <w:t xml:space="preserve"> </w:t>
      </w:r>
      <w:r>
        <w:rPr>
          <w:rFonts w:ascii="David" w:eastAsia="David" w:hAnsi="David"/>
          <w:rtl/>
        </w:rPr>
        <w:t>(10.09.2014))</w:t>
      </w:r>
    </w:p>
    <w:p w14:paraId="5D3DF8C7" w14:textId="77777777" w:rsidR="0016695F" w:rsidRDefault="0016695F" w:rsidP="0016695F">
      <w:pPr>
        <w:spacing w:after="120" w:line="360" w:lineRule="auto"/>
        <w:jc w:val="both"/>
        <w:rPr>
          <w:rFonts w:ascii="David" w:eastAsia="David" w:hAnsi="David"/>
          <w:rtl/>
        </w:rPr>
      </w:pPr>
    </w:p>
    <w:p w14:paraId="2D7DC0C3" w14:textId="77777777" w:rsidR="0016695F" w:rsidRDefault="0016695F" w:rsidP="0016695F">
      <w:pPr>
        <w:spacing w:after="120" w:line="360" w:lineRule="auto"/>
        <w:jc w:val="both"/>
        <w:rPr>
          <w:rFonts w:ascii="David" w:eastAsia="David" w:hAnsi="David"/>
          <w:b/>
          <w:bCs/>
          <w:u w:val="single"/>
          <w:rtl/>
        </w:rPr>
      </w:pPr>
      <w:r>
        <w:rPr>
          <w:rFonts w:ascii="David" w:eastAsia="David" w:hAnsi="David"/>
          <w:b/>
          <w:bCs/>
          <w:rtl/>
        </w:rPr>
        <w:t>ו.</w:t>
      </w:r>
      <w:r>
        <w:rPr>
          <w:rFonts w:ascii="David" w:eastAsia="David" w:hAnsi="David"/>
          <w:b/>
          <w:bCs/>
          <w:rtl/>
        </w:rPr>
        <w:tab/>
      </w:r>
      <w:r>
        <w:rPr>
          <w:rFonts w:ascii="David" w:eastAsia="David" w:hAnsi="David"/>
          <w:b/>
          <w:bCs/>
          <w:u w:val="single"/>
          <w:rtl/>
        </w:rPr>
        <w:t>גזירת עונשו של הנאשם בתוך מתחם העונש ההולם ואפשרות החריגה הימנו:</w:t>
      </w:r>
    </w:p>
    <w:p w14:paraId="4C58C3D8" w14:textId="77777777" w:rsidR="0016695F" w:rsidRDefault="0016695F" w:rsidP="0016695F">
      <w:pPr>
        <w:numPr>
          <w:ilvl w:val="0"/>
          <w:numId w:val="1"/>
        </w:numPr>
        <w:tabs>
          <w:tab w:val="num" w:pos="720"/>
        </w:tabs>
        <w:spacing w:after="120" w:line="360" w:lineRule="auto"/>
        <w:ind w:left="720"/>
        <w:jc w:val="both"/>
        <w:rPr>
          <w:rFonts w:ascii="David" w:eastAsia="David" w:hAnsi="David"/>
          <w:rtl/>
        </w:rPr>
      </w:pPr>
      <w:r>
        <w:rPr>
          <w:rFonts w:ascii="David" w:eastAsia="David" w:hAnsi="David"/>
          <w:rtl/>
        </w:rPr>
        <w:t>לאחר קביעת מתחם העונש ההולם על בית המשפט לגזור את עונשו של הנאשם בתוך מתחם זה</w:t>
      </w:r>
      <w:r>
        <w:rPr>
          <w:rFonts w:ascii="David" w:eastAsia="David" w:hAnsi="David" w:hint="cs"/>
          <w:rtl/>
        </w:rPr>
        <w:t>,</w:t>
      </w:r>
      <w:r>
        <w:rPr>
          <w:rFonts w:ascii="David" w:eastAsia="David" w:hAnsi="David"/>
          <w:rtl/>
        </w:rPr>
        <w:t xml:space="preserve"> תוך התחשבות בנסיבות שאינן קשורות בביצוע העבירות.</w:t>
      </w:r>
    </w:p>
    <w:p w14:paraId="045E087E"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אשר לנאשם שלפניי, השיקולים הרלוואנטיים לגזירת עונשו הם כלהלן:</w:t>
      </w:r>
    </w:p>
    <w:p w14:paraId="26788724" w14:textId="77777777" w:rsidR="0016695F" w:rsidRDefault="0016695F" w:rsidP="0016695F">
      <w:pPr>
        <w:spacing w:after="120" w:line="360" w:lineRule="auto"/>
        <w:ind w:left="1440"/>
        <w:jc w:val="both"/>
        <w:rPr>
          <w:rFonts w:ascii="David" w:eastAsia="David" w:hAnsi="David"/>
        </w:rPr>
      </w:pPr>
      <w:r>
        <w:rPr>
          <w:rFonts w:ascii="David" w:eastAsia="David" w:hAnsi="David"/>
          <w:b/>
          <w:bCs/>
          <w:rtl/>
        </w:rPr>
        <w:t>עברו הפלילי של הנאשם</w:t>
      </w:r>
      <w:r>
        <w:rPr>
          <w:rFonts w:ascii="David" w:eastAsia="David" w:hAnsi="David"/>
          <w:rtl/>
        </w:rPr>
        <w:t xml:space="preserve"> – לנאשם אין הרשעות קודמות או מאוחרות לעבירה שלפניי. מדובר, כמובן, בנסיבה משמעותית לקולת העונש.</w:t>
      </w:r>
    </w:p>
    <w:p w14:paraId="78E540D9" w14:textId="77777777" w:rsidR="0016695F" w:rsidRDefault="0016695F" w:rsidP="0016695F">
      <w:pPr>
        <w:spacing w:after="120" w:line="360" w:lineRule="auto"/>
        <w:ind w:left="1440"/>
        <w:jc w:val="both"/>
        <w:rPr>
          <w:rFonts w:ascii="David" w:eastAsia="David" w:hAnsi="David"/>
          <w:rtl/>
        </w:rPr>
      </w:pPr>
      <w:r>
        <w:rPr>
          <w:rFonts w:ascii="David" w:eastAsia="David" w:hAnsi="David"/>
          <w:b/>
          <w:bCs/>
          <w:rtl/>
        </w:rPr>
        <w:t>הפגיעה של העונש בנאשם</w:t>
      </w:r>
      <w:r>
        <w:rPr>
          <w:rFonts w:ascii="David" w:eastAsia="David" w:hAnsi="David"/>
          <w:rtl/>
        </w:rPr>
        <w:t xml:space="preserve"> </w:t>
      </w:r>
      <w:r>
        <w:rPr>
          <w:rFonts w:ascii="David" w:eastAsia="David" w:hAnsi="David"/>
          <w:b/>
          <w:bCs/>
          <w:rtl/>
        </w:rPr>
        <w:t>ובמשפחתו</w:t>
      </w:r>
      <w:r>
        <w:rPr>
          <w:rFonts w:ascii="David" w:eastAsia="David" w:hAnsi="David"/>
          <w:rtl/>
        </w:rPr>
        <w:t xml:space="preserve"> – הטלת עונש של מאסר בפועל תפגע בנאשם ובאפשרותו להתפרנס למחייתו ולדאוג למשפחתו, ויש להתחשב בהיבט זה.</w:t>
      </w:r>
    </w:p>
    <w:p w14:paraId="0DF5BDB2" w14:textId="77777777" w:rsidR="0016695F" w:rsidRDefault="0016695F" w:rsidP="0016695F">
      <w:pPr>
        <w:spacing w:after="120" w:line="360" w:lineRule="auto"/>
        <w:ind w:left="1440"/>
        <w:jc w:val="both"/>
        <w:rPr>
          <w:rFonts w:ascii="David" w:eastAsia="David" w:hAnsi="David"/>
          <w:rtl/>
        </w:rPr>
      </w:pPr>
      <w:r>
        <w:rPr>
          <w:rFonts w:ascii="David" w:eastAsia="David" w:hAnsi="David"/>
          <w:b/>
          <w:bCs/>
          <w:rtl/>
        </w:rPr>
        <w:t>הודאה ונטילת אחריות</w:t>
      </w:r>
      <w:r>
        <w:rPr>
          <w:rFonts w:ascii="David" w:eastAsia="David" w:hAnsi="David"/>
          <w:rtl/>
        </w:rPr>
        <w:t xml:space="preserve"> – הנאשם הודה בעובדות כתב האישום המתוקן ונטל אחריות על מעשיו, ומדובר בנסיבה מהותית לקולת העונש.</w:t>
      </w:r>
    </w:p>
    <w:p w14:paraId="277B08B1" w14:textId="77777777" w:rsidR="0016695F" w:rsidRDefault="0016695F" w:rsidP="0016695F">
      <w:pPr>
        <w:spacing w:after="120" w:line="360" w:lineRule="auto"/>
        <w:ind w:left="1440"/>
        <w:jc w:val="both"/>
        <w:rPr>
          <w:rFonts w:ascii="David" w:eastAsia="David" w:hAnsi="David"/>
          <w:rtl/>
        </w:rPr>
      </w:pPr>
      <w:r>
        <w:rPr>
          <w:rFonts w:ascii="David" w:eastAsia="David" w:hAnsi="David"/>
          <w:b/>
          <w:bCs/>
          <w:rtl/>
        </w:rPr>
        <w:t>נתוניו האישיים של הנאשם ונסיבות חייו</w:t>
      </w:r>
      <w:r>
        <w:rPr>
          <w:rFonts w:ascii="David" w:eastAsia="David" w:hAnsi="David"/>
          <w:rtl/>
        </w:rPr>
        <w:t xml:space="preserve"> – לנאשם, יליד שנת 1975 (בן 46 שנים כיום), נסיבות חיים לא פשוטות, כפי שתוארו בתסקירי שירות המבחן ובטיעוני ההגנה. עם זאת, לא מדובר בנסיבות </w:t>
      </w:r>
      <w:r>
        <w:rPr>
          <w:rFonts w:ascii="David" w:eastAsia="David" w:hAnsi="David" w:hint="cs"/>
          <w:rtl/>
        </w:rPr>
        <w:t xml:space="preserve">קיצוניות או </w:t>
      </w:r>
      <w:r>
        <w:rPr>
          <w:rFonts w:ascii="David" w:eastAsia="David" w:hAnsi="David"/>
          <w:rtl/>
        </w:rPr>
        <w:t xml:space="preserve">חריגות </w:t>
      </w:r>
      <w:r>
        <w:rPr>
          <w:rFonts w:ascii="David" w:eastAsia="David" w:hAnsi="David" w:hint="cs"/>
          <w:rtl/>
        </w:rPr>
        <w:t xml:space="preserve">באופן יוצא </w:t>
      </w:r>
      <w:r>
        <w:rPr>
          <w:rFonts w:ascii="David" w:eastAsia="David" w:hAnsi="David"/>
          <w:rtl/>
        </w:rPr>
        <w:t>דופן.</w:t>
      </w:r>
    </w:p>
    <w:p w14:paraId="36093C87" w14:textId="77777777" w:rsidR="0016695F" w:rsidRDefault="0016695F" w:rsidP="0016695F">
      <w:pPr>
        <w:numPr>
          <w:ilvl w:val="0"/>
          <w:numId w:val="1"/>
        </w:numPr>
        <w:tabs>
          <w:tab w:val="num" w:pos="720"/>
        </w:tabs>
        <w:spacing w:after="120" w:line="360" w:lineRule="auto"/>
        <w:ind w:left="720"/>
        <w:jc w:val="both"/>
        <w:rPr>
          <w:rFonts w:ascii="David" w:eastAsia="David" w:hAnsi="David"/>
          <w:rtl/>
        </w:rPr>
      </w:pPr>
      <w:r>
        <w:rPr>
          <w:rFonts w:ascii="David" w:eastAsia="David" w:hAnsi="David"/>
          <w:rtl/>
        </w:rPr>
        <w:t xml:space="preserve">מכלול הנסיבות והשיקולים שפורטו לעיל מלמד כי במקרה זה ניתן להסתפק בענישה ברף התחתון של מתחם העונש ההולם. בנוסף, כידוע, בית המשפט רשאי לחרוג לכף קולה ממתחם העונש ההולם, משיקולי שיקום, והכל כאמור בהוראות </w:t>
      </w:r>
      <w:hyperlink r:id="rId21" w:history="1">
        <w:r w:rsidR="002A71E8" w:rsidRPr="002A71E8">
          <w:rPr>
            <w:rStyle w:val="Hyperlink"/>
            <w:rFonts w:ascii="David" w:eastAsia="David" w:hAnsi="David"/>
            <w:rtl/>
          </w:rPr>
          <w:t>סעיף 40ד</w:t>
        </w:r>
      </w:hyperlink>
      <w:r>
        <w:rPr>
          <w:rFonts w:ascii="David" w:eastAsia="David" w:hAnsi="David"/>
          <w:rtl/>
        </w:rPr>
        <w:t xml:space="preserve"> ל</w:t>
      </w:r>
      <w:hyperlink r:id="rId22" w:history="1">
        <w:r w:rsidR="00E20A02" w:rsidRPr="00E20A02">
          <w:rPr>
            <w:rFonts w:ascii="David" w:eastAsia="David" w:hAnsi="David"/>
            <w:color w:val="0000FF"/>
            <w:u w:val="single"/>
            <w:rtl/>
          </w:rPr>
          <w:t>חוק העונשין</w:t>
        </w:r>
      </w:hyperlink>
      <w:r>
        <w:rPr>
          <w:rFonts w:ascii="David" w:eastAsia="David" w:hAnsi="David" w:hint="cs"/>
          <w:rtl/>
        </w:rPr>
        <w:t>, תשל"ז-1977</w:t>
      </w:r>
      <w:r>
        <w:rPr>
          <w:rFonts w:ascii="David" w:eastAsia="David" w:hAnsi="David"/>
          <w:rtl/>
        </w:rPr>
        <w:t xml:space="preserve">. הנאשם דנא אכן משתתף בהליך טיפולי, וגם ב"כ המאשימה </w:t>
      </w:r>
      <w:r>
        <w:rPr>
          <w:rFonts w:ascii="David" w:eastAsia="David" w:hAnsi="David" w:hint="cs"/>
          <w:rtl/>
        </w:rPr>
        <w:t xml:space="preserve">הסכימה בהגינותה </w:t>
      </w:r>
      <w:r>
        <w:rPr>
          <w:rFonts w:ascii="David" w:eastAsia="David" w:hAnsi="David"/>
          <w:rtl/>
        </w:rPr>
        <w:t xml:space="preserve">כי יש מקום לחרוג בעניינו, משיקולי שיקום, ממתחם העונש ההולם. עם זאת, ההתחשבות בהליך השיקום צריכה להיות מדודה, שכן מדובר במקרה חמור שעל פני הדברים ובהתאם למדיניות הענישה הנהוגה נדרש לעונש של מאסר בפועל לנשיאה מאחורי סורג ובריח. נסיבותיו האישיות והמשפחתיות של הנאשם, כמו גם הליך השיקום בו הוא משתתף, אינם </w:t>
      </w:r>
      <w:r>
        <w:rPr>
          <w:rFonts w:ascii="David" w:eastAsia="David" w:hAnsi="David" w:hint="cs"/>
          <w:rtl/>
        </w:rPr>
        <w:t xml:space="preserve">כאלה המצדיקים או </w:t>
      </w:r>
      <w:r>
        <w:rPr>
          <w:rFonts w:ascii="David" w:eastAsia="David" w:hAnsi="David"/>
          <w:rtl/>
        </w:rPr>
        <w:t>מאפשר</w:t>
      </w:r>
      <w:r>
        <w:rPr>
          <w:rFonts w:ascii="David" w:eastAsia="David" w:hAnsi="David" w:hint="cs"/>
          <w:rtl/>
        </w:rPr>
        <w:t>ים</w:t>
      </w:r>
      <w:r>
        <w:rPr>
          <w:rFonts w:ascii="David" w:eastAsia="David" w:hAnsi="David"/>
          <w:rtl/>
        </w:rPr>
        <w:t xml:space="preserve"> חריגה ניכרת ממתחם העונש ההולם.</w:t>
      </w:r>
    </w:p>
    <w:p w14:paraId="1B63D2CC" w14:textId="77777777" w:rsidR="0016695F" w:rsidRDefault="0016695F" w:rsidP="0016695F">
      <w:pPr>
        <w:numPr>
          <w:ilvl w:val="0"/>
          <w:numId w:val="1"/>
        </w:numPr>
        <w:tabs>
          <w:tab w:val="num" w:pos="720"/>
        </w:tabs>
        <w:spacing w:after="120" w:line="360" w:lineRule="auto"/>
        <w:ind w:left="720"/>
        <w:jc w:val="both"/>
        <w:rPr>
          <w:rFonts w:ascii="David" w:eastAsia="David" w:hAnsi="David"/>
        </w:rPr>
      </w:pPr>
      <w:r>
        <w:rPr>
          <w:rFonts w:ascii="David" w:eastAsia="David" w:hAnsi="David"/>
          <w:rtl/>
        </w:rPr>
        <w:t>לבסוף יש להתייחס לעתירת ב"כ המאשימה לפסילת רישיון נהיגה בפועל, עתירה שככלל היא ראויה ונדרשת בהתאם להוראות הדין. ואולם, נוכח מכלול הנסיבות – כמו גם המאסר בפועל הנגזר בזה על הנאשם, ועל מנת למנוע פגיעה נוספת בו – ניתן במקרה זה להסתפק בפסילה מותנית.</w:t>
      </w:r>
      <w:r>
        <w:rPr>
          <w:rFonts w:ascii="David" w:eastAsia="David" w:hAnsi="David" w:hint="cs"/>
          <w:rtl/>
        </w:rPr>
        <w:t xml:space="preserve"> עוד יצוין, כי הצדדים הסכימו לעניין הטיעון לענישה הכלכלית, ובנסיבות העניין אין מקום לסטות מהסכמה זו.</w:t>
      </w:r>
    </w:p>
    <w:p w14:paraId="5F9AA816" w14:textId="77777777" w:rsidR="0016695F" w:rsidRDefault="0016695F" w:rsidP="0016695F">
      <w:pPr>
        <w:spacing w:after="120" w:line="360" w:lineRule="auto"/>
        <w:jc w:val="both"/>
        <w:rPr>
          <w:rFonts w:ascii="David" w:eastAsia="David" w:hAnsi="David"/>
          <w:rtl/>
        </w:rPr>
      </w:pPr>
    </w:p>
    <w:p w14:paraId="4B2F34E0" w14:textId="77777777" w:rsidR="0016695F" w:rsidRPr="00DE411D" w:rsidRDefault="0016695F" w:rsidP="0016695F">
      <w:pPr>
        <w:snapToGrid w:val="0"/>
        <w:spacing w:after="120" w:line="360" w:lineRule="auto"/>
        <w:jc w:val="both"/>
        <w:rPr>
          <w:b/>
          <w:bCs/>
          <w:u w:val="single"/>
          <w:rtl/>
        </w:rPr>
      </w:pPr>
      <w:r>
        <w:rPr>
          <w:rFonts w:hint="cs"/>
          <w:b/>
          <w:bCs/>
          <w:rtl/>
        </w:rPr>
        <w:t>ז</w:t>
      </w:r>
      <w:r w:rsidRPr="00627467">
        <w:rPr>
          <w:rFonts w:hint="cs"/>
          <w:b/>
          <w:bCs/>
          <w:rtl/>
        </w:rPr>
        <w:t>.</w:t>
      </w:r>
      <w:r w:rsidRPr="00627467">
        <w:rPr>
          <w:rFonts w:hint="cs"/>
          <w:b/>
          <w:bCs/>
          <w:rtl/>
        </w:rPr>
        <w:tab/>
      </w:r>
      <w:r>
        <w:rPr>
          <w:rFonts w:hint="cs"/>
          <w:b/>
          <w:bCs/>
          <w:u w:val="single"/>
          <w:rtl/>
        </w:rPr>
        <w:t>סוף</w:t>
      </w:r>
      <w:r w:rsidRPr="00DE411D">
        <w:rPr>
          <w:rFonts w:hint="cs"/>
          <w:b/>
          <w:bCs/>
          <w:u w:val="single"/>
          <w:rtl/>
        </w:rPr>
        <w:t xml:space="preserve"> </w:t>
      </w:r>
      <w:r>
        <w:rPr>
          <w:rFonts w:hint="cs"/>
          <w:b/>
          <w:bCs/>
          <w:u w:val="single"/>
          <w:rtl/>
        </w:rPr>
        <w:t>דבר</w:t>
      </w:r>
      <w:r w:rsidRPr="00DE411D">
        <w:rPr>
          <w:rFonts w:hint="cs"/>
          <w:b/>
          <w:bCs/>
          <w:u w:val="single"/>
          <w:rtl/>
        </w:rPr>
        <w:t>:</w:t>
      </w:r>
    </w:p>
    <w:p w14:paraId="6D0C49E4" w14:textId="77777777" w:rsidR="0016695F" w:rsidRPr="004827E7" w:rsidRDefault="0016695F" w:rsidP="0016695F">
      <w:pPr>
        <w:numPr>
          <w:ilvl w:val="0"/>
          <w:numId w:val="1"/>
        </w:numPr>
        <w:tabs>
          <w:tab w:val="num" w:pos="720"/>
        </w:tabs>
        <w:spacing w:after="120" w:line="360" w:lineRule="auto"/>
        <w:ind w:left="720"/>
        <w:jc w:val="both"/>
        <w:rPr>
          <w:rFonts w:ascii="David" w:eastAsia="David" w:hAnsi="David"/>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0B7BABD7" w14:textId="77777777" w:rsidR="0016695F" w:rsidRDefault="0016695F" w:rsidP="0016695F">
      <w:pPr>
        <w:spacing w:after="120" w:line="360" w:lineRule="auto"/>
        <w:ind w:left="720"/>
        <w:jc w:val="both"/>
        <w:rPr>
          <w:rtl/>
        </w:rPr>
      </w:pPr>
      <w:r>
        <w:rPr>
          <w:rFonts w:hint="cs"/>
          <w:rtl/>
        </w:rPr>
        <w:t>(א)</w:t>
      </w:r>
      <w:r>
        <w:rPr>
          <w:rtl/>
        </w:rPr>
        <w:tab/>
      </w:r>
      <w:r>
        <w:rPr>
          <w:rFonts w:hint="cs"/>
          <w:rtl/>
        </w:rPr>
        <w:t>12 חודשי מאסר בפועל, בניכוי ימי מעצרו בהתאם לרישומי שב"ס.</w:t>
      </w:r>
    </w:p>
    <w:p w14:paraId="227BFBE6" w14:textId="77777777" w:rsidR="0016695F" w:rsidRDefault="0016695F" w:rsidP="0016695F">
      <w:pPr>
        <w:spacing w:after="120" w:line="360" w:lineRule="auto"/>
        <w:ind w:left="1440"/>
        <w:jc w:val="both"/>
        <w:rPr>
          <w:rFonts w:ascii="Tahoma" w:hAnsi="Tahoma"/>
        </w:rPr>
      </w:pPr>
      <w:r>
        <w:rPr>
          <w:rFonts w:ascii="Tahoma" w:hAnsi="Tahoma" w:hint="cs"/>
          <w:rtl/>
        </w:rPr>
        <w:t>על הנאשם להתייצב לנשיאת עונשו בבית המעצר ניצן, או במקום אחר שייקבע שירות בתי הסוהר, ביום 13.02.22 עד השעה 10:00.</w:t>
      </w:r>
    </w:p>
    <w:p w14:paraId="097B6127" w14:textId="77777777" w:rsidR="0016695F" w:rsidRDefault="0016695F" w:rsidP="0016695F">
      <w:pPr>
        <w:spacing w:after="120" w:line="360" w:lineRule="auto"/>
        <w:ind w:left="1440"/>
        <w:jc w:val="both"/>
        <w:rPr>
          <w:rFonts w:ascii="Tahoma" w:hAnsi="Tahoma"/>
          <w:rtl/>
        </w:rPr>
      </w:pPr>
      <w:r>
        <w:rPr>
          <w:rFonts w:ascii="Tahoma" w:hAnsi="Tahoma" w:hint="cs"/>
          <w:rtl/>
        </w:rPr>
        <w:t xml:space="preserve">ב"כ הנאשם תתאם את הכניסה למאסר עם </w:t>
      </w:r>
      <w:r>
        <w:rPr>
          <w:rFonts w:hint="cs"/>
          <w:rtl/>
        </w:rPr>
        <w:t>ענף אבחון ומיון של</w:t>
      </w:r>
      <w:r>
        <w:rPr>
          <w:rFonts w:ascii="Tahoma" w:hAnsi="Tahoma" w:hint="cs"/>
          <w:rtl/>
        </w:rPr>
        <w:t xml:space="preserve"> שירות בתי הסוהר, על מנת להבטיח עריכת "מיון מוקדם" לנאשם אשר יקל על קליטתו בבית הסוהר.</w:t>
      </w:r>
    </w:p>
    <w:p w14:paraId="5D4ACA4A" w14:textId="77777777" w:rsidR="0016695F" w:rsidRDefault="0016695F" w:rsidP="0016695F">
      <w:pPr>
        <w:spacing w:after="120" w:line="360" w:lineRule="auto"/>
        <w:ind w:left="1440" w:hanging="720"/>
        <w:jc w:val="both"/>
        <w:rPr>
          <w:rFonts w:ascii="Tahoma" w:hAnsi="Tahoma"/>
        </w:rPr>
      </w:pPr>
      <w:r>
        <w:rPr>
          <w:rFonts w:hint="cs"/>
          <w:rtl/>
        </w:rPr>
        <w:t>(ב)</w:t>
      </w:r>
      <w:r>
        <w:rPr>
          <w:rtl/>
        </w:rPr>
        <w:tab/>
      </w:r>
      <w:r>
        <w:rPr>
          <w:rFonts w:hint="cs"/>
          <w:rtl/>
        </w:rPr>
        <w:t xml:space="preserve">מאסר על תנאי למשך 8 חודשים, אותו לא יישא הנאשם אלא אם כן יעבור, תוך שלוש שנים מיום שחרורו מן המאסר, עבירה לפי הוראות </w:t>
      </w:r>
      <w:hyperlink r:id="rId23" w:history="1">
        <w:r w:rsidR="00E20A02" w:rsidRPr="00E20A02">
          <w:rPr>
            <w:color w:val="0000FF"/>
            <w:u w:val="single"/>
            <w:rtl/>
          </w:rPr>
          <w:t>פקודת הסמים המסוכנים</w:t>
        </w:r>
      </w:hyperlink>
      <w:r>
        <w:rPr>
          <w:rFonts w:hint="cs"/>
          <w:rtl/>
        </w:rPr>
        <w:t xml:space="preserve"> מסוג פשע.</w:t>
      </w:r>
    </w:p>
    <w:p w14:paraId="193F70C5" w14:textId="77777777" w:rsidR="0016695F" w:rsidRPr="00E0628E" w:rsidRDefault="0016695F" w:rsidP="0016695F">
      <w:pPr>
        <w:spacing w:after="120" w:line="360" w:lineRule="auto"/>
        <w:ind w:left="720"/>
        <w:jc w:val="both"/>
        <w:rPr>
          <w:rFonts w:ascii="Tahoma" w:hAnsi="Tahoma"/>
        </w:rPr>
      </w:pPr>
      <w:r>
        <w:rPr>
          <w:rFonts w:hint="cs"/>
          <w:rtl/>
        </w:rPr>
        <w:t>(ג)</w:t>
      </w:r>
      <w:r>
        <w:rPr>
          <w:rtl/>
        </w:rPr>
        <w:tab/>
      </w:r>
      <w:r>
        <w:rPr>
          <w:rFonts w:hint="cs"/>
          <w:rtl/>
        </w:rPr>
        <w:t>קנס בסך של 30,000 ₪, או חודשיים מאסר תמורתו, שישולם לטובת קרן החילוט.</w:t>
      </w:r>
    </w:p>
    <w:p w14:paraId="31D60105" w14:textId="77777777" w:rsidR="0016695F" w:rsidRDefault="0016695F" w:rsidP="0016695F">
      <w:pPr>
        <w:spacing w:after="120" w:line="360" w:lineRule="auto"/>
        <w:ind w:left="1440"/>
        <w:jc w:val="both"/>
        <w:rPr>
          <w:rFonts w:ascii="Tahoma" w:hAnsi="Tahoma"/>
        </w:rPr>
      </w:pPr>
      <w:r>
        <w:rPr>
          <w:rFonts w:hint="cs"/>
          <w:rtl/>
        </w:rPr>
        <w:t>הקנס ישולם ב-30 תשלומים חודשיים, שווים ורצופים, החל מיום 01.03.22 ובכל אחד בחודש שלאחריו. היה והנאשם לא ישלם את אחד התשלומים במועד תועמד כל יתרת הקנס לפירעון מידי.</w:t>
      </w:r>
    </w:p>
    <w:p w14:paraId="79F1F348" w14:textId="77777777" w:rsidR="0016695F" w:rsidRDefault="0016695F" w:rsidP="0016695F">
      <w:pPr>
        <w:spacing w:after="120" w:line="360" w:lineRule="auto"/>
        <w:ind w:left="1440" w:hanging="720"/>
        <w:jc w:val="both"/>
        <w:rPr>
          <w:rFonts w:ascii="Tahoma" w:hAnsi="Tahoma"/>
        </w:rPr>
      </w:pPr>
      <w:r>
        <w:rPr>
          <w:rFonts w:hint="cs"/>
          <w:rtl/>
        </w:rPr>
        <w:t>(ד)</w:t>
      </w:r>
      <w:r>
        <w:rPr>
          <w:rtl/>
        </w:rPr>
        <w:tab/>
      </w:r>
      <w:r>
        <w:rPr>
          <w:rFonts w:hint="cs"/>
          <w:rtl/>
        </w:rPr>
        <w:t>פסילה מלקבל או להחזיק רישיון נהיגה למשך 4 חודשים על תנאי, והתנאי הוא שבמשך שנתיים מיום שחרורו מן המאסר לא יעבור הנאשם עבירה מהעבירות המנויות ב</w:t>
      </w:r>
      <w:hyperlink r:id="rId24" w:history="1">
        <w:r w:rsidR="00E20A02" w:rsidRPr="00E20A02">
          <w:rPr>
            <w:color w:val="0000FF"/>
            <w:u w:val="single"/>
            <w:rtl/>
          </w:rPr>
          <w:t>פקודת הסמים המסוכנים</w:t>
        </w:r>
      </w:hyperlink>
      <w:r>
        <w:rPr>
          <w:rFonts w:hint="cs"/>
          <w:rtl/>
        </w:rPr>
        <w:t>.</w:t>
      </w:r>
    </w:p>
    <w:p w14:paraId="520F0286" w14:textId="77777777" w:rsidR="0016695F" w:rsidRPr="0016695F" w:rsidRDefault="0016695F" w:rsidP="0016695F">
      <w:pPr>
        <w:spacing w:after="120" w:line="360" w:lineRule="auto"/>
        <w:ind w:left="1440" w:hanging="720"/>
        <w:jc w:val="both"/>
        <w:rPr>
          <w:rFonts w:ascii="Calibri" w:hAnsi="Calibri"/>
          <w:rtl/>
        </w:rPr>
      </w:pPr>
      <w:r w:rsidRPr="0016695F">
        <w:rPr>
          <w:rFonts w:ascii="Calibri" w:hAnsi="Calibri" w:hint="cs"/>
          <w:rtl/>
        </w:rPr>
        <w:t>(ה)</w:t>
      </w:r>
      <w:r w:rsidRPr="0016695F">
        <w:rPr>
          <w:rFonts w:ascii="Calibri" w:hAnsi="Calibri"/>
          <w:rtl/>
        </w:rPr>
        <w:tab/>
      </w:r>
      <w:r w:rsidRPr="0016695F">
        <w:rPr>
          <w:rFonts w:ascii="Calibri" w:hAnsi="Calibri" w:hint="cs"/>
          <w:rtl/>
        </w:rPr>
        <w:t>חילוט הציוד שנתפס במעבדה, כאמור בבקשת החילוט שבסיפא לכתב האישום המתוקן.</w:t>
      </w:r>
    </w:p>
    <w:p w14:paraId="24E0A1C7" w14:textId="77777777" w:rsidR="0016695F" w:rsidRDefault="0016695F" w:rsidP="0016695F">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הוא יחולט לטובת תשלום הקנס, כאשר הנאשם יידרש לשלם רק את יתרת הסכום שתיוותר.</w:t>
      </w:r>
    </w:p>
    <w:p w14:paraId="58AB13A0" w14:textId="77777777" w:rsidR="0016695F" w:rsidRDefault="0016695F" w:rsidP="0016695F">
      <w:pPr>
        <w:spacing w:after="120" w:line="360" w:lineRule="auto"/>
        <w:jc w:val="both"/>
        <w:rPr>
          <w:rtl/>
        </w:rPr>
      </w:pPr>
      <w:r>
        <w:rPr>
          <w:rFonts w:hint="cs"/>
          <w:rtl/>
        </w:rPr>
        <w:t>ניתן בזה צו כללי, לעניין מוצגים, לשיקול דעתו של קצין משטרה. הסמים יושמדו.</w:t>
      </w:r>
    </w:p>
    <w:p w14:paraId="361CD424" w14:textId="77777777" w:rsidR="0016695F" w:rsidRDefault="0016695F" w:rsidP="0016695F">
      <w:pPr>
        <w:spacing w:after="120" w:line="360" w:lineRule="auto"/>
        <w:jc w:val="both"/>
        <w:rPr>
          <w:rtl/>
        </w:rPr>
      </w:pPr>
      <w:r>
        <w:rPr>
          <w:rFonts w:hint="cs"/>
          <w:rtl/>
        </w:rPr>
        <w:t>הטלפון הנייד שנתפס ברשות הנאשם יושב לו או למי מטעמו.</w:t>
      </w:r>
    </w:p>
    <w:p w14:paraId="0B033BF4" w14:textId="77777777" w:rsidR="0016695F" w:rsidRDefault="0016695F" w:rsidP="0016695F">
      <w:pPr>
        <w:snapToGrid w:val="0"/>
        <w:spacing w:after="120" w:line="360" w:lineRule="auto"/>
        <w:jc w:val="both"/>
        <w:rPr>
          <w:rtl/>
        </w:rPr>
      </w:pPr>
      <w:r>
        <w:rPr>
          <w:rFonts w:hint="cs"/>
          <w:rtl/>
        </w:rPr>
        <w:t>זכות ערעור בתוך 45 יום מהיום.</w:t>
      </w:r>
    </w:p>
    <w:p w14:paraId="161FAF13" w14:textId="77777777" w:rsidR="0016695F" w:rsidRPr="00761D70" w:rsidRDefault="00E20A02" w:rsidP="0016695F">
      <w:pPr>
        <w:spacing w:after="120" w:line="360" w:lineRule="auto"/>
        <w:jc w:val="both"/>
        <w:rPr>
          <w:rFonts w:ascii="Tahoma" w:hAnsi="Tahoma"/>
          <w:rtl/>
        </w:rPr>
      </w:pPr>
      <w:r w:rsidRPr="00E20A02">
        <w:rPr>
          <w:color w:val="FFFFFF"/>
          <w:sz w:val="2"/>
          <w:szCs w:val="2"/>
          <w:rtl/>
        </w:rPr>
        <w:t>5129371</w:t>
      </w:r>
      <w:r w:rsidR="0016695F">
        <w:rPr>
          <w:rFonts w:hint="cs"/>
          <w:rtl/>
        </w:rPr>
        <w:t>המזכירות תשלח העתק גזר דין זה לשירות המבחן.</w:t>
      </w:r>
    </w:p>
    <w:p w14:paraId="588C1E8D" w14:textId="77777777" w:rsidR="0016695F" w:rsidRPr="00250B83" w:rsidRDefault="00E20A02" w:rsidP="0016695F">
      <w:pPr>
        <w:rPr>
          <w:rtl/>
        </w:rPr>
      </w:pPr>
      <w:bookmarkStart w:id="8" w:name="Nitan"/>
      <w:r w:rsidRPr="00E20A02">
        <w:rPr>
          <w:rFonts w:ascii="Arial" w:hAnsi="Arial"/>
          <w:color w:val="FFFFFF"/>
          <w:sz w:val="2"/>
          <w:szCs w:val="2"/>
          <w:rtl/>
        </w:rPr>
        <w:t>54678313</w:t>
      </w:r>
      <w:r>
        <w:rPr>
          <w:rFonts w:ascii="Arial" w:hAnsi="Arial"/>
          <w:rtl/>
        </w:rPr>
        <w:t xml:space="preserve">ניתן היום, כ"ו טבת תשפ"ב, 30 דצמבר 2021, במעמד הצדדים. </w:t>
      </w:r>
      <w:bookmarkEnd w:id="8"/>
    </w:p>
    <w:p w14:paraId="127CFF56" w14:textId="77777777" w:rsidR="0016695F" w:rsidRPr="00250B83" w:rsidRDefault="0016695F" w:rsidP="00E20A02">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05C403C" w14:textId="77777777" w:rsidR="0016695F" w:rsidRPr="00250B83" w:rsidRDefault="0016695F" w:rsidP="0016695F">
      <w:pPr>
        <w:jc w:val="center"/>
        <w:rPr>
          <w:rFonts w:ascii="Arial" w:hAnsi="Arial"/>
          <w:rtl/>
        </w:rPr>
      </w:pPr>
    </w:p>
    <w:p w14:paraId="4E192E44" w14:textId="77777777" w:rsidR="0016695F" w:rsidRPr="00250B83" w:rsidRDefault="0016695F" w:rsidP="0016695F">
      <w:pPr>
        <w:rPr>
          <w:rtl/>
        </w:rPr>
      </w:pPr>
    </w:p>
    <w:p w14:paraId="3710B2D5" w14:textId="77777777" w:rsidR="0016695F" w:rsidRPr="002A71E8" w:rsidRDefault="002A71E8" w:rsidP="0016695F">
      <w:pPr>
        <w:pStyle w:val="a3"/>
        <w:jc w:val="center"/>
        <w:rPr>
          <w:color w:val="FFFFFF"/>
          <w:sz w:val="2"/>
          <w:szCs w:val="2"/>
          <w:rtl/>
        </w:rPr>
      </w:pPr>
      <w:r w:rsidRPr="002A71E8">
        <w:rPr>
          <w:color w:val="FFFFFF"/>
          <w:sz w:val="2"/>
          <w:szCs w:val="2"/>
          <w:rtl/>
        </w:rPr>
        <w:t>5129371</w:t>
      </w:r>
    </w:p>
    <w:p w14:paraId="16A95DD6" w14:textId="77777777" w:rsidR="00606296" w:rsidRPr="002A71E8" w:rsidRDefault="002A71E8" w:rsidP="00E20A02">
      <w:pPr>
        <w:keepNext/>
        <w:rPr>
          <w:rFonts w:ascii="David" w:hAnsi="David"/>
          <w:color w:val="FFFFFF"/>
          <w:sz w:val="2"/>
          <w:szCs w:val="2"/>
          <w:rtl/>
        </w:rPr>
      </w:pPr>
      <w:r w:rsidRPr="002A71E8">
        <w:rPr>
          <w:rFonts w:ascii="David" w:hAnsi="David"/>
          <w:color w:val="FFFFFF"/>
          <w:sz w:val="2"/>
          <w:szCs w:val="2"/>
          <w:rtl/>
        </w:rPr>
        <w:t>54678313</w:t>
      </w:r>
    </w:p>
    <w:p w14:paraId="7A81A704" w14:textId="77777777" w:rsidR="00E20A02" w:rsidRPr="00E20A02" w:rsidRDefault="00E20A02" w:rsidP="00E20A02">
      <w:pPr>
        <w:keepNext/>
        <w:rPr>
          <w:rFonts w:ascii="David" w:hAnsi="David"/>
          <w:color w:val="000000"/>
          <w:sz w:val="22"/>
          <w:szCs w:val="22"/>
          <w:rtl/>
        </w:rPr>
      </w:pPr>
      <w:r w:rsidRPr="00E20A02">
        <w:rPr>
          <w:rFonts w:ascii="David" w:hAnsi="David"/>
          <w:color w:val="000000"/>
          <w:sz w:val="22"/>
          <w:szCs w:val="22"/>
          <w:rtl/>
        </w:rPr>
        <w:t>שאול אבינור 54678313</w:t>
      </w:r>
    </w:p>
    <w:p w14:paraId="5AF14135" w14:textId="77777777" w:rsidR="00E20A02" w:rsidRDefault="00E20A02" w:rsidP="00E20A02">
      <w:r w:rsidRPr="00E20A02">
        <w:rPr>
          <w:color w:val="000000"/>
          <w:rtl/>
        </w:rPr>
        <w:t>נוסח מסמך זה כפוף לשינויי ניסוח ועריכה</w:t>
      </w:r>
    </w:p>
    <w:p w14:paraId="745F78B9" w14:textId="77777777" w:rsidR="00E20A02" w:rsidRDefault="00E20A02" w:rsidP="00E20A02">
      <w:pPr>
        <w:rPr>
          <w:rtl/>
        </w:rPr>
      </w:pPr>
    </w:p>
    <w:p w14:paraId="0DA755AF" w14:textId="77777777" w:rsidR="00E20A02" w:rsidRDefault="00E20A02" w:rsidP="00E20A02">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678ED371" w14:textId="77777777" w:rsidR="002A71E8" w:rsidRPr="002A71E8" w:rsidRDefault="002A71E8" w:rsidP="002A71E8">
      <w:pPr>
        <w:keepNext/>
        <w:rPr>
          <w:rFonts w:ascii="David" w:hAnsi="David"/>
          <w:color w:val="000000"/>
          <w:sz w:val="22"/>
          <w:szCs w:val="22"/>
          <w:rtl/>
        </w:rPr>
      </w:pPr>
    </w:p>
    <w:sectPr w:rsidR="002A71E8" w:rsidRPr="002A71E8" w:rsidSect="002A71E8">
      <w:headerReference w:type="even" r:id="rId26"/>
      <w:headerReference w:type="default" r:id="rId27"/>
      <w:footerReference w:type="even" r:id="rId28"/>
      <w:footerReference w:type="default" r:id="rId29"/>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312EA" w14:textId="77777777" w:rsidR="00EF6B73" w:rsidRDefault="00EF6B73" w:rsidP="00D251C7">
      <w:r>
        <w:separator/>
      </w:r>
    </w:p>
  </w:endnote>
  <w:endnote w:type="continuationSeparator" w:id="0">
    <w:p w14:paraId="5307A0D7" w14:textId="77777777" w:rsidR="00EF6B73" w:rsidRDefault="00EF6B73" w:rsidP="00D25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5A0FA" w14:textId="77777777" w:rsidR="002A71E8" w:rsidRDefault="002A71E8" w:rsidP="002A71E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BFD5CCE" w14:textId="77777777" w:rsidR="00C26D88" w:rsidRPr="002A71E8" w:rsidRDefault="002A71E8" w:rsidP="002A71E8">
    <w:pPr>
      <w:pStyle w:val="a5"/>
      <w:pBdr>
        <w:top w:val="single" w:sz="4" w:space="1" w:color="auto"/>
        <w:between w:val="single" w:sz="4" w:space="0" w:color="auto"/>
      </w:pBdr>
      <w:spacing w:after="60"/>
      <w:jc w:val="center"/>
      <w:rPr>
        <w:rFonts w:ascii="FrankRuehl" w:hAnsi="FrankRuehl" w:cs="FrankRuehl"/>
        <w:color w:val="000000"/>
      </w:rPr>
    </w:pPr>
    <w:r w:rsidRPr="002A71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2298A" w14:textId="77777777" w:rsidR="002A71E8" w:rsidRDefault="002A71E8" w:rsidP="002A71E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80144">
      <w:rPr>
        <w:rFonts w:ascii="FrankRuehl" w:hAnsi="FrankRuehl" w:cs="FrankRuehl"/>
        <w:noProof/>
        <w:rtl/>
      </w:rPr>
      <w:t>1</w:t>
    </w:r>
    <w:r>
      <w:rPr>
        <w:rFonts w:ascii="FrankRuehl" w:hAnsi="FrankRuehl" w:cs="FrankRuehl"/>
        <w:rtl/>
      </w:rPr>
      <w:fldChar w:fldCharType="end"/>
    </w:r>
  </w:p>
  <w:p w14:paraId="2F70712B" w14:textId="77777777" w:rsidR="00C26D88" w:rsidRPr="002A71E8" w:rsidRDefault="002A71E8" w:rsidP="002A71E8">
    <w:pPr>
      <w:pStyle w:val="a5"/>
      <w:pBdr>
        <w:top w:val="single" w:sz="4" w:space="1" w:color="auto"/>
        <w:between w:val="single" w:sz="4" w:space="0" w:color="auto"/>
      </w:pBdr>
      <w:spacing w:after="60"/>
      <w:jc w:val="center"/>
      <w:rPr>
        <w:rFonts w:ascii="FrankRuehl" w:hAnsi="FrankRuehl" w:cs="FrankRuehl"/>
        <w:color w:val="000000"/>
      </w:rPr>
    </w:pPr>
    <w:r w:rsidRPr="002A71E8">
      <w:rPr>
        <w:rFonts w:ascii="FrankRuehl" w:hAnsi="FrankRuehl" w:cs="FrankRuehl"/>
        <w:color w:val="000000"/>
      </w:rPr>
      <w:pict w14:anchorId="4E6E6F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4B636" w14:textId="77777777" w:rsidR="00EF6B73" w:rsidRDefault="00EF6B73" w:rsidP="00D251C7">
      <w:r>
        <w:separator/>
      </w:r>
    </w:p>
  </w:footnote>
  <w:footnote w:type="continuationSeparator" w:id="0">
    <w:p w14:paraId="7E3134BF" w14:textId="77777777" w:rsidR="00EF6B73" w:rsidRDefault="00EF6B73" w:rsidP="00D25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B1E7" w14:textId="77777777" w:rsidR="00E20A02" w:rsidRPr="002A71E8" w:rsidRDefault="002A71E8" w:rsidP="002A71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61659-01-20</w:t>
    </w:r>
    <w:r>
      <w:rPr>
        <w:rFonts w:ascii="David" w:hAnsi="David"/>
        <w:color w:val="000000"/>
        <w:sz w:val="22"/>
        <w:szCs w:val="22"/>
        <w:rtl/>
      </w:rPr>
      <w:tab/>
      <w:t xml:space="preserve"> מדינת ישראל נ' שמואל בלולו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7AF7C" w14:textId="77777777" w:rsidR="00E20A02" w:rsidRPr="002A71E8" w:rsidRDefault="002A71E8" w:rsidP="002A71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61659-01-20</w:t>
    </w:r>
    <w:r>
      <w:rPr>
        <w:rFonts w:ascii="David" w:hAnsi="David"/>
        <w:color w:val="000000"/>
        <w:sz w:val="22"/>
        <w:szCs w:val="22"/>
        <w:rtl/>
      </w:rPr>
      <w:tab/>
      <w:t xml:space="preserve"> מדינת ישראל נ' שמואל בלולו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549ED"/>
    <w:multiLevelType w:val="hybridMultilevel"/>
    <w:tmpl w:val="3CA851BC"/>
    <w:lvl w:ilvl="0" w:tplc="0178A5F4">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14D0C62"/>
    <w:multiLevelType w:val="hybridMultilevel"/>
    <w:tmpl w:val="7F685F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3284109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7266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695F"/>
    <w:rsid w:val="00064894"/>
    <w:rsid w:val="0016695F"/>
    <w:rsid w:val="002A71E8"/>
    <w:rsid w:val="002C2545"/>
    <w:rsid w:val="00606296"/>
    <w:rsid w:val="006633AB"/>
    <w:rsid w:val="00834BC6"/>
    <w:rsid w:val="009A4E4C"/>
    <w:rsid w:val="00AC3A82"/>
    <w:rsid w:val="00C14676"/>
    <w:rsid w:val="00C26D88"/>
    <w:rsid w:val="00D251C7"/>
    <w:rsid w:val="00E20A02"/>
    <w:rsid w:val="00EF6B73"/>
    <w:rsid w:val="00F36A41"/>
    <w:rsid w:val="00F52F74"/>
    <w:rsid w:val="00F801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145648"/>
  <w15:chartTrackingRefBased/>
  <w15:docId w15:val="{EB25E47B-BFAF-4878-A829-F063B909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695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695F"/>
    <w:pPr>
      <w:tabs>
        <w:tab w:val="center" w:pos="4153"/>
        <w:tab w:val="right" w:pos="8306"/>
      </w:tabs>
    </w:pPr>
  </w:style>
  <w:style w:type="character" w:customStyle="1" w:styleId="a4">
    <w:name w:val="כותרת עליונה תו"/>
    <w:link w:val="a3"/>
    <w:rsid w:val="0016695F"/>
    <w:rPr>
      <w:rFonts w:ascii="Times New Roman" w:eastAsia="Times New Roman" w:hAnsi="Times New Roman" w:cs="David"/>
      <w:sz w:val="24"/>
      <w:szCs w:val="24"/>
    </w:rPr>
  </w:style>
  <w:style w:type="paragraph" w:styleId="a5">
    <w:name w:val="footer"/>
    <w:basedOn w:val="a"/>
    <w:link w:val="a6"/>
    <w:rsid w:val="0016695F"/>
    <w:pPr>
      <w:tabs>
        <w:tab w:val="center" w:pos="4153"/>
        <w:tab w:val="right" w:pos="8306"/>
      </w:tabs>
    </w:pPr>
  </w:style>
  <w:style w:type="character" w:customStyle="1" w:styleId="a6">
    <w:name w:val="כותרת תחתונה תו"/>
    <w:link w:val="a5"/>
    <w:rsid w:val="0016695F"/>
    <w:rPr>
      <w:rFonts w:ascii="Times New Roman" w:eastAsia="Times New Roman" w:hAnsi="Times New Roman" w:cs="David"/>
      <w:sz w:val="24"/>
      <w:szCs w:val="24"/>
    </w:rPr>
  </w:style>
  <w:style w:type="table" w:styleId="a7">
    <w:name w:val="Table Grid"/>
    <w:basedOn w:val="a1"/>
    <w:rsid w:val="001669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695F"/>
  </w:style>
  <w:style w:type="character" w:styleId="Hyperlink">
    <w:name w:val="Hyperlink"/>
    <w:rsid w:val="00E20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6" TargetMode="External"/><Relationship Id="rId18" Type="http://schemas.openxmlformats.org/officeDocument/2006/relationships/hyperlink" Target="http://www.nevo.co.il/case/2678785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40d"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d" TargetMode="External"/><Relationship Id="rId17" Type="http://schemas.openxmlformats.org/officeDocument/2006/relationships/hyperlink" Target="http://www.nevo.co.il/case/26384845"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9.b" TargetMode="External"/><Relationship Id="rId20" Type="http://schemas.openxmlformats.org/officeDocument/2006/relationships/hyperlink" Target="http://www.nevo.co.il/case/13070717"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4216/9.a"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4216/9.b" TargetMode="External"/><Relationship Id="rId19" Type="http://schemas.openxmlformats.org/officeDocument/2006/relationships/hyperlink" Target="http://www.nevo.co.il/case/2382760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9.a"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2529</Words>
  <Characters>12649</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15148</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3145847</vt:i4>
      </vt:variant>
      <vt:variant>
        <vt:i4>39</vt:i4>
      </vt:variant>
      <vt:variant>
        <vt:i4>0</vt:i4>
      </vt:variant>
      <vt:variant>
        <vt:i4>5</vt:i4>
      </vt:variant>
      <vt:variant>
        <vt:lpwstr>http://www.nevo.co.il/case/13070717</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3604594</vt:i4>
      </vt:variant>
      <vt:variant>
        <vt:i4>33</vt:i4>
      </vt:variant>
      <vt:variant>
        <vt:i4>0</vt:i4>
      </vt:variant>
      <vt:variant>
        <vt:i4>5</vt:i4>
      </vt:variant>
      <vt:variant>
        <vt:lpwstr>http://www.nevo.co.il/case/26787852</vt:lpwstr>
      </vt:variant>
      <vt:variant>
        <vt:lpwstr/>
      </vt:variant>
      <vt:variant>
        <vt:i4>3211378</vt:i4>
      </vt:variant>
      <vt:variant>
        <vt:i4>30</vt:i4>
      </vt:variant>
      <vt:variant>
        <vt:i4>0</vt:i4>
      </vt:variant>
      <vt:variant>
        <vt:i4>5</vt:i4>
      </vt:variant>
      <vt:variant>
        <vt:lpwstr>http://www.nevo.co.il/case/26384845</vt:lpwstr>
      </vt:variant>
      <vt:variant>
        <vt:lpwstr/>
      </vt:variant>
      <vt:variant>
        <vt:i4>2424932</vt:i4>
      </vt:variant>
      <vt:variant>
        <vt:i4>27</vt:i4>
      </vt:variant>
      <vt:variant>
        <vt:i4>0</vt:i4>
      </vt:variant>
      <vt:variant>
        <vt:i4>5</vt:i4>
      </vt:variant>
      <vt:variant>
        <vt:lpwstr>http://www.nevo.co.il/law/4216/9.b</vt:lpwstr>
      </vt:variant>
      <vt:variant>
        <vt:lpwstr/>
      </vt:variant>
      <vt:variant>
        <vt:i4>2490468</vt:i4>
      </vt:variant>
      <vt:variant>
        <vt:i4>24</vt:i4>
      </vt:variant>
      <vt:variant>
        <vt:i4>0</vt:i4>
      </vt:variant>
      <vt:variant>
        <vt:i4>5</vt:i4>
      </vt:variant>
      <vt:variant>
        <vt:lpwstr>http://www.nevo.co.il/law/4216/9.a</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2424932</vt:i4>
      </vt:variant>
      <vt:variant>
        <vt:i4>9</vt:i4>
      </vt:variant>
      <vt:variant>
        <vt:i4>0</vt:i4>
      </vt:variant>
      <vt:variant>
        <vt:i4>5</vt:i4>
      </vt:variant>
      <vt:variant>
        <vt:lpwstr>http://www.nevo.co.il/law/4216/9.b</vt:lpwstr>
      </vt:variant>
      <vt:variant>
        <vt:lpwstr/>
      </vt:variant>
      <vt:variant>
        <vt:i4>2490468</vt:i4>
      </vt:variant>
      <vt:variant>
        <vt:i4>6</vt:i4>
      </vt:variant>
      <vt:variant>
        <vt:i4>0</vt:i4>
      </vt:variant>
      <vt:variant>
        <vt:i4>5</vt:i4>
      </vt:variant>
      <vt:variant>
        <vt:lpwstr>http://www.nevo.co.il/law/4216/9.a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2025-04-23T00:26:00Z</dcterms:created>
  <dcterms:modified xsi:type="dcterms:W3CDTF">2025-04-23T00:26:00Z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61659</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שמואל בלולו</vt:lpwstr>
  </property>
  <property fmtid="{D5CDD505-2E9C-101B-9397-08002B2CF9AE}" pid="10" name="LAWYER">
    <vt:lpwstr>יפית דרי;שני מורן</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20211230</vt:lpwstr>
  </property>
  <property fmtid="{D5CDD505-2E9C-101B-9397-08002B2CF9AE}" pid="14" name="TYPE_N_DATE">
    <vt:lpwstr>38020211230</vt:lpwstr>
  </property>
  <property fmtid="{D5CDD505-2E9C-101B-9397-08002B2CF9AE}" pid="15" name="WORDNUMPAGES">
    <vt:lpwstr>8</vt:lpwstr>
  </property>
  <property fmtid="{D5CDD505-2E9C-101B-9397-08002B2CF9AE}" pid="16" name="TYPE_ABS_DATE">
    <vt:lpwstr>380020211230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26384845;26787852;23827604;13070717</vt:lpwstr>
  </property>
  <property fmtid="{D5CDD505-2E9C-101B-9397-08002B2CF9AE}" pid="36" name="LAWLISTTMP1">
    <vt:lpwstr>4216/006;009.a;009.b</vt:lpwstr>
  </property>
  <property fmtid="{D5CDD505-2E9C-101B-9397-08002B2CF9AE}" pid="37" name="LAWLISTTMP2">
    <vt:lpwstr>70301/040d</vt:lpwstr>
  </property>
</Properties>
</file>