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7"/>
        <w:gridCol w:w="3665"/>
        <w:gridCol w:w="99"/>
      </w:tblGrid>
      <w:tr w:rsidR="00CC1224" w:rsidRPr="0047084B" w14:paraId="61F8CF3E" w14:textId="77777777" w:rsidTr="002E49DD">
        <w:trPr>
          <w:gridAfter w:val="1"/>
          <w:wAfter w:w="99" w:type="dxa"/>
          <w:trHeight w:hRule="exact" w:val="418"/>
          <w:jc w:val="center"/>
        </w:trPr>
        <w:tc>
          <w:tcPr>
            <w:tcW w:w="8721" w:type="dxa"/>
            <w:gridSpan w:val="4"/>
          </w:tcPr>
          <w:p w14:paraId="1A73A7CB" w14:textId="77777777" w:rsidR="00CC1224" w:rsidRPr="0047084B" w:rsidRDefault="00CC1224" w:rsidP="00E778A7">
            <w:pPr>
              <w:pStyle w:val="a3"/>
              <w:jc w:val="center"/>
              <w:rPr>
                <w:rFonts w:ascii="Tahoma" w:hAnsi="Tahoma" w:cs="Tahoma"/>
                <w:color w:val="000080"/>
                <w:rtl/>
              </w:rPr>
            </w:pPr>
            <w:bookmarkStart w:id="0" w:name="LastJudge"/>
            <w:r w:rsidRPr="0047084B">
              <w:rPr>
                <w:rFonts w:ascii="Tahoma" w:hAnsi="Tahoma" w:cs="Tahoma"/>
                <w:b/>
                <w:bCs/>
                <w:color w:val="000080"/>
                <w:rtl/>
              </w:rPr>
              <w:t>בית משפט השלום בפתח תקווה</w:t>
            </w:r>
          </w:p>
        </w:tc>
      </w:tr>
      <w:tr w:rsidR="00CC1224" w:rsidRPr="0047084B" w14:paraId="2D86B3F5" w14:textId="77777777" w:rsidTr="002E49DD">
        <w:trPr>
          <w:gridAfter w:val="1"/>
          <w:wAfter w:w="99" w:type="dxa"/>
          <w:trHeight w:val="337"/>
          <w:jc w:val="center"/>
        </w:trPr>
        <w:tc>
          <w:tcPr>
            <w:tcW w:w="5056" w:type="dxa"/>
            <w:gridSpan w:val="3"/>
          </w:tcPr>
          <w:p w14:paraId="213355B7" w14:textId="77777777" w:rsidR="00CC1224" w:rsidRPr="0047084B" w:rsidRDefault="00CC1224" w:rsidP="00E778A7">
            <w:pPr>
              <w:rPr>
                <w:rFonts w:cs="FrankRuehl"/>
                <w:sz w:val="28"/>
                <w:szCs w:val="28"/>
                <w:rtl/>
              </w:rPr>
            </w:pPr>
            <w:r w:rsidRPr="0047084B">
              <w:rPr>
                <w:rFonts w:cs="FrankRuehl"/>
                <w:sz w:val="28"/>
                <w:szCs w:val="28"/>
                <w:rtl/>
              </w:rPr>
              <w:t>ת"פ</w:t>
            </w:r>
            <w:r w:rsidRPr="0047084B">
              <w:rPr>
                <w:rFonts w:cs="FrankRuehl" w:hint="cs"/>
                <w:sz w:val="28"/>
                <w:szCs w:val="28"/>
                <w:rtl/>
              </w:rPr>
              <w:t xml:space="preserve"> </w:t>
            </w:r>
            <w:r w:rsidRPr="0047084B">
              <w:rPr>
                <w:rFonts w:cs="FrankRuehl"/>
                <w:sz w:val="28"/>
                <w:szCs w:val="28"/>
                <w:rtl/>
              </w:rPr>
              <w:t>15535-02-20</w:t>
            </w:r>
            <w:r w:rsidRPr="0047084B">
              <w:rPr>
                <w:rFonts w:cs="FrankRuehl" w:hint="cs"/>
                <w:sz w:val="28"/>
                <w:szCs w:val="28"/>
                <w:rtl/>
              </w:rPr>
              <w:t xml:space="preserve"> </w:t>
            </w:r>
            <w:r w:rsidRPr="0047084B">
              <w:rPr>
                <w:rFonts w:cs="FrankRuehl"/>
                <w:sz w:val="28"/>
                <w:szCs w:val="28"/>
                <w:rtl/>
              </w:rPr>
              <w:t>מדינת ישראל נ' קופטיאייב</w:t>
            </w:r>
          </w:p>
          <w:p w14:paraId="496C1F4D" w14:textId="77777777" w:rsidR="00CC1224" w:rsidRPr="0047084B" w:rsidRDefault="00CC1224" w:rsidP="00E778A7">
            <w:pPr>
              <w:pStyle w:val="a3"/>
              <w:rPr>
                <w:rFonts w:cs="FrankRuehl"/>
                <w:sz w:val="28"/>
                <w:szCs w:val="28"/>
                <w:rtl/>
              </w:rPr>
            </w:pPr>
          </w:p>
        </w:tc>
        <w:tc>
          <w:tcPr>
            <w:tcW w:w="3665" w:type="dxa"/>
          </w:tcPr>
          <w:p w14:paraId="53F9B44C" w14:textId="77777777" w:rsidR="00CC1224" w:rsidRPr="0047084B" w:rsidRDefault="00CC1224" w:rsidP="00E778A7">
            <w:pPr>
              <w:pStyle w:val="a3"/>
              <w:jc w:val="right"/>
              <w:rPr>
                <w:rFonts w:cs="FrankRuehl"/>
                <w:sz w:val="28"/>
                <w:szCs w:val="28"/>
                <w:rtl/>
              </w:rPr>
            </w:pPr>
          </w:p>
        </w:tc>
      </w:tr>
      <w:tr w:rsidR="00CC1224" w:rsidRPr="0047084B" w14:paraId="2B646E5D" w14:textId="77777777" w:rsidTr="002E49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3B28A82" w14:textId="77777777" w:rsidR="00CC1224" w:rsidRPr="0047084B" w:rsidRDefault="00CC1224" w:rsidP="00CC1224">
            <w:pPr>
              <w:jc w:val="both"/>
              <w:rPr>
                <w:rFonts w:ascii="David" w:hAnsi="David"/>
                <w:sz w:val="26"/>
                <w:szCs w:val="26"/>
              </w:rPr>
            </w:pPr>
            <w:r w:rsidRPr="0047084B">
              <w:rPr>
                <w:rFonts w:hint="cs"/>
                <w:rtl/>
              </w:rPr>
              <w:t xml:space="preserve"> </w:t>
            </w:r>
            <w:r w:rsidRPr="0047084B">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378622A" w14:textId="77777777" w:rsidR="00CC1224" w:rsidRPr="0047084B" w:rsidRDefault="00CC1224" w:rsidP="00E778A7">
            <w:pPr>
              <w:rPr>
                <w:rFonts w:ascii="David" w:hAnsi="David"/>
                <w:b/>
                <w:bCs/>
                <w:sz w:val="26"/>
                <w:szCs w:val="26"/>
                <w:rtl/>
              </w:rPr>
            </w:pPr>
            <w:r w:rsidRPr="0047084B">
              <w:rPr>
                <w:rFonts w:ascii="David" w:hAnsi="David"/>
                <w:b/>
                <w:bCs/>
                <w:sz w:val="26"/>
                <w:szCs w:val="26"/>
                <w:rtl/>
              </w:rPr>
              <w:t>כבוד השופט  דרור קלייטמן</w:t>
            </w:r>
          </w:p>
          <w:p w14:paraId="0C5A9CEF" w14:textId="77777777" w:rsidR="00CC1224" w:rsidRPr="0047084B" w:rsidRDefault="00CC1224" w:rsidP="00E778A7">
            <w:pPr>
              <w:rPr>
                <w:rFonts w:ascii="David" w:hAnsi="David"/>
                <w:sz w:val="26"/>
                <w:szCs w:val="26"/>
                <w:rtl/>
              </w:rPr>
            </w:pPr>
          </w:p>
          <w:p w14:paraId="0B432EBB" w14:textId="77777777" w:rsidR="00CC1224" w:rsidRPr="0047084B" w:rsidRDefault="00CC1224" w:rsidP="00CC1224">
            <w:pPr>
              <w:jc w:val="both"/>
              <w:rPr>
                <w:rFonts w:ascii="David" w:hAnsi="David"/>
                <w:sz w:val="26"/>
                <w:szCs w:val="26"/>
              </w:rPr>
            </w:pPr>
          </w:p>
        </w:tc>
      </w:tr>
      <w:tr w:rsidR="00CC1224" w:rsidRPr="0047084B" w14:paraId="12FABB42" w14:textId="77777777" w:rsidTr="002E49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6EAA2A0" w14:textId="77777777" w:rsidR="00CC1224" w:rsidRPr="0047084B" w:rsidRDefault="00CC1224" w:rsidP="00CC1224">
            <w:pPr>
              <w:jc w:val="both"/>
              <w:rPr>
                <w:rFonts w:ascii="David" w:hAnsi="David"/>
                <w:sz w:val="26"/>
                <w:szCs w:val="26"/>
              </w:rPr>
            </w:pPr>
            <w:bookmarkStart w:id="1" w:name="FirstAppellant"/>
            <w:r w:rsidRPr="0047084B">
              <w:rPr>
                <w:rFonts w:ascii="David" w:hAnsi="David"/>
                <w:sz w:val="26"/>
                <w:szCs w:val="26"/>
                <w:rtl/>
              </w:rPr>
              <w:t>בעניין:</w:t>
            </w:r>
          </w:p>
        </w:tc>
        <w:tc>
          <w:tcPr>
            <w:tcW w:w="4126" w:type="dxa"/>
            <w:tcBorders>
              <w:top w:val="nil"/>
              <w:left w:val="nil"/>
              <w:bottom w:val="nil"/>
              <w:right w:val="nil"/>
            </w:tcBorders>
            <w:shd w:val="clear" w:color="auto" w:fill="auto"/>
          </w:tcPr>
          <w:p w14:paraId="326DC0D9" w14:textId="77777777" w:rsidR="00CC1224" w:rsidRPr="0047084B" w:rsidRDefault="00CC1224" w:rsidP="00E778A7">
            <w:pPr>
              <w:rPr>
                <w:rFonts w:ascii="David" w:hAnsi="David"/>
                <w:sz w:val="26"/>
                <w:szCs w:val="26"/>
              </w:rPr>
            </w:pPr>
            <w:r w:rsidRPr="0047084B">
              <w:rPr>
                <w:rFonts w:ascii="David" w:hAnsi="David"/>
                <w:b/>
                <w:bCs/>
                <w:sz w:val="26"/>
                <w:szCs w:val="26"/>
                <w:rtl/>
              </w:rPr>
              <w:t>מדינת ישראל</w:t>
            </w:r>
          </w:p>
        </w:tc>
        <w:tc>
          <w:tcPr>
            <w:tcW w:w="3771" w:type="dxa"/>
            <w:gridSpan w:val="3"/>
            <w:tcBorders>
              <w:top w:val="nil"/>
              <w:left w:val="nil"/>
              <w:bottom w:val="nil"/>
              <w:right w:val="nil"/>
            </w:tcBorders>
            <w:shd w:val="clear" w:color="auto" w:fill="auto"/>
          </w:tcPr>
          <w:p w14:paraId="378C0DD0" w14:textId="77777777" w:rsidR="00CC1224" w:rsidRPr="0047084B" w:rsidRDefault="00CC1224" w:rsidP="00CC1224">
            <w:pPr>
              <w:jc w:val="both"/>
              <w:rPr>
                <w:rFonts w:ascii="David" w:hAnsi="David"/>
                <w:sz w:val="26"/>
                <w:szCs w:val="26"/>
              </w:rPr>
            </w:pPr>
          </w:p>
        </w:tc>
      </w:tr>
      <w:tr w:rsidR="00CC1224" w:rsidRPr="0047084B" w14:paraId="13A1DC4B" w14:textId="77777777" w:rsidTr="002E49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7EE8C86" w14:textId="77777777" w:rsidR="00CC1224" w:rsidRPr="0047084B" w:rsidRDefault="00CC1224" w:rsidP="00CC1224">
            <w:pPr>
              <w:jc w:val="both"/>
              <w:rPr>
                <w:rFonts w:ascii="David" w:hAnsi="David"/>
                <w:sz w:val="26"/>
                <w:szCs w:val="26"/>
                <w:rtl/>
              </w:rPr>
            </w:pPr>
            <w:bookmarkStart w:id="2" w:name="FirstLawyer"/>
            <w:bookmarkEnd w:id="1"/>
          </w:p>
        </w:tc>
        <w:tc>
          <w:tcPr>
            <w:tcW w:w="4126" w:type="dxa"/>
            <w:tcBorders>
              <w:top w:val="nil"/>
              <w:left w:val="nil"/>
              <w:bottom w:val="nil"/>
              <w:right w:val="nil"/>
            </w:tcBorders>
            <w:shd w:val="clear" w:color="auto" w:fill="auto"/>
          </w:tcPr>
          <w:p w14:paraId="5591B756" w14:textId="77777777" w:rsidR="00CC1224" w:rsidRPr="0047084B" w:rsidRDefault="00CC1224" w:rsidP="00CC1224">
            <w:pPr>
              <w:jc w:val="both"/>
              <w:rPr>
                <w:rFonts w:ascii="David" w:hAnsi="David"/>
                <w:sz w:val="26"/>
                <w:szCs w:val="26"/>
                <w:rtl/>
              </w:rPr>
            </w:pPr>
            <w:r w:rsidRPr="0047084B">
              <w:rPr>
                <w:rFonts w:ascii="David" w:hAnsi="David" w:hint="cs"/>
                <w:sz w:val="26"/>
                <w:szCs w:val="26"/>
                <w:rtl/>
              </w:rPr>
              <w:t>באמצעות ב"כ עו"ד בר נמרי ועו"ד יעל דיסקין- לשכת תביעות פתח תקווה</w:t>
            </w:r>
          </w:p>
        </w:tc>
        <w:tc>
          <w:tcPr>
            <w:tcW w:w="3771" w:type="dxa"/>
            <w:gridSpan w:val="3"/>
            <w:tcBorders>
              <w:top w:val="nil"/>
              <w:left w:val="nil"/>
              <w:bottom w:val="nil"/>
              <w:right w:val="nil"/>
            </w:tcBorders>
            <w:shd w:val="clear" w:color="auto" w:fill="auto"/>
          </w:tcPr>
          <w:p w14:paraId="52334318" w14:textId="77777777" w:rsidR="00CC1224" w:rsidRPr="0047084B" w:rsidRDefault="00CC1224" w:rsidP="00CC1224">
            <w:pPr>
              <w:jc w:val="right"/>
              <w:rPr>
                <w:rFonts w:ascii="David" w:hAnsi="David"/>
                <w:sz w:val="26"/>
                <w:szCs w:val="26"/>
                <w:rtl/>
              </w:rPr>
            </w:pPr>
            <w:r w:rsidRPr="0047084B">
              <w:rPr>
                <w:rFonts w:ascii="David" w:hAnsi="David"/>
                <w:sz w:val="26"/>
                <w:szCs w:val="26"/>
                <w:rtl/>
              </w:rPr>
              <w:t>המאשימה</w:t>
            </w:r>
          </w:p>
        </w:tc>
      </w:tr>
      <w:bookmarkEnd w:id="2"/>
      <w:tr w:rsidR="00CC1224" w:rsidRPr="0047084B" w14:paraId="5C37E900" w14:textId="77777777" w:rsidTr="002E49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38CE44A" w14:textId="77777777" w:rsidR="00CC1224" w:rsidRPr="0047084B" w:rsidRDefault="00CC1224" w:rsidP="00CC122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0F1EC9D2" w14:textId="77777777" w:rsidR="00CC1224" w:rsidRPr="0047084B" w:rsidRDefault="00CC1224" w:rsidP="00CC1224">
            <w:pPr>
              <w:jc w:val="center"/>
              <w:rPr>
                <w:rFonts w:ascii="David" w:hAnsi="David"/>
                <w:b/>
                <w:bCs/>
                <w:sz w:val="26"/>
                <w:szCs w:val="26"/>
                <w:rtl/>
              </w:rPr>
            </w:pPr>
          </w:p>
          <w:p w14:paraId="2B313616" w14:textId="77777777" w:rsidR="00CC1224" w:rsidRPr="0047084B" w:rsidRDefault="00CC1224" w:rsidP="00CC1224">
            <w:pPr>
              <w:jc w:val="center"/>
              <w:rPr>
                <w:rFonts w:ascii="David" w:hAnsi="David"/>
                <w:b/>
                <w:bCs/>
                <w:sz w:val="26"/>
                <w:szCs w:val="26"/>
                <w:rtl/>
              </w:rPr>
            </w:pPr>
            <w:r w:rsidRPr="0047084B">
              <w:rPr>
                <w:rFonts w:ascii="David" w:hAnsi="David"/>
                <w:b/>
                <w:bCs/>
                <w:sz w:val="26"/>
                <w:szCs w:val="26"/>
                <w:rtl/>
              </w:rPr>
              <w:t>נגד</w:t>
            </w:r>
          </w:p>
          <w:p w14:paraId="19F4B7B2" w14:textId="77777777" w:rsidR="00CC1224" w:rsidRPr="0047084B" w:rsidRDefault="00CC1224" w:rsidP="00CC1224">
            <w:pPr>
              <w:jc w:val="both"/>
              <w:rPr>
                <w:rFonts w:ascii="David" w:hAnsi="David"/>
                <w:sz w:val="26"/>
                <w:szCs w:val="26"/>
              </w:rPr>
            </w:pPr>
          </w:p>
        </w:tc>
      </w:tr>
      <w:tr w:rsidR="00CC1224" w:rsidRPr="0047084B" w14:paraId="03D5565B" w14:textId="77777777" w:rsidTr="002E49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7F28DD3" w14:textId="77777777" w:rsidR="00CC1224" w:rsidRPr="0047084B" w:rsidRDefault="00CC1224" w:rsidP="00E778A7">
            <w:pPr>
              <w:rPr>
                <w:rFonts w:ascii="David" w:hAnsi="David"/>
                <w:sz w:val="26"/>
                <w:szCs w:val="26"/>
                <w:rtl/>
              </w:rPr>
            </w:pPr>
          </w:p>
        </w:tc>
        <w:tc>
          <w:tcPr>
            <w:tcW w:w="4126" w:type="dxa"/>
            <w:tcBorders>
              <w:top w:val="nil"/>
              <w:left w:val="nil"/>
              <w:bottom w:val="nil"/>
              <w:right w:val="nil"/>
            </w:tcBorders>
            <w:shd w:val="clear" w:color="auto" w:fill="auto"/>
          </w:tcPr>
          <w:p w14:paraId="5F37B5E9" w14:textId="77777777" w:rsidR="00CC1224" w:rsidRPr="0047084B" w:rsidRDefault="00CC1224" w:rsidP="00E778A7">
            <w:pPr>
              <w:rPr>
                <w:rFonts w:ascii="David" w:hAnsi="David"/>
                <w:sz w:val="26"/>
                <w:szCs w:val="26"/>
                <w:rtl/>
              </w:rPr>
            </w:pPr>
            <w:r w:rsidRPr="0047084B">
              <w:rPr>
                <w:rFonts w:ascii="David" w:hAnsi="David"/>
                <w:b/>
                <w:bCs/>
                <w:sz w:val="26"/>
                <w:szCs w:val="26"/>
                <w:rtl/>
              </w:rPr>
              <w:t>יבגני קופטיאייב</w:t>
            </w:r>
          </w:p>
        </w:tc>
        <w:tc>
          <w:tcPr>
            <w:tcW w:w="3771" w:type="dxa"/>
            <w:gridSpan w:val="3"/>
            <w:tcBorders>
              <w:top w:val="nil"/>
              <w:left w:val="nil"/>
              <w:bottom w:val="nil"/>
              <w:right w:val="nil"/>
            </w:tcBorders>
            <w:shd w:val="clear" w:color="auto" w:fill="auto"/>
          </w:tcPr>
          <w:p w14:paraId="774A98D0" w14:textId="77777777" w:rsidR="00CC1224" w:rsidRPr="0047084B" w:rsidRDefault="00CC1224" w:rsidP="00CC1224">
            <w:pPr>
              <w:jc w:val="right"/>
              <w:rPr>
                <w:rFonts w:ascii="David" w:hAnsi="David"/>
                <w:sz w:val="26"/>
                <w:szCs w:val="26"/>
              </w:rPr>
            </w:pPr>
          </w:p>
        </w:tc>
      </w:tr>
      <w:tr w:rsidR="00CC1224" w:rsidRPr="0047084B" w14:paraId="34B806AA" w14:textId="77777777" w:rsidTr="002E49D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A5E9F07" w14:textId="77777777" w:rsidR="00CC1224" w:rsidRPr="0047084B" w:rsidRDefault="00CC1224" w:rsidP="00CC1224">
            <w:pPr>
              <w:jc w:val="both"/>
              <w:rPr>
                <w:rFonts w:ascii="David" w:hAnsi="David"/>
                <w:sz w:val="26"/>
                <w:szCs w:val="26"/>
                <w:rtl/>
              </w:rPr>
            </w:pPr>
          </w:p>
        </w:tc>
        <w:tc>
          <w:tcPr>
            <w:tcW w:w="4126" w:type="dxa"/>
            <w:tcBorders>
              <w:top w:val="nil"/>
              <w:left w:val="nil"/>
              <w:bottom w:val="nil"/>
              <w:right w:val="nil"/>
            </w:tcBorders>
            <w:shd w:val="clear" w:color="auto" w:fill="auto"/>
          </w:tcPr>
          <w:p w14:paraId="0B078B57" w14:textId="77777777" w:rsidR="00CC1224" w:rsidRPr="0047084B" w:rsidRDefault="00CC1224" w:rsidP="00CC1224">
            <w:pPr>
              <w:jc w:val="both"/>
              <w:rPr>
                <w:rFonts w:ascii="David" w:hAnsi="David"/>
                <w:sz w:val="26"/>
                <w:szCs w:val="26"/>
                <w:rtl/>
              </w:rPr>
            </w:pPr>
            <w:r w:rsidRPr="0047084B">
              <w:rPr>
                <w:rFonts w:ascii="David" w:hAnsi="David" w:hint="cs"/>
                <w:sz w:val="26"/>
                <w:szCs w:val="26"/>
                <w:rtl/>
              </w:rPr>
              <w:t>באמצעות ב"כ עו"ד צחי רז</w:t>
            </w:r>
          </w:p>
        </w:tc>
        <w:tc>
          <w:tcPr>
            <w:tcW w:w="3771" w:type="dxa"/>
            <w:gridSpan w:val="3"/>
            <w:tcBorders>
              <w:top w:val="nil"/>
              <w:left w:val="nil"/>
              <w:bottom w:val="nil"/>
              <w:right w:val="nil"/>
            </w:tcBorders>
            <w:shd w:val="clear" w:color="auto" w:fill="auto"/>
          </w:tcPr>
          <w:p w14:paraId="3B793A22" w14:textId="77777777" w:rsidR="00CC1224" w:rsidRPr="0047084B" w:rsidRDefault="00CC1224" w:rsidP="00CC1224">
            <w:pPr>
              <w:jc w:val="right"/>
              <w:rPr>
                <w:rFonts w:ascii="David" w:hAnsi="David"/>
                <w:sz w:val="26"/>
                <w:szCs w:val="26"/>
              </w:rPr>
            </w:pPr>
            <w:r w:rsidRPr="0047084B">
              <w:rPr>
                <w:rFonts w:ascii="David" w:hAnsi="David"/>
                <w:sz w:val="26"/>
                <w:szCs w:val="26"/>
                <w:rtl/>
              </w:rPr>
              <w:t>הנאשם</w:t>
            </w:r>
          </w:p>
        </w:tc>
      </w:tr>
    </w:tbl>
    <w:p w14:paraId="12E47935" w14:textId="77777777" w:rsidR="002E49DD" w:rsidRDefault="002E49DD" w:rsidP="0047084B">
      <w:pPr>
        <w:rPr>
          <w:sz w:val="26"/>
          <w:szCs w:val="26"/>
          <w:rtl/>
        </w:rPr>
      </w:pPr>
    </w:p>
    <w:p w14:paraId="620AAABD" w14:textId="77777777" w:rsidR="002E49DD" w:rsidRPr="002E49DD" w:rsidRDefault="002E49DD" w:rsidP="002E49DD">
      <w:pPr>
        <w:spacing w:after="120" w:line="240" w:lineRule="exact"/>
        <w:ind w:left="283" w:hanging="283"/>
        <w:jc w:val="both"/>
        <w:rPr>
          <w:rFonts w:ascii="FrankRuehl" w:hAnsi="FrankRuehl" w:cs="FrankRuehl"/>
          <w:rtl/>
        </w:rPr>
      </w:pPr>
    </w:p>
    <w:p w14:paraId="4E44EF3F" w14:textId="77777777" w:rsidR="00AF6BEF" w:rsidRPr="00AF6BEF" w:rsidRDefault="00AF6BEF" w:rsidP="00AF6BEF">
      <w:pPr>
        <w:spacing w:before="120" w:after="120" w:line="240" w:lineRule="exact"/>
        <w:ind w:left="283" w:hanging="283"/>
        <w:jc w:val="both"/>
        <w:rPr>
          <w:rFonts w:ascii="FrankRuehl" w:hAnsi="FrankRuehl" w:cs="FrankRuehl"/>
          <w:rtl/>
        </w:rPr>
      </w:pPr>
    </w:p>
    <w:p w14:paraId="459B34E1" w14:textId="77777777" w:rsidR="00AF6BEF" w:rsidRPr="00AF6BEF" w:rsidRDefault="00AF6BEF" w:rsidP="00AF6BEF">
      <w:pPr>
        <w:spacing w:before="120" w:after="120" w:line="240" w:lineRule="exact"/>
        <w:ind w:left="283" w:hanging="283"/>
        <w:jc w:val="both"/>
        <w:rPr>
          <w:rFonts w:ascii="FrankRuehl" w:hAnsi="FrankRuehl" w:cs="FrankRuehl"/>
          <w:rtl/>
        </w:rPr>
      </w:pPr>
    </w:p>
    <w:p w14:paraId="6E487247" w14:textId="77777777" w:rsidR="006014B0" w:rsidRDefault="006014B0" w:rsidP="006014B0">
      <w:pPr>
        <w:rPr>
          <w:sz w:val="26"/>
          <w:szCs w:val="26"/>
          <w:rtl/>
        </w:rPr>
      </w:pPr>
      <w:bookmarkStart w:id="3" w:name="LawTable"/>
      <w:bookmarkEnd w:id="3"/>
    </w:p>
    <w:p w14:paraId="6C550620" w14:textId="77777777" w:rsidR="006014B0" w:rsidRPr="006014B0" w:rsidRDefault="006014B0" w:rsidP="006014B0">
      <w:pPr>
        <w:spacing w:before="120" w:after="120" w:line="240" w:lineRule="exact"/>
        <w:ind w:left="283" w:hanging="283"/>
        <w:jc w:val="both"/>
        <w:rPr>
          <w:rFonts w:ascii="FrankRuehl" w:hAnsi="FrankRuehl" w:cs="FrankRuehl"/>
          <w:rtl/>
        </w:rPr>
      </w:pPr>
    </w:p>
    <w:p w14:paraId="14D8EF0A" w14:textId="77777777" w:rsidR="006014B0" w:rsidRPr="006014B0" w:rsidRDefault="006014B0" w:rsidP="006014B0">
      <w:pPr>
        <w:spacing w:before="120" w:after="120" w:line="240" w:lineRule="exact"/>
        <w:ind w:left="283" w:hanging="283"/>
        <w:jc w:val="both"/>
        <w:rPr>
          <w:rFonts w:ascii="FrankRuehl" w:hAnsi="FrankRuehl" w:cs="FrankRuehl"/>
          <w:rtl/>
        </w:rPr>
      </w:pPr>
    </w:p>
    <w:p w14:paraId="61571E62" w14:textId="77777777" w:rsidR="006014B0" w:rsidRPr="006014B0" w:rsidRDefault="006014B0" w:rsidP="006014B0">
      <w:pPr>
        <w:spacing w:before="120" w:after="120" w:line="240" w:lineRule="exact"/>
        <w:ind w:left="283" w:hanging="283"/>
        <w:jc w:val="both"/>
        <w:rPr>
          <w:rFonts w:ascii="FrankRuehl" w:hAnsi="FrankRuehl" w:cs="FrankRuehl"/>
          <w:rtl/>
        </w:rPr>
      </w:pPr>
      <w:r w:rsidRPr="006014B0">
        <w:rPr>
          <w:rFonts w:ascii="FrankRuehl" w:hAnsi="FrankRuehl" w:cs="FrankRuehl"/>
          <w:rtl/>
        </w:rPr>
        <w:t xml:space="preserve">חקיקה שאוזכרה: </w:t>
      </w:r>
    </w:p>
    <w:p w14:paraId="663587F1" w14:textId="77777777" w:rsidR="006014B0" w:rsidRPr="006014B0" w:rsidRDefault="006014B0" w:rsidP="006014B0">
      <w:pPr>
        <w:spacing w:before="120" w:after="120" w:line="240" w:lineRule="exact"/>
        <w:ind w:left="283" w:hanging="283"/>
        <w:jc w:val="both"/>
        <w:rPr>
          <w:rFonts w:ascii="FrankRuehl" w:hAnsi="FrankRuehl" w:cs="FrankRuehl"/>
          <w:rtl/>
        </w:rPr>
      </w:pPr>
      <w:hyperlink r:id="rId7" w:history="1">
        <w:r w:rsidRPr="006014B0">
          <w:rPr>
            <w:rFonts w:ascii="FrankRuehl" w:hAnsi="FrankRuehl" w:cs="FrankRuehl"/>
            <w:color w:val="0000FF"/>
            <w:rtl/>
          </w:rPr>
          <w:t>פקודת הסמים המסוכנים [נוסח חדש], תשל"ג-1973</w:t>
        </w:r>
      </w:hyperlink>
      <w:r w:rsidRPr="006014B0">
        <w:rPr>
          <w:rFonts w:ascii="FrankRuehl" w:hAnsi="FrankRuehl" w:cs="FrankRuehl"/>
          <w:rtl/>
        </w:rPr>
        <w:t xml:space="preserve">: סע'  </w:t>
      </w:r>
      <w:hyperlink r:id="rId8" w:history="1">
        <w:r w:rsidRPr="006014B0">
          <w:rPr>
            <w:rFonts w:ascii="FrankRuehl" w:hAnsi="FrankRuehl" w:cs="FrankRuehl"/>
            <w:color w:val="0000FF"/>
            <w:rtl/>
          </w:rPr>
          <w:t>7.א.</w:t>
        </w:r>
      </w:hyperlink>
      <w:r w:rsidRPr="006014B0">
        <w:rPr>
          <w:rFonts w:ascii="FrankRuehl" w:hAnsi="FrankRuehl" w:cs="FrankRuehl"/>
          <w:rtl/>
        </w:rPr>
        <w:t xml:space="preserve">, </w:t>
      </w:r>
      <w:hyperlink r:id="rId9" w:history="1">
        <w:r w:rsidRPr="006014B0">
          <w:rPr>
            <w:rFonts w:ascii="FrankRuehl" w:hAnsi="FrankRuehl" w:cs="FrankRuehl"/>
            <w:color w:val="0000FF"/>
            <w:rtl/>
          </w:rPr>
          <w:t>7.ג</w:t>
        </w:r>
      </w:hyperlink>
      <w:r w:rsidRPr="006014B0">
        <w:rPr>
          <w:rFonts w:ascii="FrankRuehl" w:hAnsi="FrankRuehl" w:cs="FrankRuehl"/>
          <w:rtl/>
        </w:rPr>
        <w:t xml:space="preserve">, </w:t>
      </w:r>
      <w:hyperlink r:id="rId10" w:history="1">
        <w:r w:rsidRPr="006014B0">
          <w:rPr>
            <w:rFonts w:ascii="FrankRuehl" w:hAnsi="FrankRuehl" w:cs="FrankRuehl"/>
            <w:color w:val="0000FF"/>
            <w:rtl/>
          </w:rPr>
          <w:t>10</w:t>
        </w:r>
      </w:hyperlink>
      <w:r w:rsidRPr="006014B0">
        <w:rPr>
          <w:rFonts w:ascii="FrankRuehl" w:hAnsi="FrankRuehl" w:cs="FrankRuehl"/>
          <w:rtl/>
        </w:rPr>
        <w:t xml:space="preserve">, </w:t>
      </w:r>
      <w:hyperlink r:id="rId11" w:history="1">
        <w:r w:rsidRPr="006014B0">
          <w:rPr>
            <w:rFonts w:ascii="FrankRuehl" w:hAnsi="FrankRuehl" w:cs="FrankRuehl"/>
            <w:color w:val="0000FF"/>
            <w:rtl/>
          </w:rPr>
          <w:t>13</w:t>
        </w:r>
      </w:hyperlink>
      <w:r w:rsidRPr="006014B0">
        <w:rPr>
          <w:rFonts w:ascii="FrankRuehl" w:hAnsi="FrankRuehl" w:cs="FrankRuehl"/>
          <w:rtl/>
        </w:rPr>
        <w:t xml:space="preserve">, </w:t>
      </w:r>
      <w:hyperlink r:id="rId12" w:history="1">
        <w:r w:rsidRPr="006014B0">
          <w:rPr>
            <w:rFonts w:ascii="FrankRuehl" w:hAnsi="FrankRuehl" w:cs="FrankRuehl"/>
            <w:color w:val="0000FF"/>
            <w:rtl/>
          </w:rPr>
          <w:t>19.א</w:t>
        </w:r>
      </w:hyperlink>
    </w:p>
    <w:p w14:paraId="2EAD096F" w14:textId="77777777" w:rsidR="006014B0" w:rsidRPr="006014B0" w:rsidRDefault="006014B0" w:rsidP="006014B0">
      <w:pPr>
        <w:rPr>
          <w:sz w:val="26"/>
          <w:szCs w:val="26"/>
          <w:rtl/>
        </w:rPr>
      </w:pPr>
      <w:bookmarkStart w:id="4" w:name="LawTable_End"/>
      <w:bookmarkEnd w:id="4"/>
    </w:p>
    <w:p w14:paraId="3F4FBBD8" w14:textId="77777777" w:rsidR="00CC1224" w:rsidRPr="00AF6BEF" w:rsidRDefault="00CC1224" w:rsidP="00AF6BEF">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C1224" w14:paraId="2518932D" w14:textId="77777777" w:rsidTr="00CC1224">
        <w:trPr>
          <w:trHeight w:val="355"/>
          <w:jc w:val="center"/>
        </w:trPr>
        <w:tc>
          <w:tcPr>
            <w:tcW w:w="8820" w:type="dxa"/>
            <w:tcBorders>
              <w:top w:val="nil"/>
              <w:left w:val="nil"/>
              <w:bottom w:val="nil"/>
              <w:right w:val="nil"/>
            </w:tcBorders>
            <w:shd w:val="clear" w:color="auto" w:fill="auto"/>
          </w:tcPr>
          <w:p w14:paraId="70E6231C" w14:textId="77777777" w:rsidR="0047084B" w:rsidRPr="0047084B" w:rsidRDefault="0047084B" w:rsidP="0047084B">
            <w:pPr>
              <w:jc w:val="center"/>
              <w:rPr>
                <w:rFonts w:ascii="David" w:hAnsi="David"/>
                <w:b/>
                <w:bCs/>
                <w:sz w:val="32"/>
                <w:szCs w:val="32"/>
                <w:u w:val="single"/>
                <w:rtl/>
              </w:rPr>
            </w:pPr>
            <w:bookmarkStart w:id="5" w:name="PsakDin" w:colFirst="0" w:colLast="0"/>
            <w:bookmarkEnd w:id="0"/>
            <w:r w:rsidRPr="0047084B">
              <w:rPr>
                <w:rFonts w:ascii="David" w:hAnsi="David"/>
                <w:b/>
                <w:bCs/>
                <w:sz w:val="32"/>
                <w:szCs w:val="32"/>
                <w:u w:val="single"/>
                <w:rtl/>
              </w:rPr>
              <w:t>גזר דין</w:t>
            </w:r>
          </w:p>
          <w:p w14:paraId="47DDDA9D" w14:textId="77777777" w:rsidR="00CC1224" w:rsidRPr="0047084B" w:rsidRDefault="00CC1224" w:rsidP="0047084B">
            <w:pPr>
              <w:jc w:val="center"/>
              <w:rPr>
                <w:rFonts w:ascii="David" w:hAnsi="David"/>
                <w:bCs/>
                <w:sz w:val="32"/>
                <w:szCs w:val="32"/>
                <w:u w:val="single"/>
                <w:rtl/>
              </w:rPr>
            </w:pPr>
          </w:p>
        </w:tc>
      </w:tr>
      <w:bookmarkEnd w:id="5"/>
    </w:tbl>
    <w:p w14:paraId="3AD2EC88" w14:textId="77777777" w:rsidR="00CC1224" w:rsidRPr="002B7D23" w:rsidRDefault="00CC1224" w:rsidP="00CC1224">
      <w:pPr>
        <w:rPr>
          <w:rFonts w:ascii="David" w:hAnsi="David"/>
          <w:sz w:val="26"/>
          <w:szCs w:val="26"/>
          <w:rtl/>
        </w:rPr>
      </w:pPr>
    </w:p>
    <w:p w14:paraId="48C8E650" w14:textId="77777777" w:rsidR="00CC1224" w:rsidRPr="002B7D23" w:rsidRDefault="00CC1224" w:rsidP="00CC1224">
      <w:pPr>
        <w:rPr>
          <w:rFonts w:ascii="David" w:hAnsi="David"/>
          <w:sz w:val="26"/>
          <w:szCs w:val="26"/>
          <w:rtl/>
        </w:rPr>
      </w:pPr>
    </w:p>
    <w:p w14:paraId="5E385AC9" w14:textId="77777777" w:rsidR="00CC1224" w:rsidRPr="00F24AC6" w:rsidRDefault="00CC1224" w:rsidP="00CC1224">
      <w:pPr>
        <w:spacing w:after="160" w:line="480" w:lineRule="auto"/>
        <w:jc w:val="both"/>
        <w:rPr>
          <w:rFonts w:ascii="Calibri" w:eastAsia="Calibri" w:hAnsi="Calibri"/>
          <w:b/>
          <w:bCs/>
          <w:u w:val="single"/>
        </w:rPr>
      </w:pPr>
      <w:r w:rsidRPr="00F24AC6">
        <w:rPr>
          <w:rFonts w:ascii="Calibri" w:eastAsia="Calibri" w:hAnsi="Calibri"/>
          <w:b/>
          <w:bCs/>
          <w:u w:val="single"/>
          <w:rtl/>
        </w:rPr>
        <w:t>רקע</w:t>
      </w:r>
    </w:p>
    <w:p w14:paraId="32FFB50D" w14:textId="77777777" w:rsidR="00CC1224" w:rsidRPr="00F24AC6" w:rsidRDefault="00CC1224" w:rsidP="00CC1224">
      <w:pPr>
        <w:numPr>
          <w:ilvl w:val="0"/>
          <w:numId w:val="1"/>
        </w:numPr>
        <w:spacing w:after="160" w:line="480" w:lineRule="auto"/>
        <w:contextualSpacing/>
        <w:jc w:val="both"/>
        <w:rPr>
          <w:rFonts w:ascii="Calibri" w:eastAsia="Calibri" w:hAnsi="Calibri"/>
        </w:rPr>
      </w:pPr>
      <w:bookmarkStart w:id="6" w:name="ABSTRACT_START"/>
      <w:bookmarkEnd w:id="6"/>
      <w:r w:rsidRPr="00F24AC6">
        <w:rPr>
          <w:rFonts w:ascii="Calibri" w:eastAsia="Calibri" w:hAnsi="Calibri"/>
          <w:rtl/>
        </w:rPr>
        <w:t xml:space="preserve">הנאשם הורשע על יסוד הודאתו בכתב אישום מתוקן, בביצוע עבירות של סחר בסמים מסוכנים בהתאם לסעיפים </w:t>
      </w:r>
      <w:hyperlink r:id="rId13" w:history="1">
        <w:r w:rsidR="002E49DD" w:rsidRPr="002E49DD">
          <w:rPr>
            <w:rStyle w:val="Hyperlink"/>
            <w:rFonts w:ascii="Calibri" w:eastAsia="Calibri" w:hAnsi="Calibri"/>
            <w:rtl/>
          </w:rPr>
          <w:t>19+13</w:t>
        </w:r>
        <w:r w:rsidR="002E49DD" w:rsidRPr="002E49DD">
          <w:rPr>
            <w:rStyle w:val="Hyperlink"/>
            <w:rFonts w:ascii="Calibri" w:eastAsia="Calibri" w:hAnsi="Calibri" w:hint="cs"/>
            <w:rtl/>
          </w:rPr>
          <w:t>א</w:t>
        </w:r>
      </w:hyperlink>
      <w:r w:rsidRPr="00F24AC6">
        <w:rPr>
          <w:rFonts w:ascii="Calibri" w:eastAsia="Calibri" w:hAnsi="Calibri"/>
          <w:rtl/>
        </w:rPr>
        <w:t xml:space="preserve"> ל</w:t>
      </w:r>
      <w:hyperlink r:id="rId14" w:history="1">
        <w:r w:rsidR="0047084B" w:rsidRPr="0047084B">
          <w:rPr>
            <w:rFonts w:ascii="Calibri" w:eastAsia="Calibri" w:hAnsi="Calibri" w:hint="cs"/>
            <w:color w:val="0000FF"/>
            <w:u w:val="single"/>
            <w:rtl/>
          </w:rPr>
          <w:t>פקודת</w:t>
        </w:r>
        <w:r w:rsidR="0047084B" w:rsidRPr="0047084B">
          <w:rPr>
            <w:rFonts w:ascii="Calibri" w:eastAsia="Calibri" w:hAnsi="Calibri"/>
            <w:color w:val="0000FF"/>
            <w:u w:val="single"/>
            <w:rtl/>
          </w:rPr>
          <w:t xml:space="preserve"> </w:t>
        </w:r>
        <w:r w:rsidR="0047084B" w:rsidRPr="0047084B">
          <w:rPr>
            <w:rFonts w:ascii="Calibri" w:eastAsia="Calibri" w:hAnsi="Calibri" w:hint="cs"/>
            <w:color w:val="0000FF"/>
            <w:u w:val="single"/>
            <w:rtl/>
          </w:rPr>
          <w:t>הסמים</w:t>
        </w:r>
        <w:r w:rsidR="0047084B" w:rsidRPr="0047084B">
          <w:rPr>
            <w:rFonts w:ascii="Calibri" w:eastAsia="Calibri" w:hAnsi="Calibri"/>
            <w:color w:val="0000FF"/>
            <w:u w:val="single"/>
            <w:rtl/>
          </w:rPr>
          <w:t xml:space="preserve"> </w:t>
        </w:r>
        <w:r w:rsidR="0047084B" w:rsidRPr="0047084B">
          <w:rPr>
            <w:rFonts w:ascii="Calibri" w:eastAsia="Calibri" w:hAnsi="Calibri" w:hint="cs"/>
            <w:color w:val="0000FF"/>
            <w:u w:val="single"/>
            <w:rtl/>
          </w:rPr>
          <w:t>המסוכנים</w:t>
        </w:r>
      </w:hyperlink>
      <w:r w:rsidRPr="00F24AC6">
        <w:rPr>
          <w:rFonts w:ascii="Calibri" w:eastAsia="Calibri" w:hAnsi="Calibri"/>
          <w:rtl/>
        </w:rPr>
        <w:t xml:space="preserve"> (נוסח חדש) תשל"ג -1973 (להלן: "</w:t>
      </w:r>
      <w:r w:rsidRPr="00F24AC6">
        <w:rPr>
          <w:rFonts w:ascii="Calibri" w:eastAsia="Calibri" w:hAnsi="Calibri"/>
          <w:b/>
          <w:bCs/>
          <w:rtl/>
        </w:rPr>
        <w:t>הפקודה"</w:t>
      </w:r>
      <w:r w:rsidRPr="00F24AC6">
        <w:rPr>
          <w:rFonts w:ascii="Calibri" w:eastAsia="Calibri" w:hAnsi="Calibri"/>
          <w:rtl/>
        </w:rPr>
        <w:t xml:space="preserve">). החזקה בסמים שלא לצריכה עצמית בהתאם לסעיף </w:t>
      </w:r>
      <w:hyperlink r:id="rId15" w:history="1">
        <w:r w:rsidR="002E49DD" w:rsidRPr="002E49DD">
          <w:rPr>
            <w:rStyle w:val="Hyperlink"/>
            <w:rFonts w:ascii="Calibri" w:eastAsia="Calibri" w:hAnsi="Calibri"/>
            <w:rtl/>
          </w:rPr>
          <w:t>7(</w:t>
        </w:r>
        <w:r w:rsidR="002E49DD" w:rsidRPr="002E49DD">
          <w:rPr>
            <w:rStyle w:val="Hyperlink"/>
            <w:rFonts w:ascii="Calibri" w:eastAsia="Calibri" w:hAnsi="Calibri" w:hint="cs"/>
            <w:rtl/>
          </w:rPr>
          <w:t>א</w:t>
        </w:r>
        <w:r w:rsidR="002E49DD" w:rsidRPr="002E49DD">
          <w:rPr>
            <w:rStyle w:val="Hyperlink"/>
            <w:rFonts w:ascii="Calibri" w:eastAsia="Calibri" w:hAnsi="Calibri"/>
            <w:rtl/>
          </w:rPr>
          <w:t>)+7(</w:t>
        </w:r>
        <w:r w:rsidR="002E49DD" w:rsidRPr="002E49DD">
          <w:rPr>
            <w:rStyle w:val="Hyperlink"/>
            <w:rFonts w:ascii="Calibri" w:eastAsia="Calibri" w:hAnsi="Calibri" w:hint="cs"/>
            <w:rtl/>
          </w:rPr>
          <w:t>ג</w:t>
        </w:r>
        <w:r w:rsidR="002E49DD" w:rsidRPr="002E49DD">
          <w:rPr>
            <w:rStyle w:val="Hyperlink"/>
            <w:rFonts w:ascii="Calibri" w:eastAsia="Calibri" w:hAnsi="Calibri"/>
            <w:rtl/>
          </w:rPr>
          <w:t>)</w:t>
        </w:r>
      </w:hyperlink>
      <w:r w:rsidRPr="00F24AC6">
        <w:rPr>
          <w:rFonts w:ascii="Calibri" w:eastAsia="Calibri" w:hAnsi="Calibri"/>
          <w:rtl/>
        </w:rPr>
        <w:t xml:space="preserve"> רישא לפקודה. החזקה בכלים להכנת סם שלא לצריכה עצמית בהתאם </w:t>
      </w:r>
      <w:hyperlink r:id="rId16" w:history="1">
        <w:r w:rsidR="002E49DD" w:rsidRPr="002E49DD">
          <w:rPr>
            <w:rStyle w:val="Hyperlink"/>
            <w:rFonts w:ascii="Calibri" w:eastAsia="Calibri" w:hAnsi="Calibri" w:hint="cs"/>
            <w:rtl/>
          </w:rPr>
          <w:t>לסעיף</w:t>
        </w:r>
        <w:r w:rsidR="002E49DD" w:rsidRPr="002E49DD">
          <w:rPr>
            <w:rStyle w:val="Hyperlink"/>
            <w:rFonts w:ascii="Calibri" w:eastAsia="Calibri" w:hAnsi="Calibri"/>
            <w:rtl/>
          </w:rPr>
          <w:t xml:space="preserve"> 10</w:t>
        </w:r>
      </w:hyperlink>
      <w:r w:rsidRPr="00F24AC6">
        <w:rPr>
          <w:rFonts w:ascii="Calibri" w:eastAsia="Calibri" w:hAnsi="Calibri"/>
          <w:rtl/>
        </w:rPr>
        <w:t xml:space="preserve"> רישא לפקודה. </w:t>
      </w:r>
    </w:p>
    <w:p w14:paraId="16D17A02" w14:textId="77777777" w:rsidR="00CC1224" w:rsidRPr="00F24AC6" w:rsidRDefault="00CC1224" w:rsidP="00CC1224">
      <w:pPr>
        <w:numPr>
          <w:ilvl w:val="0"/>
          <w:numId w:val="1"/>
        </w:numPr>
        <w:spacing w:after="160" w:line="480" w:lineRule="auto"/>
        <w:contextualSpacing/>
        <w:jc w:val="both"/>
        <w:rPr>
          <w:rFonts w:ascii="Calibri" w:eastAsia="Calibri" w:hAnsi="Calibri"/>
        </w:rPr>
      </w:pPr>
      <w:r w:rsidRPr="00F24AC6">
        <w:rPr>
          <w:rFonts w:ascii="Calibri" w:eastAsia="Calibri" w:hAnsi="Calibri"/>
          <w:rtl/>
        </w:rPr>
        <w:lastRenderedPageBreak/>
        <w:t>על פי המתואר בחלק הכללי של כתב האישום המתוקן, במועד הרלוונטי לכתב האישום המתוקן הנאשם התגורר ברחוב קפלן 45 בפתח תקווה (להלן: "</w:t>
      </w:r>
      <w:r w:rsidRPr="00F24AC6">
        <w:rPr>
          <w:rFonts w:ascii="Calibri" w:eastAsia="Calibri" w:hAnsi="Calibri"/>
          <w:b/>
          <w:bCs/>
          <w:rtl/>
        </w:rPr>
        <w:t>הדירה</w:t>
      </w:r>
      <w:r w:rsidRPr="00F24AC6">
        <w:rPr>
          <w:rFonts w:ascii="Calibri" w:eastAsia="Calibri" w:hAnsi="Calibri"/>
          <w:rtl/>
        </w:rPr>
        <w:t>") והיה בעלים של רכב מסוג קיה (להלן: "</w:t>
      </w:r>
      <w:r w:rsidRPr="00F24AC6">
        <w:rPr>
          <w:rFonts w:ascii="Calibri" w:eastAsia="Calibri" w:hAnsi="Calibri"/>
          <w:b/>
          <w:bCs/>
          <w:rtl/>
        </w:rPr>
        <w:t>הרכב</w:t>
      </w:r>
      <w:r w:rsidRPr="00F24AC6">
        <w:rPr>
          <w:rFonts w:ascii="Calibri" w:eastAsia="Calibri" w:hAnsi="Calibri"/>
          <w:rtl/>
        </w:rPr>
        <w:t xml:space="preserve">"). </w:t>
      </w:r>
    </w:p>
    <w:p w14:paraId="7D4260BC" w14:textId="77777777" w:rsidR="00CC1224" w:rsidRPr="00F24AC6" w:rsidRDefault="00CC1224" w:rsidP="00CC1224">
      <w:pPr>
        <w:numPr>
          <w:ilvl w:val="0"/>
          <w:numId w:val="1"/>
        </w:numPr>
        <w:spacing w:after="160" w:line="480" w:lineRule="auto"/>
        <w:contextualSpacing/>
        <w:jc w:val="both"/>
        <w:rPr>
          <w:rFonts w:ascii="Calibri" w:eastAsia="Calibri" w:hAnsi="Calibri"/>
        </w:rPr>
      </w:pPr>
      <w:bookmarkStart w:id="7" w:name="ABSTRACT_END"/>
      <w:bookmarkEnd w:id="7"/>
      <w:r w:rsidRPr="00F24AC6">
        <w:rPr>
          <w:rFonts w:ascii="Calibri" w:eastAsia="Calibri" w:hAnsi="Calibri"/>
          <w:rtl/>
        </w:rPr>
        <w:t xml:space="preserve">על פי המתואר באישום הראשון, בתאריך 29.1.20 בשעה 19:20 או בסמוך לכך, נפגש הנאשם עם סרגיי ריינס ואחר שזהותו ידועה למאשימה, ברחוב קפלן בפתח תקווה, ומכר לסרגיי סם מסוכן מסוג קנבוס, במשקל  2.97 גרם, בתמורה לסכום של 210 ₪. </w:t>
      </w:r>
    </w:p>
    <w:p w14:paraId="76860D78" w14:textId="77777777" w:rsidR="00CC1224" w:rsidRPr="00F24AC6" w:rsidRDefault="00CC1224" w:rsidP="00CC1224">
      <w:pPr>
        <w:numPr>
          <w:ilvl w:val="0"/>
          <w:numId w:val="1"/>
        </w:numPr>
        <w:spacing w:after="160" w:line="480" w:lineRule="auto"/>
        <w:contextualSpacing/>
        <w:jc w:val="both"/>
        <w:rPr>
          <w:rFonts w:ascii="Calibri" w:eastAsia="Calibri" w:hAnsi="Calibri"/>
        </w:rPr>
      </w:pPr>
      <w:r w:rsidRPr="00F24AC6">
        <w:rPr>
          <w:rFonts w:ascii="Calibri" w:eastAsia="Calibri" w:hAnsi="Calibri"/>
          <w:rtl/>
        </w:rPr>
        <w:t>על פי המתואר באישום השני, בתאריך 29.1.20 בשעה 20:15 או בסמוך לכך, נעצר הנאשם כשהוא נוהג ברכב, ברחוב עין גנים בפתח תקווה, ובוצע חיפוש ברכב. בנסיבות המתוארות לעיל, החזיק הנאשם ברכב בסמים מסוכנים, שלא לצריכה עצמית, שלא כדין וללא היתר מאת המנהל כדלקמן:</w:t>
      </w:r>
    </w:p>
    <w:p w14:paraId="0FBFBA7E" w14:textId="77777777" w:rsidR="00CC1224" w:rsidRPr="00F24AC6" w:rsidRDefault="00CC1224" w:rsidP="00CC1224">
      <w:pPr>
        <w:numPr>
          <w:ilvl w:val="0"/>
          <w:numId w:val="2"/>
        </w:numPr>
        <w:spacing w:after="160" w:line="480" w:lineRule="auto"/>
        <w:contextualSpacing/>
        <w:jc w:val="both"/>
        <w:rPr>
          <w:rFonts w:ascii="Calibri" w:eastAsia="Calibri" w:hAnsi="Calibri"/>
        </w:rPr>
      </w:pPr>
      <w:r w:rsidRPr="00F24AC6">
        <w:rPr>
          <w:rFonts w:ascii="Calibri" w:eastAsia="Calibri" w:hAnsi="Calibri"/>
          <w:rtl/>
        </w:rPr>
        <w:t xml:space="preserve">סם מסוכן מסוג קנבוס המחולק ב-85 שקיות פלסטיק סגורות, במשקל נטו כולל 215.93 גרם. </w:t>
      </w:r>
    </w:p>
    <w:p w14:paraId="49623E07" w14:textId="77777777" w:rsidR="00CC1224" w:rsidRPr="00F24AC6" w:rsidRDefault="00CC1224" w:rsidP="00CC1224">
      <w:pPr>
        <w:numPr>
          <w:ilvl w:val="0"/>
          <w:numId w:val="2"/>
        </w:numPr>
        <w:spacing w:after="160" w:line="480" w:lineRule="auto"/>
        <w:contextualSpacing/>
        <w:jc w:val="both"/>
        <w:rPr>
          <w:rFonts w:ascii="Calibri" w:eastAsia="Calibri" w:hAnsi="Calibri"/>
        </w:rPr>
      </w:pPr>
      <w:r w:rsidRPr="00F24AC6">
        <w:rPr>
          <w:rFonts w:ascii="Calibri" w:eastAsia="Calibri" w:hAnsi="Calibri"/>
          <w:rtl/>
        </w:rPr>
        <w:t xml:space="preserve">סם מסוכן מסוג </w:t>
      </w:r>
      <w:r w:rsidRPr="00F24AC6">
        <w:rPr>
          <w:rFonts w:ascii="Calibri" w:eastAsia="Calibri" w:hAnsi="Calibri"/>
        </w:rPr>
        <w:t>DELTA9-TETRAHYDROCANNABINOL</w:t>
      </w:r>
      <w:r w:rsidRPr="00F24AC6">
        <w:rPr>
          <w:rFonts w:ascii="Calibri" w:eastAsia="Calibri" w:hAnsi="Calibri"/>
          <w:rtl/>
        </w:rPr>
        <w:t xml:space="preserve"> בנפח 33.00 מ"ל המחולק ב-5 בקבוקונים. </w:t>
      </w:r>
    </w:p>
    <w:p w14:paraId="58F26C9B" w14:textId="77777777" w:rsidR="00CC1224" w:rsidRPr="00F24AC6" w:rsidRDefault="00CC1224" w:rsidP="00CC1224">
      <w:pPr>
        <w:numPr>
          <w:ilvl w:val="0"/>
          <w:numId w:val="2"/>
        </w:numPr>
        <w:spacing w:after="160" w:line="480" w:lineRule="auto"/>
        <w:contextualSpacing/>
        <w:jc w:val="both"/>
        <w:rPr>
          <w:rFonts w:ascii="Calibri" w:eastAsia="Calibri" w:hAnsi="Calibri"/>
        </w:rPr>
      </w:pPr>
      <w:r w:rsidRPr="00F24AC6">
        <w:rPr>
          <w:rFonts w:ascii="Calibri" w:eastAsia="Calibri" w:hAnsi="Calibri"/>
          <w:rtl/>
        </w:rPr>
        <w:t xml:space="preserve">סם מסוכן מסוג </w:t>
      </w:r>
      <w:r w:rsidRPr="00F24AC6">
        <w:rPr>
          <w:rFonts w:ascii="Calibri" w:eastAsia="Calibri" w:hAnsi="Calibri"/>
        </w:rPr>
        <w:t>DELTA9-TETRAHYDROCANNABINOL</w:t>
      </w:r>
      <w:r w:rsidRPr="00F24AC6">
        <w:rPr>
          <w:rFonts w:ascii="Calibri" w:eastAsia="Calibri" w:hAnsi="Calibri"/>
          <w:rtl/>
        </w:rPr>
        <w:t xml:space="preserve"> בנפח 1.30 מ"ל, בתוך מזרק. </w:t>
      </w:r>
    </w:p>
    <w:p w14:paraId="673D5CE2" w14:textId="77777777" w:rsidR="00CC1224" w:rsidRPr="00F24AC6" w:rsidRDefault="00CC1224" w:rsidP="00CC1224">
      <w:pPr>
        <w:numPr>
          <w:ilvl w:val="0"/>
          <w:numId w:val="2"/>
        </w:numPr>
        <w:spacing w:after="160" w:line="480" w:lineRule="auto"/>
        <w:contextualSpacing/>
        <w:jc w:val="both"/>
        <w:rPr>
          <w:rFonts w:ascii="Calibri" w:eastAsia="Calibri" w:hAnsi="Calibri"/>
        </w:rPr>
      </w:pPr>
      <w:r w:rsidRPr="00F24AC6">
        <w:rPr>
          <w:rFonts w:ascii="Calibri" w:eastAsia="Calibri" w:hAnsi="Calibri"/>
          <w:rtl/>
        </w:rPr>
        <w:t xml:space="preserve">סם מסוכן מסוג חשיש, המחולק ב-15 אריזות מפלסטיק סגורות, במשקל ברוטו מחושב 39.33 גרם. </w:t>
      </w:r>
    </w:p>
    <w:p w14:paraId="38213D7E" w14:textId="77777777" w:rsidR="00CC1224" w:rsidRPr="00F24AC6" w:rsidRDefault="00CC1224" w:rsidP="00CC1224">
      <w:pPr>
        <w:numPr>
          <w:ilvl w:val="0"/>
          <w:numId w:val="2"/>
        </w:numPr>
        <w:spacing w:after="160" w:line="480" w:lineRule="auto"/>
        <w:contextualSpacing/>
        <w:jc w:val="both"/>
        <w:rPr>
          <w:rFonts w:ascii="Calibri" w:eastAsia="Calibri" w:hAnsi="Calibri"/>
        </w:rPr>
      </w:pPr>
      <w:r w:rsidRPr="00F24AC6">
        <w:rPr>
          <w:rFonts w:ascii="Calibri" w:eastAsia="Calibri" w:hAnsi="Calibri"/>
          <w:rtl/>
        </w:rPr>
        <w:t>סם מסוכן מסוג חשיש, המחולק ב-15 אריזות מפלסטיק סגורות, במשקל ברוטו מחושב 13.68.</w:t>
      </w:r>
    </w:p>
    <w:p w14:paraId="6E40DA1F" w14:textId="77777777" w:rsidR="00CC1224" w:rsidRPr="00F24AC6" w:rsidRDefault="00CC1224" w:rsidP="00CC1224">
      <w:pPr>
        <w:numPr>
          <w:ilvl w:val="0"/>
          <w:numId w:val="2"/>
        </w:numPr>
        <w:spacing w:after="160" w:line="480" w:lineRule="auto"/>
        <w:contextualSpacing/>
        <w:jc w:val="both"/>
        <w:rPr>
          <w:rFonts w:ascii="Calibri" w:eastAsia="Calibri" w:hAnsi="Calibri"/>
        </w:rPr>
      </w:pPr>
      <w:r w:rsidRPr="00F24AC6">
        <w:rPr>
          <w:rFonts w:ascii="Calibri" w:eastAsia="Calibri" w:hAnsi="Calibri"/>
          <w:rtl/>
        </w:rPr>
        <w:t xml:space="preserve">סם מסוכן מסוג קנבוס, המחולק ב-3 אריזות מפלסטיק סגורות, במשקל כולל נטו 30.33 גרם. </w:t>
      </w:r>
    </w:p>
    <w:p w14:paraId="48FCBED0" w14:textId="77777777" w:rsidR="00CC1224" w:rsidRPr="00F24AC6" w:rsidRDefault="00CC1224" w:rsidP="00CC1224">
      <w:pPr>
        <w:numPr>
          <w:ilvl w:val="0"/>
          <w:numId w:val="2"/>
        </w:numPr>
        <w:spacing w:after="160" w:line="480" w:lineRule="auto"/>
        <w:contextualSpacing/>
        <w:jc w:val="both"/>
        <w:rPr>
          <w:rFonts w:ascii="Calibri" w:eastAsia="Calibri" w:hAnsi="Calibri"/>
        </w:rPr>
      </w:pPr>
      <w:r w:rsidRPr="00F24AC6">
        <w:rPr>
          <w:rFonts w:ascii="Calibri" w:eastAsia="Calibri" w:hAnsi="Calibri"/>
          <w:rtl/>
        </w:rPr>
        <w:t xml:space="preserve">סם מסוכן מסוג חשיש, המחולק ב-24 אריזות מפלסטיק סגורות, במשקל ברוטו מחושב 161.3 גרם. </w:t>
      </w:r>
    </w:p>
    <w:p w14:paraId="23310C9A" w14:textId="77777777" w:rsidR="00CC1224" w:rsidRPr="00F24AC6" w:rsidRDefault="00CC1224" w:rsidP="00CC1224">
      <w:pPr>
        <w:numPr>
          <w:ilvl w:val="0"/>
          <w:numId w:val="1"/>
        </w:numPr>
        <w:spacing w:after="160" w:line="480" w:lineRule="auto"/>
        <w:contextualSpacing/>
        <w:jc w:val="both"/>
        <w:rPr>
          <w:rFonts w:ascii="Calibri" w:eastAsia="Calibri" w:hAnsi="Calibri"/>
        </w:rPr>
      </w:pPr>
      <w:r w:rsidRPr="00F24AC6">
        <w:rPr>
          <w:rFonts w:ascii="Calibri" w:eastAsia="Calibri" w:hAnsi="Calibri"/>
          <w:rtl/>
        </w:rPr>
        <w:lastRenderedPageBreak/>
        <w:t>בהמשך, בשעה 21:00 או בסמוך לכך, בדירה, נערך חיפוש על פי צו בית המשפט. בנסיבות המתוארות החזיק הנאשם, בדירה, בסמים מסוכנים, שלא לצריכה עצמית, שלא כדין ולא היתר מאת המנהל כדלקמן:</w:t>
      </w:r>
    </w:p>
    <w:p w14:paraId="2BBD3E06" w14:textId="77777777" w:rsidR="00CC1224" w:rsidRPr="00F24AC6" w:rsidRDefault="00CC1224" w:rsidP="00CC1224">
      <w:pPr>
        <w:numPr>
          <w:ilvl w:val="0"/>
          <w:numId w:val="3"/>
        </w:numPr>
        <w:spacing w:after="160" w:line="480" w:lineRule="auto"/>
        <w:contextualSpacing/>
        <w:jc w:val="both"/>
        <w:rPr>
          <w:rFonts w:ascii="Calibri" w:eastAsia="Calibri" w:hAnsi="Calibri"/>
        </w:rPr>
      </w:pPr>
      <w:r w:rsidRPr="00F24AC6">
        <w:rPr>
          <w:rFonts w:ascii="Calibri" w:eastAsia="Calibri" w:hAnsi="Calibri"/>
          <w:rtl/>
        </w:rPr>
        <w:t>בארון הבגדים, בתוך מעיל, סם מסוכן מסוג קנבוס במשקל נטו נבדק 10.41 גרם.</w:t>
      </w:r>
    </w:p>
    <w:p w14:paraId="16012A00" w14:textId="77777777" w:rsidR="00CC1224" w:rsidRPr="00F24AC6" w:rsidRDefault="00CC1224" w:rsidP="00CC1224">
      <w:pPr>
        <w:numPr>
          <w:ilvl w:val="0"/>
          <w:numId w:val="3"/>
        </w:numPr>
        <w:spacing w:after="160" w:line="480" w:lineRule="auto"/>
        <w:contextualSpacing/>
        <w:jc w:val="both"/>
        <w:rPr>
          <w:rFonts w:ascii="Calibri" w:eastAsia="Calibri" w:hAnsi="Calibri"/>
        </w:rPr>
      </w:pPr>
      <w:r w:rsidRPr="00F24AC6">
        <w:rPr>
          <w:rFonts w:ascii="Calibri" w:eastAsia="Calibri" w:hAnsi="Calibri"/>
          <w:rtl/>
        </w:rPr>
        <w:t>בסלון הדירה, סם מסוכן מסוג קנבוס במשקל נטו נבדק 9.82 גרם.</w:t>
      </w:r>
    </w:p>
    <w:p w14:paraId="45B4EFDB" w14:textId="77777777" w:rsidR="00CC1224" w:rsidRPr="00F24AC6" w:rsidRDefault="00CC1224" w:rsidP="00CC1224">
      <w:pPr>
        <w:numPr>
          <w:ilvl w:val="0"/>
          <w:numId w:val="3"/>
        </w:numPr>
        <w:spacing w:after="160" w:line="480" w:lineRule="auto"/>
        <w:contextualSpacing/>
        <w:jc w:val="both"/>
        <w:rPr>
          <w:rFonts w:ascii="Calibri" w:eastAsia="Calibri" w:hAnsi="Calibri"/>
        </w:rPr>
      </w:pPr>
      <w:r w:rsidRPr="00F24AC6">
        <w:rPr>
          <w:rFonts w:ascii="Calibri" w:eastAsia="Calibri" w:hAnsi="Calibri"/>
          <w:rtl/>
        </w:rPr>
        <w:t>בסלון הדירה, סם מסוכן מסוג קנבוס במשקל נטו נבדק 33.15 גרם.</w:t>
      </w:r>
    </w:p>
    <w:p w14:paraId="496284B1" w14:textId="77777777" w:rsidR="00CC1224" w:rsidRPr="00F24AC6" w:rsidRDefault="00CC1224" w:rsidP="00CC1224">
      <w:pPr>
        <w:numPr>
          <w:ilvl w:val="0"/>
          <w:numId w:val="3"/>
        </w:numPr>
        <w:spacing w:after="160" w:line="480" w:lineRule="auto"/>
        <w:contextualSpacing/>
        <w:jc w:val="both"/>
        <w:rPr>
          <w:rFonts w:ascii="Calibri" w:eastAsia="Calibri" w:hAnsi="Calibri"/>
        </w:rPr>
      </w:pPr>
      <w:r w:rsidRPr="00F24AC6">
        <w:rPr>
          <w:rFonts w:ascii="Calibri" w:eastAsia="Calibri" w:hAnsi="Calibri"/>
          <w:rtl/>
        </w:rPr>
        <w:t xml:space="preserve">בסלון הדירה, בתוך מזרק, סם מסוכן מסוג </w:t>
      </w:r>
      <w:r w:rsidRPr="00F24AC6">
        <w:rPr>
          <w:rFonts w:ascii="Calibri" w:eastAsia="Calibri" w:hAnsi="Calibri"/>
        </w:rPr>
        <w:t>DELTA9-TETRAHYDROCANNABINOL</w:t>
      </w:r>
      <w:r w:rsidRPr="00F24AC6">
        <w:rPr>
          <w:rFonts w:ascii="Calibri" w:eastAsia="Calibri" w:hAnsi="Calibri"/>
          <w:rtl/>
        </w:rPr>
        <w:t xml:space="preserve"> בנפח 1.25 מ"ל. </w:t>
      </w:r>
    </w:p>
    <w:p w14:paraId="638955DC" w14:textId="77777777" w:rsidR="00CC1224" w:rsidRPr="00F24AC6" w:rsidRDefault="00CC1224" w:rsidP="00CC1224">
      <w:pPr>
        <w:numPr>
          <w:ilvl w:val="0"/>
          <w:numId w:val="1"/>
        </w:numPr>
        <w:spacing w:after="160" w:line="480" w:lineRule="auto"/>
        <w:contextualSpacing/>
        <w:jc w:val="both"/>
        <w:rPr>
          <w:rFonts w:ascii="Calibri" w:eastAsia="Calibri" w:hAnsi="Calibri"/>
        </w:rPr>
      </w:pPr>
      <w:r w:rsidRPr="00F24AC6">
        <w:rPr>
          <w:rFonts w:ascii="Calibri" w:eastAsia="Calibri" w:hAnsi="Calibri"/>
          <w:rtl/>
        </w:rPr>
        <w:t xml:space="preserve">עוד באותן נסיבות, החזיק הנאשם בדירה בשני משקלים דיגיטליים. </w:t>
      </w:r>
    </w:p>
    <w:p w14:paraId="26AFD7C7" w14:textId="77777777" w:rsidR="00CC1224" w:rsidRDefault="00CC1224" w:rsidP="00CC1224">
      <w:pPr>
        <w:spacing w:after="160" w:line="480" w:lineRule="auto"/>
        <w:jc w:val="both"/>
        <w:rPr>
          <w:rFonts w:ascii="DaunPenh" w:eastAsia="Calibri" w:hAnsi="DaunPenh"/>
          <w:b/>
          <w:bCs/>
          <w:u w:val="single"/>
          <w:rtl/>
        </w:rPr>
      </w:pPr>
    </w:p>
    <w:p w14:paraId="42F5B4A0" w14:textId="77777777" w:rsidR="00CC1224" w:rsidRDefault="00CC1224" w:rsidP="00CC1224">
      <w:pPr>
        <w:spacing w:after="160" w:line="480" w:lineRule="auto"/>
        <w:jc w:val="both"/>
        <w:rPr>
          <w:rFonts w:ascii="DaunPenh" w:eastAsia="Calibri" w:hAnsi="DaunPenh"/>
          <w:b/>
          <w:bCs/>
          <w:u w:val="single"/>
          <w:rtl/>
        </w:rPr>
      </w:pPr>
    </w:p>
    <w:p w14:paraId="671F34F7" w14:textId="77777777" w:rsidR="00CC1224" w:rsidRDefault="00CC1224" w:rsidP="00CC1224">
      <w:pPr>
        <w:spacing w:after="160" w:line="480" w:lineRule="auto"/>
        <w:jc w:val="both"/>
        <w:rPr>
          <w:rFonts w:ascii="DaunPenh" w:eastAsia="Calibri" w:hAnsi="DaunPenh"/>
          <w:b/>
          <w:bCs/>
          <w:u w:val="single"/>
          <w:rtl/>
        </w:rPr>
      </w:pPr>
    </w:p>
    <w:p w14:paraId="333FD594" w14:textId="77777777" w:rsidR="00CC1224" w:rsidRPr="00F24AC6" w:rsidRDefault="00CC1224" w:rsidP="00CC1224">
      <w:pPr>
        <w:spacing w:after="160" w:line="480" w:lineRule="auto"/>
        <w:jc w:val="both"/>
        <w:rPr>
          <w:rFonts w:ascii="DaunPenh" w:eastAsia="Calibri" w:hAnsi="DaunPenh"/>
        </w:rPr>
      </w:pPr>
      <w:r w:rsidRPr="00F24AC6">
        <w:rPr>
          <w:rFonts w:ascii="DaunPenh" w:eastAsia="Calibri" w:hAnsi="DaunPenh"/>
          <w:b/>
          <w:bCs/>
          <w:u w:val="single"/>
          <w:rtl/>
        </w:rPr>
        <w:t>תסקירי שירות המבחן</w:t>
      </w:r>
    </w:p>
    <w:p w14:paraId="32F14D2F" w14:textId="77777777" w:rsidR="00CC1224" w:rsidRPr="00F24AC6" w:rsidRDefault="00CC1224" w:rsidP="00CC1224">
      <w:pPr>
        <w:numPr>
          <w:ilvl w:val="0"/>
          <w:numId w:val="1"/>
        </w:numPr>
        <w:spacing w:after="160" w:line="480" w:lineRule="auto"/>
        <w:contextualSpacing/>
        <w:jc w:val="both"/>
        <w:rPr>
          <w:rFonts w:ascii="Calibri" w:eastAsia="Calibri" w:hAnsi="Calibri"/>
        </w:rPr>
      </w:pPr>
      <w:r w:rsidRPr="00F24AC6">
        <w:rPr>
          <w:rFonts w:ascii="Calibri" w:eastAsia="Calibri" w:hAnsi="Calibri"/>
          <w:rtl/>
        </w:rPr>
        <w:t xml:space="preserve"> בעניינו של הנאשם הוגשו שלושה תסקירים מטעם שירות המבחן.</w:t>
      </w:r>
    </w:p>
    <w:p w14:paraId="6E2AC350" w14:textId="77777777" w:rsidR="00CC1224" w:rsidRPr="00F24AC6" w:rsidRDefault="00CC1224" w:rsidP="00CC1224">
      <w:pPr>
        <w:numPr>
          <w:ilvl w:val="0"/>
          <w:numId w:val="1"/>
        </w:numPr>
        <w:spacing w:after="160" w:line="480" w:lineRule="auto"/>
        <w:contextualSpacing/>
        <w:jc w:val="both"/>
        <w:rPr>
          <w:rFonts w:ascii="Calibri" w:eastAsia="Calibri" w:hAnsi="Calibri"/>
        </w:rPr>
      </w:pPr>
      <w:r w:rsidRPr="00F24AC6">
        <w:rPr>
          <w:rFonts w:ascii="Calibri" w:eastAsia="Calibri" w:hAnsi="Calibri"/>
          <w:rtl/>
        </w:rPr>
        <w:t xml:space="preserve">בתסקיר הראשון שהוגש בתאריך 22.4.21, מתאר שירות המבחן כי מדובר בנאשם בן 26, רווק, יליד אוקראינה. מתגורר בבית אמו ומתפרנס למחייתו כמטפל בחברת סיעוד ושליחויות. מעיון בגיליון רישומו הפלילי עולה כי נעדר עבר פלילי, אך עומד נגדו תיק מב"ד בגין ביצוע עבירות שעניינן סחר בסמים והחזקת סם שלא לצריכה עצמית. הנאשם תיאר את המוטיבציה לביצוע העבירות על רקע קשיים כלכליים ואת הרצון להחזיר חובותיו הכספיים, אשר עמדו באותה עת על סך 65,000 ₪. הביע חרטה על מעשיו והכיר בהתנהלותו השולית, אולם התקשה להעמיק ולבחון התנהלותו. שירות המבחן המליץ על צו מבחן וענישה מוחשית וקונקרטית בדרך של ריצוי מאסר בעבודות שירות. </w:t>
      </w:r>
    </w:p>
    <w:p w14:paraId="7993B996" w14:textId="77777777" w:rsidR="00CC1224" w:rsidRPr="00F24AC6" w:rsidRDefault="00CC1224" w:rsidP="00CC1224">
      <w:pPr>
        <w:numPr>
          <w:ilvl w:val="0"/>
          <w:numId w:val="1"/>
        </w:numPr>
        <w:spacing w:after="160" w:line="480" w:lineRule="auto"/>
        <w:contextualSpacing/>
        <w:jc w:val="both"/>
        <w:rPr>
          <w:rFonts w:ascii="Calibri" w:eastAsia="Calibri" w:hAnsi="Calibri"/>
        </w:rPr>
      </w:pPr>
      <w:r w:rsidRPr="00F24AC6">
        <w:rPr>
          <w:rFonts w:ascii="Calibri" w:eastAsia="Calibri" w:hAnsi="Calibri"/>
          <w:rtl/>
        </w:rPr>
        <w:t xml:space="preserve">בתסקיר השני שהוגש בתאריך 9.9.21, בעקבות החלטת בית המשפט מתאריך 25.4.21 לערוך תסקיר משלים, מתאר שירות המבחן כי חלה נסיגה במוטיבציה של הנאשם לערוך שינוי בחייו. ארבע מבדיקות השתן שמסר נמצאו חיוביות לסמים. לאור הדפוסים הבעייתיים באשר לשימוש בסמים, ביקש שירות המבחן לדחות את הדיון לסוף חודש אוקטובר 2021 להערכת צרכיו הטיפוליים הנוגעים לצריכת הסמים. </w:t>
      </w:r>
    </w:p>
    <w:p w14:paraId="3343B47E" w14:textId="77777777" w:rsidR="00CC1224" w:rsidRPr="00F24AC6" w:rsidRDefault="00CC1224" w:rsidP="00CC1224">
      <w:pPr>
        <w:numPr>
          <w:ilvl w:val="0"/>
          <w:numId w:val="1"/>
        </w:numPr>
        <w:spacing w:after="160" w:line="480" w:lineRule="auto"/>
        <w:contextualSpacing/>
        <w:jc w:val="both"/>
        <w:rPr>
          <w:rFonts w:ascii="Calibri" w:eastAsia="Calibri" w:hAnsi="Calibri"/>
        </w:rPr>
      </w:pPr>
      <w:r w:rsidRPr="00F24AC6">
        <w:rPr>
          <w:rFonts w:ascii="Calibri" w:eastAsia="Calibri" w:hAnsi="Calibri"/>
          <w:rtl/>
        </w:rPr>
        <w:t xml:space="preserve">בתסקיר השלישי שהוגש בתאריך 7.11.21, תיאר שירות המבחן כי בתקופה שחלפה מאז תסקירם הקודם, קוימה פגישה עם הנאשם במהלכה תיאר את קשייו הכלכליים והאחריות הרבה שנושא לפרנסת משפחתו. תיאר כי עומדים נגדו חובות על סך 95,000 ₪ וכי חזר לצרוך חומרים פסיכואקטיביים. בתקופת הדחייה לא התייצב למסור בדיקות שתן. שירות המבחן נמנע מהמלצה שיקומית בשל אי שיתוף פעולה, והעדר יכולת להתחייב להליך טיפולי, והמליץ על ענישה מוחשית מחדדת גבולות החוק. </w:t>
      </w:r>
    </w:p>
    <w:p w14:paraId="47700922" w14:textId="77777777" w:rsidR="00CC1224" w:rsidRDefault="00CC1224" w:rsidP="00CC1224">
      <w:pPr>
        <w:spacing w:after="160" w:line="480" w:lineRule="auto"/>
        <w:jc w:val="both"/>
        <w:rPr>
          <w:rFonts w:ascii="DaunPenh" w:eastAsia="Calibri" w:hAnsi="DaunPenh"/>
          <w:b/>
          <w:bCs/>
          <w:u w:val="single"/>
          <w:rtl/>
        </w:rPr>
      </w:pPr>
    </w:p>
    <w:p w14:paraId="301B4282" w14:textId="77777777" w:rsidR="00CC1224" w:rsidRDefault="00CC1224" w:rsidP="00CC1224">
      <w:pPr>
        <w:spacing w:after="160" w:line="480" w:lineRule="auto"/>
        <w:jc w:val="both"/>
        <w:rPr>
          <w:rFonts w:ascii="DaunPenh" w:eastAsia="Calibri" w:hAnsi="DaunPenh"/>
          <w:b/>
          <w:bCs/>
          <w:u w:val="single"/>
          <w:rtl/>
        </w:rPr>
      </w:pPr>
    </w:p>
    <w:p w14:paraId="20D330F2" w14:textId="77777777" w:rsidR="00CC1224" w:rsidRPr="00F24AC6" w:rsidRDefault="00CC1224" w:rsidP="00CC1224">
      <w:pPr>
        <w:spacing w:after="160" w:line="480" w:lineRule="auto"/>
        <w:jc w:val="both"/>
        <w:rPr>
          <w:rFonts w:ascii="Calibri" w:eastAsia="Calibri" w:hAnsi="Calibri"/>
        </w:rPr>
      </w:pPr>
      <w:r w:rsidRPr="00F24AC6">
        <w:rPr>
          <w:rFonts w:ascii="DaunPenh" w:eastAsia="Calibri" w:hAnsi="DaunPenh"/>
          <w:b/>
          <w:bCs/>
          <w:u w:val="single"/>
          <w:rtl/>
        </w:rPr>
        <w:t>חוות דעת הממונה על עבודות שירות</w:t>
      </w:r>
      <w:r w:rsidRPr="00F24AC6">
        <w:rPr>
          <w:rFonts w:ascii="DaunPenh" w:eastAsia="Calibri" w:hAnsi="DaunPenh"/>
          <w:rtl/>
        </w:rPr>
        <w:t xml:space="preserve">  </w:t>
      </w:r>
    </w:p>
    <w:p w14:paraId="610984D6" w14:textId="77777777" w:rsidR="00CC1224" w:rsidRPr="00F24AC6" w:rsidRDefault="00CC1224" w:rsidP="00CC1224">
      <w:pPr>
        <w:numPr>
          <w:ilvl w:val="0"/>
          <w:numId w:val="1"/>
        </w:numPr>
        <w:spacing w:after="160" w:line="480" w:lineRule="auto"/>
        <w:contextualSpacing/>
        <w:jc w:val="both"/>
        <w:rPr>
          <w:rFonts w:ascii="DaunPenh" w:eastAsia="Calibri" w:hAnsi="DaunPenh"/>
          <w:rtl/>
        </w:rPr>
      </w:pPr>
      <w:r w:rsidRPr="00F24AC6">
        <w:rPr>
          <w:rFonts w:ascii="DaunPenh" w:eastAsia="Calibri" w:hAnsi="DaunPenh"/>
          <w:rtl/>
        </w:rPr>
        <w:t xml:space="preserve">הנאשם נמצא מתאים לריצוי עונש במסגרת עבודות שירות. </w:t>
      </w:r>
    </w:p>
    <w:p w14:paraId="4539E62D" w14:textId="77777777" w:rsidR="00CC1224" w:rsidRPr="00F24AC6" w:rsidRDefault="00CC1224" w:rsidP="00CC1224">
      <w:pPr>
        <w:spacing w:after="160" w:line="480" w:lineRule="auto"/>
        <w:jc w:val="both"/>
        <w:rPr>
          <w:rFonts w:eastAsia="Calibri"/>
          <w:b/>
          <w:bCs/>
          <w:u w:val="single"/>
          <w:rtl/>
        </w:rPr>
      </w:pPr>
      <w:r w:rsidRPr="00F24AC6">
        <w:rPr>
          <w:rFonts w:eastAsia="Calibri"/>
          <w:b/>
          <w:bCs/>
          <w:u w:val="single"/>
          <w:rtl/>
        </w:rPr>
        <w:t>טיעוני</w:t>
      </w:r>
      <w:r w:rsidRPr="00F24AC6">
        <w:rPr>
          <w:rFonts w:ascii="DaunPenh" w:eastAsia="Calibri" w:hAnsi="DaunPenh"/>
          <w:b/>
          <w:bCs/>
          <w:u w:val="single"/>
          <w:rtl/>
        </w:rPr>
        <w:t xml:space="preserve"> </w:t>
      </w:r>
      <w:r w:rsidRPr="00F24AC6">
        <w:rPr>
          <w:rFonts w:eastAsia="Calibri"/>
          <w:b/>
          <w:bCs/>
          <w:u w:val="single"/>
          <w:rtl/>
        </w:rPr>
        <w:t>הצדדים</w:t>
      </w:r>
    </w:p>
    <w:p w14:paraId="59401D6B" w14:textId="77777777" w:rsidR="00CC1224" w:rsidRPr="00F24AC6" w:rsidRDefault="00CC1224" w:rsidP="00CC1224">
      <w:pPr>
        <w:numPr>
          <w:ilvl w:val="0"/>
          <w:numId w:val="1"/>
        </w:numPr>
        <w:spacing w:after="160" w:line="480" w:lineRule="auto"/>
        <w:contextualSpacing/>
        <w:jc w:val="both"/>
        <w:rPr>
          <w:rFonts w:eastAsia="Calibri"/>
          <w:rtl/>
        </w:rPr>
      </w:pPr>
      <w:r w:rsidRPr="00F24AC6">
        <w:rPr>
          <w:rFonts w:eastAsia="Calibri"/>
          <w:rtl/>
        </w:rPr>
        <w:t xml:space="preserve">ב"כ המאשימה, עו"ד דנית שושן, חזרה על עובדות כתב האישום המתוקן והדגישה כי לא מדובר באירוע חד פעמי או מקרי אלא בעיסוק שיטתי. ציינה כי הערכים המוגנים ומדיניות הענישה ידועים לבית המשפט ובשל כך לא הכבירה במילים בעניין הזה. באשר לאישום הראשון, טענה למתחם ענישה הנע בין 6-12 חודשי מאסר, והדגישה שמדובר ברף הנמוך של המתחם. ביחס לאישום השני, טענה למתחם ענישה הנע בין 8-18 חודשי מאסר וציינה כי הנאשם ממוקם ברף האמצעי - גבוה. עתרה להשית על הנאשם מאסר מאחורי סורג ובריח וענישה נלוות. באשר לבקשת החילוט, הגישה לבית המשפט מסמכים על בעלות הנאשם ברכב.  בתאריך 14.11.21 השלימה טענותיה לאחר קבלת תסקיר משלים, והדגישה את הרגרסיה שחלה במצבו של הנאשם, את העובדה שלא התייצב למסור בדיקות לאיתור סם וטענה כי שב לצרוך סמים. תיארה את המוטיבציה הנמוכה והקושי להתחייב להליך טיפולי כאשר הוא ממוקד במצוקתו הכלכלית. </w:t>
      </w:r>
    </w:p>
    <w:p w14:paraId="0BB5803E" w14:textId="77777777" w:rsidR="00CC1224" w:rsidRPr="00F24AC6" w:rsidRDefault="00CC1224" w:rsidP="00CC1224">
      <w:pPr>
        <w:numPr>
          <w:ilvl w:val="0"/>
          <w:numId w:val="1"/>
        </w:numPr>
        <w:spacing w:after="160" w:line="480" w:lineRule="auto"/>
        <w:contextualSpacing/>
        <w:jc w:val="both"/>
        <w:rPr>
          <w:rFonts w:ascii="DaunPenh" w:eastAsia="Calibri" w:hAnsi="DaunPenh"/>
        </w:rPr>
      </w:pPr>
      <w:r w:rsidRPr="00F24AC6">
        <w:rPr>
          <w:rFonts w:eastAsia="Calibri"/>
          <w:rtl/>
        </w:rPr>
        <w:t>ב"כ הנאשם, עו"ד צחי רז, טען כי הנאשם הורשע בעבירת סחר בכמות קטנה. היה עצור באיזוק אלקטרוני במשך 4 חודשים, ללא הפרות ובהחלטת בית המשפט שב לעבודתו. טען לנסיבות חיים קשות כאשר הנאשם ומשפחתו נתמכים על ידי הרווחה. למרות התמכרותו הקשה לסמים הצליח להשלים 12 שנות לימוד, והדגיש את החובות הכלכליים שהובילו אותו לביצוע העבירות. הנאשם מכיר בדפוסיו השוליים ו</w:t>
      </w:r>
      <w:r w:rsidRPr="00F24AC6">
        <w:rPr>
          <w:rFonts w:ascii="DaunPenh" w:eastAsia="Calibri" w:hAnsi="DaunPenh"/>
          <w:rtl/>
        </w:rPr>
        <w:t xml:space="preserve">הביע נכונות להשתלב בטיפול. עתר לעונש שירוצה בעבודות שירות. בתאריך 14.11.21 לאחר קבלת התסקיר המשלים, השלים טיעוניו וציין כי המאשימה עתרה בשני האישומים למתחמים גבוהים. טען כי לא ייתכן שמתחם הענישה בעבירה של החזקת סמים חמור ממתחם ענישה בעבירת הסחר. הדגיש כי מדובר בנאשם אשר לא נפתחו נגדו תיקים נוספים, והסיבה בגינה לא שולב בקבוצה טיפולית היא בשל אילוצי המערכת. הוסכם על חילוט הרכב והמזומן שנתפס אך עתר לענישה מקלה ומתחשבת בעקבות כך. </w:t>
      </w:r>
    </w:p>
    <w:p w14:paraId="4D05935A" w14:textId="77777777" w:rsidR="00CC1224" w:rsidRPr="00F24AC6" w:rsidRDefault="00CC1224" w:rsidP="00CC1224">
      <w:pPr>
        <w:numPr>
          <w:ilvl w:val="0"/>
          <w:numId w:val="1"/>
        </w:numPr>
        <w:spacing w:after="160" w:line="480" w:lineRule="auto"/>
        <w:contextualSpacing/>
        <w:jc w:val="both"/>
        <w:rPr>
          <w:rFonts w:ascii="DaunPenh" w:eastAsia="Calibri" w:hAnsi="DaunPenh"/>
        </w:rPr>
      </w:pPr>
      <w:r w:rsidRPr="00F24AC6">
        <w:rPr>
          <w:rFonts w:ascii="DaunPenh" w:eastAsia="Calibri" w:hAnsi="DaunPenh"/>
          <w:rtl/>
        </w:rPr>
        <w:t xml:space="preserve">הנאשם בדברו האחרון טען כי הוא מצוי בנקודת שפל ומנסה להשתקם. לדבריו לא שב לסחור בסמים ומבין את ההשלכות של מעשיו. </w:t>
      </w:r>
    </w:p>
    <w:p w14:paraId="69F2D2D0" w14:textId="77777777" w:rsidR="00CC1224" w:rsidRPr="00F24AC6" w:rsidRDefault="00CC1224" w:rsidP="00CC1224">
      <w:pPr>
        <w:spacing w:after="160" w:line="480" w:lineRule="auto"/>
        <w:jc w:val="both"/>
        <w:rPr>
          <w:rFonts w:ascii="DaunPenh" w:eastAsia="Calibri" w:hAnsi="DaunPenh"/>
        </w:rPr>
      </w:pPr>
      <w:r w:rsidRPr="00F24AC6">
        <w:rPr>
          <w:rFonts w:ascii="Arial" w:eastAsia="Calibri" w:hAnsi="Arial"/>
          <w:b/>
          <w:bCs/>
          <w:u w:val="single"/>
          <w:rtl/>
        </w:rPr>
        <w:t>דיון והכרעה</w:t>
      </w:r>
    </w:p>
    <w:p w14:paraId="238E5DB7" w14:textId="77777777" w:rsidR="00CC1224" w:rsidRPr="00F24AC6" w:rsidRDefault="00CC1224" w:rsidP="00CC1224">
      <w:pPr>
        <w:spacing w:after="160" w:line="480" w:lineRule="auto"/>
        <w:jc w:val="both"/>
        <w:rPr>
          <w:rFonts w:ascii="DaunPenh" w:eastAsia="Calibri" w:hAnsi="DaunPenh"/>
          <w:rtl/>
        </w:rPr>
      </w:pPr>
      <w:r w:rsidRPr="00F24AC6">
        <w:rPr>
          <w:rFonts w:ascii="DaunPenh" w:eastAsia="Calibri" w:hAnsi="DaunPenh"/>
          <w:b/>
          <w:bCs/>
          <w:u w:val="single"/>
          <w:rtl/>
        </w:rPr>
        <w:t>מתחם העונש</w:t>
      </w:r>
    </w:p>
    <w:p w14:paraId="27ADFB64" w14:textId="77777777" w:rsidR="00CC1224" w:rsidRPr="00F24AC6" w:rsidRDefault="00CC1224" w:rsidP="00CC1224">
      <w:pPr>
        <w:numPr>
          <w:ilvl w:val="0"/>
          <w:numId w:val="1"/>
        </w:numPr>
        <w:spacing w:after="160" w:line="480" w:lineRule="auto"/>
        <w:contextualSpacing/>
        <w:jc w:val="both"/>
        <w:rPr>
          <w:rFonts w:ascii="DaunPenh" w:eastAsia="Calibri" w:hAnsi="DaunPenh"/>
        </w:rPr>
      </w:pPr>
      <w:r w:rsidRPr="00F24AC6">
        <w:rPr>
          <w:rFonts w:ascii="DaunPenh" w:eastAsia="Calibri" w:hAnsi="DaunPenh"/>
          <w:rtl/>
        </w:rPr>
        <w:t>הערך החברתי אשר נפגע כתוצאה מהעבירות שבוצעו על ידי הנאשם הינו הגנה על הציבור מפני הנזקים הנגרמים על ידי המשתמשים בסמים. בית המשפט העליון חזר פעמים רבות על חשיבות המאבק בנגע הסמים על ידי ענישת הסוחרים בסם אשר מפיקים רווח כספי תוך גרימת נזק לאחרים.</w:t>
      </w:r>
    </w:p>
    <w:p w14:paraId="5891F0DC" w14:textId="77777777" w:rsidR="00CC1224" w:rsidRPr="00F24AC6" w:rsidRDefault="00CC1224" w:rsidP="00CC1224">
      <w:pPr>
        <w:numPr>
          <w:ilvl w:val="0"/>
          <w:numId w:val="1"/>
        </w:numPr>
        <w:spacing w:after="160" w:line="480" w:lineRule="auto"/>
        <w:contextualSpacing/>
        <w:jc w:val="both"/>
        <w:rPr>
          <w:rFonts w:eastAsia="Calibri"/>
        </w:rPr>
      </w:pPr>
      <w:r w:rsidRPr="00F24AC6">
        <w:rPr>
          <w:rFonts w:ascii="DaunPenh" w:eastAsia="Calibri" w:hAnsi="DaunPenh"/>
          <w:rtl/>
        </w:rPr>
        <w:t>בכלל הנסיבות הקשורות לביצוע העבירה, שקלתי את העובדה כי באשר לאישום הראשון מדובר באישום בודד של מכירת סם מסוג קאנבוס שלא בכמות גדולה, אולם ככל שהדבר נוגע לאישום השני, הרי שמדובר בהחזקת כמות משמעותית של סמים, כ-215 גרם של סם מסוכן מסוג חשיש, כ-300 גרם של סם מסוג קאנבוס</w:t>
      </w:r>
      <w:r w:rsidRPr="00F24AC6">
        <w:rPr>
          <w:rFonts w:eastAsia="Calibri"/>
          <w:rtl/>
        </w:rPr>
        <w:t xml:space="preserve"> וכ-2.55 מיליליטר של סם נוסף שנתפסו הן ברכבו והן בביתו של הנאשם. כאשר עיקר החומרה מצוי בכך שהסם נתפס ברכב מחולק לעשרות שקיות ואריזות מפלסטיק, עובדה שיש בה על מנת להעיד כי מדובר בסם שאינו לצריכה עצמית, אלא מיועד למטרות סחר, כפי שאישר הנאשם עצמו. עוד ניתן היה ללמוד על כך משני משקלים דיגיטליים שנמצאו בביתו של הנאשם. נתונים אלו מצביעים על מעורבות עמוקה של הנאשם בעולם הסמים.</w:t>
      </w:r>
    </w:p>
    <w:p w14:paraId="71D21756" w14:textId="77777777" w:rsidR="00CC1224" w:rsidRPr="00F24AC6" w:rsidRDefault="00CC1224" w:rsidP="00CC1224">
      <w:pPr>
        <w:numPr>
          <w:ilvl w:val="0"/>
          <w:numId w:val="1"/>
        </w:numPr>
        <w:spacing w:after="160" w:line="480" w:lineRule="auto"/>
        <w:contextualSpacing/>
        <w:jc w:val="both"/>
        <w:rPr>
          <w:rFonts w:ascii="DaunPenh" w:eastAsia="Calibri" w:hAnsi="DaunPenh"/>
        </w:rPr>
      </w:pPr>
      <w:r w:rsidRPr="00F24AC6">
        <w:rPr>
          <w:rFonts w:ascii="DaunPenh" w:eastAsia="Calibri" w:hAnsi="DaunPenh"/>
          <w:rtl/>
        </w:rPr>
        <w:t>בחינת העבירות בהן הורשע הנאשם מצביעה על קשר ענייני והדוק ביניהן ואשר על כן אקבע מתחם ענישה אחד לשני האישומים.</w:t>
      </w:r>
    </w:p>
    <w:p w14:paraId="23D64245" w14:textId="77777777" w:rsidR="00CC1224" w:rsidRPr="00F24AC6" w:rsidRDefault="00CC1224" w:rsidP="00CC1224">
      <w:pPr>
        <w:numPr>
          <w:ilvl w:val="0"/>
          <w:numId w:val="1"/>
        </w:numPr>
        <w:spacing w:after="160" w:line="480" w:lineRule="auto"/>
        <w:contextualSpacing/>
        <w:jc w:val="both"/>
        <w:rPr>
          <w:rFonts w:eastAsia="Calibri"/>
          <w:b/>
          <w:bCs/>
          <w:u w:val="single"/>
        </w:rPr>
      </w:pPr>
      <w:r w:rsidRPr="00F24AC6">
        <w:rPr>
          <w:rFonts w:eastAsia="Calibri"/>
          <w:rtl/>
        </w:rPr>
        <w:t>לאחר שבחנתי את מדיניות הענישה הנוהגת בעבירות מעין אלו, הגעתי למסקנה כי המתחם הראוי לעבירות שבוצעו כמתואר בכתב האישום המתוקן, נע בין 8 ל- 15 חודשי מאסר בפועל לצד ענישה נלווית.</w:t>
      </w:r>
    </w:p>
    <w:p w14:paraId="6DB906A3" w14:textId="77777777" w:rsidR="00CC1224" w:rsidRDefault="00CC1224" w:rsidP="00CC1224">
      <w:pPr>
        <w:spacing w:after="160" w:line="480" w:lineRule="auto"/>
        <w:jc w:val="both"/>
        <w:rPr>
          <w:rFonts w:eastAsia="Calibri"/>
          <w:b/>
          <w:bCs/>
          <w:u w:val="single"/>
          <w:rtl/>
        </w:rPr>
      </w:pPr>
    </w:p>
    <w:p w14:paraId="6E40968B" w14:textId="77777777" w:rsidR="00CC1224" w:rsidRDefault="00CC1224" w:rsidP="00CC1224">
      <w:pPr>
        <w:spacing w:after="160" w:line="480" w:lineRule="auto"/>
        <w:jc w:val="both"/>
        <w:rPr>
          <w:rFonts w:eastAsia="Calibri"/>
          <w:b/>
          <w:bCs/>
          <w:u w:val="single"/>
          <w:rtl/>
        </w:rPr>
      </w:pPr>
    </w:p>
    <w:p w14:paraId="3EDC5219" w14:textId="77777777" w:rsidR="00CC1224" w:rsidRPr="00F24AC6" w:rsidRDefault="00CC1224" w:rsidP="00CC1224">
      <w:pPr>
        <w:spacing w:after="160" w:line="480" w:lineRule="auto"/>
        <w:jc w:val="both"/>
        <w:rPr>
          <w:rFonts w:eastAsia="Calibri"/>
          <w:b/>
          <w:bCs/>
          <w:u w:val="single"/>
        </w:rPr>
      </w:pPr>
      <w:r w:rsidRPr="00F24AC6">
        <w:rPr>
          <w:rFonts w:eastAsia="Calibri"/>
          <w:b/>
          <w:bCs/>
          <w:u w:val="single"/>
          <w:rtl/>
        </w:rPr>
        <w:t xml:space="preserve"> </w:t>
      </w:r>
      <w:r w:rsidRPr="00F24AC6">
        <w:rPr>
          <w:rFonts w:eastAsia="Calibri" w:hint="cs"/>
          <w:b/>
          <w:bCs/>
          <w:u w:val="single"/>
          <w:rtl/>
        </w:rPr>
        <w:t>גזירת העונש</w:t>
      </w:r>
    </w:p>
    <w:p w14:paraId="25466FD0" w14:textId="77777777" w:rsidR="00CC1224" w:rsidRPr="00F24AC6" w:rsidRDefault="00CC1224" w:rsidP="00CC1224">
      <w:pPr>
        <w:numPr>
          <w:ilvl w:val="0"/>
          <w:numId w:val="1"/>
        </w:numPr>
        <w:spacing w:after="160" w:line="480" w:lineRule="auto"/>
        <w:contextualSpacing/>
        <w:jc w:val="both"/>
        <w:rPr>
          <w:rFonts w:eastAsia="Calibri"/>
          <w:rtl/>
        </w:rPr>
      </w:pPr>
      <w:r w:rsidRPr="00F24AC6">
        <w:rPr>
          <w:rFonts w:eastAsia="Calibri"/>
          <w:rtl/>
        </w:rPr>
        <w:t>בכלל הנסיבות שאינן קשורות לביצוע העבירה, שקלתי את העובדה כי מדובר בנאשם חסר עבר פלילי ש</w:t>
      </w:r>
      <w:r w:rsidRPr="00F24AC6">
        <w:rPr>
          <w:rFonts w:ascii="Calibri" w:eastAsia="Calibri" w:hAnsi="Calibri"/>
          <w:rtl/>
        </w:rPr>
        <w:t>הודה ולקח אחריות על מעשיו ובכך חסך זמן שיפוטי ואת הצורך בהעדת עדים רבים</w:t>
      </w:r>
      <w:r w:rsidRPr="00F24AC6">
        <w:rPr>
          <w:rFonts w:ascii="Calibri" w:eastAsia="Calibri" w:hAnsi="Calibri"/>
          <w:sz w:val="28"/>
          <w:szCs w:val="28"/>
          <w:rtl/>
        </w:rPr>
        <w:t xml:space="preserve">. </w:t>
      </w:r>
    </w:p>
    <w:p w14:paraId="1A3C332A" w14:textId="77777777" w:rsidR="00CC1224" w:rsidRPr="00F24AC6" w:rsidRDefault="00CC1224" w:rsidP="00CC1224">
      <w:pPr>
        <w:numPr>
          <w:ilvl w:val="0"/>
          <w:numId w:val="1"/>
        </w:numPr>
        <w:spacing w:after="160" w:line="480" w:lineRule="auto"/>
        <w:contextualSpacing/>
        <w:jc w:val="both"/>
        <w:rPr>
          <w:rFonts w:eastAsia="Calibri"/>
        </w:rPr>
      </w:pPr>
      <w:r w:rsidRPr="00F24AC6">
        <w:rPr>
          <w:rFonts w:eastAsia="Calibri"/>
          <w:rtl/>
        </w:rPr>
        <w:t>עוד התחשבתי בנסיבות חייו של הנאשם, שעלה בגיל צעיר לארץ עם סבתו וחווה קשיים רבים לנוכח נסיבות חייו כפי שמפורטות בתסקירי שירות המבחן. ניכר כי נסיבות אלו הן שהביאו למצבו של הנאשם שבשל רצונו לסייע למשפחתו נקלע לחובות כבדים.</w:t>
      </w:r>
    </w:p>
    <w:p w14:paraId="1283995E" w14:textId="77777777" w:rsidR="00CC1224" w:rsidRPr="00F24AC6" w:rsidRDefault="00CC1224" w:rsidP="00CC1224">
      <w:pPr>
        <w:numPr>
          <w:ilvl w:val="0"/>
          <w:numId w:val="1"/>
        </w:numPr>
        <w:spacing w:after="160" w:line="480" w:lineRule="auto"/>
        <w:contextualSpacing/>
        <w:jc w:val="both"/>
        <w:rPr>
          <w:rFonts w:eastAsia="Calibri"/>
        </w:rPr>
      </w:pPr>
      <w:r w:rsidRPr="00F24AC6">
        <w:rPr>
          <w:rFonts w:eastAsia="Calibri"/>
          <w:rtl/>
        </w:rPr>
        <w:t>כמו כן נלקחה בחשבון העובדה שהנאשם היה מצוי במעצר בין התאריכים 29.1.20 – 16.3.20 ומאז ועד לתאריך 1.7.20 במעצר בפיקוח אלקטרוני.</w:t>
      </w:r>
    </w:p>
    <w:p w14:paraId="5D9F6D15" w14:textId="77777777" w:rsidR="00CC1224" w:rsidRPr="00F24AC6" w:rsidRDefault="00CC1224" w:rsidP="00CC1224">
      <w:pPr>
        <w:numPr>
          <w:ilvl w:val="0"/>
          <w:numId w:val="1"/>
        </w:numPr>
        <w:spacing w:after="160" w:line="480" w:lineRule="auto"/>
        <w:contextualSpacing/>
        <w:jc w:val="both"/>
        <w:rPr>
          <w:rFonts w:eastAsia="Calibri"/>
        </w:rPr>
      </w:pPr>
      <w:r w:rsidRPr="00F24AC6">
        <w:rPr>
          <w:rFonts w:eastAsia="Calibri"/>
          <w:rtl/>
        </w:rPr>
        <w:t>בשל נסיבות חיים אלו סברתי כי יש לתת לנאשם הזדמנות להליך שיקומי שיאפשר לו לצאת מעולם הסמים בו הוא מצוי ולסייע לו לבנות את עתידו האישי והתעסוקתי הרחק מהעולם העברייני. זאת מאחר והזדמנות שכזו לא ניתנה לו עד עתה בחייו. לצערי, כפי שעולה משלושת תסקירי שירות המבחן, ניסיון זה לא צלח. למרות מאמצים חוזרים ונשנים שנעשו על ידי שירות המבחן על מנת לגייסו להליך הטיפולי, הנאשם לא נרתם אליו ואף חלה במצבו רגרסיה בחצי שנה האחרונה והוא חזר להשתמש בחומרים פסיכואקטיביים ובאלכוהול בתדירות גבוהה, כאשר שירות המבחן מתרשם מהתדרדרות וסיכון במצבו ומכך שהנאשם אינו מכיר בחומרת מצבו ונעדר יכולת להתחייב להליך טיפולי.</w:t>
      </w:r>
    </w:p>
    <w:p w14:paraId="4828B8D6" w14:textId="77777777" w:rsidR="00CC1224" w:rsidRPr="00F24AC6" w:rsidRDefault="00CC1224" w:rsidP="00CC1224">
      <w:pPr>
        <w:numPr>
          <w:ilvl w:val="0"/>
          <w:numId w:val="1"/>
        </w:numPr>
        <w:spacing w:after="160" w:line="480" w:lineRule="auto"/>
        <w:contextualSpacing/>
        <w:jc w:val="both"/>
        <w:rPr>
          <w:rFonts w:eastAsia="Calibri"/>
        </w:rPr>
      </w:pPr>
      <w:r w:rsidRPr="00F24AC6">
        <w:rPr>
          <w:rFonts w:eastAsia="Calibri"/>
          <w:rtl/>
        </w:rPr>
        <w:t>אמנם חכמינו כבר אמרו כי "אין חבוש מוציא עצמו מבית האסורים" ולכן סברתי יש להושיט יד לנאשם ולסייע לו לחלץ עצמו ממצב בו יישלח לבית הכלא. אולם בסופו של דבר החבוש נדרש לתת יד למסייעים לו על מנת שניתן יהיה לחלצו, וזה לא נעשה על ידו.</w:t>
      </w:r>
    </w:p>
    <w:p w14:paraId="5D47CD65" w14:textId="77777777" w:rsidR="00CC1224" w:rsidRPr="00F24AC6" w:rsidRDefault="00CC1224" w:rsidP="00CC1224">
      <w:pPr>
        <w:numPr>
          <w:ilvl w:val="0"/>
          <w:numId w:val="1"/>
        </w:numPr>
        <w:spacing w:after="160" w:line="480" w:lineRule="auto"/>
        <w:contextualSpacing/>
        <w:jc w:val="both"/>
        <w:rPr>
          <w:rFonts w:eastAsia="Calibri"/>
        </w:rPr>
      </w:pPr>
      <w:r w:rsidRPr="00F24AC6">
        <w:rPr>
          <w:rFonts w:eastAsia="Calibri"/>
          <w:rtl/>
        </w:rPr>
        <w:t>לנוכח מצבו הכלכלי של הנאשם, כך גם חילוט הרכוש, לא אטיל עליו בנוסף קנס כספי.</w:t>
      </w:r>
    </w:p>
    <w:p w14:paraId="269F8BDC" w14:textId="77777777" w:rsidR="00CC1224" w:rsidRPr="00F24AC6" w:rsidRDefault="00CC1224" w:rsidP="00CC1224">
      <w:pPr>
        <w:spacing w:after="160" w:line="360" w:lineRule="auto"/>
        <w:ind w:left="360"/>
        <w:contextualSpacing/>
        <w:jc w:val="both"/>
        <w:rPr>
          <w:rFonts w:ascii="David" w:eastAsia="Calibri" w:hAnsi="David"/>
          <w:u w:val="single"/>
        </w:rPr>
      </w:pPr>
      <w:r w:rsidRPr="00F24AC6">
        <w:rPr>
          <w:rFonts w:ascii="David" w:eastAsia="Calibri" w:hAnsi="David"/>
          <w:u w:val="single"/>
          <w:rtl/>
        </w:rPr>
        <w:t xml:space="preserve">לאור כל האמור לעיל אני מכריז על הנאשם כסוחר סמים ומטיל עליו את העונשים הבאים כדלקמן: </w:t>
      </w:r>
    </w:p>
    <w:p w14:paraId="51C54D8A" w14:textId="77777777" w:rsidR="00CC1224" w:rsidRPr="00F24AC6" w:rsidRDefault="00CC1224" w:rsidP="00CC1224">
      <w:pPr>
        <w:numPr>
          <w:ilvl w:val="0"/>
          <w:numId w:val="4"/>
        </w:numPr>
        <w:spacing w:after="160" w:line="480" w:lineRule="auto"/>
        <w:contextualSpacing/>
        <w:jc w:val="both"/>
        <w:rPr>
          <w:rFonts w:eastAsia="Calibri"/>
        </w:rPr>
      </w:pPr>
      <w:r w:rsidRPr="00F24AC6">
        <w:rPr>
          <w:rFonts w:eastAsia="Calibri"/>
          <w:rtl/>
        </w:rPr>
        <w:t>10 חודשי מאסר בפועל.</w:t>
      </w:r>
    </w:p>
    <w:p w14:paraId="193C8013" w14:textId="77777777" w:rsidR="00CC1224" w:rsidRPr="00F24AC6" w:rsidRDefault="00CC1224" w:rsidP="00CC1224">
      <w:pPr>
        <w:numPr>
          <w:ilvl w:val="0"/>
          <w:numId w:val="4"/>
        </w:numPr>
        <w:spacing w:after="160" w:line="480" w:lineRule="auto"/>
        <w:contextualSpacing/>
        <w:jc w:val="both"/>
        <w:rPr>
          <w:rFonts w:eastAsia="Calibri"/>
        </w:rPr>
      </w:pPr>
      <w:r w:rsidRPr="00F24AC6">
        <w:rPr>
          <w:rFonts w:eastAsia="Calibri"/>
          <w:rtl/>
        </w:rPr>
        <w:t xml:space="preserve">6 חודשי מאסר על תנאי למשך שלש שנים מהיום כשהתנאי הוא שהנאשם לא יעבור עבירה מסוג פשע על פי </w:t>
      </w:r>
      <w:hyperlink r:id="rId17" w:history="1">
        <w:r w:rsidR="0047084B" w:rsidRPr="0047084B">
          <w:rPr>
            <w:rFonts w:eastAsia="Calibri"/>
            <w:color w:val="0000FF"/>
            <w:u w:val="single"/>
            <w:rtl/>
          </w:rPr>
          <w:t>פקודת הסמים המסוכנים</w:t>
        </w:r>
      </w:hyperlink>
      <w:r w:rsidRPr="00F24AC6">
        <w:rPr>
          <w:rFonts w:eastAsia="Calibri"/>
          <w:rtl/>
        </w:rPr>
        <w:t>.</w:t>
      </w:r>
    </w:p>
    <w:p w14:paraId="410A23AE" w14:textId="77777777" w:rsidR="00CC1224" w:rsidRPr="00F24AC6" w:rsidRDefault="00CC1224" w:rsidP="00CC1224">
      <w:pPr>
        <w:numPr>
          <w:ilvl w:val="0"/>
          <w:numId w:val="4"/>
        </w:numPr>
        <w:spacing w:after="160" w:line="480" w:lineRule="auto"/>
        <w:contextualSpacing/>
        <w:jc w:val="both"/>
        <w:rPr>
          <w:rFonts w:eastAsia="Calibri"/>
        </w:rPr>
      </w:pPr>
      <w:r w:rsidRPr="00F24AC6">
        <w:rPr>
          <w:rFonts w:eastAsia="Calibri"/>
          <w:rtl/>
        </w:rPr>
        <w:t xml:space="preserve">3 חודשי מאסר על תנאי למשך שלש שנים מהיום והתנאי הוא שלא יעבור עבירה מסוג עוון על פי </w:t>
      </w:r>
      <w:hyperlink r:id="rId18" w:history="1">
        <w:r w:rsidR="0047084B" w:rsidRPr="0047084B">
          <w:rPr>
            <w:rFonts w:eastAsia="Calibri"/>
            <w:color w:val="0000FF"/>
            <w:u w:val="single"/>
            <w:rtl/>
          </w:rPr>
          <w:t>פקודת הסמים המסוכנים</w:t>
        </w:r>
      </w:hyperlink>
      <w:r w:rsidRPr="00F24AC6">
        <w:rPr>
          <w:rFonts w:eastAsia="Calibri"/>
          <w:rtl/>
        </w:rPr>
        <w:t>.</w:t>
      </w:r>
    </w:p>
    <w:p w14:paraId="3D07AEB1" w14:textId="77777777" w:rsidR="00CC1224" w:rsidRPr="00F24AC6" w:rsidRDefault="00CC1224" w:rsidP="00CC1224">
      <w:pPr>
        <w:numPr>
          <w:ilvl w:val="0"/>
          <w:numId w:val="4"/>
        </w:numPr>
        <w:spacing w:after="160" w:line="480" w:lineRule="auto"/>
        <w:contextualSpacing/>
        <w:jc w:val="both"/>
        <w:rPr>
          <w:rFonts w:eastAsia="Calibri"/>
        </w:rPr>
      </w:pPr>
      <w:r w:rsidRPr="00F24AC6">
        <w:rPr>
          <w:rFonts w:eastAsia="Calibri"/>
          <w:rtl/>
        </w:rPr>
        <w:t>פסילת רישיון  למשך חודשיים מיום שחרורו ממאסרו.</w:t>
      </w:r>
    </w:p>
    <w:p w14:paraId="6AC58607" w14:textId="77777777" w:rsidR="00CC1224" w:rsidRPr="00F24AC6" w:rsidRDefault="00CC1224" w:rsidP="00CC1224">
      <w:pPr>
        <w:numPr>
          <w:ilvl w:val="0"/>
          <w:numId w:val="4"/>
        </w:numPr>
        <w:spacing w:after="160" w:line="480" w:lineRule="auto"/>
        <w:contextualSpacing/>
        <w:jc w:val="both"/>
        <w:rPr>
          <w:rFonts w:eastAsia="Calibri"/>
        </w:rPr>
      </w:pPr>
      <w:r w:rsidRPr="00F24AC6">
        <w:rPr>
          <w:rFonts w:eastAsia="Calibri"/>
          <w:rtl/>
        </w:rPr>
        <w:t>פסילת רישיון על תנאי למשך 4 חודשים, והתנאי הוא שהנאשם לא יעבור במשך שנתיים מיום שחרורו ממאסרו עבירה על פי פקודת הסמים.</w:t>
      </w:r>
    </w:p>
    <w:p w14:paraId="36B3B08E" w14:textId="77777777" w:rsidR="00CC1224" w:rsidRPr="00F24AC6" w:rsidRDefault="00CC1224" w:rsidP="00CC1224">
      <w:pPr>
        <w:numPr>
          <w:ilvl w:val="0"/>
          <w:numId w:val="4"/>
        </w:numPr>
        <w:spacing w:after="160" w:line="480" w:lineRule="auto"/>
        <w:contextualSpacing/>
        <w:jc w:val="both"/>
        <w:rPr>
          <w:rFonts w:eastAsia="Calibri"/>
        </w:rPr>
      </w:pPr>
      <w:r w:rsidRPr="00F24AC6">
        <w:rPr>
          <w:rFonts w:eastAsia="Calibri"/>
          <w:rtl/>
        </w:rPr>
        <w:t xml:space="preserve">חילוט הרכב מסוג "קיה" מ.ר 6332679, </w:t>
      </w:r>
      <w:r w:rsidRPr="00F24AC6">
        <w:rPr>
          <w:rFonts w:eastAsia="Calibri"/>
          <w:rtl/>
          <w:lang w:eastAsia="he-IL"/>
        </w:rPr>
        <w:t xml:space="preserve">וזאת לטובת הקרן לפי הפקודה. </w:t>
      </w:r>
    </w:p>
    <w:p w14:paraId="268914B9" w14:textId="77777777" w:rsidR="00CC1224" w:rsidRPr="00F24AC6" w:rsidRDefault="00CC1224" w:rsidP="00CC1224">
      <w:pPr>
        <w:numPr>
          <w:ilvl w:val="0"/>
          <w:numId w:val="4"/>
        </w:numPr>
        <w:spacing w:after="160" w:line="480" w:lineRule="auto"/>
        <w:contextualSpacing/>
        <w:jc w:val="both"/>
        <w:rPr>
          <w:rFonts w:eastAsia="Calibri"/>
          <w:szCs w:val="22"/>
        </w:rPr>
      </w:pPr>
      <w:r w:rsidRPr="00F24AC6">
        <w:rPr>
          <w:rFonts w:eastAsia="Calibri"/>
          <w:rtl/>
          <w:lang w:eastAsia="he-IL"/>
        </w:rPr>
        <w:t xml:space="preserve">חילוט סך של 2,200 ₪ אשר נתפסו, וזאת לטובת הקרן לפי הפקודה.  </w:t>
      </w:r>
    </w:p>
    <w:p w14:paraId="73ECCE94" w14:textId="77777777" w:rsidR="00CC1224" w:rsidRPr="00F24AC6" w:rsidRDefault="00CC1224" w:rsidP="00CC1224">
      <w:pPr>
        <w:numPr>
          <w:ilvl w:val="0"/>
          <w:numId w:val="4"/>
        </w:numPr>
        <w:spacing w:after="160" w:line="480" w:lineRule="auto"/>
        <w:contextualSpacing/>
        <w:jc w:val="both"/>
        <w:rPr>
          <w:rFonts w:ascii="Calibri" w:eastAsia="Calibri" w:hAnsi="Calibri" w:cs="Arial"/>
          <w:sz w:val="22"/>
          <w:szCs w:val="22"/>
        </w:rPr>
      </w:pPr>
      <w:r w:rsidRPr="00F24AC6">
        <w:rPr>
          <w:rFonts w:eastAsia="Calibri"/>
          <w:rtl/>
        </w:rPr>
        <w:t>צו להשמדת הסמים ושאר המוצגים שנתפסו.</w:t>
      </w:r>
    </w:p>
    <w:p w14:paraId="5EBDE7A5" w14:textId="77777777" w:rsidR="00CC1224" w:rsidRPr="00F24AC6" w:rsidRDefault="00CC1224" w:rsidP="00CC1224">
      <w:pPr>
        <w:numPr>
          <w:ilvl w:val="0"/>
          <w:numId w:val="4"/>
        </w:numPr>
        <w:spacing w:after="160" w:line="480" w:lineRule="auto"/>
        <w:contextualSpacing/>
        <w:jc w:val="both"/>
        <w:rPr>
          <w:rFonts w:eastAsia="Calibri"/>
        </w:rPr>
      </w:pPr>
      <w:r w:rsidRPr="00F24AC6">
        <w:rPr>
          <w:rFonts w:eastAsia="Calibri"/>
          <w:rtl/>
        </w:rPr>
        <w:t>טלפון נייד ומחשב שנתפסו מידי הנאשם יושבו לו.</w:t>
      </w:r>
    </w:p>
    <w:p w14:paraId="366C83BA" w14:textId="77777777" w:rsidR="00CC1224" w:rsidRPr="00F24AC6" w:rsidRDefault="00CC1224" w:rsidP="00CC1224">
      <w:pPr>
        <w:spacing w:after="160" w:line="480" w:lineRule="auto"/>
        <w:ind w:left="1080"/>
        <w:contextualSpacing/>
        <w:jc w:val="both"/>
        <w:rPr>
          <w:rFonts w:eastAsia="Calibri"/>
        </w:rPr>
      </w:pPr>
    </w:p>
    <w:p w14:paraId="7C0647CA" w14:textId="77777777" w:rsidR="00CC1224" w:rsidRDefault="00CC1224" w:rsidP="00CC1224">
      <w:pPr>
        <w:spacing w:after="160" w:line="480" w:lineRule="auto"/>
        <w:jc w:val="both"/>
        <w:rPr>
          <w:rFonts w:ascii="DaunPenh" w:eastAsia="Calibri" w:hAnsi="DaunPenh"/>
          <w:b/>
          <w:bCs/>
          <w:rtl/>
        </w:rPr>
      </w:pPr>
      <w:r w:rsidRPr="003C1710">
        <w:rPr>
          <w:rFonts w:ascii="DaunPenh" w:eastAsia="Calibri" w:hAnsi="DaunPenh" w:hint="cs"/>
          <w:b/>
          <w:bCs/>
          <w:rtl/>
        </w:rPr>
        <w:t xml:space="preserve">הנאשם יתייצב לריצוי עונש המאסר בכלא הדרים בתאריך </w:t>
      </w:r>
      <w:r>
        <w:rPr>
          <w:rFonts w:ascii="DaunPenh" w:eastAsia="Calibri" w:hAnsi="DaunPenh" w:hint="cs"/>
          <w:b/>
          <w:bCs/>
          <w:rtl/>
        </w:rPr>
        <w:t xml:space="preserve">30.1.2022 </w:t>
      </w:r>
      <w:r w:rsidRPr="003C1710">
        <w:rPr>
          <w:rFonts w:ascii="DaunPenh" w:eastAsia="Calibri" w:hAnsi="DaunPenh" w:hint="cs"/>
          <w:b/>
          <w:bCs/>
          <w:rtl/>
        </w:rPr>
        <w:t>עד השעה 10:00.</w:t>
      </w:r>
    </w:p>
    <w:p w14:paraId="17FD0CB1" w14:textId="77777777" w:rsidR="00CC1224" w:rsidRPr="003C1710" w:rsidRDefault="00CC1224" w:rsidP="00CC1224">
      <w:pPr>
        <w:spacing w:after="160" w:line="480" w:lineRule="auto"/>
        <w:jc w:val="both"/>
        <w:rPr>
          <w:rFonts w:ascii="DaunPenh" w:eastAsia="Calibri" w:hAnsi="DaunPenh"/>
          <w:b/>
          <w:bCs/>
          <w:rtl/>
        </w:rPr>
      </w:pPr>
      <w:r>
        <w:rPr>
          <w:rFonts w:ascii="DaunPenh" w:eastAsia="Calibri" w:hAnsi="DaunPenh" w:hint="cs"/>
          <w:b/>
          <w:bCs/>
          <w:rtl/>
        </w:rPr>
        <w:t>הערבויות המצויות בתיק המעצרים, ישמשו להבטחת התייצבותו לריצוי עונש המאסר.</w:t>
      </w:r>
    </w:p>
    <w:p w14:paraId="61DCA2F6" w14:textId="77777777" w:rsidR="00CC1224" w:rsidRPr="00780C02" w:rsidRDefault="00CC1224" w:rsidP="00CC1224">
      <w:pPr>
        <w:spacing w:after="160" w:line="480" w:lineRule="auto"/>
        <w:jc w:val="both"/>
        <w:rPr>
          <w:rFonts w:ascii="DaunPenh" w:eastAsia="Calibri" w:hAnsi="DaunPenh"/>
          <w:b/>
          <w:bCs/>
          <w:u w:val="single"/>
        </w:rPr>
      </w:pPr>
      <w:r w:rsidRPr="00780C02">
        <w:rPr>
          <w:rFonts w:ascii="DaunPenh" w:eastAsia="Calibri" w:hAnsi="DaunPenh" w:hint="cs"/>
          <w:b/>
          <w:bCs/>
          <w:u w:val="single"/>
          <w:rtl/>
        </w:rPr>
        <w:t>העתק גזר הדין יועבר על ידי המזכירות לשירות המבחן.</w:t>
      </w:r>
    </w:p>
    <w:p w14:paraId="6864AE34" w14:textId="77777777" w:rsidR="00CC1224" w:rsidRPr="003C1710" w:rsidRDefault="0047084B" w:rsidP="00CC1224">
      <w:pPr>
        <w:spacing w:after="160" w:line="480" w:lineRule="auto"/>
        <w:jc w:val="both"/>
        <w:rPr>
          <w:rFonts w:ascii="Calibri" w:eastAsia="Calibri" w:hAnsi="Calibri"/>
          <w:b/>
          <w:bCs/>
          <w:u w:val="single"/>
          <w:rtl/>
        </w:rPr>
      </w:pPr>
      <w:r w:rsidRPr="0047084B">
        <w:rPr>
          <w:rFonts w:ascii="Calibri" w:eastAsia="Calibri" w:hAnsi="Calibri"/>
          <w:b/>
          <w:bCs/>
          <w:color w:val="FFFFFF"/>
          <w:sz w:val="2"/>
          <w:szCs w:val="2"/>
          <w:u w:val="single"/>
          <w:rtl/>
        </w:rPr>
        <w:t>5129371</w:t>
      </w:r>
      <w:r w:rsidR="00CC1224" w:rsidRPr="003C1710">
        <w:rPr>
          <w:rFonts w:ascii="Calibri" w:eastAsia="Calibri" w:hAnsi="Calibri" w:hint="cs"/>
          <w:b/>
          <w:bCs/>
          <w:u w:val="single"/>
          <w:rtl/>
        </w:rPr>
        <w:t>זכות ערעור לבית המשפט המחוזי בתוך 45 יום מהיום.</w:t>
      </w:r>
    </w:p>
    <w:p w14:paraId="797BDDE0" w14:textId="77777777" w:rsidR="00CC1224" w:rsidRPr="0047084B" w:rsidRDefault="0047084B" w:rsidP="00CC1224">
      <w:pPr>
        <w:rPr>
          <w:rFonts w:ascii="David" w:hAnsi="David"/>
          <w:color w:val="FFFFFF"/>
          <w:sz w:val="2"/>
          <w:szCs w:val="2"/>
          <w:rtl/>
        </w:rPr>
      </w:pPr>
      <w:r w:rsidRPr="0047084B">
        <w:rPr>
          <w:rFonts w:ascii="David" w:hAnsi="David"/>
          <w:color w:val="FFFFFF"/>
          <w:sz w:val="2"/>
          <w:szCs w:val="2"/>
          <w:rtl/>
        </w:rPr>
        <w:t>54678313</w:t>
      </w:r>
    </w:p>
    <w:p w14:paraId="1FFBC42D" w14:textId="77777777" w:rsidR="00CC1224" w:rsidRPr="002B7D23" w:rsidRDefault="0047084B" w:rsidP="00CC1224">
      <w:pPr>
        <w:spacing w:line="360" w:lineRule="auto"/>
        <w:jc w:val="both"/>
        <w:rPr>
          <w:rFonts w:ascii="David" w:hAnsi="David"/>
          <w:sz w:val="26"/>
          <w:szCs w:val="26"/>
        </w:rPr>
      </w:pPr>
      <w:bookmarkStart w:id="8" w:name="Nitan"/>
      <w:r>
        <w:rPr>
          <w:rFonts w:ascii="David" w:hAnsi="David"/>
          <w:sz w:val="26"/>
          <w:szCs w:val="26"/>
          <w:rtl/>
        </w:rPr>
        <w:t xml:space="preserve">ניתן היום,  ט"ו טבת תשפ"ב, 19 דצמבר 2021, בנוכחות הצדדים- ב"כ המאשימה עו"ד בר </w:t>
      </w:r>
      <w:bookmarkEnd w:id="8"/>
      <w:r w:rsidR="00CC1224">
        <w:rPr>
          <w:rFonts w:ascii="David" w:hAnsi="David" w:hint="cs"/>
          <w:sz w:val="26"/>
          <w:szCs w:val="26"/>
          <w:rtl/>
        </w:rPr>
        <w:t>נמרי ועו"ד לילך קוטנר, הנאשם וב"כ עו"ד צחי רז.</w:t>
      </w:r>
    </w:p>
    <w:p w14:paraId="18A1B81C" w14:textId="77777777" w:rsidR="00CC1224" w:rsidRPr="002B7D23" w:rsidRDefault="00CC1224" w:rsidP="00CC1224">
      <w:pPr>
        <w:rPr>
          <w:rFonts w:ascii="David" w:hAnsi="David"/>
          <w:sz w:val="26"/>
          <w:szCs w:val="26"/>
          <w:rtl/>
        </w:rPr>
      </w:pPr>
    </w:p>
    <w:p w14:paraId="0F20C1C6" w14:textId="77777777" w:rsidR="00CC1224" w:rsidRPr="002B7D23" w:rsidRDefault="00CC1224" w:rsidP="0047084B">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76B673DC" w14:textId="77777777" w:rsidR="00CC1224" w:rsidRPr="002E49DD" w:rsidRDefault="002E49DD" w:rsidP="00CC1224">
      <w:pPr>
        <w:jc w:val="center"/>
        <w:rPr>
          <w:rFonts w:ascii="David" w:hAnsi="David"/>
          <w:color w:val="FFFFFF"/>
          <w:sz w:val="2"/>
          <w:szCs w:val="2"/>
          <w:rtl/>
        </w:rPr>
      </w:pPr>
      <w:r w:rsidRPr="002E49DD">
        <w:rPr>
          <w:rFonts w:ascii="David" w:hAnsi="David"/>
          <w:color w:val="FFFFFF"/>
          <w:sz w:val="2"/>
          <w:szCs w:val="2"/>
          <w:rtl/>
        </w:rPr>
        <w:t>5129371</w:t>
      </w:r>
    </w:p>
    <w:p w14:paraId="5087C232" w14:textId="77777777" w:rsidR="0047084B" w:rsidRPr="002E49DD" w:rsidRDefault="002E49DD" w:rsidP="002E49DD">
      <w:pPr>
        <w:keepNext/>
        <w:rPr>
          <w:rFonts w:ascii="David" w:hAnsi="David" w:hint="cs"/>
          <w:color w:val="FFFFFF"/>
          <w:sz w:val="2"/>
          <w:szCs w:val="2"/>
        </w:rPr>
      </w:pPr>
      <w:r w:rsidRPr="002E49DD">
        <w:rPr>
          <w:rFonts w:ascii="David" w:hAnsi="David"/>
          <w:color w:val="FFFFFF"/>
          <w:sz w:val="2"/>
          <w:szCs w:val="2"/>
          <w:rtl/>
        </w:rPr>
        <w:t>54678313</w:t>
      </w:r>
    </w:p>
    <w:p w14:paraId="0331DB00" w14:textId="77777777" w:rsidR="0047084B" w:rsidRDefault="0047084B" w:rsidP="0047084B">
      <w:pPr>
        <w:rPr>
          <w:rtl/>
        </w:rPr>
      </w:pPr>
    </w:p>
    <w:p w14:paraId="2AAB3285" w14:textId="77777777" w:rsidR="0047084B" w:rsidRDefault="0047084B" w:rsidP="0047084B">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p>
    <w:p w14:paraId="04BDCF8B" w14:textId="77777777" w:rsidR="002E49DD" w:rsidRPr="002E49DD" w:rsidRDefault="002E49DD" w:rsidP="002E49DD">
      <w:pPr>
        <w:keepNext/>
        <w:rPr>
          <w:rFonts w:ascii="David" w:hAnsi="David"/>
          <w:color w:val="000000"/>
          <w:sz w:val="22"/>
          <w:szCs w:val="22"/>
          <w:rtl/>
        </w:rPr>
      </w:pPr>
    </w:p>
    <w:p w14:paraId="00CFCCF5" w14:textId="77777777" w:rsidR="002E49DD" w:rsidRPr="002E49DD" w:rsidRDefault="002E49DD" w:rsidP="002E49DD">
      <w:pPr>
        <w:keepNext/>
        <w:rPr>
          <w:rFonts w:ascii="David" w:hAnsi="David"/>
          <w:color w:val="000000"/>
          <w:sz w:val="22"/>
          <w:szCs w:val="22"/>
          <w:rtl/>
        </w:rPr>
      </w:pPr>
      <w:r w:rsidRPr="002E49DD">
        <w:rPr>
          <w:rFonts w:ascii="David" w:hAnsi="David"/>
          <w:color w:val="000000"/>
          <w:sz w:val="22"/>
          <w:szCs w:val="22"/>
          <w:rtl/>
        </w:rPr>
        <w:t>דרור קלייטמן 54678313-/</w:t>
      </w:r>
    </w:p>
    <w:p w14:paraId="3EF69517" w14:textId="77777777" w:rsidR="0047084B" w:rsidRPr="0047084B" w:rsidRDefault="002E49DD" w:rsidP="002E49DD">
      <w:pPr>
        <w:rPr>
          <w:color w:val="0000FF"/>
          <w:u w:val="single"/>
        </w:rPr>
      </w:pPr>
      <w:r w:rsidRPr="002E49DD">
        <w:rPr>
          <w:color w:val="000000"/>
          <w:u w:val="single"/>
          <w:rtl/>
        </w:rPr>
        <w:t>נוסח מסמך זה כפוף לשינויי ניסוח ועריכה</w:t>
      </w:r>
    </w:p>
    <w:sectPr w:rsidR="0047084B" w:rsidRPr="0047084B" w:rsidSect="002E49DD">
      <w:headerReference w:type="even" r:id="rId20"/>
      <w:headerReference w:type="default" r:id="rId21"/>
      <w:footerReference w:type="even" r:id="rId22"/>
      <w:footerReference w:type="default" r:id="rId2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2A821" w14:textId="77777777" w:rsidR="002C1AD2" w:rsidRDefault="002C1AD2" w:rsidP="004E2F99">
      <w:r>
        <w:separator/>
      </w:r>
    </w:p>
  </w:endnote>
  <w:endnote w:type="continuationSeparator" w:id="0">
    <w:p w14:paraId="40FE303D" w14:textId="77777777" w:rsidR="002C1AD2" w:rsidRDefault="002C1AD2" w:rsidP="004E2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639CC" w14:textId="77777777" w:rsidR="002E49DD" w:rsidRDefault="002E49DD" w:rsidP="002E49D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96437BA" w14:textId="77777777" w:rsidR="00E778A7" w:rsidRPr="002E49DD" w:rsidRDefault="002E49DD" w:rsidP="002E49DD">
    <w:pPr>
      <w:pStyle w:val="a5"/>
      <w:pBdr>
        <w:top w:val="single" w:sz="4" w:space="1" w:color="auto"/>
        <w:between w:val="single" w:sz="4" w:space="0" w:color="auto"/>
      </w:pBdr>
      <w:spacing w:after="60"/>
      <w:jc w:val="center"/>
      <w:rPr>
        <w:rFonts w:ascii="FrankRuehl" w:hAnsi="FrankRuehl" w:cs="FrankRuehl"/>
        <w:color w:val="000000"/>
      </w:rPr>
    </w:pPr>
    <w:r w:rsidRPr="002E49D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3714D" w14:textId="77777777" w:rsidR="002E49DD" w:rsidRDefault="002E49DD" w:rsidP="002E49D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73DF">
      <w:rPr>
        <w:rFonts w:ascii="FrankRuehl" w:hAnsi="FrankRuehl" w:cs="FrankRuehl"/>
        <w:noProof/>
        <w:rtl/>
      </w:rPr>
      <w:t>1</w:t>
    </w:r>
    <w:r>
      <w:rPr>
        <w:rFonts w:ascii="FrankRuehl" w:hAnsi="FrankRuehl" w:cs="FrankRuehl"/>
        <w:rtl/>
      </w:rPr>
      <w:fldChar w:fldCharType="end"/>
    </w:r>
  </w:p>
  <w:p w14:paraId="140E5FE2" w14:textId="77777777" w:rsidR="00E778A7" w:rsidRPr="002E49DD" w:rsidRDefault="002E49DD" w:rsidP="002E49DD">
    <w:pPr>
      <w:pStyle w:val="a5"/>
      <w:pBdr>
        <w:top w:val="single" w:sz="4" w:space="1" w:color="auto"/>
        <w:between w:val="single" w:sz="4" w:space="0" w:color="auto"/>
      </w:pBdr>
      <w:spacing w:after="60"/>
      <w:jc w:val="center"/>
      <w:rPr>
        <w:rFonts w:ascii="FrankRuehl" w:hAnsi="FrankRuehl" w:cs="FrankRuehl"/>
        <w:color w:val="000000"/>
      </w:rPr>
    </w:pPr>
    <w:r w:rsidRPr="002E49DD">
      <w:rPr>
        <w:rFonts w:ascii="FrankRuehl" w:hAnsi="FrankRuehl" w:cs="FrankRuehl"/>
        <w:color w:val="000000"/>
      </w:rPr>
      <w:pict w14:anchorId="54A92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14A698" w14:textId="77777777" w:rsidR="002C1AD2" w:rsidRDefault="002C1AD2" w:rsidP="004E2F99">
      <w:r>
        <w:separator/>
      </w:r>
    </w:p>
  </w:footnote>
  <w:footnote w:type="continuationSeparator" w:id="0">
    <w:p w14:paraId="412CEC58" w14:textId="77777777" w:rsidR="002C1AD2" w:rsidRDefault="002C1AD2" w:rsidP="004E2F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393D4" w14:textId="77777777" w:rsidR="0047084B" w:rsidRPr="002E49DD" w:rsidRDefault="002E49DD" w:rsidP="002E49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15535-02-20</w:t>
    </w:r>
    <w:r>
      <w:rPr>
        <w:rFonts w:ascii="David" w:hAnsi="David"/>
        <w:color w:val="000000"/>
        <w:sz w:val="22"/>
        <w:szCs w:val="22"/>
        <w:rtl/>
      </w:rPr>
      <w:tab/>
      <w:t xml:space="preserve"> מדינת ישראל נ' יבגני קופטיאייב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AEE8B" w14:textId="77777777" w:rsidR="0047084B" w:rsidRPr="002E49DD" w:rsidRDefault="002E49DD" w:rsidP="002E49D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15535-02-20</w:t>
    </w:r>
    <w:r>
      <w:rPr>
        <w:rFonts w:ascii="David" w:hAnsi="David"/>
        <w:color w:val="000000"/>
        <w:sz w:val="22"/>
        <w:szCs w:val="22"/>
        <w:rtl/>
      </w:rPr>
      <w:tab/>
      <w:t xml:space="preserve"> מדינת ישראל נ' יבגני קופטיאייב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D3BCE"/>
    <w:multiLevelType w:val="hybridMultilevel"/>
    <w:tmpl w:val="D7243E90"/>
    <w:lvl w:ilvl="0" w:tplc="7226841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ED06062"/>
    <w:multiLevelType w:val="hybridMultilevel"/>
    <w:tmpl w:val="CAF46D38"/>
    <w:lvl w:ilvl="0" w:tplc="30B4E8C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07C361C"/>
    <w:multiLevelType w:val="hybridMultilevel"/>
    <w:tmpl w:val="791CC942"/>
    <w:lvl w:ilvl="0" w:tplc="87C4DA48">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62731695"/>
    <w:multiLevelType w:val="hybridMultilevel"/>
    <w:tmpl w:val="DC0A0716"/>
    <w:lvl w:ilvl="0" w:tplc="4EFC8820">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34169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66808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14375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2981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C1224"/>
    <w:rsid w:val="00051FDC"/>
    <w:rsid w:val="0012128C"/>
    <w:rsid w:val="002C1AD2"/>
    <w:rsid w:val="002E49DD"/>
    <w:rsid w:val="00351239"/>
    <w:rsid w:val="0047084B"/>
    <w:rsid w:val="004E2F99"/>
    <w:rsid w:val="006014B0"/>
    <w:rsid w:val="0099703A"/>
    <w:rsid w:val="009A4E4C"/>
    <w:rsid w:val="009B641B"/>
    <w:rsid w:val="009F73DF"/>
    <w:rsid w:val="00AF6BEF"/>
    <w:rsid w:val="00CC1224"/>
    <w:rsid w:val="00E778A7"/>
    <w:rsid w:val="00F701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AC14B7"/>
  <w15:chartTrackingRefBased/>
  <w15:docId w15:val="{13502E59-7495-4417-9DB6-DF061E4DD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122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C1224"/>
    <w:pPr>
      <w:tabs>
        <w:tab w:val="center" w:pos="4153"/>
        <w:tab w:val="right" w:pos="8306"/>
      </w:tabs>
    </w:pPr>
  </w:style>
  <w:style w:type="character" w:customStyle="1" w:styleId="a4">
    <w:name w:val="כותרת עליונה תו"/>
    <w:link w:val="a3"/>
    <w:rsid w:val="00CC1224"/>
    <w:rPr>
      <w:rFonts w:ascii="Times New Roman" w:eastAsia="Times New Roman" w:hAnsi="Times New Roman" w:cs="David"/>
      <w:sz w:val="24"/>
      <w:szCs w:val="24"/>
    </w:rPr>
  </w:style>
  <w:style w:type="paragraph" w:styleId="a5">
    <w:name w:val="footer"/>
    <w:basedOn w:val="a"/>
    <w:link w:val="a6"/>
    <w:rsid w:val="00CC1224"/>
    <w:pPr>
      <w:tabs>
        <w:tab w:val="center" w:pos="4153"/>
        <w:tab w:val="right" w:pos="8306"/>
      </w:tabs>
    </w:pPr>
  </w:style>
  <w:style w:type="character" w:customStyle="1" w:styleId="a6">
    <w:name w:val="כותרת תחתונה תו"/>
    <w:link w:val="a5"/>
    <w:rsid w:val="00CC1224"/>
    <w:rPr>
      <w:rFonts w:ascii="Times New Roman" w:eastAsia="Times New Roman" w:hAnsi="Times New Roman" w:cs="David"/>
      <w:sz w:val="24"/>
      <w:szCs w:val="24"/>
    </w:rPr>
  </w:style>
  <w:style w:type="table" w:styleId="a7">
    <w:name w:val="Table Grid"/>
    <w:basedOn w:val="a1"/>
    <w:rsid w:val="00CC122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CC1224"/>
  </w:style>
  <w:style w:type="character" w:styleId="Hyperlink">
    <w:name w:val="Hyperlink"/>
    <w:rsid w:val="004708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4216/13;19.a" TargetMode="External"/><Relationship Id="rId18"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law/4216/19.a"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10"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7.a.;7.c" TargetMode="External"/><Relationship Id="rId23" Type="http://schemas.openxmlformats.org/officeDocument/2006/relationships/footer" Target="footer2.xml"/><Relationship Id="rId10" Type="http://schemas.openxmlformats.org/officeDocument/2006/relationships/hyperlink" Target="http://www.nevo.co.il/law/4216/10"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1688</Words>
  <Characters>8444</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10112</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8257637</vt:i4>
      </vt:variant>
      <vt:variant>
        <vt:i4>33</vt:i4>
      </vt:variant>
      <vt:variant>
        <vt:i4>0</vt:i4>
      </vt:variant>
      <vt:variant>
        <vt:i4>5</vt:i4>
      </vt:variant>
      <vt:variant>
        <vt:lpwstr>http://www.nevo.co.il/law/4216</vt:lpwstr>
      </vt:variant>
      <vt:variant>
        <vt:lpwstr/>
      </vt:variant>
      <vt:variant>
        <vt:i4>8257637</vt:i4>
      </vt:variant>
      <vt:variant>
        <vt:i4>30</vt:i4>
      </vt:variant>
      <vt:variant>
        <vt:i4>0</vt:i4>
      </vt:variant>
      <vt:variant>
        <vt:i4>5</vt:i4>
      </vt:variant>
      <vt:variant>
        <vt:lpwstr>http://www.nevo.co.il/law/4216</vt:lpwstr>
      </vt:variant>
      <vt:variant>
        <vt:lpwstr/>
      </vt:variant>
      <vt:variant>
        <vt:i4>5177418</vt:i4>
      </vt:variant>
      <vt:variant>
        <vt:i4>27</vt:i4>
      </vt:variant>
      <vt:variant>
        <vt:i4>0</vt:i4>
      </vt:variant>
      <vt:variant>
        <vt:i4>5</vt:i4>
      </vt:variant>
      <vt:variant>
        <vt:lpwstr>http://www.nevo.co.il/law/4216/10</vt:lpwstr>
      </vt:variant>
      <vt:variant>
        <vt:lpwstr/>
      </vt:variant>
      <vt:variant>
        <vt:i4>3997821</vt:i4>
      </vt:variant>
      <vt:variant>
        <vt:i4>24</vt:i4>
      </vt:variant>
      <vt:variant>
        <vt:i4>0</vt:i4>
      </vt:variant>
      <vt:variant>
        <vt:i4>5</vt:i4>
      </vt:variant>
      <vt:variant>
        <vt:lpwstr>http://www.nevo.co.il/law/4216/7.a.;7.c</vt:lpwstr>
      </vt:variant>
      <vt:variant>
        <vt:lpwstr/>
      </vt:variant>
      <vt:variant>
        <vt:i4>8257637</vt:i4>
      </vt:variant>
      <vt:variant>
        <vt:i4>21</vt:i4>
      </vt:variant>
      <vt:variant>
        <vt:i4>0</vt:i4>
      </vt:variant>
      <vt:variant>
        <vt:i4>5</vt:i4>
      </vt:variant>
      <vt:variant>
        <vt:lpwstr>http://www.nevo.co.il/law/4216</vt:lpwstr>
      </vt:variant>
      <vt:variant>
        <vt:lpwstr/>
      </vt:variant>
      <vt:variant>
        <vt:i4>2883686</vt:i4>
      </vt:variant>
      <vt:variant>
        <vt:i4>18</vt:i4>
      </vt:variant>
      <vt:variant>
        <vt:i4>0</vt:i4>
      </vt:variant>
      <vt:variant>
        <vt:i4>5</vt:i4>
      </vt:variant>
      <vt:variant>
        <vt:lpwstr>http://www.nevo.co.il/law/4216/13;19.a</vt:lpwstr>
      </vt:variant>
      <vt:variant>
        <vt:lpwstr/>
      </vt:variant>
      <vt:variant>
        <vt:i4>6357107</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2025-04-23T00:27:00Z</dcterms:created>
  <dcterms:modified xsi:type="dcterms:W3CDTF">2025-04-23T00:27:00Z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15535</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יבגני קופטיאייב</vt:lpwstr>
  </property>
  <property fmtid="{D5CDD505-2E9C-101B-9397-08002B2CF9AE}" pid="10" name="LAWYER">
    <vt:lpwstr>בר נמרי;יעל דיסקין;צחי רז</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20211219</vt:lpwstr>
  </property>
  <property fmtid="{D5CDD505-2E9C-101B-9397-08002B2CF9AE}" pid="14" name="TYPE_N_DATE">
    <vt:lpwstr>38020211219</vt:lpwstr>
  </property>
  <property fmtid="{D5CDD505-2E9C-101B-9397-08002B2CF9AE}" pid="15" name="WORDNUMPAGES">
    <vt:lpwstr>8</vt:lpwstr>
  </property>
  <property fmtid="{D5CDD505-2E9C-101B-9397-08002B2CF9AE}" pid="16" name="TYPE_ABS_DATE">
    <vt:lpwstr>380020211219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4216/013;019.a;007.a;007.c;010</vt:lpwstr>
  </property>
</Properties>
</file>