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8"/>
        <w:gridCol w:w="3575"/>
      </w:tblGrid>
      <w:tr w:rsidR="00904E62" w:rsidRPr="00F64BAB" w14:paraId="25A981D5" w14:textId="77777777" w:rsidTr="0091784B">
        <w:trPr>
          <w:trHeight w:hRule="exact" w:val="418"/>
          <w:jc w:val="center"/>
        </w:trPr>
        <w:tc>
          <w:tcPr>
            <w:tcW w:w="8523" w:type="dxa"/>
            <w:gridSpan w:val="2"/>
          </w:tcPr>
          <w:p w14:paraId="016548E1" w14:textId="77777777" w:rsidR="00904E62" w:rsidRPr="00F64BAB" w:rsidRDefault="00904E62" w:rsidP="004615AE">
            <w:pPr>
              <w:pStyle w:val="a3"/>
              <w:jc w:val="center"/>
              <w:rPr>
                <w:rFonts w:ascii="Tahoma" w:hAnsi="Tahoma"/>
                <w:color w:val="000080"/>
                <w:sz w:val="32"/>
                <w:szCs w:val="32"/>
                <w:rtl/>
              </w:rPr>
            </w:pPr>
            <w:bookmarkStart w:id="0" w:name="LastJudge"/>
            <w:r w:rsidRPr="00F64BAB">
              <w:rPr>
                <w:rFonts w:ascii="Tahoma" w:hAnsi="Tahoma"/>
                <w:b/>
                <w:bCs/>
                <w:color w:val="000080"/>
                <w:sz w:val="32"/>
                <w:szCs w:val="32"/>
                <w:rtl/>
              </w:rPr>
              <w:t>בית משפט השלום בתל אביב - יפו</w:t>
            </w:r>
          </w:p>
        </w:tc>
      </w:tr>
      <w:tr w:rsidR="00904E62" w:rsidRPr="00F64BAB" w14:paraId="7C65A0E4" w14:textId="77777777" w:rsidTr="0091784B">
        <w:trPr>
          <w:trHeight w:val="337"/>
          <w:jc w:val="center"/>
        </w:trPr>
        <w:tc>
          <w:tcPr>
            <w:tcW w:w="4948" w:type="dxa"/>
          </w:tcPr>
          <w:p w14:paraId="72E694A8" w14:textId="77777777" w:rsidR="00904E62" w:rsidRPr="00F64BAB" w:rsidRDefault="00904E62" w:rsidP="004615AE">
            <w:pPr>
              <w:spacing w:line="360" w:lineRule="auto"/>
              <w:rPr>
                <w:b/>
                <w:bCs/>
                <w:sz w:val="26"/>
                <w:szCs w:val="26"/>
                <w:rtl/>
              </w:rPr>
            </w:pPr>
            <w:r w:rsidRPr="00F64BAB">
              <w:rPr>
                <w:b/>
                <w:bCs/>
                <w:sz w:val="26"/>
                <w:szCs w:val="26"/>
                <w:rtl/>
              </w:rPr>
              <w:t>ת"פ</w:t>
            </w:r>
            <w:r w:rsidRPr="00F64BAB">
              <w:rPr>
                <w:rFonts w:hint="cs"/>
                <w:b/>
                <w:bCs/>
                <w:sz w:val="26"/>
                <w:szCs w:val="26"/>
                <w:rtl/>
              </w:rPr>
              <w:t xml:space="preserve"> </w:t>
            </w:r>
            <w:r w:rsidRPr="00F64BAB">
              <w:rPr>
                <w:b/>
                <w:bCs/>
                <w:sz w:val="26"/>
                <w:szCs w:val="26"/>
                <w:rtl/>
              </w:rPr>
              <w:t>15997-02-20</w:t>
            </w:r>
            <w:r w:rsidRPr="00F64BAB">
              <w:rPr>
                <w:rFonts w:hint="cs"/>
                <w:b/>
                <w:bCs/>
                <w:sz w:val="26"/>
                <w:szCs w:val="26"/>
                <w:rtl/>
              </w:rPr>
              <w:t xml:space="preserve"> </w:t>
            </w:r>
            <w:r w:rsidRPr="00F64BAB">
              <w:rPr>
                <w:b/>
                <w:bCs/>
                <w:sz w:val="26"/>
                <w:szCs w:val="26"/>
                <w:rtl/>
              </w:rPr>
              <w:t>מדינת ישראל נ' פינחסוב</w:t>
            </w:r>
          </w:p>
        </w:tc>
        <w:tc>
          <w:tcPr>
            <w:tcW w:w="3575" w:type="dxa"/>
          </w:tcPr>
          <w:p w14:paraId="12E1D2EE" w14:textId="77777777" w:rsidR="00904E62" w:rsidRPr="00F64BAB" w:rsidRDefault="00904E62" w:rsidP="004615AE">
            <w:pPr>
              <w:pStyle w:val="a3"/>
              <w:jc w:val="right"/>
              <w:rPr>
                <w:rFonts w:cs="FrankRuehl"/>
                <w:sz w:val="28"/>
                <w:szCs w:val="28"/>
                <w:rtl/>
              </w:rPr>
            </w:pPr>
          </w:p>
        </w:tc>
      </w:tr>
    </w:tbl>
    <w:p w14:paraId="61DA4004" w14:textId="77777777" w:rsidR="00904E62" w:rsidRPr="00F64BAB" w:rsidRDefault="00904E62" w:rsidP="00904E62">
      <w:pPr>
        <w:pStyle w:val="a3"/>
        <w:rPr>
          <w:rtl/>
        </w:rPr>
      </w:pPr>
      <w:r w:rsidRPr="00F64BAB">
        <w:rPr>
          <w:rFonts w:hint="cs"/>
          <w:rtl/>
        </w:rPr>
        <w:t xml:space="preserve"> </w:t>
      </w:r>
    </w:p>
    <w:p w14:paraId="0CD6B698" w14:textId="77777777" w:rsidR="00904E62" w:rsidRPr="00F64BAB" w:rsidRDefault="00904E62" w:rsidP="00904E62">
      <w:pPr>
        <w:rPr>
          <w:rtl/>
        </w:rPr>
      </w:pPr>
    </w:p>
    <w:p w14:paraId="2427903B" w14:textId="77777777" w:rsidR="00904E62" w:rsidRPr="00F64BAB" w:rsidRDefault="00904E62" w:rsidP="00904E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0"/>
        <w:gridCol w:w="3379"/>
      </w:tblGrid>
      <w:tr w:rsidR="00904E62" w:rsidRPr="00F64BAB" w14:paraId="2E601CFD" w14:textId="77777777" w:rsidTr="00904E62">
        <w:trPr>
          <w:trHeight w:val="295"/>
          <w:jc w:val="center"/>
        </w:trPr>
        <w:tc>
          <w:tcPr>
            <w:tcW w:w="8820" w:type="dxa"/>
            <w:gridSpan w:val="3"/>
            <w:tcBorders>
              <w:top w:val="nil"/>
              <w:left w:val="nil"/>
              <w:bottom w:val="nil"/>
              <w:right w:val="nil"/>
            </w:tcBorders>
            <w:shd w:val="clear" w:color="auto" w:fill="auto"/>
          </w:tcPr>
          <w:p w14:paraId="1CD4E4F4" w14:textId="77777777" w:rsidR="00904E62" w:rsidRPr="00F64BAB" w:rsidRDefault="00904E62" w:rsidP="00904E62">
            <w:pPr>
              <w:spacing w:line="360" w:lineRule="auto"/>
              <w:jc w:val="both"/>
              <w:rPr>
                <w:rFonts w:ascii="Arial" w:hAnsi="Arial"/>
                <w:b/>
                <w:bCs/>
                <w:sz w:val="26"/>
                <w:szCs w:val="26"/>
              </w:rPr>
            </w:pPr>
            <w:r w:rsidRPr="00F64BAB">
              <w:rPr>
                <w:rFonts w:ascii="Arial" w:hAnsi="Arial" w:hint="cs"/>
                <w:b/>
                <w:bCs/>
                <w:sz w:val="26"/>
                <w:szCs w:val="26"/>
                <w:rtl/>
              </w:rPr>
              <w:t>ל</w:t>
            </w:r>
            <w:r w:rsidRPr="00F64BAB">
              <w:rPr>
                <w:rFonts w:ascii="Arial" w:hAnsi="Arial"/>
                <w:b/>
                <w:bCs/>
                <w:sz w:val="26"/>
                <w:szCs w:val="26"/>
                <w:rtl/>
              </w:rPr>
              <w:t xml:space="preserve">פני </w:t>
            </w:r>
            <w:r w:rsidRPr="00F64BAB">
              <w:rPr>
                <w:rFonts w:ascii="Arial" w:hAnsi="Arial" w:hint="cs"/>
                <w:b/>
                <w:bCs/>
                <w:sz w:val="26"/>
                <w:szCs w:val="26"/>
                <w:rtl/>
              </w:rPr>
              <w:t>כבוד ה</w:t>
            </w:r>
            <w:r w:rsidRPr="00F64BAB">
              <w:rPr>
                <w:rFonts w:ascii="Arial" w:hAnsi="Arial"/>
                <w:b/>
                <w:bCs/>
                <w:sz w:val="26"/>
                <w:szCs w:val="26"/>
                <w:rtl/>
              </w:rPr>
              <w:t>שופטת</w:t>
            </w:r>
            <w:r w:rsidRPr="00F64BAB">
              <w:rPr>
                <w:rFonts w:ascii="Arial" w:hAnsi="Arial" w:hint="cs"/>
                <w:b/>
                <w:bCs/>
                <w:sz w:val="26"/>
                <w:szCs w:val="26"/>
                <w:rtl/>
              </w:rPr>
              <w:t xml:space="preserve"> </w:t>
            </w:r>
            <w:r w:rsidRPr="00F64BAB">
              <w:rPr>
                <w:rFonts w:ascii="Arial" w:hAnsi="Arial"/>
                <w:b/>
                <w:bCs/>
                <w:sz w:val="26"/>
                <w:szCs w:val="26"/>
                <w:rtl/>
              </w:rPr>
              <w:t>דנה אמיר</w:t>
            </w:r>
          </w:p>
        </w:tc>
      </w:tr>
      <w:tr w:rsidR="00904E62" w:rsidRPr="00F64BAB" w14:paraId="3812C02D" w14:textId="77777777" w:rsidTr="00904E62">
        <w:trPr>
          <w:trHeight w:val="355"/>
          <w:jc w:val="center"/>
        </w:trPr>
        <w:tc>
          <w:tcPr>
            <w:tcW w:w="1231" w:type="dxa"/>
            <w:tcBorders>
              <w:top w:val="nil"/>
              <w:left w:val="nil"/>
              <w:bottom w:val="nil"/>
              <w:right w:val="nil"/>
            </w:tcBorders>
            <w:shd w:val="clear" w:color="auto" w:fill="auto"/>
          </w:tcPr>
          <w:p w14:paraId="3844E02A" w14:textId="77777777" w:rsidR="00904E62" w:rsidRPr="00F64BAB" w:rsidRDefault="00904E62" w:rsidP="00904E62">
            <w:pPr>
              <w:jc w:val="both"/>
              <w:rPr>
                <w:rFonts w:ascii="Arial" w:hAnsi="Arial"/>
                <w:b/>
                <w:bCs/>
                <w:sz w:val="26"/>
                <w:szCs w:val="26"/>
              </w:rPr>
            </w:pPr>
            <w:bookmarkStart w:id="1" w:name="FirstAppellant"/>
            <w:r w:rsidRPr="00F64BAB">
              <w:rPr>
                <w:rFonts w:ascii="Arial" w:hAnsi="Arial" w:hint="cs"/>
                <w:b/>
                <w:bCs/>
                <w:sz w:val="26"/>
                <w:szCs w:val="26"/>
                <w:rtl/>
              </w:rPr>
              <w:t>ה</w:t>
            </w:r>
            <w:r w:rsidRPr="00F64BAB">
              <w:rPr>
                <w:rFonts w:ascii="Arial" w:hAnsi="Arial"/>
                <w:b/>
                <w:bCs/>
                <w:sz w:val="26"/>
                <w:szCs w:val="26"/>
                <w:rtl/>
              </w:rPr>
              <w:t>מאשימה</w:t>
            </w:r>
          </w:p>
        </w:tc>
        <w:tc>
          <w:tcPr>
            <w:tcW w:w="4210" w:type="dxa"/>
            <w:tcBorders>
              <w:top w:val="nil"/>
              <w:left w:val="nil"/>
              <w:bottom w:val="nil"/>
              <w:right w:val="nil"/>
            </w:tcBorders>
            <w:shd w:val="clear" w:color="auto" w:fill="auto"/>
          </w:tcPr>
          <w:p w14:paraId="45588552" w14:textId="77777777" w:rsidR="00904E62" w:rsidRPr="00F64BAB" w:rsidRDefault="00904E62" w:rsidP="004615AE">
            <w:pPr>
              <w:rPr>
                <w:b/>
                <w:bCs/>
                <w:sz w:val="26"/>
                <w:szCs w:val="26"/>
              </w:rPr>
            </w:pPr>
            <w:r w:rsidRPr="00F64BAB">
              <w:rPr>
                <w:rFonts w:ascii="Arial" w:hAnsi="Arial"/>
                <w:b/>
                <w:bCs/>
                <w:sz w:val="26"/>
                <w:szCs w:val="26"/>
                <w:rtl/>
              </w:rPr>
              <w:t>מדינת ישראל</w:t>
            </w:r>
          </w:p>
        </w:tc>
        <w:tc>
          <w:tcPr>
            <w:tcW w:w="3379" w:type="dxa"/>
            <w:tcBorders>
              <w:top w:val="nil"/>
              <w:left w:val="nil"/>
              <w:bottom w:val="nil"/>
              <w:right w:val="nil"/>
            </w:tcBorders>
            <w:shd w:val="clear" w:color="auto" w:fill="auto"/>
          </w:tcPr>
          <w:p w14:paraId="6FFF815D" w14:textId="77777777" w:rsidR="00904E62" w:rsidRPr="00F64BAB" w:rsidRDefault="00904E62" w:rsidP="00904E62">
            <w:pPr>
              <w:jc w:val="both"/>
              <w:rPr>
                <w:rFonts w:ascii="Arial" w:hAnsi="Arial"/>
                <w:b/>
                <w:bCs/>
                <w:sz w:val="26"/>
                <w:szCs w:val="26"/>
              </w:rPr>
            </w:pPr>
          </w:p>
        </w:tc>
      </w:tr>
      <w:bookmarkEnd w:id="1"/>
      <w:tr w:rsidR="00904E62" w:rsidRPr="00F64BAB" w14:paraId="49F7B619" w14:textId="77777777" w:rsidTr="00904E62">
        <w:trPr>
          <w:trHeight w:val="373"/>
          <w:jc w:val="center"/>
        </w:trPr>
        <w:tc>
          <w:tcPr>
            <w:tcW w:w="1231" w:type="dxa"/>
            <w:tcBorders>
              <w:top w:val="nil"/>
              <w:left w:val="nil"/>
              <w:bottom w:val="nil"/>
              <w:right w:val="nil"/>
            </w:tcBorders>
            <w:shd w:val="clear" w:color="auto" w:fill="auto"/>
          </w:tcPr>
          <w:p w14:paraId="42634DB2" w14:textId="77777777" w:rsidR="00904E62" w:rsidRPr="00F64BAB" w:rsidRDefault="00904E62" w:rsidP="00904E62">
            <w:pPr>
              <w:jc w:val="both"/>
              <w:rPr>
                <w:rFonts w:ascii="Arial" w:hAnsi="Arial"/>
                <w:b/>
                <w:bCs/>
                <w:sz w:val="26"/>
                <w:szCs w:val="26"/>
                <w:rtl/>
              </w:rPr>
            </w:pPr>
          </w:p>
        </w:tc>
        <w:tc>
          <w:tcPr>
            <w:tcW w:w="7589" w:type="dxa"/>
            <w:gridSpan w:val="2"/>
            <w:tcBorders>
              <w:top w:val="nil"/>
              <w:left w:val="nil"/>
              <w:bottom w:val="nil"/>
              <w:right w:val="nil"/>
            </w:tcBorders>
            <w:shd w:val="clear" w:color="auto" w:fill="auto"/>
          </w:tcPr>
          <w:p w14:paraId="76A88D36" w14:textId="77777777" w:rsidR="00904E62" w:rsidRPr="00F64BAB" w:rsidRDefault="00904E62" w:rsidP="00904E62">
            <w:pPr>
              <w:jc w:val="center"/>
              <w:rPr>
                <w:rFonts w:ascii="Arial" w:hAnsi="Arial"/>
                <w:b/>
                <w:bCs/>
                <w:sz w:val="26"/>
                <w:szCs w:val="26"/>
                <w:rtl/>
              </w:rPr>
            </w:pPr>
          </w:p>
          <w:p w14:paraId="3B3E51DE" w14:textId="77777777" w:rsidR="00904E62" w:rsidRPr="00F64BAB" w:rsidRDefault="00904E62" w:rsidP="00904E62">
            <w:pPr>
              <w:jc w:val="center"/>
              <w:rPr>
                <w:rFonts w:ascii="Arial" w:hAnsi="Arial"/>
                <w:b/>
                <w:bCs/>
                <w:sz w:val="26"/>
                <w:szCs w:val="26"/>
                <w:rtl/>
              </w:rPr>
            </w:pPr>
            <w:r w:rsidRPr="00F64BAB">
              <w:rPr>
                <w:rFonts w:ascii="Arial" w:hAnsi="Arial"/>
                <w:b/>
                <w:bCs/>
                <w:sz w:val="26"/>
                <w:szCs w:val="26"/>
                <w:rtl/>
              </w:rPr>
              <w:t>נגד</w:t>
            </w:r>
          </w:p>
          <w:p w14:paraId="60D79839" w14:textId="77777777" w:rsidR="00904E62" w:rsidRPr="00F64BAB" w:rsidRDefault="00904E62" w:rsidP="00904E62">
            <w:pPr>
              <w:jc w:val="both"/>
              <w:rPr>
                <w:rFonts w:ascii="Arial" w:hAnsi="Arial"/>
                <w:b/>
                <w:bCs/>
                <w:sz w:val="26"/>
                <w:szCs w:val="26"/>
              </w:rPr>
            </w:pPr>
          </w:p>
        </w:tc>
      </w:tr>
      <w:tr w:rsidR="00904E62" w:rsidRPr="00F64BAB" w14:paraId="6F3651D2" w14:textId="77777777" w:rsidTr="00904E62">
        <w:trPr>
          <w:trHeight w:val="355"/>
          <w:jc w:val="center"/>
        </w:trPr>
        <w:tc>
          <w:tcPr>
            <w:tcW w:w="1231" w:type="dxa"/>
            <w:tcBorders>
              <w:top w:val="nil"/>
              <w:left w:val="nil"/>
              <w:bottom w:val="nil"/>
              <w:right w:val="nil"/>
            </w:tcBorders>
            <w:shd w:val="clear" w:color="auto" w:fill="auto"/>
          </w:tcPr>
          <w:p w14:paraId="3F11AC6E" w14:textId="77777777" w:rsidR="00904E62" w:rsidRPr="00F64BAB" w:rsidRDefault="00904E62" w:rsidP="004615AE">
            <w:pPr>
              <w:rPr>
                <w:rFonts w:ascii="Arial" w:hAnsi="Arial"/>
                <w:b/>
                <w:bCs/>
                <w:sz w:val="26"/>
                <w:szCs w:val="26"/>
                <w:rtl/>
              </w:rPr>
            </w:pPr>
            <w:r w:rsidRPr="00F64BAB">
              <w:rPr>
                <w:rFonts w:ascii="Arial" w:hAnsi="Arial" w:hint="cs"/>
                <w:b/>
                <w:bCs/>
                <w:sz w:val="26"/>
                <w:szCs w:val="26"/>
                <w:rtl/>
              </w:rPr>
              <w:t>ה</w:t>
            </w:r>
            <w:r w:rsidRPr="00F64BAB">
              <w:rPr>
                <w:rFonts w:ascii="Arial" w:hAnsi="Arial"/>
                <w:b/>
                <w:bCs/>
                <w:sz w:val="26"/>
                <w:szCs w:val="26"/>
                <w:rtl/>
              </w:rPr>
              <w:t>נאשם</w:t>
            </w:r>
          </w:p>
        </w:tc>
        <w:tc>
          <w:tcPr>
            <w:tcW w:w="4210" w:type="dxa"/>
            <w:tcBorders>
              <w:top w:val="nil"/>
              <w:left w:val="nil"/>
              <w:bottom w:val="nil"/>
              <w:right w:val="nil"/>
            </w:tcBorders>
            <w:shd w:val="clear" w:color="auto" w:fill="auto"/>
          </w:tcPr>
          <w:p w14:paraId="2410DF84" w14:textId="77777777" w:rsidR="00904E62" w:rsidRPr="00F64BAB" w:rsidRDefault="00904E62" w:rsidP="004615AE">
            <w:pPr>
              <w:rPr>
                <w:b/>
                <w:bCs/>
                <w:sz w:val="26"/>
                <w:szCs w:val="26"/>
                <w:rtl/>
              </w:rPr>
            </w:pPr>
            <w:r w:rsidRPr="00F64BAB">
              <w:rPr>
                <w:rFonts w:ascii="Arial" w:hAnsi="Arial"/>
                <w:b/>
                <w:bCs/>
                <w:sz w:val="26"/>
                <w:szCs w:val="26"/>
                <w:rtl/>
              </w:rPr>
              <w:t>דניאל פינחסוב</w:t>
            </w:r>
          </w:p>
        </w:tc>
        <w:tc>
          <w:tcPr>
            <w:tcW w:w="3379" w:type="dxa"/>
            <w:tcBorders>
              <w:top w:val="nil"/>
              <w:left w:val="nil"/>
              <w:bottom w:val="nil"/>
              <w:right w:val="nil"/>
            </w:tcBorders>
            <w:shd w:val="clear" w:color="auto" w:fill="auto"/>
          </w:tcPr>
          <w:p w14:paraId="365B7F7B" w14:textId="77777777" w:rsidR="00904E62" w:rsidRPr="00F64BAB" w:rsidRDefault="00904E62" w:rsidP="00904E62">
            <w:pPr>
              <w:jc w:val="right"/>
              <w:rPr>
                <w:rFonts w:ascii="Arial" w:hAnsi="Arial"/>
                <w:b/>
                <w:bCs/>
                <w:sz w:val="26"/>
                <w:szCs w:val="26"/>
              </w:rPr>
            </w:pPr>
          </w:p>
        </w:tc>
      </w:tr>
    </w:tbl>
    <w:p w14:paraId="11EDD1B7" w14:textId="77777777" w:rsidR="00904E62" w:rsidRPr="00F64BAB" w:rsidRDefault="00904E62" w:rsidP="00904E62">
      <w:pPr>
        <w:rPr>
          <w:rtl/>
        </w:rPr>
      </w:pPr>
    </w:p>
    <w:p w14:paraId="6B9306A9" w14:textId="77777777" w:rsidR="00904E62" w:rsidRPr="00F64BAB" w:rsidRDefault="00904E62" w:rsidP="00904E62">
      <w:pPr>
        <w:rPr>
          <w:rtl/>
        </w:rPr>
      </w:pPr>
      <w:r w:rsidRPr="00F64BAB">
        <w:rPr>
          <w:rFonts w:hint="cs"/>
          <w:b/>
          <w:bCs/>
          <w:rtl/>
        </w:rPr>
        <w:t>נוכחים</w:t>
      </w:r>
      <w:r w:rsidRPr="00F64BAB">
        <w:rPr>
          <w:rFonts w:hint="cs"/>
          <w:rtl/>
        </w:rPr>
        <w:t>:</w:t>
      </w:r>
    </w:p>
    <w:p w14:paraId="02736F8B" w14:textId="77777777" w:rsidR="00904E62" w:rsidRPr="00F64BAB" w:rsidRDefault="00904E62" w:rsidP="00904E62">
      <w:pPr>
        <w:rPr>
          <w:rtl/>
        </w:rPr>
      </w:pPr>
      <w:bookmarkStart w:id="2" w:name="FirstLawyer"/>
      <w:r w:rsidRPr="00F64BAB">
        <w:rPr>
          <w:rFonts w:hint="cs"/>
          <w:rtl/>
        </w:rPr>
        <w:t>ב"כ</w:t>
      </w:r>
      <w:bookmarkEnd w:id="2"/>
      <w:r w:rsidRPr="00F64BAB">
        <w:rPr>
          <w:rFonts w:hint="cs"/>
          <w:rtl/>
        </w:rPr>
        <w:t xml:space="preserve"> המאשימה </w:t>
      </w:r>
      <w:r w:rsidRPr="00F64BAB">
        <w:rPr>
          <w:rtl/>
        </w:rPr>
        <w:t>–</w:t>
      </w:r>
      <w:r w:rsidRPr="00F64BAB">
        <w:rPr>
          <w:rFonts w:hint="cs"/>
          <w:rtl/>
        </w:rPr>
        <w:t xml:space="preserve"> עו"ד מיטל סטי</w:t>
      </w:r>
    </w:p>
    <w:p w14:paraId="218ADB93" w14:textId="77777777" w:rsidR="00904E62" w:rsidRPr="00F64BAB" w:rsidRDefault="00904E62" w:rsidP="00904E62">
      <w:pPr>
        <w:rPr>
          <w:rtl/>
        </w:rPr>
      </w:pPr>
      <w:r w:rsidRPr="00F64BAB">
        <w:rPr>
          <w:rFonts w:hint="cs"/>
          <w:rtl/>
        </w:rPr>
        <w:t xml:space="preserve">ב"כ הנאשם </w:t>
      </w:r>
      <w:r w:rsidRPr="00F64BAB">
        <w:rPr>
          <w:rtl/>
        </w:rPr>
        <w:t>–</w:t>
      </w:r>
      <w:r w:rsidRPr="00F64BAB">
        <w:rPr>
          <w:rFonts w:hint="cs"/>
          <w:rtl/>
        </w:rPr>
        <w:t xml:space="preserve"> עו"ד יקי קהן</w:t>
      </w:r>
    </w:p>
    <w:p w14:paraId="67165318" w14:textId="77777777" w:rsidR="00904E62" w:rsidRPr="00F64BAB" w:rsidRDefault="00904E62" w:rsidP="00904E62">
      <w:pPr>
        <w:rPr>
          <w:rtl/>
        </w:rPr>
      </w:pPr>
      <w:r w:rsidRPr="00F64BAB">
        <w:rPr>
          <w:rFonts w:hint="cs"/>
          <w:rtl/>
        </w:rPr>
        <w:t>הנאשם</w:t>
      </w:r>
    </w:p>
    <w:p w14:paraId="5E7EB581" w14:textId="77777777" w:rsidR="00904E62" w:rsidRPr="00F64BAB" w:rsidRDefault="00904E62" w:rsidP="00904E62">
      <w:pPr>
        <w:rPr>
          <w:rtl/>
        </w:rPr>
      </w:pPr>
    </w:p>
    <w:p w14:paraId="3E060462" w14:textId="77777777" w:rsidR="001B4AB7" w:rsidRPr="001B4AB7" w:rsidRDefault="001B4AB7" w:rsidP="001B4AB7">
      <w:pPr>
        <w:pStyle w:val="a9"/>
        <w:spacing w:before="120" w:after="120" w:line="240" w:lineRule="exact"/>
        <w:ind w:left="283" w:hanging="283"/>
        <w:jc w:val="both"/>
        <w:rPr>
          <w:rFonts w:ascii="FrankRuehl" w:hAnsi="FrankRuehl" w:cs="FrankRuehl"/>
          <w:rtl/>
        </w:rPr>
      </w:pPr>
    </w:p>
    <w:p w14:paraId="07E2FA5F" w14:textId="77777777" w:rsidR="00D375D2" w:rsidRDefault="00D375D2" w:rsidP="00D375D2">
      <w:pPr>
        <w:pStyle w:val="a9"/>
        <w:spacing w:line="360" w:lineRule="auto"/>
        <w:ind w:left="360"/>
        <w:jc w:val="both"/>
        <w:rPr>
          <w:rFonts w:ascii="David" w:hAnsi="David"/>
          <w:rtl/>
        </w:rPr>
      </w:pPr>
      <w:bookmarkStart w:id="3" w:name="LawTable"/>
      <w:bookmarkEnd w:id="3"/>
    </w:p>
    <w:p w14:paraId="29ABCF07" w14:textId="77777777" w:rsidR="00D375D2" w:rsidRPr="00D375D2" w:rsidRDefault="00D375D2" w:rsidP="00D375D2">
      <w:pPr>
        <w:pStyle w:val="a9"/>
        <w:spacing w:before="120" w:after="120" w:line="240" w:lineRule="exact"/>
        <w:ind w:left="283" w:hanging="283"/>
        <w:jc w:val="both"/>
        <w:rPr>
          <w:rFonts w:ascii="FrankRuehl" w:hAnsi="FrankRuehl" w:cs="FrankRuehl"/>
          <w:rtl/>
        </w:rPr>
      </w:pPr>
    </w:p>
    <w:p w14:paraId="3F320214" w14:textId="77777777" w:rsidR="00D375D2" w:rsidRPr="00D375D2" w:rsidRDefault="00D375D2" w:rsidP="00D375D2">
      <w:pPr>
        <w:pStyle w:val="a9"/>
        <w:spacing w:before="120" w:after="120" w:line="240" w:lineRule="exact"/>
        <w:ind w:left="283" w:hanging="283"/>
        <w:jc w:val="both"/>
        <w:rPr>
          <w:rFonts w:ascii="FrankRuehl" w:hAnsi="FrankRuehl" w:cs="FrankRuehl"/>
          <w:rtl/>
        </w:rPr>
      </w:pPr>
    </w:p>
    <w:p w14:paraId="7C869E7E" w14:textId="77777777" w:rsidR="00D375D2" w:rsidRPr="00D375D2" w:rsidRDefault="00D375D2" w:rsidP="00D375D2">
      <w:pPr>
        <w:pStyle w:val="a9"/>
        <w:spacing w:before="120" w:after="120" w:line="240" w:lineRule="exact"/>
        <w:ind w:left="283" w:hanging="283"/>
        <w:jc w:val="both"/>
        <w:rPr>
          <w:rFonts w:ascii="FrankRuehl" w:hAnsi="FrankRuehl" w:cs="FrankRuehl"/>
          <w:rtl/>
        </w:rPr>
      </w:pPr>
      <w:r w:rsidRPr="00D375D2">
        <w:rPr>
          <w:rFonts w:ascii="FrankRuehl" w:hAnsi="FrankRuehl" w:cs="FrankRuehl"/>
          <w:rtl/>
        </w:rPr>
        <w:t xml:space="preserve">חקיקה שאוזכרה: </w:t>
      </w:r>
    </w:p>
    <w:p w14:paraId="537B30D2" w14:textId="77777777" w:rsidR="00D375D2" w:rsidRPr="00D375D2" w:rsidRDefault="00D375D2" w:rsidP="00D375D2">
      <w:pPr>
        <w:pStyle w:val="a9"/>
        <w:spacing w:before="120" w:after="120" w:line="240" w:lineRule="exact"/>
        <w:ind w:left="283" w:hanging="283"/>
        <w:jc w:val="both"/>
        <w:rPr>
          <w:rFonts w:ascii="FrankRuehl" w:hAnsi="FrankRuehl" w:cs="FrankRuehl"/>
          <w:rtl/>
        </w:rPr>
      </w:pPr>
      <w:hyperlink r:id="rId7" w:history="1">
        <w:r w:rsidRPr="00D375D2">
          <w:rPr>
            <w:rFonts w:ascii="FrankRuehl" w:hAnsi="FrankRuehl" w:cs="FrankRuehl"/>
            <w:color w:val="0000FF"/>
            <w:rtl/>
          </w:rPr>
          <w:t>פקודת הסמים המסוכנים [נוסח חדש], תשל"ג-1973</w:t>
        </w:r>
      </w:hyperlink>
      <w:r w:rsidRPr="00D375D2">
        <w:rPr>
          <w:rFonts w:ascii="FrankRuehl" w:hAnsi="FrankRuehl" w:cs="FrankRuehl"/>
          <w:rtl/>
        </w:rPr>
        <w:t xml:space="preserve">: סע'  </w:t>
      </w:r>
      <w:hyperlink r:id="rId8" w:history="1">
        <w:r w:rsidRPr="00D375D2">
          <w:rPr>
            <w:rFonts w:ascii="FrankRuehl" w:hAnsi="FrankRuehl" w:cs="FrankRuehl"/>
            <w:color w:val="0000FF"/>
            <w:rtl/>
          </w:rPr>
          <w:t>7.א.</w:t>
        </w:r>
      </w:hyperlink>
      <w:r w:rsidRPr="00D375D2">
        <w:rPr>
          <w:rFonts w:ascii="FrankRuehl" w:hAnsi="FrankRuehl" w:cs="FrankRuehl"/>
          <w:rtl/>
        </w:rPr>
        <w:t xml:space="preserve">, </w:t>
      </w:r>
      <w:hyperlink r:id="rId9" w:history="1">
        <w:r w:rsidRPr="00D375D2">
          <w:rPr>
            <w:rFonts w:ascii="FrankRuehl" w:hAnsi="FrankRuehl" w:cs="FrankRuehl"/>
            <w:color w:val="0000FF"/>
            <w:rtl/>
          </w:rPr>
          <w:t>7.ג</w:t>
        </w:r>
      </w:hyperlink>
      <w:r w:rsidRPr="00D375D2">
        <w:rPr>
          <w:rFonts w:ascii="FrankRuehl" w:hAnsi="FrankRuehl" w:cs="FrankRuehl"/>
          <w:rtl/>
        </w:rPr>
        <w:t xml:space="preserve">, </w:t>
      </w:r>
      <w:hyperlink r:id="rId10" w:history="1">
        <w:r w:rsidRPr="00D375D2">
          <w:rPr>
            <w:rFonts w:ascii="FrankRuehl" w:hAnsi="FrankRuehl" w:cs="FrankRuehl"/>
            <w:color w:val="0000FF"/>
            <w:rtl/>
          </w:rPr>
          <w:t>14</w:t>
        </w:r>
      </w:hyperlink>
    </w:p>
    <w:p w14:paraId="380CDB9B" w14:textId="77777777" w:rsidR="00D375D2" w:rsidRPr="00D375D2" w:rsidRDefault="00D375D2" w:rsidP="00D375D2">
      <w:pPr>
        <w:pStyle w:val="a9"/>
        <w:spacing w:before="120" w:after="120" w:line="240" w:lineRule="exact"/>
        <w:ind w:left="283" w:hanging="283"/>
        <w:jc w:val="both"/>
        <w:rPr>
          <w:rFonts w:ascii="FrankRuehl" w:hAnsi="FrankRuehl" w:cs="FrankRuehl"/>
          <w:rtl/>
        </w:rPr>
      </w:pPr>
      <w:hyperlink r:id="rId11" w:history="1">
        <w:r w:rsidRPr="00D375D2">
          <w:rPr>
            <w:rFonts w:ascii="FrankRuehl" w:hAnsi="FrankRuehl" w:cs="FrankRuehl"/>
            <w:color w:val="0000FF"/>
            <w:rtl/>
          </w:rPr>
          <w:t>חוק העונשין, תשל"ז-1977</w:t>
        </w:r>
      </w:hyperlink>
      <w:r w:rsidRPr="00D375D2">
        <w:rPr>
          <w:rFonts w:ascii="FrankRuehl" w:hAnsi="FrankRuehl" w:cs="FrankRuehl"/>
          <w:rtl/>
        </w:rPr>
        <w:t xml:space="preserve">: סע'  </w:t>
      </w:r>
      <w:hyperlink r:id="rId12" w:history="1">
        <w:r w:rsidRPr="00D375D2">
          <w:rPr>
            <w:rFonts w:ascii="FrankRuehl" w:hAnsi="FrankRuehl" w:cs="FrankRuehl"/>
            <w:color w:val="0000FF"/>
            <w:rtl/>
          </w:rPr>
          <w:t>25</w:t>
        </w:r>
      </w:hyperlink>
    </w:p>
    <w:p w14:paraId="605191B0" w14:textId="77777777" w:rsidR="00D375D2" w:rsidRPr="00D375D2" w:rsidRDefault="00D375D2" w:rsidP="00D375D2">
      <w:pPr>
        <w:pStyle w:val="a9"/>
        <w:spacing w:line="360" w:lineRule="auto"/>
        <w:ind w:left="360"/>
        <w:jc w:val="both"/>
        <w:rPr>
          <w:rFonts w:ascii="David" w:hAnsi="David"/>
          <w:rtl/>
        </w:rPr>
      </w:pPr>
      <w:bookmarkStart w:id="4" w:name="LawTable_End"/>
      <w:bookmarkEnd w:id="4"/>
    </w:p>
    <w:p w14:paraId="344EF89C" w14:textId="77777777" w:rsidR="00904E62" w:rsidRPr="001B4AB7" w:rsidRDefault="00904E62" w:rsidP="001B4AB7">
      <w:pPr>
        <w:pStyle w:val="a9"/>
        <w:spacing w:line="360" w:lineRule="auto"/>
        <w:ind w:left="360"/>
        <w:jc w:val="both"/>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4E62" w14:paraId="1AFAC5BF" w14:textId="77777777" w:rsidTr="00904E62">
        <w:trPr>
          <w:trHeight w:val="355"/>
          <w:jc w:val="center"/>
        </w:trPr>
        <w:tc>
          <w:tcPr>
            <w:tcW w:w="8820" w:type="dxa"/>
            <w:tcBorders>
              <w:top w:val="nil"/>
              <w:left w:val="nil"/>
              <w:bottom w:val="nil"/>
              <w:right w:val="nil"/>
            </w:tcBorders>
            <w:shd w:val="clear" w:color="auto" w:fill="auto"/>
          </w:tcPr>
          <w:p w14:paraId="54A4532F" w14:textId="77777777" w:rsidR="00F64BAB" w:rsidRPr="00F64BAB" w:rsidRDefault="00F64BAB" w:rsidP="00F64BAB">
            <w:pPr>
              <w:spacing w:line="360" w:lineRule="auto"/>
              <w:jc w:val="center"/>
              <w:rPr>
                <w:rFonts w:ascii="Arial" w:hAnsi="Arial"/>
                <w:b/>
                <w:bCs/>
                <w:sz w:val="28"/>
                <w:szCs w:val="28"/>
                <w:u w:val="single"/>
                <w:rtl/>
              </w:rPr>
            </w:pPr>
            <w:bookmarkStart w:id="5" w:name="PsakDin" w:colFirst="0" w:colLast="0"/>
            <w:bookmarkEnd w:id="0"/>
            <w:r w:rsidRPr="00F64BAB">
              <w:rPr>
                <w:rFonts w:ascii="Arial" w:hAnsi="Arial"/>
                <w:b/>
                <w:bCs/>
                <w:sz w:val="28"/>
                <w:szCs w:val="28"/>
                <w:u w:val="single"/>
                <w:rtl/>
              </w:rPr>
              <w:t>גזר דין</w:t>
            </w:r>
          </w:p>
          <w:p w14:paraId="3F181C19" w14:textId="77777777" w:rsidR="00904E62" w:rsidRPr="00F64BAB" w:rsidRDefault="00904E62" w:rsidP="00F64BAB">
            <w:pPr>
              <w:spacing w:line="360" w:lineRule="auto"/>
              <w:jc w:val="center"/>
              <w:rPr>
                <w:rFonts w:ascii="Arial" w:hAnsi="Arial"/>
                <w:bCs/>
                <w:sz w:val="28"/>
                <w:szCs w:val="28"/>
                <w:u w:val="single"/>
                <w:rtl/>
              </w:rPr>
            </w:pPr>
          </w:p>
        </w:tc>
      </w:tr>
    </w:tbl>
    <w:p w14:paraId="218101FC" w14:textId="77777777" w:rsidR="00904E62" w:rsidRDefault="00904E62" w:rsidP="00904E62">
      <w:pPr>
        <w:pStyle w:val="a9"/>
        <w:numPr>
          <w:ilvl w:val="0"/>
          <w:numId w:val="1"/>
        </w:numPr>
        <w:spacing w:line="360" w:lineRule="auto"/>
        <w:ind w:left="-98" w:firstLine="33"/>
        <w:jc w:val="both"/>
        <w:rPr>
          <w:rFonts w:ascii="David" w:hAnsi="David"/>
        </w:rPr>
      </w:pPr>
      <w:bookmarkStart w:id="6" w:name="ABSTRACT_START"/>
      <w:bookmarkEnd w:id="5"/>
      <w:bookmarkEnd w:id="6"/>
      <w:r>
        <w:rPr>
          <w:rFonts w:ascii="Arial" w:hAnsi="Arial" w:hint="cs"/>
          <w:rtl/>
        </w:rPr>
        <w:t>ה</w:t>
      </w:r>
      <w:r>
        <w:rPr>
          <w:rFonts w:ascii="David" w:hAnsi="David"/>
          <w:rtl/>
        </w:rPr>
        <w:t xml:space="preserve">נאשם הורשע על יסוד הודאתו </w:t>
      </w:r>
      <w:r>
        <w:rPr>
          <w:rFonts w:ascii="David" w:hAnsi="David" w:hint="cs"/>
          <w:rtl/>
        </w:rPr>
        <w:t xml:space="preserve">במפורט </w:t>
      </w:r>
      <w:r>
        <w:rPr>
          <w:rFonts w:ascii="David" w:hAnsi="David"/>
          <w:rtl/>
        </w:rPr>
        <w:t xml:space="preserve">בכתב </w:t>
      </w:r>
      <w:r>
        <w:rPr>
          <w:rFonts w:ascii="David" w:hAnsi="David" w:hint="cs"/>
          <w:rtl/>
        </w:rPr>
        <w:t>ה</w:t>
      </w:r>
      <w:r>
        <w:rPr>
          <w:rFonts w:ascii="David" w:hAnsi="David"/>
          <w:rtl/>
        </w:rPr>
        <w:t xml:space="preserve">אישום </w:t>
      </w:r>
      <w:r>
        <w:rPr>
          <w:rFonts w:ascii="David" w:hAnsi="David" w:hint="cs"/>
          <w:rtl/>
        </w:rPr>
        <w:t>ה</w:t>
      </w:r>
      <w:r>
        <w:rPr>
          <w:rFonts w:ascii="David" w:hAnsi="David"/>
          <w:rtl/>
        </w:rPr>
        <w:t>מתוקן (להלן: "</w:t>
      </w:r>
      <w:r>
        <w:rPr>
          <w:rFonts w:ascii="David" w:hAnsi="David"/>
          <w:b/>
          <w:bCs/>
          <w:rtl/>
        </w:rPr>
        <w:t>כתב האישום</w:t>
      </w:r>
      <w:r>
        <w:rPr>
          <w:rFonts w:ascii="David" w:hAnsi="David"/>
          <w:rtl/>
        </w:rPr>
        <w:t xml:space="preserve">") </w:t>
      </w:r>
      <w:r>
        <w:rPr>
          <w:rFonts w:ascii="David" w:hAnsi="David" w:hint="cs"/>
          <w:rtl/>
        </w:rPr>
        <w:t xml:space="preserve">במסגרת הסדר טיעון דיוני, </w:t>
      </w:r>
      <w:r>
        <w:rPr>
          <w:rFonts w:ascii="David" w:hAnsi="David"/>
          <w:rtl/>
        </w:rPr>
        <w:t xml:space="preserve">בביצוע </w:t>
      </w:r>
      <w:r>
        <w:rPr>
          <w:rFonts w:ascii="David" w:hAnsi="David" w:hint="cs"/>
          <w:rtl/>
        </w:rPr>
        <w:t>עבירה של תיווך בסם מסוכן לפי</w:t>
      </w:r>
      <w:r>
        <w:rPr>
          <w:rFonts w:ascii="David" w:hAnsi="David"/>
          <w:rtl/>
        </w:rPr>
        <w:t xml:space="preserve"> </w:t>
      </w:r>
      <w:hyperlink r:id="rId13" w:history="1">
        <w:r w:rsidR="0091784B" w:rsidRPr="0091784B">
          <w:rPr>
            <w:rStyle w:val="Hyperlink"/>
            <w:rFonts w:ascii="David" w:hAnsi="David"/>
            <w:rtl/>
          </w:rPr>
          <w:t>סעיף 14</w:t>
        </w:r>
      </w:hyperlink>
      <w:r>
        <w:rPr>
          <w:rFonts w:ascii="David" w:hAnsi="David"/>
          <w:rtl/>
        </w:rPr>
        <w:t xml:space="preserve"> ל</w:t>
      </w:r>
      <w:hyperlink r:id="rId14" w:history="1">
        <w:r w:rsidR="00F64BAB" w:rsidRPr="00F64BAB">
          <w:rPr>
            <w:rFonts w:ascii="David" w:hAnsi="David"/>
            <w:color w:val="0000FF"/>
            <w:u w:val="single"/>
            <w:rtl/>
          </w:rPr>
          <w:t>פקודת הסמים המסוכנים</w:t>
        </w:r>
      </w:hyperlink>
      <w:r>
        <w:rPr>
          <w:rFonts w:ascii="David" w:hAnsi="David"/>
          <w:rtl/>
        </w:rPr>
        <w:t xml:space="preserve"> (נוסח חדש), תשל"ג-1973 (להלן: "</w:t>
      </w:r>
      <w:r>
        <w:rPr>
          <w:rFonts w:ascii="David" w:hAnsi="David"/>
          <w:b/>
          <w:bCs/>
          <w:rtl/>
        </w:rPr>
        <w:t>פקודת הסמים</w:t>
      </w:r>
      <w:r>
        <w:rPr>
          <w:rFonts w:ascii="David" w:hAnsi="David"/>
          <w:rtl/>
        </w:rPr>
        <w:t xml:space="preserve">"), </w:t>
      </w:r>
      <w:r>
        <w:rPr>
          <w:rFonts w:ascii="David" w:hAnsi="David" w:hint="cs"/>
          <w:rtl/>
        </w:rPr>
        <w:t>ב</w:t>
      </w:r>
      <w:r>
        <w:rPr>
          <w:rFonts w:ascii="David" w:hAnsi="David"/>
          <w:rtl/>
        </w:rPr>
        <w:t xml:space="preserve">ניסיון תיווך </w:t>
      </w:r>
      <w:r>
        <w:rPr>
          <w:rFonts w:ascii="David" w:hAnsi="David" w:hint="cs"/>
          <w:rtl/>
        </w:rPr>
        <w:t>בסם מסוכן</w:t>
      </w:r>
      <w:r>
        <w:rPr>
          <w:rFonts w:ascii="David" w:hAnsi="David"/>
          <w:rtl/>
        </w:rPr>
        <w:t xml:space="preserve"> לפי </w:t>
      </w:r>
      <w:hyperlink r:id="rId15" w:history="1">
        <w:r w:rsidR="0091784B" w:rsidRPr="0091784B">
          <w:rPr>
            <w:rStyle w:val="Hyperlink"/>
            <w:rFonts w:ascii="David" w:hAnsi="David"/>
            <w:rtl/>
          </w:rPr>
          <w:t>סעיף 14</w:t>
        </w:r>
      </w:hyperlink>
      <w:r>
        <w:rPr>
          <w:rFonts w:ascii="David" w:hAnsi="David"/>
          <w:rtl/>
        </w:rPr>
        <w:t xml:space="preserve"> לפקודת הסמים המסוכנים + </w:t>
      </w:r>
      <w:hyperlink r:id="rId16" w:history="1">
        <w:r w:rsidR="0091784B" w:rsidRPr="0091784B">
          <w:rPr>
            <w:rStyle w:val="Hyperlink"/>
            <w:rFonts w:ascii="David" w:hAnsi="David"/>
            <w:rtl/>
          </w:rPr>
          <w:t>סעיף 25</w:t>
        </w:r>
      </w:hyperlink>
      <w:r>
        <w:rPr>
          <w:rFonts w:ascii="David" w:hAnsi="David"/>
          <w:rtl/>
        </w:rPr>
        <w:t xml:space="preserve"> ל</w:t>
      </w:r>
      <w:hyperlink r:id="rId17" w:history="1">
        <w:r w:rsidR="00F64BAB" w:rsidRPr="00F64BAB">
          <w:rPr>
            <w:rFonts w:ascii="David" w:hAnsi="David"/>
            <w:color w:val="0000FF"/>
            <w:u w:val="single"/>
            <w:rtl/>
          </w:rPr>
          <w:t>חוק העונשין</w:t>
        </w:r>
      </w:hyperlink>
      <w:r>
        <w:rPr>
          <w:rFonts w:ascii="David" w:hAnsi="David"/>
          <w:rtl/>
        </w:rPr>
        <w:t>, תשל"ז-1977 (להלן: "</w:t>
      </w:r>
      <w:r>
        <w:rPr>
          <w:rFonts w:ascii="David" w:hAnsi="David"/>
          <w:b/>
          <w:bCs/>
          <w:rtl/>
        </w:rPr>
        <w:t>חוק העונשין</w:t>
      </w:r>
      <w:r>
        <w:rPr>
          <w:rFonts w:ascii="David" w:hAnsi="David"/>
          <w:rtl/>
        </w:rPr>
        <w:t xml:space="preserve">") </w:t>
      </w:r>
      <w:r>
        <w:rPr>
          <w:rFonts w:ascii="David" w:hAnsi="David" w:hint="cs"/>
          <w:rtl/>
        </w:rPr>
        <w:t>וב</w:t>
      </w:r>
      <w:r>
        <w:rPr>
          <w:rFonts w:ascii="David" w:hAnsi="David"/>
          <w:rtl/>
        </w:rPr>
        <w:t xml:space="preserve">החזקה/שימוש בסמים לצריכה עצמית לפי סעיף </w:t>
      </w:r>
      <w:hyperlink r:id="rId18" w:history="1">
        <w:r w:rsidR="0091784B" w:rsidRPr="0091784B">
          <w:rPr>
            <w:rStyle w:val="Hyperlink"/>
            <w:rFonts w:ascii="David" w:hAnsi="David"/>
            <w:rtl/>
          </w:rPr>
          <w:t>7 (א) + 7(ג)</w:t>
        </w:r>
      </w:hyperlink>
      <w:r>
        <w:rPr>
          <w:rFonts w:ascii="David" w:hAnsi="David"/>
          <w:rtl/>
        </w:rPr>
        <w:t xml:space="preserve"> סיפא לפקודת הסמים.</w:t>
      </w:r>
    </w:p>
    <w:p w14:paraId="6D35F2F7" w14:textId="77777777" w:rsidR="00904E62" w:rsidRPr="00CB5C0A" w:rsidRDefault="00904E62" w:rsidP="00904E62">
      <w:pPr>
        <w:pStyle w:val="a9"/>
        <w:ind w:left="-65"/>
        <w:jc w:val="both"/>
        <w:rPr>
          <w:rFonts w:ascii="David" w:hAnsi="David"/>
          <w:sz w:val="20"/>
          <w:szCs w:val="20"/>
        </w:rPr>
      </w:pPr>
      <w:bookmarkStart w:id="7" w:name="ABSTRACT_END"/>
      <w:bookmarkEnd w:id="7"/>
    </w:p>
    <w:p w14:paraId="49B6E671" w14:textId="77777777" w:rsidR="00904E62" w:rsidRDefault="00904E62" w:rsidP="00904E62">
      <w:pPr>
        <w:pStyle w:val="a9"/>
        <w:numPr>
          <w:ilvl w:val="0"/>
          <w:numId w:val="1"/>
        </w:numPr>
        <w:spacing w:line="360" w:lineRule="auto"/>
        <w:ind w:left="-98" w:firstLine="33"/>
        <w:jc w:val="both"/>
        <w:rPr>
          <w:rFonts w:ascii="David" w:hAnsi="David"/>
        </w:rPr>
      </w:pPr>
      <w:r>
        <w:rPr>
          <w:rFonts w:ascii="David" w:hAnsi="David"/>
          <w:rtl/>
        </w:rPr>
        <w:t xml:space="preserve">על פי </w:t>
      </w:r>
      <w:r w:rsidRPr="0067075D">
        <w:rPr>
          <w:rFonts w:ascii="David" w:hAnsi="David"/>
          <w:b/>
          <w:bCs/>
          <w:rtl/>
        </w:rPr>
        <w:t>החלק הכללי בכתב האישום</w:t>
      </w:r>
      <w:r>
        <w:rPr>
          <w:rFonts w:ascii="David" w:hAnsi="David"/>
          <w:rtl/>
        </w:rPr>
        <w:t xml:space="preserve">, </w:t>
      </w:r>
      <w:r>
        <w:rPr>
          <w:rFonts w:ascii="David" w:hAnsi="David" w:hint="cs"/>
          <w:rtl/>
        </w:rPr>
        <w:t xml:space="preserve">סוכן משטרתי (להלן: </w:t>
      </w:r>
      <w:r w:rsidRPr="0067075D">
        <w:rPr>
          <w:rFonts w:ascii="David" w:hAnsi="David" w:hint="cs"/>
          <w:b/>
          <w:bCs/>
          <w:rtl/>
        </w:rPr>
        <w:t>"הסוכן"</w:t>
      </w:r>
      <w:r>
        <w:rPr>
          <w:rFonts w:ascii="David" w:hAnsi="David" w:hint="cs"/>
          <w:rtl/>
        </w:rPr>
        <w:t xml:space="preserve">) אשר הופעל במטרה להילחם בתופעת הסחר בסמים מסוכנים פעל בתקופה הרלבנטית במסווה של מנעולן בתל אביב. </w:t>
      </w:r>
      <w:r>
        <w:rPr>
          <w:rFonts w:ascii="David" w:hAnsi="David"/>
          <w:rtl/>
        </w:rPr>
        <w:t xml:space="preserve">ביום </w:t>
      </w:r>
      <w:r>
        <w:rPr>
          <w:rFonts w:ascii="David" w:hAnsi="David" w:hint="cs"/>
          <w:rtl/>
        </w:rPr>
        <w:t>7.4.2019</w:t>
      </w:r>
      <w:r>
        <w:rPr>
          <w:rFonts w:ascii="David" w:hAnsi="David"/>
          <w:rtl/>
        </w:rPr>
        <w:t xml:space="preserve"> הכירו הסוכן והנאשם </w:t>
      </w:r>
      <w:r>
        <w:rPr>
          <w:rFonts w:ascii="David" w:hAnsi="David" w:hint="cs"/>
          <w:rtl/>
        </w:rPr>
        <w:t>במסעדה</w:t>
      </w:r>
      <w:r>
        <w:rPr>
          <w:rFonts w:ascii="David" w:hAnsi="David"/>
          <w:rtl/>
        </w:rPr>
        <w:t xml:space="preserve"> </w:t>
      </w:r>
      <w:r>
        <w:rPr>
          <w:rFonts w:ascii="David" w:hAnsi="David" w:hint="cs"/>
          <w:rtl/>
        </w:rPr>
        <w:t xml:space="preserve">בתל אביב </w:t>
      </w:r>
      <w:r>
        <w:rPr>
          <w:rFonts w:ascii="David" w:hAnsi="David"/>
          <w:rtl/>
        </w:rPr>
        <w:t>ב</w:t>
      </w:r>
      <w:r>
        <w:rPr>
          <w:rFonts w:ascii="David" w:hAnsi="David" w:hint="cs"/>
          <w:rtl/>
        </w:rPr>
        <w:t>ה</w:t>
      </w:r>
      <w:r>
        <w:rPr>
          <w:rFonts w:ascii="David" w:hAnsi="David"/>
          <w:rtl/>
        </w:rPr>
        <w:t xml:space="preserve"> עבד הנאשם</w:t>
      </w:r>
      <w:r>
        <w:rPr>
          <w:rFonts w:ascii="David" w:hAnsi="David" w:hint="cs"/>
          <w:rtl/>
        </w:rPr>
        <w:t xml:space="preserve"> </w:t>
      </w:r>
      <w:r>
        <w:rPr>
          <w:rFonts w:ascii="David" w:hAnsi="David"/>
          <w:rtl/>
        </w:rPr>
        <w:t>(להלן: "</w:t>
      </w:r>
      <w:r>
        <w:rPr>
          <w:rFonts w:ascii="David" w:hAnsi="David"/>
          <w:b/>
          <w:bCs/>
          <w:rtl/>
        </w:rPr>
        <w:t>המסעדה</w:t>
      </w:r>
      <w:r>
        <w:rPr>
          <w:rFonts w:ascii="David" w:hAnsi="David"/>
          <w:rtl/>
        </w:rPr>
        <w:t xml:space="preserve">"). במהלך שיחה </w:t>
      </w:r>
      <w:r>
        <w:rPr>
          <w:rFonts w:ascii="David" w:hAnsi="David" w:hint="cs"/>
          <w:rtl/>
        </w:rPr>
        <w:t>ביניהם</w:t>
      </w:r>
      <w:r>
        <w:rPr>
          <w:rFonts w:ascii="David" w:hAnsi="David"/>
          <w:rtl/>
        </w:rPr>
        <w:t xml:space="preserve"> החליפו הנאשם והסוכן מספרי טלפון לצורך ביצוע שירותי מנע</w:t>
      </w:r>
      <w:r>
        <w:rPr>
          <w:rFonts w:ascii="David" w:hAnsi="David" w:hint="cs"/>
          <w:rtl/>
        </w:rPr>
        <w:t>ו</w:t>
      </w:r>
      <w:r>
        <w:rPr>
          <w:rFonts w:ascii="David" w:hAnsi="David"/>
          <w:rtl/>
        </w:rPr>
        <w:t>לנות עבור הנאשם.</w:t>
      </w:r>
    </w:p>
    <w:p w14:paraId="08B34882" w14:textId="77777777" w:rsidR="00904E62" w:rsidRPr="0067075D" w:rsidRDefault="00904E62" w:rsidP="00904E62">
      <w:pPr>
        <w:pStyle w:val="a9"/>
        <w:jc w:val="both"/>
        <w:rPr>
          <w:rFonts w:ascii="David" w:hAnsi="David"/>
          <w:sz w:val="20"/>
          <w:szCs w:val="20"/>
        </w:rPr>
      </w:pPr>
    </w:p>
    <w:p w14:paraId="60F15354" w14:textId="77777777" w:rsidR="00904E62" w:rsidRDefault="00904E62" w:rsidP="00904E62">
      <w:pPr>
        <w:pStyle w:val="a9"/>
        <w:numPr>
          <w:ilvl w:val="0"/>
          <w:numId w:val="1"/>
        </w:numPr>
        <w:spacing w:line="360" w:lineRule="auto"/>
        <w:ind w:left="-98" w:firstLine="33"/>
        <w:jc w:val="both"/>
        <w:rPr>
          <w:rFonts w:ascii="David" w:hAnsi="David"/>
        </w:rPr>
      </w:pPr>
      <w:r>
        <w:rPr>
          <w:rFonts w:ascii="David" w:hAnsi="David"/>
          <w:rtl/>
        </w:rPr>
        <w:t xml:space="preserve">על פי </w:t>
      </w:r>
      <w:r w:rsidRPr="0067075D">
        <w:rPr>
          <w:rFonts w:ascii="David" w:hAnsi="David"/>
          <w:b/>
          <w:bCs/>
          <w:rtl/>
        </w:rPr>
        <w:t>האישום הראשון</w:t>
      </w:r>
      <w:r>
        <w:rPr>
          <w:rFonts w:ascii="David" w:hAnsi="David"/>
          <w:rtl/>
        </w:rPr>
        <w:t>, במסגרת ה</w:t>
      </w:r>
      <w:r>
        <w:rPr>
          <w:rFonts w:ascii="David" w:hAnsi="David" w:hint="cs"/>
          <w:rtl/>
        </w:rPr>
        <w:t>י</w:t>
      </w:r>
      <w:r>
        <w:rPr>
          <w:rFonts w:ascii="David" w:hAnsi="David"/>
          <w:rtl/>
        </w:rPr>
        <w:t>כרו</w:t>
      </w:r>
      <w:r>
        <w:rPr>
          <w:rFonts w:ascii="David" w:hAnsi="David" w:hint="cs"/>
          <w:rtl/>
        </w:rPr>
        <w:t>תם הכללית כמפורט לעיל</w:t>
      </w:r>
      <w:r>
        <w:rPr>
          <w:rFonts w:ascii="David" w:hAnsi="David"/>
          <w:rtl/>
        </w:rPr>
        <w:t xml:space="preserve">, </w:t>
      </w:r>
      <w:r>
        <w:rPr>
          <w:rFonts w:ascii="David" w:hAnsi="David" w:hint="cs"/>
          <w:rtl/>
        </w:rPr>
        <w:t>פגש הסוכן בנאשם במסעדה ביום 25.7.2019</w:t>
      </w:r>
      <w:r>
        <w:rPr>
          <w:rFonts w:ascii="David" w:hAnsi="David"/>
          <w:rtl/>
        </w:rPr>
        <w:t xml:space="preserve">. במהלך שיחה </w:t>
      </w:r>
      <w:r>
        <w:rPr>
          <w:rFonts w:ascii="David" w:hAnsi="David" w:hint="cs"/>
          <w:rtl/>
        </w:rPr>
        <w:t>ביניהם</w:t>
      </w:r>
      <w:r>
        <w:rPr>
          <w:rFonts w:ascii="David" w:hAnsi="David"/>
          <w:rtl/>
        </w:rPr>
        <w:t xml:space="preserve"> אמר הנאשם לסוכן שהוא ייתן לו את הטלפון של הבחור שלו</w:t>
      </w:r>
      <w:r>
        <w:rPr>
          <w:rFonts w:ascii="David" w:hAnsi="David" w:hint="cs"/>
          <w:rtl/>
        </w:rPr>
        <w:t>,</w:t>
      </w:r>
      <w:r>
        <w:rPr>
          <w:rFonts w:ascii="David" w:hAnsi="David"/>
          <w:rtl/>
        </w:rPr>
        <w:t xml:space="preserve"> ושאל אותו אם הוא צריך "קוק או </w:t>
      </w:r>
      <w:r>
        <w:rPr>
          <w:rFonts w:ascii="David" w:hAnsi="David"/>
        </w:rPr>
        <w:t>K</w:t>
      </w:r>
      <w:r>
        <w:rPr>
          <w:rFonts w:ascii="David" w:hAnsi="David"/>
          <w:rtl/>
        </w:rPr>
        <w:t xml:space="preserve">"? (הכוונה </w:t>
      </w:r>
      <w:r>
        <w:rPr>
          <w:rFonts w:ascii="David" w:hAnsi="David" w:hint="cs"/>
          <w:rtl/>
        </w:rPr>
        <w:t>ל</w:t>
      </w:r>
      <w:r>
        <w:rPr>
          <w:rFonts w:ascii="David" w:hAnsi="David"/>
          <w:rtl/>
        </w:rPr>
        <w:t>סמים מסוכנים מסוג קוקאין ו-</w:t>
      </w:r>
      <w:r>
        <w:rPr>
          <w:rFonts w:ascii="David" w:hAnsi="David"/>
        </w:rPr>
        <w:t>KETAMINE</w:t>
      </w:r>
      <w:r>
        <w:rPr>
          <w:rFonts w:ascii="David" w:hAnsi="David"/>
          <w:rtl/>
        </w:rPr>
        <w:t>). הסוכן השיב שהוא רוצה "קוק" ושאל כמה זה יעלה</w:t>
      </w:r>
      <w:r>
        <w:rPr>
          <w:rFonts w:ascii="David" w:hAnsi="David" w:hint="cs"/>
          <w:rtl/>
        </w:rPr>
        <w:t xml:space="preserve">. </w:t>
      </w:r>
      <w:r>
        <w:rPr>
          <w:rFonts w:ascii="David" w:hAnsi="David"/>
          <w:rtl/>
        </w:rPr>
        <w:t xml:space="preserve">הנאשם השיב ש-1 גרם של </w:t>
      </w:r>
      <w:r>
        <w:rPr>
          <w:rFonts w:ascii="David" w:hAnsi="David"/>
          <w:rtl/>
        </w:rPr>
        <w:lastRenderedPageBreak/>
        <w:t xml:space="preserve">סם מסוכן מסוג קוקאין יעלה 500 ₪. עוד אמר הנאשם לסוכן כי קודם ידבר אתו </w:t>
      </w:r>
      <w:r>
        <w:rPr>
          <w:rFonts w:ascii="David" w:hAnsi="David" w:hint="cs"/>
          <w:rtl/>
        </w:rPr>
        <w:t xml:space="preserve">(הכוונה עם הבחור) </w:t>
      </w:r>
      <w:r>
        <w:rPr>
          <w:rFonts w:ascii="David" w:hAnsi="David"/>
          <w:rtl/>
        </w:rPr>
        <w:t xml:space="preserve">ואז ייתן </w:t>
      </w:r>
      <w:r>
        <w:rPr>
          <w:rFonts w:ascii="David" w:hAnsi="David" w:hint="cs"/>
          <w:rtl/>
        </w:rPr>
        <w:t xml:space="preserve">לסוכן </w:t>
      </w:r>
      <w:r>
        <w:rPr>
          <w:rFonts w:ascii="David" w:hAnsi="David"/>
          <w:rtl/>
        </w:rPr>
        <w:t xml:space="preserve">את הטלפון שלו. בהמשך </w:t>
      </w:r>
      <w:r>
        <w:rPr>
          <w:rFonts w:ascii="David" w:hAnsi="David" w:hint="cs"/>
          <w:rtl/>
        </w:rPr>
        <w:t>לכך,</w:t>
      </w:r>
      <w:r>
        <w:rPr>
          <w:rFonts w:ascii="David" w:hAnsi="David"/>
          <w:rtl/>
        </w:rPr>
        <w:t xml:space="preserve"> </w:t>
      </w:r>
      <w:r>
        <w:rPr>
          <w:rFonts w:ascii="David" w:hAnsi="David" w:hint="cs"/>
          <w:rtl/>
        </w:rPr>
        <w:t>ביום 28.7.2019</w:t>
      </w:r>
      <w:r>
        <w:rPr>
          <w:rFonts w:ascii="David" w:hAnsi="David"/>
          <w:rtl/>
        </w:rPr>
        <w:t xml:space="preserve"> קיבל הסוכן מהנאשם בהודעה בת</w:t>
      </w:r>
      <w:r>
        <w:rPr>
          <w:rFonts w:ascii="David" w:hAnsi="David" w:hint="cs"/>
          <w:rtl/>
        </w:rPr>
        <w:t>ו</w:t>
      </w:r>
      <w:r>
        <w:rPr>
          <w:rFonts w:ascii="David" w:hAnsi="David"/>
          <w:rtl/>
        </w:rPr>
        <w:t>כנת "וואטסאפ", מספר טלפון של אדם בשם "מוקי", שזהותו אינה ידועה למאשימה (להלן: "</w:t>
      </w:r>
      <w:r>
        <w:rPr>
          <w:rFonts w:ascii="David" w:hAnsi="David"/>
          <w:b/>
          <w:bCs/>
          <w:rtl/>
        </w:rPr>
        <w:t>מוקי</w:t>
      </w:r>
      <w:r>
        <w:rPr>
          <w:rFonts w:ascii="David" w:hAnsi="David"/>
          <w:rtl/>
        </w:rPr>
        <w:t>"), והודעה נוספת ב</w:t>
      </w:r>
      <w:r>
        <w:rPr>
          <w:rFonts w:ascii="David" w:hAnsi="David" w:hint="cs"/>
          <w:rtl/>
        </w:rPr>
        <w:t>ה</w:t>
      </w:r>
      <w:r>
        <w:rPr>
          <w:rFonts w:ascii="David" w:hAnsi="David"/>
          <w:rtl/>
        </w:rPr>
        <w:t xml:space="preserve"> כתב הנאשם לסוכן: "</w:t>
      </w:r>
      <w:r>
        <w:rPr>
          <w:rFonts w:ascii="David" w:hAnsi="David"/>
          <w:b/>
          <w:bCs/>
          <w:rtl/>
        </w:rPr>
        <w:t xml:space="preserve">שלח לו הודעה </w:t>
      </w:r>
      <w:r>
        <w:rPr>
          <w:rFonts w:ascii="David" w:hAnsi="David"/>
          <w:b/>
          <w:bCs/>
        </w:rPr>
        <w:t>SMS</w:t>
      </w:r>
      <w:r>
        <w:rPr>
          <w:rFonts w:ascii="David" w:hAnsi="David"/>
          <w:b/>
          <w:bCs/>
          <w:rtl/>
        </w:rPr>
        <w:t xml:space="preserve"> שקיבלת את המספר ממני</w:t>
      </w:r>
      <w:r>
        <w:rPr>
          <w:rFonts w:ascii="David" w:hAnsi="David"/>
          <w:rtl/>
        </w:rPr>
        <w:t xml:space="preserve">". </w:t>
      </w:r>
    </w:p>
    <w:p w14:paraId="2516AEE2" w14:textId="77777777" w:rsidR="00904E62" w:rsidRPr="0067075D" w:rsidRDefault="00904E62" w:rsidP="00904E62">
      <w:pPr>
        <w:pStyle w:val="a9"/>
        <w:rPr>
          <w:rFonts w:ascii="David" w:hAnsi="David"/>
          <w:sz w:val="20"/>
          <w:szCs w:val="20"/>
          <w:rtl/>
        </w:rPr>
      </w:pPr>
    </w:p>
    <w:p w14:paraId="723FE71F" w14:textId="77777777" w:rsidR="00904E62" w:rsidRDefault="00904E62" w:rsidP="00904E62">
      <w:pPr>
        <w:pStyle w:val="a9"/>
        <w:numPr>
          <w:ilvl w:val="0"/>
          <w:numId w:val="1"/>
        </w:numPr>
        <w:spacing w:line="360" w:lineRule="auto"/>
        <w:ind w:left="-98" w:firstLine="33"/>
        <w:jc w:val="both"/>
        <w:rPr>
          <w:rFonts w:ascii="David" w:hAnsi="David"/>
          <w:rtl/>
        </w:rPr>
      </w:pPr>
      <w:r>
        <w:rPr>
          <w:rFonts w:ascii="David" w:hAnsi="David"/>
          <w:rtl/>
        </w:rPr>
        <w:t xml:space="preserve">בהמשך לנסיבות אלו, </w:t>
      </w:r>
      <w:r>
        <w:rPr>
          <w:rFonts w:ascii="David" w:hAnsi="David" w:hint="cs"/>
          <w:rtl/>
        </w:rPr>
        <w:t>ביום 1.8.2019</w:t>
      </w:r>
      <w:r>
        <w:rPr>
          <w:rFonts w:ascii="David" w:hAnsi="David"/>
          <w:rtl/>
        </w:rPr>
        <w:t xml:space="preserve">, פגש הסוכן את הנאשם במסעדה </w:t>
      </w:r>
      <w:r>
        <w:rPr>
          <w:rFonts w:ascii="David" w:hAnsi="David" w:hint="cs"/>
          <w:rtl/>
        </w:rPr>
        <w:t>ו</w:t>
      </w:r>
      <w:r>
        <w:rPr>
          <w:rFonts w:ascii="David" w:hAnsi="David"/>
          <w:rtl/>
        </w:rPr>
        <w:t>במהלך השיחה</w:t>
      </w:r>
      <w:r>
        <w:rPr>
          <w:rFonts w:ascii="David" w:hAnsi="David" w:hint="cs"/>
          <w:rtl/>
        </w:rPr>
        <w:t xml:space="preserve"> ביניהם</w:t>
      </w:r>
      <w:r>
        <w:rPr>
          <w:rFonts w:ascii="David" w:hAnsi="David"/>
          <w:rtl/>
        </w:rPr>
        <w:t xml:space="preserve"> שאל הנאשם את הסוכן "</w:t>
      </w:r>
      <w:r>
        <w:rPr>
          <w:rFonts w:ascii="David" w:hAnsi="David"/>
          <w:b/>
          <w:bCs/>
          <w:rtl/>
        </w:rPr>
        <w:t>כמה קנה</w:t>
      </w:r>
      <w:r>
        <w:rPr>
          <w:rFonts w:ascii="David" w:hAnsi="David"/>
          <w:rtl/>
        </w:rPr>
        <w:t>"</w:t>
      </w:r>
      <w:r>
        <w:rPr>
          <w:rFonts w:ascii="David" w:hAnsi="David" w:hint="cs"/>
          <w:rtl/>
        </w:rPr>
        <w:t xml:space="preserve"> (הכוונה לסמים)</w:t>
      </w:r>
      <w:r>
        <w:rPr>
          <w:rFonts w:ascii="David" w:hAnsi="David"/>
          <w:rtl/>
        </w:rPr>
        <w:t>,</w:t>
      </w:r>
      <w:r>
        <w:rPr>
          <w:rFonts w:ascii="David" w:hAnsi="David" w:hint="cs"/>
          <w:rtl/>
        </w:rPr>
        <w:t xml:space="preserve"> </w:t>
      </w:r>
      <w:r>
        <w:rPr>
          <w:rFonts w:ascii="David" w:hAnsi="David"/>
          <w:rtl/>
        </w:rPr>
        <w:t>הסוכן השיב לו "</w:t>
      </w:r>
      <w:r>
        <w:rPr>
          <w:rFonts w:ascii="David" w:hAnsi="David"/>
          <w:b/>
          <w:bCs/>
          <w:rtl/>
        </w:rPr>
        <w:t>שלקח 5</w:t>
      </w:r>
      <w:r>
        <w:rPr>
          <w:rFonts w:ascii="David" w:hAnsi="David"/>
          <w:rtl/>
        </w:rPr>
        <w:t>"</w:t>
      </w:r>
      <w:r>
        <w:rPr>
          <w:rFonts w:ascii="David" w:hAnsi="David" w:hint="cs"/>
          <w:rtl/>
        </w:rPr>
        <w:t xml:space="preserve"> ו</w:t>
      </w:r>
      <w:r>
        <w:rPr>
          <w:rFonts w:ascii="David" w:hAnsi="David"/>
          <w:rtl/>
        </w:rPr>
        <w:t>אז, אמר הנאשם לסוכן "</w:t>
      </w:r>
      <w:r>
        <w:rPr>
          <w:rFonts w:ascii="David" w:hAnsi="David"/>
          <w:b/>
          <w:bCs/>
          <w:rtl/>
        </w:rPr>
        <w:t>עכשיו אני מבין למה הוא שלח לי תודה, זה על שהבאתי אותך אליו</w:t>
      </w:r>
      <w:r>
        <w:rPr>
          <w:rFonts w:ascii="David" w:hAnsi="David"/>
          <w:rtl/>
        </w:rPr>
        <w:t xml:space="preserve">". </w:t>
      </w:r>
      <w:r>
        <w:rPr>
          <w:rFonts w:ascii="David" w:hAnsi="David" w:hint="cs"/>
          <w:rtl/>
        </w:rPr>
        <w:t xml:space="preserve">בגין מעשה זה הורשע הנאשם בניסיון לתווך בסם מסוכן. </w:t>
      </w:r>
    </w:p>
    <w:p w14:paraId="189273FE" w14:textId="77777777" w:rsidR="00904E62" w:rsidRPr="00280FBC" w:rsidRDefault="00904E62" w:rsidP="00904E62">
      <w:pPr>
        <w:pStyle w:val="a9"/>
        <w:jc w:val="both"/>
        <w:rPr>
          <w:rFonts w:ascii="David" w:hAnsi="David"/>
          <w:sz w:val="20"/>
          <w:szCs w:val="20"/>
        </w:rPr>
      </w:pPr>
    </w:p>
    <w:p w14:paraId="4578A81F" w14:textId="77777777" w:rsidR="00904E62" w:rsidRDefault="00904E62" w:rsidP="00904E62">
      <w:pPr>
        <w:pStyle w:val="a9"/>
        <w:numPr>
          <w:ilvl w:val="0"/>
          <w:numId w:val="1"/>
        </w:numPr>
        <w:spacing w:line="360" w:lineRule="auto"/>
        <w:ind w:left="-98" w:firstLine="33"/>
        <w:jc w:val="both"/>
        <w:rPr>
          <w:rFonts w:ascii="David" w:hAnsi="David"/>
          <w:rtl/>
        </w:rPr>
      </w:pPr>
      <w:r>
        <w:rPr>
          <w:rFonts w:ascii="David" w:hAnsi="David"/>
          <w:rtl/>
        </w:rPr>
        <w:t xml:space="preserve">על פי </w:t>
      </w:r>
      <w:r w:rsidRPr="0067075D">
        <w:rPr>
          <w:rFonts w:ascii="David" w:hAnsi="David"/>
          <w:b/>
          <w:bCs/>
          <w:rtl/>
        </w:rPr>
        <w:t>האישום השני</w:t>
      </w:r>
      <w:r>
        <w:rPr>
          <w:rFonts w:ascii="David" w:hAnsi="David"/>
          <w:rtl/>
        </w:rPr>
        <w:t xml:space="preserve">, </w:t>
      </w:r>
      <w:r>
        <w:rPr>
          <w:rFonts w:ascii="David" w:hAnsi="David" w:hint="cs"/>
          <w:rtl/>
        </w:rPr>
        <w:t xml:space="preserve">ביום 1.8.2019 </w:t>
      </w:r>
      <w:r>
        <w:rPr>
          <w:rFonts w:ascii="David" w:hAnsi="David"/>
          <w:rtl/>
        </w:rPr>
        <w:t xml:space="preserve">פגש הסוכן את הנאשם במסעדה </w:t>
      </w:r>
      <w:r>
        <w:rPr>
          <w:rFonts w:ascii="David" w:hAnsi="David" w:hint="cs"/>
          <w:rtl/>
        </w:rPr>
        <w:t>ו</w:t>
      </w:r>
      <w:r>
        <w:rPr>
          <w:rFonts w:ascii="David" w:hAnsi="David"/>
          <w:rtl/>
        </w:rPr>
        <w:t xml:space="preserve">במהלך שיחה </w:t>
      </w:r>
      <w:r>
        <w:rPr>
          <w:rFonts w:ascii="David" w:hAnsi="David" w:hint="cs"/>
          <w:rtl/>
        </w:rPr>
        <w:t>ביניהם</w:t>
      </w:r>
      <w:r>
        <w:rPr>
          <w:rFonts w:ascii="David" w:hAnsi="David"/>
          <w:rtl/>
        </w:rPr>
        <w:t xml:space="preserve"> אמר הנאשם לסוכן כי "</w:t>
      </w:r>
      <w:r>
        <w:rPr>
          <w:rFonts w:ascii="David" w:hAnsi="David"/>
          <w:b/>
          <w:bCs/>
          <w:rtl/>
        </w:rPr>
        <w:t>יש לו בחור שמספק לו אמדי טוב אם הוא רוצה</w:t>
      </w:r>
      <w:r>
        <w:rPr>
          <w:rFonts w:ascii="David" w:hAnsi="David"/>
          <w:rtl/>
        </w:rPr>
        <w:t xml:space="preserve">" (הכוונה לסם מסוכן מסוג </w:t>
      </w:r>
      <w:r>
        <w:rPr>
          <w:rFonts w:ascii="David" w:hAnsi="David"/>
        </w:rPr>
        <w:t>MDMA</w:t>
      </w:r>
      <w:r>
        <w:rPr>
          <w:rFonts w:ascii="David" w:hAnsi="David"/>
          <w:rtl/>
        </w:rPr>
        <w:t>)</w:t>
      </w:r>
      <w:r>
        <w:rPr>
          <w:rFonts w:ascii="David" w:hAnsi="David" w:hint="cs"/>
          <w:rtl/>
        </w:rPr>
        <w:t xml:space="preserve">. </w:t>
      </w:r>
      <w:r>
        <w:rPr>
          <w:rFonts w:ascii="David" w:hAnsi="David"/>
          <w:rtl/>
        </w:rPr>
        <w:t xml:space="preserve">הסוכן השיב שיגיד לו אם הוא יצטרך. בהמשך </w:t>
      </w:r>
      <w:r>
        <w:rPr>
          <w:rFonts w:ascii="David" w:hAnsi="David" w:hint="cs"/>
          <w:rtl/>
        </w:rPr>
        <w:t xml:space="preserve">לכך, ביום 6.8.2019 </w:t>
      </w:r>
      <w:r>
        <w:rPr>
          <w:rFonts w:ascii="David" w:hAnsi="David"/>
          <w:rtl/>
        </w:rPr>
        <w:t xml:space="preserve">שוחחו הנאשם והסוכן </w:t>
      </w:r>
      <w:r>
        <w:rPr>
          <w:rFonts w:ascii="David" w:hAnsi="David" w:hint="cs"/>
          <w:rtl/>
        </w:rPr>
        <w:t>בטלפון</w:t>
      </w:r>
      <w:r>
        <w:rPr>
          <w:rFonts w:ascii="David" w:hAnsi="David"/>
          <w:rtl/>
        </w:rPr>
        <w:t xml:space="preserve"> </w:t>
      </w:r>
      <w:r>
        <w:rPr>
          <w:rFonts w:ascii="David" w:hAnsi="David" w:hint="cs"/>
          <w:rtl/>
        </w:rPr>
        <w:t>ו</w:t>
      </w:r>
      <w:r>
        <w:rPr>
          <w:rFonts w:ascii="David" w:hAnsi="David"/>
          <w:rtl/>
        </w:rPr>
        <w:t xml:space="preserve">במהלך השיחה אמר הסוכן לנאשם כי הוא רוצה לקנות סם מסוכן מסוג </w:t>
      </w:r>
      <w:r>
        <w:rPr>
          <w:rFonts w:ascii="David" w:hAnsi="David"/>
        </w:rPr>
        <w:t>MDMA</w:t>
      </w:r>
      <w:r>
        <w:rPr>
          <w:rFonts w:ascii="David" w:hAnsi="David"/>
          <w:rtl/>
        </w:rPr>
        <w:t xml:space="preserve"> ושאל </w:t>
      </w:r>
      <w:r>
        <w:rPr>
          <w:rFonts w:ascii="David" w:hAnsi="David" w:hint="cs"/>
          <w:rtl/>
        </w:rPr>
        <w:t>את הנאשם</w:t>
      </w:r>
      <w:r>
        <w:rPr>
          <w:rFonts w:ascii="David" w:hAnsi="David"/>
          <w:rtl/>
        </w:rPr>
        <w:t xml:space="preserve"> אם הוא יכול לתת לו את המספר טלפון של הבחור שלו. הנאשם השיב </w:t>
      </w:r>
      <w:r>
        <w:rPr>
          <w:rFonts w:ascii="David" w:hAnsi="David" w:hint="cs"/>
          <w:rtl/>
        </w:rPr>
        <w:t>ש</w:t>
      </w:r>
      <w:r>
        <w:rPr>
          <w:rFonts w:ascii="David" w:hAnsi="David"/>
          <w:rtl/>
        </w:rPr>
        <w:t>ישלח לו את הטלפון שלו</w:t>
      </w:r>
      <w:r>
        <w:rPr>
          <w:rFonts w:ascii="David" w:hAnsi="David" w:hint="cs"/>
          <w:rtl/>
        </w:rPr>
        <w:t>,</w:t>
      </w:r>
      <w:r>
        <w:rPr>
          <w:rFonts w:ascii="David" w:hAnsi="David"/>
          <w:rtl/>
        </w:rPr>
        <w:t xml:space="preserve"> אך קודם ידבר אתו. בהמשך, בשעה 15:52, שלח הנאשם לסוכן הודעה בוואטסאפ בה כתב "</w:t>
      </w:r>
      <w:r>
        <w:rPr>
          <w:rFonts w:ascii="David" w:hAnsi="David"/>
          <w:b/>
          <w:bCs/>
          <w:rtl/>
        </w:rPr>
        <w:t xml:space="preserve">הוא עושה </w:t>
      </w:r>
      <w:r>
        <w:rPr>
          <w:rFonts w:ascii="David" w:hAnsi="David" w:hint="cs"/>
          <w:b/>
          <w:bCs/>
          <w:rtl/>
        </w:rPr>
        <w:t xml:space="preserve">חל </w:t>
      </w:r>
      <w:r w:rsidRPr="00E86398">
        <w:rPr>
          <w:rFonts w:ascii="David" w:hAnsi="David" w:hint="cs"/>
          <w:rtl/>
        </w:rPr>
        <w:t>(הכוונה לך)</w:t>
      </w:r>
      <w:r>
        <w:rPr>
          <w:rFonts w:ascii="David" w:hAnsi="David"/>
          <w:b/>
          <w:bCs/>
          <w:rtl/>
        </w:rPr>
        <w:t xml:space="preserve"> טלפון</w:t>
      </w:r>
      <w:r>
        <w:rPr>
          <w:rFonts w:ascii="David" w:hAnsi="David"/>
          <w:rtl/>
        </w:rPr>
        <w:t xml:space="preserve">". </w:t>
      </w:r>
      <w:r>
        <w:rPr>
          <w:rFonts w:ascii="David" w:hAnsi="David" w:hint="cs"/>
          <w:rtl/>
        </w:rPr>
        <w:t xml:space="preserve">בגין מעשה זה הורשע הנאשם בתיווך בסם מסוכן. </w:t>
      </w:r>
    </w:p>
    <w:p w14:paraId="40D686BA" w14:textId="77777777" w:rsidR="00904E62" w:rsidRPr="00E86398" w:rsidRDefault="00904E62" w:rsidP="00904E62">
      <w:pPr>
        <w:pStyle w:val="a9"/>
        <w:jc w:val="both"/>
        <w:rPr>
          <w:rFonts w:ascii="David" w:hAnsi="David"/>
          <w:sz w:val="20"/>
          <w:szCs w:val="20"/>
        </w:rPr>
      </w:pPr>
    </w:p>
    <w:p w14:paraId="00FB62C5" w14:textId="77777777" w:rsidR="00904E62" w:rsidRDefault="00904E62" w:rsidP="00904E62">
      <w:pPr>
        <w:pStyle w:val="a9"/>
        <w:numPr>
          <w:ilvl w:val="0"/>
          <w:numId w:val="1"/>
        </w:numPr>
        <w:spacing w:line="360" w:lineRule="auto"/>
        <w:ind w:left="-98" w:firstLine="33"/>
        <w:jc w:val="both"/>
        <w:rPr>
          <w:rFonts w:ascii="David" w:hAnsi="David"/>
        </w:rPr>
      </w:pPr>
      <w:r>
        <w:rPr>
          <w:rFonts w:ascii="David" w:hAnsi="David"/>
          <w:rtl/>
        </w:rPr>
        <w:t xml:space="preserve">על פי </w:t>
      </w:r>
      <w:r w:rsidRPr="00E86398">
        <w:rPr>
          <w:rFonts w:ascii="David" w:hAnsi="David"/>
          <w:b/>
          <w:bCs/>
          <w:rtl/>
        </w:rPr>
        <w:t>האישום השלישי</w:t>
      </w:r>
      <w:r>
        <w:rPr>
          <w:rFonts w:ascii="David" w:hAnsi="David"/>
          <w:rtl/>
        </w:rPr>
        <w:t xml:space="preserve">, בהמשך </w:t>
      </w:r>
      <w:r>
        <w:rPr>
          <w:rFonts w:ascii="David" w:hAnsi="David" w:hint="cs"/>
          <w:rtl/>
        </w:rPr>
        <w:t xml:space="preserve">לאישומים 1 ו-2 </w:t>
      </w:r>
      <w:r>
        <w:rPr>
          <w:rFonts w:ascii="David" w:hAnsi="David"/>
          <w:rtl/>
        </w:rPr>
        <w:t>, הגיעו שוטרים לדיר</w:t>
      </w:r>
      <w:r>
        <w:rPr>
          <w:rFonts w:ascii="David" w:hAnsi="David" w:hint="cs"/>
          <w:rtl/>
        </w:rPr>
        <w:t>ת</w:t>
      </w:r>
      <w:r>
        <w:rPr>
          <w:rFonts w:ascii="David" w:hAnsi="David"/>
          <w:rtl/>
        </w:rPr>
        <w:t xml:space="preserve"> הנאשם בתל אביב (להלן: "</w:t>
      </w:r>
      <w:r>
        <w:rPr>
          <w:rFonts w:ascii="David" w:hAnsi="David"/>
          <w:b/>
          <w:bCs/>
          <w:rtl/>
        </w:rPr>
        <w:t>הדירה</w:t>
      </w:r>
      <w:r>
        <w:rPr>
          <w:rFonts w:ascii="David" w:hAnsi="David"/>
          <w:rtl/>
        </w:rPr>
        <w:t xml:space="preserve">") </w:t>
      </w:r>
      <w:r>
        <w:rPr>
          <w:rFonts w:ascii="David" w:hAnsi="David" w:hint="cs"/>
          <w:rtl/>
        </w:rPr>
        <w:t>ביום 3.2.2020 על מנת</w:t>
      </w:r>
      <w:r>
        <w:rPr>
          <w:rFonts w:ascii="David" w:hAnsi="David"/>
          <w:rtl/>
        </w:rPr>
        <w:t xml:space="preserve"> לבצע צו מעצר וחיפוש שניתן בעניינו. בנסיבות אלו, בדירה, החזיק הנאשם בסמים מסוכנים כדלקמן: בחדרו</w:t>
      </w:r>
      <w:r>
        <w:rPr>
          <w:rFonts w:ascii="David" w:hAnsi="David" w:hint="cs"/>
          <w:rtl/>
        </w:rPr>
        <w:t xml:space="preserve"> </w:t>
      </w:r>
      <w:r>
        <w:rPr>
          <w:rFonts w:ascii="David" w:hAnsi="David"/>
          <w:rtl/>
        </w:rPr>
        <w:t>בקופסת נעליים שקית המכילה סם מסוכן מסוג קנבוס במשקל</w:t>
      </w:r>
      <w:r>
        <w:rPr>
          <w:rFonts w:ascii="David" w:hAnsi="David" w:hint="cs"/>
          <w:rtl/>
        </w:rPr>
        <w:t xml:space="preserve"> נטו של</w:t>
      </w:r>
      <w:r>
        <w:rPr>
          <w:rFonts w:ascii="David" w:hAnsi="David"/>
          <w:rtl/>
        </w:rPr>
        <w:t xml:space="preserve"> 0.76 גרם</w:t>
      </w:r>
      <w:r>
        <w:rPr>
          <w:rFonts w:ascii="David" w:hAnsi="David" w:hint="cs"/>
          <w:rtl/>
        </w:rPr>
        <w:t xml:space="preserve">, </w:t>
      </w:r>
      <w:r>
        <w:rPr>
          <w:rFonts w:ascii="David" w:hAnsi="David"/>
          <w:rtl/>
        </w:rPr>
        <w:t>בקופסא בתוך קופסת מתכת, סם מסוכן מסוג קנבוס במשקל נטו של 0.0396 גרם</w:t>
      </w:r>
      <w:r>
        <w:rPr>
          <w:rFonts w:ascii="David" w:hAnsi="David" w:hint="cs"/>
          <w:rtl/>
        </w:rPr>
        <w:t xml:space="preserve">, </w:t>
      </w:r>
      <w:r>
        <w:rPr>
          <w:rFonts w:ascii="David" w:hAnsi="David"/>
          <w:rtl/>
        </w:rPr>
        <w:t xml:space="preserve">במרפסת, שני שתילים של סם מסוג קנבוס במשקל נטו של </w:t>
      </w:r>
      <w:r w:rsidRPr="00280FBC">
        <w:rPr>
          <w:rFonts w:ascii="David" w:hAnsi="David"/>
          <w:rtl/>
        </w:rPr>
        <w:t xml:space="preserve">60.65 גרם. </w:t>
      </w:r>
      <w:r w:rsidRPr="00280FBC">
        <w:rPr>
          <w:rFonts w:ascii="David" w:hAnsi="David" w:hint="cs"/>
          <w:rtl/>
        </w:rPr>
        <w:t xml:space="preserve">בגין מעשים אלה הורשע הנאשם בהחזקת סמים לצריכה עצמית. </w:t>
      </w:r>
    </w:p>
    <w:p w14:paraId="4708C0D6" w14:textId="77777777" w:rsidR="00904E62" w:rsidRPr="00806E1E" w:rsidRDefault="00904E62" w:rsidP="00904E62">
      <w:pPr>
        <w:rPr>
          <w:rFonts w:ascii="David" w:hAnsi="David"/>
          <w:sz w:val="20"/>
          <w:szCs w:val="20"/>
          <w:rtl/>
        </w:rPr>
      </w:pPr>
    </w:p>
    <w:p w14:paraId="35DA9E19" w14:textId="77777777" w:rsidR="00904E62" w:rsidRDefault="00904E62" w:rsidP="00904E62">
      <w:pPr>
        <w:pStyle w:val="a9"/>
        <w:numPr>
          <w:ilvl w:val="0"/>
          <w:numId w:val="1"/>
        </w:numPr>
        <w:spacing w:line="360" w:lineRule="auto"/>
        <w:ind w:left="-98" w:firstLine="33"/>
        <w:jc w:val="both"/>
        <w:rPr>
          <w:rFonts w:ascii="David" w:hAnsi="David"/>
        </w:rPr>
      </w:pPr>
      <w:r>
        <w:rPr>
          <w:rFonts w:ascii="David" w:hAnsi="David" w:hint="cs"/>
          <w:rtl/>
        </w:rPr>
        <w:t xml:space="preserve">הצדדים הגיעו במקרה להסדר טיעון דיוני כאמור, לפיו תוקן כתב האישום, הנאשם הודה והורשע, והוסכם כי המאשימה תגביל את עתירתה העונשית ל </w:t>
      </w:r>
      <w:r>
        <w:rPr>
          <w:rFonts w:ascii="David" w:hAnsi="David"/>
          <w:rtl/>
        </w:rPr>
        <w:t>–</w:t>
      </w:r>
      <w:r>
        <w:rPr>
          <w:rFonts w:ascii="David" w:hAnsi="David" w:hint="cs"/>
          <w:rtl/>
        </w:rPr>
        <w:t xml:space="preserve"> 4 חודשי מאסר בפועל שיכול וירוצו בעבודות שירות, לצד מאסר על תנאי, קנס ופסילה על תנאי, וההגנה תהיה חופשיה בטיעוניה. </w:t>
      </w:r>
    </w:p>
    <w:p w14:paraId="1EEFE78C" w14:textId="77777777" w:rsidR="00904E62" w:rsidRPr="00806E1E" w:rsidRDefault="00904E62" w:rsidP="00904E62">
      <w:pPr>
        <w:pStyle w:val="a9"/>
        <w:rPr>
          <w:rFonts w:ascii="David" w:hAnsi="David"/>
          <w:sz w:val="20"/>
          <w:szCs w:val="20"/>
          <w:rtl/>
        </w:rPr>
      </w:pPr>
    </w:p>
    <w:p w14:paraId="74929DC1" w14:textId="77777777" w:rsidR="00904E62" w:rsidRPr="00806E1E" w:rsidRDefault="00904E62" w:rsidP="00904E62">
      <w:pPr>
        <w:pStyle w:val="a9"/>
        <w:numPr>
          <w:ilvl w:val="0"/>
          <w:numId w:val="1"/>
        </w:numPr>
        <w:spacing w:line="360" w:lineRule="auto"/>
        <w:ind w:left="-98" w:firstLine="33"/>
        <w:jc w:val="both"/>
        <w:rPr>
          <w:rFonts w:ascii="David" w:hAnsi="David"/>
        </w:rPr>
      </w:pPr>
      <w:r w:rsidRPr="00806E1E">
        <w:rPr>
          <w:rFonts w:ascii="David" w:hAnsi="David" w:hint="cs"/>
          <w:rtl/>
        </w:rPr>
        <w:t>בתום הטיעון לעונש, מבלי להבטיח איזה עונש ייגזר על הנאשם, מצאתי להורות כי לצד הכנת חוות דעת הממו</w:t>
      </w:r>
      <w:r>
        <w:rPr>
          <w:rFonts w:ascii="David" w:hAnsi="David" w:hint="cs"/>
          <w:rtl/>
        </w:rPr>
        <w:t xml:space="preserve">נה על עבודות השירות שהוזמנה בעניינו </w:t>
      </w:r>
      <w:r w:rsidRPr="00806E1E">
        <w:rPr>
          <w:rFonts w:ascii="David" w:hAnsi="David" w:hint="cs"/>
          <w:rtl/>
        </w:rPr>
        <w:t>תבנה לנאשם תוכנית של"צ. בהמשך לפנייתי זו, ולצד בניית תוכנית של"צ, ערך שירות המבחן תסקיר לעונש בעניינו של הנאשם. משזה נערך, עיקריו יפורטו להלן.</w:t>
      </w:r>
    </w:p>
    <w:p w14:paraId="37BAE249" w14:textId="77777777" w:rsidR="00904E62" w:rsidRPr="00806E1E" w:rsidRDefault="00904E62" w:rsidP="00904E62">
      <w:pPr>
        <w:rPr>
          <w:rFonts w:ascii="David" w:hAnsi="David"/>
          <w:sz w:val="20"/>
          <w:szCs w:val="20"/>
          <w:rtl/>
        </w:rPr>
      </w:pPr>
    </w:p>
    <w:p w14:paraId="1787D706" w14:textId="77777777" w:rsidR="00904E62" w:rsidRPr="00806E1E" w:rsidRDefault="00904E62" w:rsidP="00904E62">
      <w:pPr>
        <w:pStyle w:val="a9"/>
        <w:spacing w:line="360" w:lineRule="auto"/>
        <w:ind w:left="-65"/>
        <w:jc w:val="both"/>
        <w:rPr>
          <w:rFonts w:ascii="David" w:hAnsi="David"/>
          <w:b/>
          <w:bCs/>
          <w:u w:val="single"/>
        </w:rPr>
      </w:pPr>
      <w:r w:rsidRPr="00E82E91">
        <w:rPr>
          <w:rFonts w:ascii="David" w:hAnsi="David" w:hint="cs"/>
          <w:b/>
          <w:bCs/>
          <w:u w:val="single"/>
          <w:rtl/>
        </w:rPr>
        <w:t>תסקיר שירות המבחן</w:t>
      </w:r>
    </w:p>
    <w:p w14:paraId="5150C61D" w14:textId="77777777" w:rsidR="00904E62" w:rsidRDefault="00904E62" w:rsidP="00904E62">
      <w:pPr>
        <w:pStyle w:val="a9"/>
        <w:numPr>
          <w:ilvl w:val="0"/>
          <w:numId w:val="1"/>
        </w:numPr>
        <w:spacing w:line="360" w:lineRule="auto"/>
        <w:ind w:left="-98" w:firstLine="33"/>
        <w:jc w:val="both"/>
        <w:rPr>
          <w:rFonts w:ascii="David" w:hAnsi="David"/>
        </w:rPr>
      </w:pPr>
      <w:r>
        <w:rPr>
          <w:rFonts w:ascii="David" w:hAnsi="David" w:hint="cs"/>
          <w:rtl/>
        </w:rPr>
        <w:t xml:space="preserve">בתסקיר פורטו נסיבות חייו של הנאשם וצוין כי המדובר במעורבותו הראשונה והיחידה עם החוק. הנאשם מסר לשירות המבחן כי העבירות שביצע לא היו מתוכננות, ותיאר קשר שטחי ומרוחק עם האנשים שסיפקו לו סמים, אותם הכיר במסגרת קשרים חברתיים שהתאפיינו בשימוש </w:t>
      </w:r>
      <w:r>
        <w:rPr>
          <w:rFonts w:ascii="David" w:hAnsi="David" w:hint="cs"/>
          <w:rtl/>
        </w:rPr>
        <w:lastRenderedPageBreak/>
        <w:t>חברתי בסמים. לדברי הנאשם, הוא מבין את הפסול שבמעשיו ונוטל אחריות, תוך שהסביר כי פעל לתיווך בסם בשל בקשתו של הסוכן להשיג סמים, ממניע חברי וללא כל רווח כלכלי.</w:t>
      </w:r>
    </w:p>
    <w:p w14:paraId="22CD2493" w14:textId="77777777" w:rsidR="00904E62" w:rsidRPr="00226E3B" w:rsidRDefault="00904E62" w:rsidP="00904E62">
      <w:pPr>
        <w:pStyle w:val="a9"/>
        <w:ind w:left="-65"/>
        <w:jc w:val="both"/>
        <w:rPr>
          <w:rFonts w:ascii="David" w:hAnsi="David"/>
          <w:sz w:val="20"/>
          <w:szCs w:val="20"/>
        </w:rPr>
      </w:pPr>
    </w:p>
    <w:p w14:paraId="3300CD4E" w14:textId="77777777" w:rsidR="00904E62" w:rsidRDefault="00904E62" w:rsidP="00904E62">
      <w:pPr>
        <w:pStyle w:val="a9"/>
        <w:numPr>
          <w:ilvl w:val="0"/>
          <w:numId w:val="1"/>
        </w:numPr>
        <w:spacing w:line="360" w:lineRule="auto"/>
        <w:ind w:left="-98" w:firstLine="33"/>
        <w:jc w:val="both"/>
        <w:rPr>
          <w:rFonts w:ascii="David" w:hAnsi="David"/>
        </w:rPr>
      </w:pPr>
      <w:r>
        <w:rPr>
          <w:rFonts w:ascii="David" w:hAnsi="David" w:hint="cs"/>
          <w:rtl/>
        </w:rPr>
        <w:t>בכל הנוגע לעבירה של החזקת סמים לצריכה עצמית, לדברי הנאשם חצי שנה לפני מעצרו הפסיק באופן עצמאי צריכת קנבוס, והסמים שנתפסו בדירתו נשארו מאותה התקופה. הנאשם תיאר חוויה מטלטלת מההליך הנדון, ולדבריו היום הוא ממוקד בהתנהלות תקינה, ניתק קשריו עם גורמים שוליים ומקדם חייו בפן הלימודי והתעסוקתי ללא שימוש בסמים. שירות המבחן בחן עם הנאשם את דפוסי שימושו בחומרים פסיכואקטיביים. לדבריו, מזה כשנתיים אינו צורך סמים והוא שלל נזקקות טיפולית בהקשר זה. שתי בדיקות שתן שנערכו לנאשם נמצאו נקיות משרידי סם.</w:t>
      </w:r>
    </w:p>
    <w:p w14:paraId="40D10220" w14:textId="77777777" w:rsidR="00904E62" w:rsidRPr="00DC039B" w:rsidRDefault="00904E62" w:rsidP="00904E62">
      <w:pPr>
        <w:pStyle w:val="a9"/>
        <w:rPr>
          <w:rFonts w:ascii="David" w:hAnsi="David"/>
          <w:sz w:val="20"/>
          <w:szCs w:val="20"/>
          <w:rtl/>
        </w:rPr>
      </w:pPr>
    </w:p>
    <w:p w14:paraId="2D4B68D5" w14:textId="77777777" w:rsidR="00904E62" w:rsidRPr="005A3A6E" w:rsidRDefault="00904E62" w:rsidP="00904E62">
      <w:pPr>
        <w:pStyle w:val="a9"/>
        <w:numPr>
          <w:ilvl w:val="0"/>
          <w:numId w:val="1"/>
        </w:numPr>
        <w:spacing w:line="360" w:lineRule="auto"/>
        <w:ind w:left="-98" w:firstLine="33"/>
        <w:jc w:val="both"/>
        <w:rPr>
          <w:rFonts w:ascii="David" w:hAnsi="David"/>
          <w:sz w:val="20"/>
          <w:szCs w:val="20"/>
        </w:rPr>
      </w:pPr>
      <w:r w:rsidRPr="005A3A6E">
        <w:rPr>
          <w:rFonts w:ascii="David" w:hAnsi="David" w:hint="cs"/>
          <w:rtl/>
        </w:rPr>
        <w:t>להתרשמות שירות המבחן, הנאשם עשוי להיתרם מטיפול קבוצתי יי</w:t>
      </w:r>
      <w:r>
        <w:rPr>
          <w:rFonts w:ascii="David" w:hAnsi="David" w:hint="cs"/>
          <w:rtl/>
        </w:rPr>
        <w:t xml:space="preserve">עודי לעוברי חוק שזו </w:t>
      </w:r>
      <w:r w:rsidRPr="005A3A6E">
        <w:rPr>
          <w:rFonts w:ascii="David" w:hAnsi="David" w:hint="cs"/>
          <w:rtl/>
        </w:rPr>
        <w:t>עבירתם הראשונה, אך הנאשם הסתייג מכך, תופס עצמו כאדם נורמטיבי, וחושש כי יתקשה להשתלב בסביבת עוברי חוק נוספים. בנוסף, ציין כי התחיל ללמוד פסיכודרמה ובמסגרת לימודים אלה מקבל הדרכה חד-שבועית, אשר לדבריו נותנת מענה לקשייו השונים בפן הלימודי והאישי</w:t>
      </w:r>
      <w:r>
        <w:rPr>
          <w:rFonts w:ascii="David" w:hAnsi="David" w:hint="cs"/>
          <w:rtl/>
        </w:rPr>
        <w:t>.</w:t>
      </w:r>
    </w:p>
    <w:p w14:paraId="410179BD" w14:textId="77777777" w:rsidR="00904E62" w:rsidRPr="005A3A6E" w:rsidRDefault="00904E62" w:rsidP="00904E62">
      <w:pPr>
        <w:jc w:val="both"/>
        <w:rPr>
          <w:rFonts w:ascii="David" w:hAnsi="David"/>
          <w:sz w:val="20"/>
          <w:szCs w:val="20"/>
          <w:rtl/>
        </w:rPr>
      </w:pPr>
    </w:p>
    <w:p w14:paraId="70A810A3" w14:textId="77777777" w:rsidR="00904E62" w:rsidRDefault="00904E62" w:rsidP="00904E62">
      <w:pPr>
        <w:pStyle w:val="a9"/>
        <w:numPr>
          <w:ilvl w:val="0"/>
          <w:numId w:val="1"/>
        </w:numPr>
        <w:spacing w:line="360" w:lineRule="auto"/>
        <w:ind w:left="-98" w:firstLine="33"/>
        <w:jc w:val="both"/>
        <w:rPr>
          <w:rFonts w:ascii="David" w:hAnsi="David"/>
        </w:rPr>
      </w:pPr>
      <w:r>
        <w:rPr>
          <w:rFonts w:ascii="David" w:hAnsi="David" w:hint="cs"/>
          <w:rtl/>
        </w:rPr>
        <w:t xml:space="preserve">שירות המבחן התרשם שהנאשם התמודד עם קשיים במישור הרגשי, אך הוא בעל יכולות וכוחות, תפקד לאורך שנים באופן חיובי ויציב במסגרות מקובלות ומשקיע בהתפתחות עצמית ומקצועית. כגורמי סיכון צוינו מאפייני העבירות, וכן התנהגותו השולית של הנאשם על פני תקופה ממושכת, תוך שנראה שהחזיק בעמדות מקלות לגבי שימוש בסמים, ואף צרך סמים תקופה לא מבוטלת וקיים קשרים שוליים. בנוסף צוין כי עובדות כתב האישום מדגימות קושי מתמשך אצל הנאשם להציב לעצמו גבול פנימי בהקשר זה. כגורמי סיכוי לשיקום צוינו כוחותיו ומסוגלותו של הנאשם לתפקוד, קבלת אחריות על ידו לביצוע תפקידים במישורים שונים, והעבודה שהנאשם מבטא שאיפות להשתלבות חברתית והתנהלות תקינה. עוד צוינה הימנעותו משימוש בסמים על פי בדיקות השתן. בנוסף צוין היעדרו של עבר פלילי והיעדרם של תיקים חדשים. לדעת שירות המבחן, הנאשם אינו מאופיין בדפוסי חשיבה והתנהגות שוליים או עברייניים, והוא מבין את האופן הלקוי בו פעל. שירות המבחן התרשם כי ההליך המשפטי היווה עבור הנאשם גורם מרתיע באופן שמפחית את הסיכון ממנו. </w:t>
      </w:r>
      <w:r w:rsidRPr="007362A2">
        <w:rPr>
          <w:rFonts w:ascii="David" w:hAnsi="David" w:hint="cs"/>
          <w:rtl/>
        </w:rPr>
        <w:t xml:space="preserve">לאור המפורט, ומשהנאשם לא הביע צורך טיפולי, לא המליץ שירות המבחן על הטלת צו מבחן. </w:t>
      </w:r>
    </w:p>
    <w:p w14:paraId="7A933A44" w14:textId="77777777" w:rsidR="00904E62" w:rsidRPr="007362A2" w:rsidRDefault="00904E62" w:rsidP="00904E62">
      <w:pPr>
        <w:pStyle w:val="a9"/>
        <w:rPr>
          <w:rFonts w:ascii="David" w:hAnsi="David"/>
          <w:sz w:val="20"/>
          <w:szCs w:val="20"/>
          <w:rtl/>
        </w:rPr>
      </w:pPr>
    </w:p>
    <w:p w14:paraId="7D2F490C" w14:textId="77777777" w:rsidR="00904E62" w:rsidRPr="007362A2" w:rsidRDefault="00904E62" w:rsidP="00904E62">
      <w:pPr>
        <w:pStyle w:val="a9"/>
        <w:numPr>
          <w:ilvl w:val="0"/>
          <w:numId w:val="1"/>
        </w:numPr>
        <w:spacing w:line="360" w:lineRule="auto"/>
        <w:ind w:left="-98" w:firstLine="33"/>
        <w:jc w:val="both"/>
        <w:rPr>
          <w:rFonts w:ascii="David" w:hAnsi="David"/>
        </w:rPr>
      </w:pPr>
      <w:r w:rsidRPr="007362A2">
        <w:rPr>
          <w:rFonts w:ascii="David" w:hAnsi="David" w:hint="cs"/>
          <w:rtl/>
        </w:rPr>
        <w:t>אשר לעונש לנאשם, לדעת שירות המבחן קיימת חשיבות לאפשר לנאשם את המשך יציבותו התעסוקתית לצד השתלבותו בלימודים</w:t>
      </w:r>
      <w:r>
        <w:rPr>
          <w:rFonts w:ascii="David" w:hAnsi="David" w:hint="cs"/>
          <w:rtl/>
        </w:rPr>
        <w:t>,</w:t>
      </w:r>
      <w:r w:rsidRPr="007362A2">
        <w:rPr>
          <w:rFonts w:ascii="David" w:hAnsi="David" w:hint="cs"/>
          <w:rtl/>
        </w:rPr>
        <w:t xml:space="preserve"> משאלה הם אלמנטים מרכזיים התורמים לחיזוק כוחותיו וחלקיו המתפקדים, מאפשרים לו התנהלות במסגרת חיים מאורגנת, ובכך מהווים גורמים מפחיתי סיכון. על כן, ואף </w:t>
      </w:r>
      <w:r>
        <w:rPr>
          <w:rFonts w:ascii="David" w:hAnsi="David" w:hint="cs"/>
          <w:rtl/>
        </w:rPr>
        <w:t xml:space="preserve">לאור חרטת </w:t>
      </w:r>
      <w:r w:rsidRPr="007362A2">
        <w:rPr>
          <w:rFonts w:ascii="David" w:hAnsi="David" w:hint="cs"/>
          <w:rtl/>
        </w:rPr>
        <w:t>הנאשם והעובדה שאינו מאופים בדפוסים עבריינים או שוליים, המליץ שירות המבחן על הטלת צו של"צ נרחב בן 300 שעות על הנאשם בהתאם לתוכנית של"צ שגובשה עבורו,</w:t>
      </w:r>
      <w:r>
        <w:rPr>
          <w:rFonts w:ascii="David" w:hAnsi="David" w:hint="cs"/>
          <w:rtl/>
        </w:rPr>
        <w:t xml:space="preserve"> </w:t>
      </w:r>
      <w:r w:rsidRPr="007362A2">
        <w:rPr>
          <w:rFonts w:ascii="David" w:hAnsi="David" w:hint="cs"/>
          <w:rtl/>
        </w:rPr>
        <w:t>שיהיה בה להפחית מהסיכון במצבו</w:t>
      </w:r>
      <w:r>
        <w:rPr>
          <w:rFonts w:ascii="David" w:hAnsi="David" w:hint="cs"/>
          <w:rtl/>
        </w:rPr>
        <w:t xml:space="preserve">, </w:t>
      </w:r>
      <w:r w:rsidRPr="007362A2">
        <w:rPr>
          <w:rFonts w:ascii="David" w:hAnsi="David" w:hint="cs"/>
          <w:rtl/>
        </w:rPr>
        <w:t>בהבחנה מעונש של מאסר בעבודות שירות</w:t>
      </w:r>
      <w:r>
        <w:rPr>
          <w:rFonts w:ascii="David" w:hAnsi="David" w:hint="cs"/>
          <w:rtl/>
        </w:rPr>
        <w:t xml:space="preserve">. </w:t>
      </w:r>
    </w:p>
    <w:p w14:paraId="1A12456D" w14:textId="77777777" w:rsidR="00904E62" w:rsidRPr="007362A2" w:rsidRDefault="00904E62" w:rsidP="00904E62">
      <w:pPr>
        <w:jc w:val="both"/>
        <w:rPr>
          <w:rFonts w:ascii="David" w:hAnsi="David"/>
          <w:sz w:val="20"/>
          <w:szCs w:val="20"/>
        </w:rPr>
      </w:pPr>
    </w:p>
    <w:p w14:paraId="49FE2803" w14:textId="77777777" w:rsidR="00904E62" w:rsidRDefault="00904E62" w:rsidP="00904E62">
      <w:pPr>
        <w:pStyle w:val="a9"/>
        <w:spacing w:line="360" w:lineRule="auto"/>
        <w:ind w:left="-65"/>
        <w:jc w:val="both"/>
        <w:rPr>
          <w:rFonts w:ascii="David" w:hAnsi="David"/>
          <w:b/>
          <w:bCs/>
          <w:u w:val="single"/>
          <w:rtl/>
        </w:rPr>
      </w:pPr>
      <w:r>
        <w:rPr>
          <w:rFonts w:ascii="David" w:hAnsi="David"/>
          <w:b/>
          <w:bCs/>
          <w:u w:val="single"/>
          <w:rtl/>
        </w:rPr>
        <w:t>טיעוני הצדדים לעונש</w:t>
      </w:r>
    </w:p>
    <w:p w14:paraId="3651C485" w14:textId="77777777" w:rsidR="00904E62" w:rsidRDefault="00904E62" w:rsidP="00904E62">
      <w:pPr>
        <w:pStyle w:val="a9"/>
        <w:numPr>
          <w:ilvl w:val="0"/>
          <w:numId w:val="1"/>
        </w:numPr>
        <w:spacing w:line="360" w:lineRule="auto"/>
        <w:ind w:left="-98" w:firstLine="33"/>
        <w:jc w:val="both"/>
        <w:rPr>
          <w:rFonts w:ascii="David" w:hAnsi="David"/>
        </w:rPr>
      </w:pPr>
      <w:r>
        <w:rPr>
          <w:rFonts w:ascii="David" w:hAnsi="David"/>
          <w:b/>
          <w:bCs/>
          <w:rtl/>
        </w:rPr>
        <w:t>ב"כ המאשימה</w:t>
      </w:r>
      <w:r>
        <w:rPr>
          <w:rFonts w:ascii="David" w:hAnsi="David"/>
          <w:rtl/>
        </w:rPr>
        <w:t xml:space="preserve"> ה</w:t>
      </w:r>
      <w:r>
        <w:rPr>
          <w:rFonts w:ascii="David" w:hAnsi="David"/>
          <w:color w:val="000000"/>
          <w:rtl/>
        </w:rPr>
        <w:t xml:space="preserve">פנתה לערכים המוגנים אשר נפגעו ממעשיו של הנאשם, לעובדות כתב האישום, </w:t>
      </w:r>
      <w:r>
        <w:rPr>
          <w:rFonts w:ascii="David" w:hAnsi="David" w:hint="cs"/>
          <w:color w:val="000000"/>
          <w:rtl/>
        </w:rPr>
        <w:t>ובכלל זאת לסוג הסמים בהם תיווך הנאשם וניסה לתווך, שהם</w:t>
      </w:r>
      <w:r>
        <w:rPr>
          <w:rFonts w:ascii="David" w:hAnsi="David"/>
          <w:color w:val="000000"/>
          <w:rtl/>
        </w:rPr>
        <w:t xml:space="preserve"> סמים קשים מסוג קוקאין, קטמין ו-</w:t>
      </w:r>
      <w:r>
        <w:rPr>
          <w:rFonts w:ascii="David" w:hAnsi="David"/>
          <w:color w:val="000000"/>
        </w:rPr>
        <w:t>MDMA</w:t>
      </w:r>
      <w:r>
        <w:rPr>
          <w:rFonts w:ascii="David" w:hAnsi="David"/>
          <w:color w:val="000000"/>
          <w:rtl/>
        </w:rPr>
        <w:t xml:space="preserve">, וציינה כי אמנם הנאשם הוא לא מי שעומד בראש שרשרת הפצת הסמים אך הוא זה שיזם את הפניה לסוכן. </w:t>
      </w:r>
      <w:r>
        <w:rPr>
          <w:rFonts w:ascii="David" w:hAnsi="David" w:hint="cs"/>
          <w:color w:val="000000"/>
          <w:rtl/>
        </w:rPr>
        <w:t xml:space="preserve">לטענתה, תוך הפנייה לפסיקה, על </w:t>
      </w:r>
      <w:r>
        <w:rPr>
          <w:rFonts w:ascii="David" w:hAnsi="David"/>
          <w:color w:val="000000"/>
          <w:rtl/>
        </w:rPr>
        <w:t xml:space="preserve">מתחם ענישה </w:t>
      </w:r>
      <w:r>
        <w:rPr>
          <w:rFonts w:ascii="David" w:hAnsi="David" w:hint="cs"/>
          <w:color w:val="000000"/>
          <w:rtl/>
        </w:rPr>
        <w:t xml:space="preserve">להיקבע </w:t>
      </w:r>
      <w:r>
        <w:rPr>
          <w:rFonts w:ascii="David" w:hAnsi="David"/>
          <w:color w:val="000000"/>
          <w:rtl/>
        </w:rPr>
        <w:t>בין</w:t>
      </w:r>
      <w:r>
        <w:rPr>
          <w:rFonts w:ascii="David" w:hAnsi="David" w:hint="cs"/>
          <w:color w:val="000000"/>
          <w:rtl/>
        </w:rPr>
        <w:t xml:space="preserve"> 4 </w:t>
      </w:r>
      <w:r>
        <w:rPr>
          <w:rFonts w:ascii="David" w:hAnsi="David"/>
          <w:color w:val="000000"/>
          <w:rtl/>
        </w:rPr>
        <w:t>חודשי מאסר שיכול וירוצו בעבודות שירות ועד 12 חודשי מאסר בפועל</w:t>
      </w:r>
      <w:r>
        <w:rPr>
          <w:rFonts w:ascii="David" w:hAnsi="David" w:hint="cs"/>
          <w:rtl/>
        </w:rPr>
        <w:t xml:space="preserve">. </w:t>
      </w:r>
      <w:r w:rsidRPr="002B2610">
        <w:rPr>
          <w:rFonts w:ascii="David" w:hAnsi="David"/>
          <w:rtl/>
        </w:rPr>
        <w:t>ב"כ המאשימה התייחסה לטע</w:t>
      </w:r>
      <w:r>
        <w:rPr>
          <w:rFonts w:ascii="David" w:hAnsi="David"/>
          <w:rtl/>
        </w:rPr>
        <w:t>נות ההגנה הנוגעות ל"סוכן מדיח"</w:t>
      </w:r>
      <w:r>
        <w:rPr>
          <w:rFonts w:ascii="David" w:hAnsi="David" w:hint="cs"/>
          <w:rtl/>
        </w:rPr>
        <w:t xml:space="preserve">, </w:t>
      </w:r>
      <w:r w:rsidRPr="002B2610">
        <w:rPr>
          <w:rFonts w:ascii="David" w:hAnsi="David"/>
          <w:rtl/>
        </w:rPr>
        <w:t xml:space="preserve">ציינה כי </w:t>
      </w:r>
      <w:r>
        <w:rPr>
          <w:rFonts w:ascii="David" w:hAnsi="David" w:hint="cs"/>
          <w:rtl/>
        </w:rPr>
        <w:t>אין חולק</w:t>
      </w:r>
      <w:r w:rsidRPr="002B2610">
        <w:rPr>
          <w:rFonts w:ascii="David" w:hAnsi="David"/>
          <w:rtl/>
        </w:rPr>
        <w:t xml:space="preserve"> </w:t>
      </w:r>
      <w:r>
        <w:rPr>
          <w:rFonts w:ascii="David" w:hAnsi="David" w:hint="cs"/>
          <w:rtl/>
        </w:rPr>
        <w:t>שה</w:t>
      </w:r>
      <w:r w:rsidRPr="002B2610">
        <w:rPr>
          <w:rFonts w:ascii="David" w:hAnsi="David"/>
          <w:rtl/>
        </w:rPr>
        <w:t xml:space="preserve">סוכן הגיע לנאשם בכסות של מנעולן וקשר קשר עם נאשמים רבים הקשורים באותה פרשייה, אך </w:t>
      </w:r>
      <w:r>
        <w:rPr>
          <w:rFonts w:ascii="David" w:hAnsi="David" w:hint="cs"/>
          <w:rtl/>
        </w:rPr>
        <w:t>אין המדובר</w:t>
      </w:r>
      <w:r w:rsidRPr="002B2610">
        <w:rPr>
          <w:rFonts w:ascii="David" w:hAnsi="David"/>
          <w:rtl/>
        </w:rPr>
        <w:t xml:space="preserve"> הדחה או שידול שכן הנאשם הוא זה </w:t>
      </w:r>
      <w:r>
        <w:rPr>
          <w:rFonts w:ascii="David" w:hAnsi="David" w:hint="cs"/>
          <w:rtl/>
        </w:rPr>
        <w:t>שהציע</w:t>
      </w:r>
      <w:r w:rsidRPr="002B2610">
        <w:rPr>
          <w:rFonts w:ascii="David" w:hAnsi="David"/>
          <w:rtl/>
        </w:rPr>
        <w:t xml:space="preserve"> לסוכן </w:t>
      </w:r>
      <w:r>
        <w:rPr>
          <w:rFonts w:ascii="David" w:hAnsi="David" w:hint="cs"/>
          <w:rtl/>
        </w:rPr>
        <w:t>לספק</w:t>
      </w:r>
      <w:r>
        <w:rPr>
          <w:rFonts w:ascii="David" w:hAnsi="David"/>
          <w:rtl/>
        </w:rPr>
        <w:t xml:space="preserve"> לו מספרי טלפון של סוחרי</w:t>
      </w:r>
      <w:r>
        <w:rPr>
          <w:rFonts w:ascii="David" w:hAnsi="David" w:hint="cs"/>
          <w:rtl/>
        </w:rPr>
        <w:t>ם בסמים.</w:t>
      </w:r>
    </w:p>
    <w:p w14:paraId="79ECFC74" w14:textId="77777777" w:rsidR="00904E62" w:rsidRPr="001C6AF1" w:rsidRDefault="00904E62" w:rsidP="00904E62">
      <w:pPr>
        <w:ind w:left="-98"/>
        <w:jc w:val="both"/>
        <w:rPr>
          <w:rFonts w:ascii="David" w:hAnsi="David"/>
          <w:sz w:val="20"/>
          <w:szCs w:val="20"/>
        </w:rPr>
      </w:pPr>
      <w:r w:rsidRPr="002B2610">
        <w:rPr>
          <w:rFonts w:ascii="David" w:hAnsi="David" w:hint="cs"/>
          <w:rtl/>
        </w:rPr>
        <w:t xml:space="preserve"> </w:t>
      </w:r>
    </w:p>
    <w:p w14:paraId="139DDBB0" w14:textId="77777777" w:rsidR="00904E62" w:rsidRPr="002B2610" w:rsidRDefault="00904E62" w:rsidP="00904E62">
      <w:pPr>
        <w:pStyle w:val="a9"/>
        <w:numPr>
          <w:ilvl w:val="0"/>
          <w:numId w:val="1"/>
        </w:numPr>
        <w:spacing w:line="360" w:lineRule="auto"/>
        <w:ind w:left="-98" w:firstLine="33"/>
        <w:jc w:val="both"/>
        <w:rPr>
          <w:rFonts w:ascii="David" w:hAnsi="David"/>
        </w:rPr>
      </w:pPr>
      <w:r w:rsidRPr="002B2610">
        <w:rPr>
          <w:rFonts w:ascii="David" w:hAnsi="David"/>
          <w:rtl/>
        </w:rPr>
        <w:t>ב"כ המאשימה ציינה שהנאשם נעדר עבר פלילי</w:t>
      </w:r>
      <w:r w:rsidRPr="002B2610">
        <w:rPr>
          <w:rFonts w:ascii="David" w:hAnsi="David" w:hint="cs"/>
          <w:rtl/>
        </w:rPr>
        <w:t xml:space="preserve"> ו</w:t>
      </w:r>
      <w:r w:rsidRPr="002B2610">
        <w:rPr>
          <w:rFonts w:ascii="David" w:hAnsi="David"/>
          <w:rtl/>
        </w:rPr>
        <w:t>הגישה את גיליון הרישום התעבורתי שלו (</w:t>
      </w:r>
      <w:r w:rsidRPr="002B2610">
        <w:rPr>
          <w:rFonts w:ascii="David" w:hAnsi="David"/>
          <w:b/>
          <w:bCs/>
          <w:rtl/>
        </w:rPr>
        <w:t>עת/1</w:t>
      </w:r>
      <w:r w:rsidRPr="002B2610">
        <w:rPr>
          <w:rFonts w:ascii="David" w:hAnsi="David"/>
          <w:rtl/>
        </w:rPr>
        <w:t>)</w:t>
      </w:r>
      <w:r w:rsidRPr="002B2610">
        <w:rPr>
          <w:rFonts w:ascii="David" w:hAnsi="David" w:hint="cs"/>
          <w:rtl/>
        </w:rPr>
        <w:t>. לטענתה</w:t>
      </w:r>
      <w:r>
        <w:rPr>
          <w:rFonts w:ascii="David" w:hAnsi="David" w:hint="cs"/>
          <w:rtl/>
        </w:rPr>
        <w:t>,</w:t>
      </w:r>
      <w:r w:rsidRPr="002B2610">
        <w:rPr>
          <w:rFonts w:ascii="David" w:hAnsi="David" w:hint="cs"/>
          <w:rtl/>
        </w:rPr>
        <w:t xml:space="preserve"> בנסיבותיו של הנאשם</w:t>
      </w:r>
      <w:r w:rsidRPr="002B2610">
        <w:rPr>
          <w:rFonts w:ascii="David" w:hAnsi="David"/>
          <w:rtl/>
        </w:rPr>
        <w:t xml:space="preserve"> יש למקם את עונשו בתחתית מתחם הענישה</w:t>
      </w:r>
      <w:r w:rsidRPr="002B2610">
        <w:rPr>
          <w:rFonts w:ascii="David" w:hAnsi="David" w:hint="cs"/>
          <w:rtl/>
        </w:rPr>
        <w:t xml:space="preserve">, ולגזור </w:t>
      </w:r>
      <w:r w:rsidRPr="002B2610">
        <w:rPr>
          <w:rFonts w:ascii="David" w:hAnsi="David"/>
          <w:rtl/>
        </w:rPr>
        <w:t xml:space="preserve">עליו </w:t>
      </w:r>
      <w:r>
        <w:rPr>
          <w:rFonts w:ascii="David" w:hAnsi="David" w:hint="cs"/>
          <w:rtl/>
        </w:rPr>
        <w:t>4</w:t>
      </w:r>
      <w:r w:rsidRPr="002B2610">
        <w:rPr>
          <w:rFonts w:ascii="David" w:hAnsi="David"/>
          <w:rtl/>
        </w:rPr>
        <w:t xml:space="preserve"> חודשי מאסר שירוצו בעבודות שירות לצד מאסר </w:t>
      </w:r>
      <w:r>
        <w:rPr>
          <w:rFonts w:ascii="David" w:hAnsi="David" w:hint="cs"/>
          <w:rtl/>
        </w:rPr>
        <w:t>על תנאי</w:t>
      </w:r>
      <w:r w:rsidRPr="002B2610">
        <w:rPr>
          <w:rFonts w:ascii="David" w:hAnsi="David"/>
          <w:rtl/>
        </w:rPr>
        <w:t>, קנס ופסילה על תנאי.</w:t>
      </w:r>
    </w:p>
    <w:p w14:paraId="2A01B7FF" w14:textId="77777777" w:rsidR="00904E62" w:rsidRPr="00082CDC" w:rsidRDefault="00904E62" w:rsidP="00904E62">
      <w:pPr>
        <w:pStyle w:val="a9"/>
        <w:ind w:left="-65"/>
        <w:jc w:val="both"/>
        <w:rPr>
          <w:rFonts w:ascii="David" w:hAnsi="David"/>
          <w:sz w:val="20"/>
          <w:szCs w:val="20"/>
        </w:rPr>
      </w:pPr>
    </w:p>
    <w:p w14:paraId="1EFC68F0" w14:textId="77777777" w:rsidR="00904E62" w:rsidRDefault="00904E62" w:rsidP="00904E62">
      <w:pPr>
        <w:pStyle w:val="a9"/>
        <w:numPr>
          <w:ilvl w:val="0"/>
          <w:numId w:val="1"/>
        </w:numPr>
        <w:spacing w:line="360" w:lineRule="auto"/>
        <w:ind w:left="-98" w:firstLine="33"/>
        <w:jc w:val="both"/>
        <w:rPr>
          <w:rFonts w:ascii="David" w:hAnsi="David"/>
        </w:rPr>
      </w:pPr>
      <w:r w:rsidRPr="00FE0318">
        <w:rPr>
          <w:rFonts w:ascii="David" w:hAnsi="David" w:hint="cs"/>
          <w:b/>
          <w:bCs/>
          <w:rtl/>
        </w:rPr>
        <w:t>ב"כ הנאשם</w:t>
      </w:r>
      <w:r>
        <w:rPr>
          <w:rFonts w:ascii="David" w:hAnsi="David" w:hint="cs"/>
          <w:rtl/>
        </w:rPr>
        <w:t xml:space="preserve"> הפנה לנסיבות ביצוע העבירות, טען כי הסוכן הגיע למסעדה בה עבד הנאשם, ואין המדובר במקרה בו יצר הנאשם קשר עם הסוכן. עוד הפנה לחלקו הפסיבי של הנאשם והדגיש שלנאשם לא היה כל רווח מביצוע העבירות. ב"כ הנאשם אף ציין כי במסגרת הודייתו ויתר הנאשם על טענות אכיפה בררנית והגנה מן הצדק שהיו בפיו. בהקשר זה קבל על שימוש המדינה בסוכן שפעילותו מכוונת לנאשמים מסוגו של הנאשם, וציין כי במקרה זה, ובניגוד למקרים אחרים, הנאשם אף לא ידע שמתבצעת עסקה בזמן אמת אלא רק בדיעבד, ו</w:t>
      </w:r>
      <w:r w:rsidRPr="00E70F8C">
        <w:rPr>
          <w:rFonts w:ascii="David" w:hAnsi="David" w:hint="cs"/>
          <w:rtl/>
        </w:rPr>
        <w:t>אי</w:t>
      </w:r>
      <w:r>
        <w:rPr>
          <w:rFonts w:ascii="David" w:hAnsi="David" w:hint="cs"/>
          <w:rtl/>
        </w:rPr>
        <w:t xml:space="preserve">שומו נגוע באי צדק. </w:t>
      </w:r>
    </w:p>
    <w:p w14:paraId="5452749C" w14:textId="77777777" w:rsidR="00904E62" w:rsidRPr="00C65A62" w:rsidRDefault="00904E62" w:rsidP="00904E62">
      <w:pPr>
        <w:pStyle w:val="a9"/>
        <w:rPr>
          <w:rFonts w:ascii="David" w:hAnsi="David"/>
          <w:rtl/>
        </w:rPr>
      </w:pPr>
    </w:p>
    <w:p w14:paraId="7A507210" w14:textId="77777777" w:rsidR="00904E62" w:rsidRPr="00BF28A0" w:rsidRDefault="00904E62" w:rsidP="00904E62">
      <w:pPr>
        <w:pStyle w:val="a9"/>
        <w:numPr>
          <w:ilvl w:val="0"/>
          <w:numId w:val="1"/>
        </w:numPr>
        <w:spacing w:line="360" w:lineRule="auto"/>
        <w:ind w:left="-98" w:firstLine="33"/>
        <w:jc w:val="both"/>
        <w:rPr>
          <w:rFonts w:ascii="David" w:hAnsi="David"/>
        </w:rPr>
      </w:pPr>
      <w:r>
        <w:rPr>
          <w:rFonts w:ascii="David" w:hAnsi="David" w:hint="cs"/>
          <w:rtl/>
        </w:rPr>
        <w:t xml:space="preserve">ב"כ הנאשם הפנה גם לנסיבותיו האישיות של הנאשם שהיה צעיר בעת ביצוע העבירות, לוחם בצה"ל שתרם למדינה, נורמטיבי וללא עבר פלילי, וטען שכל חטאו של הנאשם הוא שעשה שימוש בסמים כמו רבים אחרים. הסנגור הציג תעודות על אודות פועלו ההתנדבותי ושירותו בצה"ל של הנאשם, </w:t>
      </w:r>
      <w:r w:rsidRPr="00BF28A0">
        <w:rPr>
          <w:rFonts w:ascii="David" w:hAnsi="David" w:hint="cs"/>
          <w:rtl/>
        </w:rPr>
        <w:t xml:space="preserve">הגיש תלושי שכר של הנאשם והפנה לכך </w:t>
      </w:r>
      <w:r>
        <w:rPr>
          <w:rFonts w:ascii="David" w:hAnsi="David" w:hint="cs"/>
          <w:rtl/>
        </w:rPr>
        <w:t xml:space="preserve">שהנאשם </w:t>
      </w:r>
      <w:r w:rsidRPr="00BF28A0">
        <w:rPr>
          <w:rFonts w:ascii="David" w:hAnsi="David" w:hint="cs"/>
          <w:rtl/>
        </w:rPr>
        <w:t>מצא עבודה לאחר תק</w:t>
      </w:r>
      <w:r>
        <w:rPr>
          <w:rFonts w:ascii="David" w:hAnsi="David" w:hint="cs"/>
          <w:rtl/>
        </w:rPr>
        <w:t xml:space="preserve">ופה קשה. עוד ציין כי הנאשם שהה תחת </w:t>
      </w:r>
      <w:r w:rsidRPr="00BF28A0">
        <w:rPr>
          <w:rFonts w:ascii="David" w:hAnsi="David" w:hint="cs"/>
          <w:rtl/>
        </w:rPr>
        <w:t xml:space="preserve">תנאים מגבילים </w:t>
      </w:r>
      <w:r>
        <w:rPr>
          <w:rFonts w:ascii="David" w:hAnsi="David" w:hint="cs"/>
          <w:rtl/>
        </w:rPr>
        <w:t>אשר הוקלו מעת לעת משך תקופה ארוכה</w:t>
      </w:r>
      <w:r w:rsidRPr="00BF28A0">
        <w:rPr>
          <w:rFonts w:ascii="David" w:hAnsi="David" w:hint="cs"/>
          <w:rtl/>
        </w:rPr>
        <w:t xml:space="preserve">. ב"כ הנאשם הסכים </w:t>
      </w:r>
      <w:r>
        <w:rPr>
          <w:rFonts w:ascii="David" w:hAnsi="David" w:hint="cs"/>
          <w:rtl/>
        </w:rPr>
        <w:t>לפסילת רישיון הנהיגה של הנאשם על תנאי, ביקש כי אמנע מהטלת קנס וא</w:t>
      </w:r>
      <w:r w:rsidRPr="00BF28A0">
        <w:rPr>
          <w:rFonts w:ascii="David" w:hAnsi="David" w:hint="cs"/>
          <w:rtl/>
        </w:rPr>
        <w:t>סתפק ב</w:t>
      </w:r>
      <w:r>
        <w:rPr>
          <w:rFonts w:ascii="David" w:hAnsi="David" w:hint="cs"/>
          <w:rtl/>
        </w:rPr>
        <w:t>הטלת התחייבות והבהיר כי הנאשם מ</w:t>
      </w:r>
      <w:r w:rsidRPr="00BF28A0">
        <w:rPr>
          <w:rFonts w:ascii="David" w:hAnsi="David" w:hint="cs"/>
          <w:rtl/>
        </w:rPr>
        <w:t>סכים לבצע של"צ.</w:t>
      </w:r>
    </w:p>
    <w:p w14:paraId="7B34D781" w14:textId="77777777" w:rsidR="00904E62" w:rsidRPr="005A16B0" w:rsidRDefault="00904E62" w:rsidP="00904E62">
      <w:pPr>
        <w:pStyle w:val="a9"/>
        <w:rPr>
          <w:rFonts w:ascii="David" w:hAnsi="David"/>
          <w:sz w:val="20"/>
          <w:szCs w:val="20"/>
        </w:rPr>
      </w:pPr>
    </w:p>
    <w:p w14:paraId="353C6E45" w14:textId="77777777" w:rsidR="00904E62" w:rsidRPr="007A0BD8" w:rsidRDefault="00904E62" w:rsidP="00904E62">
      <w:pPr>
        <w:pStyle w:val="a9"/>
        <w:numPr>
          <w:ilvl w:val="0"/>
          <w:numId w:val="1"/>
        </w:numPr>
        <w:spacing w:line="360" w:lineRule="auto"/>
        <w:ind w:left="-98" w:firstLine="33"/>
        <w:jc w:val="both"/>
        <w:rPr>
          <w:rFonts w:ascii="Arial" w:hAnsi="Arial"/>
        </w:rPr>
      </w:pPr>
      <w:r w:rsidRPr="00264AC1">
        <w:rPr>
          <w:rFonts w:ascii="David" w:hAnsi="David"/>
          <w:b/>
          <w:bCs/>
          <w:rtl/>
        </w:rPr>
        <w:t>הנאשם</w:t>
      </w:r>
      <w:r w:rsidRPr="00264AC1">
        <w:rPr>
          <w:rFonts w:ascii="David" w:hAnsi="David"/>
          <w:rtl/>
        </w:rPr>
        <w:t xml:space="preserve"> מסר שחלק בו שמח </w:t>
      </w:r>
      <w:r w:rsidRPr="00264AC1">
        <w:rPr>
          <w:rFonts w:ascii="David" w:hAnsi="David" w:hint="cs"/>
          <w:rtl/>
        </w:rPr>
        <w:t>על שארע, וכי</w:t>
      </w:r>
      <w:r w:rsidRPr="00264AC1">
        <w:rPr>
          <w:rFonts w:ascii="David" w:hAnsi="David"/>
          <w:rtl/>
        </w:rPr>
        <w:t xml:space="preserve"> הבין</w:t>
      </w:r>
      <w:r w:rsidRPr="00264AC1">
        <w:rPr>
          <w:rFonts w:ascii="David" w:hAnsi="David" w:hint="cs"/>
          <w:rtl/>
        </w:rPr>
        <w:t xml:space="preserve"> </w:t>
      </w:r>
      <w:r w:rsidRPr="00264AC1">
        <w:rPr>
          <w:rFonts w:ascii="David" w:hAnsi="David"/>
          <w:rtl/>
        </w:rPr>
        <w:t xml:space="preserve">שנפל למעשה פסול, והוא </w:t>
      </w:r>
      <w:r w:rsidRPr="00264AC1">
        <w:rPr>
          <w:rFonts w:ascii="David" w:hAnsi="David" w:hint="cs"/>
          <w:rtl/>
        </w:rPr>
        <w:t xml:space="preserve">נוטל </w:t>
      </w:r>
      <w:r w:rsidRPr="00264AC1">
        <w:rPr>
          <w:rFonts w:ascii="David" w:hAnsi="David"/>
          <w:rtl/>
        </w:rPr>
        <w:t xml:space="preserve">אחריות </w:t>
      </w:r>
      <w:r w:rsidRPr="00264AC1">
        <w:rPr>
          <w:rFonts w:ascii="David" w:hAnsi="David" w:hint="cs"/>
          <w:rtl/>
        </w:rPr>
        <w:t>על מעשיו</w:t>
      </w:r>
      <w:r w:rsidRPr="00264AC1">
        <w:rPr>
          <w:rFonts w:ascii="David" w:hAnsi="David"/>
          <w:rtl/>
        </w:rPr>
        <w:t xml:space="preserve">. </w:t>
      </w:r>
      <w:r w:rsidRPr="00264AC1">
        <w:rPr>
          <w:rFonts w:ascii="David" w:hAnsi="David" w:hint="cs"/>
          <w:rtl/>
        </w:rPr>
        <w:t>לדבריו,</w:t>
      </w:r>
      <w:r w:rsidRPr="00264AC1">
        <w:rPr>
          <w:rFonts w:ascii="David" w:hAnsi="David"/>
          <w:rtl/>
        </w:rPr>
        <w:t xml:space="preserve"> פעל במטרה לעזור לחבר וא</w:t>
      </w:r>
      <w:r>
        <w:rPr>
          <w:rFonts w:ascii="David" w:hAnsi="David"/>
          <w:rtl/>
        </w:rPr>
        <w:t>ילולא הסוכן היה מתחבר אליו ברמה</w:t>
      </w:r>
      <w:r>
        <w:rPr>
          <w:rFonts w:ascii="David" w:hAnsi="David" w:hint="cs"/>
          <w:rtl/>
        </w:rPr>
        <w:t xml:space="preserve"> </w:t>
      </w:r>
      <w:r w:rsidRPr="00264AC1">
        <w:rPr>
          <w:rFonts w:ascii="David" w:hAnsi="David"/>
          <w:rtl/>
        </w:rPr>
        <w:t xml:space="preserve">האישית והאינטימית ולוחץ עליו </w:t>
      </w:r>
      <w:r w:rsidRPr="00264AC1">
        <w:rPr>
          <w:rFonts w:ascii="David" w:hAnsi="David" w:hint="cs"/>
          <w:rtl/>
        </w:rPr>
        <w:t>לא היה פועל כמפורט בכתב האישום</w:t>
      </w:r>
      <w:r w:rsidRPr="00264AC1">
        <w:rPr>
          <w:rFonts w:ascii="David" w:hAnsi="David"/>
          <w:rtl/>
        </w:rPr>
        <w:t xml:space="preserve">. </w:t>
      </w:r>
      <w:r w:rsidRPr="00264AC1">
        <w:rPr>
          <w:rFonts w:ascii="David" w:hAnsi="David" w:hint="cs"/>
          <w:rtl/>
        </w:rPr>
        <w:t>לדבריו, מעולם</w:t>
      </w:r>
      <w:r w:rsidRPr="00264AC1">
        <w:rPr>
          <w:rFonts w:ascii="David" w:hAnsi="David"/>
          <w:rtl/>
        </w:rPr>
        <w:t xml:space="preserve"> לא התעסק או הרוויח כסף מסמים</w:t>
      </w:r>
      <w:r w:rsidRPr="00264AC1">
        <w:rPr>
          <w:rFonts w:ascii="David" w:hAnsi="David" w:hint="cs"/>
          <w:rtl/>
        </w:rPr>
        <w:t>. עוד פירט כי</w:t>
      </w:r>
      <w:r w:rsidRPr="00264AC1">
        <w:rPr>
          <w:rFonts w:ascii="David" w:hAnsi="David"/>
          <w:rtl/>
        </w:rPr>
        <w:t xml:space="preserve"> הוא עובד </w:t>
      </w:r>
      <w:r w:rsidRPr="00264AC1">
        <w:rPr>
          <w:rFonts w:ascii="David" w:hAnsi="David" w:hint="cs"/>
          <w:rtl/>
        </w:rPr>
        <w:t xml:space="preserve">מזה </w:t>
      </w:r>
      <w:r w:rsidRPr="00264AC1">
        <w:rPr>
          <w:rFonts w:ascii="David" w:hAnsi="David"/>
          <w:rtl/>
        </w:rPr>
        <w:t>מספר חודשים בעבודה מסודרת</w:t>
      </w:r>
      <w:r w:rsidRPr="00264AC1">
        <w:rPr>
          <w:rFonts w:ascii="David" w:hAnsi="David" w:hint="cs"/>
          <w:rtl/>
        </w:rPr>
        <w:t xml:space="preserve"> ו</w:t>
      </w:r>
      <w:r w:rsidRPr="00264AC1">
        <w:rPr>
          <w:rFonts w:ascii="David" w:hAnsi="David"/>
          <w:rtl/>
        </w:rPr>
        <w:t xml:space="preserve">אם ייגזר עליו עונש של </w:t>
      </w:r>
      <w:r>
        <w:rPr>
          <w:rFonts w:ascii="David" w:hAnsi="David" w:hint="cs"/>
          <w:rtl/>
        </w:rPr>
        <w:t>מאסר ב</w:t>
      </w:r>
      <w:r w:rsidRPr="00264AC1">
        <w:rPr>
          <w:rFonts w:ascii="David" w:hAnsi="David"/>
          <w:rtl/>
        </w:rPr>
        <w:t xml:space="preserve">עבודות שירות </w:t>
      </w:r>
      <w:r w:rsidRPr="00264AC1">
        <w:rPr>
          <w:rFonts w:ascii="David" w:hAnsi="David" w:hint="cs"/>
          <w:rtl/>
        </w:rPr>
        <w:t xml:space="preserve">ככל הנראה </w:t>
      </w:r>
      <w:r>
        <w:rPr>
          <w:rFonts w:ascii="David" w:hAnsi="David" w:hint="cs"/>
          <w:rtl/>
        </w:rPr>
        <w:t>יפוטר,</w:t>
      </w:r>
      <w:r w:rsidRPr="00264AC1">
        <w:rPr>
          <w:rFonts w:ascii="David" w:hAnsi="David" w:hint="cs"/>
          <w:rtl/>
        </w:rPr>
        <w:t xml:space="preserve"> ו</w:t>
      </w:r>
      <w:r w:rsidRPr="00264AC1">
        <w:rPr>
          <w:rFonts w:ascii="David" w:hAnsi="David"/>
          <w:rtl/>
        </w:rPr>
        <w:t>הביע רצון לפתוח דף חדש בחיי</w:t>
      </w:r>
      <w:r w:rsidRPr="00264AC1">
        <w:rPr>
          <w:rFonts w:ascii="David" w:hAnsi="David" w:hint="cs"/>
          <w:rtl/>
        </w:rPr>
        <w:t>ו</w:t>
      </w:r>
      <w:r>
        <w:rPr>
          <w:rFonts w:ascii="David" w:hAnsi="David" w:hint="cs"/>
          <w:rtl/>
        </w:rPr>
        <w:t>.</w:t>
      </w:r>
    </w:p>
    <w:p w14:paraId="6A5F1106" w14:textId="77777777" w:rsidR="00904E62" w:rsidRPr="00C42534" w:rsidRDefault="00904E62" w:rsidP="00904E62">
      <w:pPr>
        <w:pStyle w:val="a9"/>
        <w:rPr>
          <w:rFonts w:ascii="David" w:hAnsi="David"/>
          <w:b/>
          <w:bCs/>
          <w:sz w:val="20"/>
          <w:szCs w:val="20"/>
          <w:u w:val="single"/>
          <w:rtl/>
        </w:rPr>
      </w:pPr>
    </w:p>
    <w:p w14:paraId="5C1D09B7" w14:textId="77777777" w:rsidR="00904E62" w:rsidRPr="007A0BD8" w:rsidRDefault="00904E62" w:rsidP="00904E62">
      <w:pPr>
        <w:pStyle w:val="a9"/>
        <w:spacing w:line="360" w:lineRule="auto"/>
        <w:ind w:left="-65"/>
        <w:jc w:val="both"/>
        <w:rPr>
          <w:rFonts w:ascii="Arial" w:hAnsi="Arial"/>
          <w:rtl/>
        </w:rPr>
      </w:pPr>
      <w:r w:rsidRPr="007A0BD8">
        <w:rPr>
          <w:rFonts w:ascii="David" w:hAnsi="David"/>
          <w:b/>
          <w:bCs/>
          <w:u w:val="single"/>
          <w:rtl/>
        </w:rPr>
        <w:t>דיון והכרעה</w:t>
      </w:r>
    </w:p>
    <w:p w14:paraId="610A98F4" w14:textId="77777777" w:rsidR="00904E62" w:rsidRDefault="00904E62" w:rsidP="00904E62">
      <w:pPr>
        <w:pStyle w:val="a9"/>
        <w:numPr>
          <w:ilvl w:val="0"/>
          <w:numId w:val="1"/>
        </w:numPr>
        <w:spacing w:line="360" w:lineRule="auto"/>
        <w:ind w:left="-98" w:firstLine="33"/>
        <w:jc w:val="both"/>
        <w:rPr>
          <w:rFonts w:ascii="David" w:hAnsi="David"/>
        </w:rPr>
      </w:pPr>
      <w:r w:rsidRPr="007A0BD8">
        <w:rPr>
          <w:rFonts w:ascii="David" w:hAnsi="David"/>
          <w:rtl/>
        </w:rPr>
        <w:t xml:space="preserve">כאמור, במקרה זה הגיעו הצדדים להסדר טיעון בו הסכימו </w:t>
      </w:r>
      <w:r>
        <w:rPr>
          <w:rFonts w:ascii="David" w:hAnsi="David" w:hint="cs"/>
          <w:rtl/>
        </w:rPr>
        <w:t>כי המאשימה תגביל את עתירתה העונשית ל- 4 חודשי מאסר בפועל שיכול וירוצו בעבודות שירות לצד ענישה נלווית, וההגנה חופשיה בטיעוניה</w:t>
      </w:r>
      <w:r w:rsidRPr="007A0BD8">
        <w:rPr>
          <w:rFonts w:ascii="David" w:hAnsi="David"/>
          <w:rtl/>
        </w:rPr>
        <w:t>. ב</w:t>
      </w:r>
      <w:hyperlink r:id="rId19" w:history="1">
        <w:r w:rsidR="00F64BAB" w:rsidRPr="00F64BAB">
          <w:rPr>
            <w:color w:val="0000FF"/>
            <w:u w:val="single"/>
            <w:rtl/>
          </w:rPr>
          <w:t>ע"פ 2021/17</w:t>
        </w:r>
      </w:hyperlink>
      <w:r w:rsidRPr="007A0BD8">
        <w:rPr>
          <w:rFonts w:ascii="David" w:hAnsi="David"/>
          <w:rtl/>
        </w:rPr>
        <w:t xml:space="preserve"> </w:t>
      </w:r>
      <w:r w:rsidRPr="007A0BD8">
        <w:rPr>
          <w:rFonts w:ascii="David" w:hAnsi="David"/>
          <w:b/>
          <w:bCs/>
          <w:rtl/>
        </w:rPr>
        <w:t>מצגר נ' מדינת ישראל</w:t>
      </w:r>
      <w:r w:rsidRPr="007A0BD8">
        <w:rPr>
          <w:rFonts w:ascii="David" w:hAnsi="David"/>
          <w:rtl/>
        </w:rPr>
        <w:t xml:space="preserve"> (30.4.2017) (להלן: </w:t>
      </w:r>
      <w:r w:rsidRPr="007A0BD8">
        <w:rPr>
          <w:rFonts w:ascii="David" w:hAnsi="David"/>
          <w:b/>
          <w:bCs/>
          <w:rtl/>
        </w:rPr>
        <w:t>"עניין מצגר"</w:t>
      </w:r>
      <w:r w:rsidRPr="007A0BD8">
        <w:rPr>
          <w:rFonts w:ascii="David" w:hAnsi="David"/>
          <w:rtl/>
        </w:rPr>
        <w:t>) חזר בית המשפט העליון וציין את המדיניות התומכת באימוץ הסדרי טיעון והדגיש את יתרונותיהם, את האינטרס הציבורי שבבסיסם ואת תפקידם הראוי במערכת אכיפת החוק. הכלל הוא כי בית המשפט יטה לכבד הסדר טיעון ויתערב בו רק מטעמים המצדיקים זאת לאחר בחינתו במבחן האיזון אשר נקבע ב</w:t>
      </w:r>
      <w:hyperlink r:id="rId20" w:history="1">
        <w:r w:rsidR="00F64BAB" w:rsidRPr="00F64BAB">
          <w:rPr>
            <w:color w:val="0000FF"/>
            <w:u w:val="single"/>
            <w:rtl/>
          </w:rPr>
          <w:t>ע"פ 1958/98</w:t>
        </w:r>
      </w:hyperlink>
      <w:r w:rsidRPr="007A0BD8">
        <w:rPr>
          <w:rFonts w:ascii="David" w:hAnsi="David"/>
          <w:rtl/>
        </w:rPr>
        <w:t xml:space="preserve"> </w:t>
      </w:r>
      <w:r w:rsidRPr="007A0BD8">
        <w:rPr>
          <w:rFonts w:ascii="David" w:hAnsi="David"/>
          <w:b/>
          <w:bCs/>
          <w:rtl/>
        </w:rPr>
        <w:t>פלוני נ' מדינת ישראל</w:t>
      </w:r>
      <w:r w:rsidRPr="007A0BD8">
        <w:rPr>
          <w:rFonts w:ascii="David" w:hAnsi="David"/>
          <w:rtl/>
        </w:rPr>
        <w:t xml:space="preserve"> (25.12.2002), ובשים לב לכך שהשיקולים הנשקלים בעת עריכת הסדר טיעון אינם זהים בהכרח לאלה הנשקלים במסגרת תיקון 113 ל</w:t>
      </w:r>
      <w:hyperlink r:id="rId21" w:history="1">
        <w:r w:rsidR="00F64BAB" w:rsidRPr="00F64BAB">
          <w:rPr>
            <w:color w:val="0000FF"/>
            <w:u w:val="single"/>
            <w:rtl/>
          </w:rPr>
          <w:t>חוק העונשין</w:t>
        </w:r>
      </w:hyperlink>
      <w:r>
        <w:rPr>
          <w:rFonts w:ascii="David" w:hAnsi="David" w:hint="cs"/>
          <w:rtl/>
        </w:rPr>
        <w:t>.</w:t>
      </w:r>
    </w:p>
    <w:p w14:paraId="6E9AC2EC" w14:textId="77777777" w:rsidR="00904E62" w:rsidRPr="00C42534" w:rsidRDefault="00904E62" w:rsidP="00904E62">
      <w:pPr>
        <w:pStyle w:val="a9"/>
        <w:ind w:left="-65"/>
        <w:jc w:val="both"/>
        <w:rPr>
          <w:rFonts w:ascii="David" w:hAnsi="David"/>
          <w:sz w:val="20"/>
          <w:szCs w:val="20"/>
        </w:rPr>
      </w:pPr>
    </w:p>
    <w:p w14:paraId="4234C25C" w14:textId="77777777" w:rsidR="00904E62" w:rsidRDefault="00904E62" w:rsidP="00904E62">
      <w:pPr>
        <w:pStyle w:val="a9"/>
        <w:numPr>
          <w:ilvl w:val="0"/>
          <w:numId w:val="1"/>
        </w:numPr>
        <w:spacing w:line="360" w:lineRule="auto"/>
        <w:ind w:left="-98" w:firstLine="33"/>
        <w:jc w:val="both"/>
        <w:rPr>
          <w:rFonts w:ascii="David" w:hAnsi="David"/>
        </w:rPr>
      </w:pPr>
      <w:r w:rsidRPr="00C42534">
        <w:rPr>
          <w:rFonts w:ascii="David" w:hAnsi="David"/>
          <w:rtl/>
        </w:rPr>
        <w:t>הדרך בה על בית המשפט לילך בעת גזירת דינו של נאשם אשר הורשע במסגרת הסדר טיעון לאחר תיקון 113 ל</w:t>
      </w:r>
      <w:hyperlink r:id="rId22" w:history="1">
        <w:r w:rsidR="00F64BAB" w:rsidRPr="00F64BAB">
          <w:rPr>
            <w:color w:val="0000FF"/>
            <w:u w:val="single"/>
            <w:rtl/>
          </w:rPr>
          <w:t>חוק העונשין</w:t>
        </w:r>
      </w:hyperlink>
      <w:r>
        <w:rPr>
          <w:rFonts w:ascii="David" w:hAnsi="David" w:hint="cs"/>
          <w:rtl/>
        </w:rPr>
        <w:t xml:space="preserve">, ובכלל זאת הסדר הכולל טווח ו/או תקרת ענישה, </w:t>
      </w:r>
      <w:r w:rsidRPr="00C42534">
        <w:rPr>
          <w:rFonts w:ascii="David" w:hAnsi="David"/>
          <w:rtl/>
        </w:rPr>
        <w:t>נבחנה והובהרה בשורת פסקי דין מפי בית המשפט העליון. ב</w:t>
      </w:r>
      <w:hyperlink r:id="rId23" w:history="1">
        <w:r w:rsidR="00F64BAB" w:rsidRPr="00F64BAB">
          <w:rPr>
            <w:rFonts w:ascii="David" w:hAnsi="David"/>
            <w:color w:val="0000FF"/>
            <w:u w:val="single"/>
            <w:rtl/>
          </w:rPr>
          <w:t>ע"פ 1901/19</w:t>
        </w:r>
      </w:hyperlink>
      <w:r w:rsidRPr="00C42534">
        <w:rPr>
          <w:rFonts w:ascii="David" w:hAnsi="David"/>
          <w:rtl/>
        </w:rPr>
        <w:t xml:space="preserve"> </w:t>
      </w:r>
      <w:r w:rsidRPr="00C42534">
        <w:rPr>
          <w:rFonts w:ascii="David" w:hAnsi="David"/>
          <w:b/>
          <w:bCs/>
          <w:rtl/>
        </w:rPr>
        <w:t>שמעון אסולין נ' מדינת ישראל</w:t>
      </w:r>
      <w:r w:rsidRPr="00C42534">
        <w:rPr>
          <w:rFonts w:ascii="David" w:hAnsi="David"/>
          <w:rtl/>
        </w:rPr>
        <w:t xml:space="preserve"> (31.5.2020) נקבע כי בית המשפט רשאי לקבוע מתחם ענישה גם מקום בו הגיעו הצדדים להסדר טיעון, ובכלל זאת להסדר טיעון הכולל טווח ענישה, וראוי שכך יעשה. יחד עם זאת, בקביעת המתחם נדרשת זהירות, אין המדובר בקביעת מתחם ענישה במובן הפורמלי של תיקון 113 ל</w:t>
      </w:r>
      <w:hyperlink r:id="rId24" w:history="1">
        <w:r w:rsidR="00F64BAB" w:rsidRPr="00F64BAB">
          <w:rPr>
            <w:rFonts w:ascii="David" w:hAnsi="David"/>
            <w:color w:val="0000FF"/>
            <w:u w:val="single"/>
            <w:rtl/>
          </w:rPr>
          <w:t>חוק העונשין</w:t>
        </w:r>
      </w:hyperlink>
      <w:r w:rsidRPr="00C42534">
        <w:rPr>
          <w:rFonts w:ascii="David" w:hAnsi="David"/>
          <w:rtl/>
        </w:rPr>
        <w:t xml:space="preserve">, וקביעתו תתבצע בצורה רכה לשם </w:t>
      </w:r>
      <w:r w:rsidRPr="00C42534">
        <w:rPr>
          <w:rFonts w:ascii="David" w:hAnsi="David"/>
          <w:b/>
          <w:bCs/>
          <w:rtl/>
        </w:rPr>
        <w:t>"קבלת מידע והקשר לעונש שראוי לקבוע בהסדר טווח"</w:t>
      </w:r>
      <w:r w:rsidRPr="00C42534">
        <w:rPr>
          <w:rFonts w:ascii="David" w:hAnsi="David"/>
          <w:rtl/>
        </w:rPr>
        <w:t>, בשים לב לקיומן של נסיבות מגוונות שיכולות להוביל להחלטת המדינה להגיע להסדר, כשהמשקל שיש ליתן לשיקולי תיקון 113 לחוק העונשין ולמתחם הענישה במקרה נתון משתנה בהתאם לנסיבות הקונקרטיות שהביאו להסדר.</w:t>
      </w:r>
    </w:p>
    <w:p w14:paraId="7D11092D" w14:textId="77777777" w:rsidR="00904E62" w:rsidRPr="00FE5FAB" w:rsidRDefault="00904E62" w:rsidP="00904E62">
      <w:pPr>
        <w:pStyle w:val="a9"/>
        <w:rPr>
          <w:rFonts w:ascii="David" w:hAnsi="David"/>
          <w:sz w:val="20"/>
          <w:szCs w:val="20"/>
          <w:rtl/>
        </w:rPr>
      </w:pPr>
    </w:p>
    <w:p w14:paraId="119A07AD" w14:textId="77777777" w:rsidR="00904E62" w:rsidRPr="00FE5FAB" w:rsidRDefault="00904E62" w:rsidP="00904E62">
      <w:pPr>
        <w:pStyle w:val="a9"/>
        <w:numPr>
          <w:ilvl w:val="0"/>
          <w:numId w:val="1"/>
        </w:numPr>
        <w:spacing w:line="360" w:lineRule="auto"/>
        <w:ind w:left="-98" w:firstLine="33"/>
        <w:jc w:val="both"/>
        <w:rPr>
          <w:rFonts w:ascii="David" w:hAnsi="David"/>
          <w:rtl/>
        </w:rPr>
      </w:pPr>
      <w:r w:rsidRPr="00FE5FAB">
        <w:rPr>
          <w:rFonts w:ascii="David" w:hAnsi="David"/>
          <w:rtl/>
        </w:rPr>
        <w:t xml:space="preserve">בחנתי את סבירותו של הסדר הטיעון אליו הגיעו הצדדים ואת העתירה העונשית של כל אחד מהצדדים </w:t>
      </w:r>
      <w:r>
        <w:rPr>
          <w:rFonts w:ascii="David" w:hAnsi="David" w:hint="cs"/>
          <w:rtl/>
        </w:rPr>
        <w:t>על פי ה</w:t>
      </w:r>
      <w:r w:rsidRPr="00FE5FAB">
        <w:rPr>
          <w:rFonts w:ascii="David" w:hAnsi="David"/>
          <w:rtl/>
        </w:rPr>
        <w:t xml:space="preserve">כללים שלעיל. במסגרת זו, נתתי דעתי לערכים המוגנים </w:t>
      </w:r>
      <w:r w:rsidRPr="00FE5FAB">
        <w:rPr>
          <w:rFonts w:ascii="David" w:hAnsi="David" w:hint="cs"/>
          <w:rtl/>
        </w:rPr>
        <w:t>בעבירות הסמים</w:t>
      </w:r>
      <w:r>
        <w:rPr>
          <w:rFonts w:ascii="David" w:hAnsi="David" w:hint="cs"/>
          <w:rtl/>
        </w:rPr>
        <w:t>,</w:t>
      </w:r>
      <w:r w:rsidRPr="00FE5FAB">
        <w:rPr>
          <w:rFonts w:ascii="David" w:hAnsi="David" w:hint="cs"/>
          <w:rtl/>
        </w:rPr>
        <w:t xml:space="preserve"> </w:t>
      </w:r>
      <w:r>
        <w:rPr>
          <w:rFonts w:ascii="David" w:hAnsi="David" w:hint="cs"/>
          <w:rtl/>
        </w:rPr>
        <w:t>ל</w:t>
      </w:r>
      <w:r w:rsidRPr="00FE5FAB">
        <w:rPr>
          <w:rFonts w:ascii="David" w:hAnsi="David" w:hint="cs"/>
          <w:rtl/>
        </w:rPr>
        <w:t xml:space="preserve">חומרה הרבה </w:t>
      </w:r>
      <w:r>
        <w:rPr>
          <w:rFonts w:ascii="David" w:hAnsi="David" w:hint="cs"/>
          <w:rtl/>
        </w:rPr>
        <w:t>ש</w:t>
      </w:r>
      <w:r w:rsidRPr="00FE5FAB">
        <w:rPr>
          <w:rFonts w:ascii="David" w:hAnsi="David" w:hint="cs"/>
          <w:rtl/>
        </w:rPr>
        <w:t xml:space="preserve">לצידן </w:t>
      </w:r>
      <w:r w:rsidRPr="00FE5FAB">
        <w:rPr>
          <w:rFonts w:ascii="David" w:hAnsi="David"/>
          <w:rtl/>
        </w:rPr>
        <w:t xml:space="preserve">ולחשיבות ההרתעה. רבות נכתב על אודות הנזק לגוף ולנפש מנגע הסמים, </w:t>
      </w:r>
      <w:r w:rsidRPr="00FE5FAB">
        <w:rPr>
          <w:rFonts w:ascii="David" w:hAnsi="David" w:hint="cs"/>
          <w:rtl/>
        </w:rPr>
        <w:t xml:space="preserve">על אחת כמה וכמה סמים קשים כמו בעניינו, </w:t>
      </w:r>
      <w:r>
        <w:rPr>
          <w:rFonts w:ascii="David" w:hAnsi="David"/>
          <w:rtl/>
        </w:rPr>
        <w:t>אשר</w:t>
      </w:r>
      <w:r>
        <w:rPr>
          <w:rFonts w:ascii="David" w:hAnsi="David" w:hint="cs"/>
          <w:rtl/>
        </w:rPr>
        <w:t xml:space="preserve"> </w:t>
      </w:r>
      <w:r w:rsidRPr="00FE5FAB">
        <w:rPr>
          <w:rFonts w:ascii="David" w:hAnsi="David"/>
          <w:rtl/>
        </w:rPr>
        <w:t xml:space="preserve">אף עלול לגרום בדרך עקיפה לביצוען של עבירות אחרות ונוספות. </w:t>
      </w:r>
      <w:r w:rsidRPr="00FE5FAB">
        <w:rPr>
          <w:rFonts w:ascii="David" w:hAnsi="David" w:hint="cs"/>
          <w:rtl/>
        </w:rPr>
        <w:t xml:space="preserve">המתווך </w:t>
      </w:r>
      <w:r w:rsidRPr="00FE5FAB">
        <w:rPr>
          <w:rFonts w:ascii="David" w:hAnsi="David"/>
          <w:rtl/>
        </w:rPr>
        <w:t xml:space="preserve">בסמים </w:t>
      </w:r>
      <w:r w:rsidRPr="00FE5FAB">
        <w:rPr>
          <w:rFonts w:ascii="David" w:hAnsi="David" w:hint="cs"/>
          <w:rtl/>
        </w:rPr>
        <w:t>הוא חלק משרשרת הפצת הסם, ויש במעשיו כדי להנגיש את הסמים לאחר</w:t>
      </w:r>
      <w:r>
        <w:rPr>
          <w:rFonts w:ascii="David" w:hAnsi="David" w:hint="cs"/>
          <w:rtl/>
        </w:rPr>
        <w:t>ים, להפכ</w:t>
      </w:r>
      <w:r w:rsidRPr="00FE5FAB">
        <w:rPr>
          <w:rFonts w:ascii="David" w:hAnsi="David" w:hint="cs"/>
          <w:rtl/>
        </w:rPr>
        <w:t>ם</w:t>
      </w:r>
      <w:r w:rsidRPr="00FE5FAB">
        <w:rPr>
          <w:rFonts w:ascii="David" w:hAnsi="David"/>
          <w:rtl/>
        </w:rPr>
        <w:t xml:space="preserve"> </w:t>
      </w:r>
      <w:r w:rsidRPr="00FE5FAB">
        <w:rPr>
          <w:rFonts w:ascii="David" w:hAnsi="David" w:hint="cs"/>
          <w:rtl/>
        </w:rPr>
        <w:t>ל</w:t>
      </w:r>
      <w:r w:rsidRPr="00FE5FAB">
        <w:rPr>
          <w:rFonts w:ascii="David" w:hAnsi="David"/>
          <w:rtl/>
        </w:rPr>
        <w:t>קלים להשגה</w:t>
      </w:r>
      <w:r w:rsidRPr="00FE5FAB">
        <w:rPr>
          <w:rFonts w:ascii="David" w:hAnsi="David" w:hint="cs"/>
          <w:rtl/>
        </w:rPr>
        <w:t>,</w:t>
      </w:r>
      <w:r w:rsidRPr="00FE5FAB">
        <w:rPr>
          <w:rFonts w:ascii="David" w:hAnsi="David"/>
          <w:rtl/>
        </w:rPr>
        <w:t xml:space="preserve"> וכך הם מתפשטים בקלות ובמהירות בקרב הציבור. </w:t>
      </w:r>
      <w:r w:rsidRPr="00FE5FAB">
        <w:rPr>
          <w:rFonts w:ascii="Arial" w:hAnsi="Arial" w:hint="cs"/>
          <w:rtl/>
        </w:rPr>
        <w:t>ב</w:t>
      </w:r>
      <w:hyperlink r:id="rId25" w:history="1">
        <w:r w:rsidR="00F64BAB" w:rsidRPr="00F64BAB">
          <w:rPr>
            <w:rFonts w:ascii="Arial" w:hAnsi="Arial"/>
            <w:color w:val="0000FF"/>
            <w:u w:val="single"/>
            <w:rtl/>
          </w:rPr>
          <w:t>רע"פ 2557/12</w:t>
        </w:r>
      </w:hyperlink>
      <w:r w:rsidRPr="00FE5FAB">
        <w:rPr>
          <w:rFonts w:ascii="Arial" w:hAnsi="Arial" w:hint="cs"/>
          <w:rtl/>
        </w:rPr>
        <w:t xml:space="preserve"> </w:t>
      </w:r>
      <w:r w:rsidRPr="00FE5FAB">
        <w:rPr>
          <w:rFonts w:ascii="Arial" w:hAnsi="Arial" w:hint="cs"/>
          <w:b/>
          <w:bCs/>
          <w:rtl/>
        </w:rPr>
        <w:t xml:space="preserve">פרדי נגד מדינת </w:t>
      </w:r>
      <w:r w:rsidRPr="002F4724">
        <w:rPr>
          <w:rFonts w:ascii="Arial" w:hAnsi="Arial" w:hint="cs"/>
          <w:b/>
          <w:bCs/>
          <w:rtl/>
        </w:rPr>
        <w:t>ישראל</w:t>
      </w:r>
      <w:r>
        <w:rPr>
          <w:rFonts w:ascii="Arial" w:hAnsi="Arial" w:hint="cs"/>
          <w:rtl/>
        </w:rPr>
        <w:t xml:space="preserve"> (5.4.2013) ציין כב' השופט רובינשטיין</w:t>
      </w:r>
      <w:r w:rsidRPr="00FE5FAB">
        <w:rPr>
          <w:rFonts w:ascii="Arial" w:hAnsi="Arial" w:hint="cs"/>
          <w:rtl/>
        </w:rPr>
        <w:t>:</w:t>
      </w:r>
    </w:p>
    <w:p w14:paraId="5D2522EE" w14:textId="77777777" w:rsidR="00904E62" w:rsidRPr="00FE5FAB" w:rsidRDefault="00904E62" w:rsidP="00904E62">
      <w:pPr>
        <w:pStyle w:val="a9"/>
        <w:ind w:right="426"/>
        <w:jc w:val="both"/>
        <w:rPr>
          <w:rFonts w:ascii="Arial" w:hAnsi="Arial"/>
          <w:sz w:val="22"/>
          <w:szCs w:val="22"/>
          <w:rtl/>
        </w:rPr>
      </w:pPr>
      <w:r w:rsidRPr="00FE5FAB">
        <w:rPr>
          <w:rFonts w:ascii="Arial" w:hAnsi="Arial" w:hint="cs"/>
          <w:sz w:val="22"/>
          <w:szCs w:val="22"/>
          <w:rtl/>
        </w:rPr>
        <w:t>"</w:t>
      </w:r>
      <w:r w:rsidRPr="00FE5FAB">
        <w:rPr>
          <w:rFonts w:ascii="Arial" w:hAnsi="Arial" w:hint="cs"/>
          <w:b/>
          <w:bCs/>
          <w:sz w:val="22"/>
          <w:szCs w:val="22"/>
          <w:rtl/>
        </w:rPr>
        <w:t xml:space="preserve">עמדנו לא אחת על חומרתן של עבירות הפצת סמים והחשיבות בהרתעה אפקטיבית: "חשיבות המלחמה בנגע הסמים ידועה לכל, והעוסקים בסחר ובתיווך בסם יידעו כי 'מלחמת החורמה בעברייני סמים נמשכת והולכת. מלחמה קשה היא, מלחמה ארוכה, והיא </w:t>
      </w:r>
      <w:r>
        <w:rPr>
          <w:rFonts w:ascii="Arial" w:hAnsi="Arial" w:hint="cs"/>
          <w:b/>
          <w:bCs/>
          <w:sz w:val="22"/>
          <w:szCs w:val="22"/>
          <w:rtl/>
        </w:rPr>
        <w:t xml:space="preserve">  </w:t>
      </w:r>
      <w:r w:rsidRPr="00FE5FAB">
        <w:rPr>
          <w:rFonts w:ascii="Arial" w:hAnsi="Arial" w:hint="cs"/>
          <w:b/>
          <w:bCs/>
          <w:sz w:val="22"/>
          <w:szCs w:val="22"/>
          <w:rtl/>
        </w:rPr>
        <w:t>כמלחמת ישראל בעמלק'.</w:t>
      </w:r>
      <w:r w:rsidRPr="00FE5FAB">
        <w:rPr>
          <w:rFonts w:ascii="Arial" w:hAnsi="Arial" w:hint="cs"/>
          <w:sz w:val="22"/>
          <w:szCs w:val="22"/>
          <w:rtl/>
        </w:rPr>
        <w:t>..".</w:t>
      </w:r>
    </w:p>
    <w:p w14:paraId="74B9EF4E" w14:textId="77777777" w:rsidR="00904E62" w:rsidRDefault="00904E62" w:rsidP="00904E62">
      <w:pPr>
        <w:spacing w:line="360" w:lineRule="auto"/>
        <w:jc w:val="both"/>
        <w:rPr>
          <w:rFonts w:ascii="David" w:hAnsi="David"/>
          <w:sz w:val="20"/>
          <w:szCs w:val="20"/>
          <w:rtl/>
        </w:rPr>
      </w:pPr>
    </w:p>
    <w:p w14:paraId="1C1E844A" w14:textId="77777777" w:rsidR="00904E62" w:rsidRPr="00FE5FAB" w:rsidRDefault="00904E62" w:rsidP="00904E62">
      <w:pPr>
        <w:pStyle w:val="a9"/>
        <w:spacing w:line="360" w:lineRule="auto"/>
        <w:ind w:left="-65"/>
        <w:jc w:val="both"/>
        <w:rPr>
          <w:rFonts w:ascii="David" w:hAnsi="David"/>
        </w:rPr>
      </w:pPr>
      <w:r w:rsidRPr="00FE5FAB">
        <w:rPr>
          <w:rFonts w:ascii="David" w:hAnsi="David"/>
          <w:rtl/>
        </w:rPr>
        <w:t xml:space="preserve">ראו </w:t>
      </w:r>
      <w:r>
        <w:rPr>
          <w:rFonts w:ascii="David" w:hAnsi="David" w:hint="cs"/>
          <w:rtl/>
        </w:rPr>
        <w:t>גם</w:t>
      </w:r>
      <w:r>
        <w:rPr>
          <w:rFonts w:ascii="David" w:hAnsi="David"/>
          <w:rtl/>
        </w:rPr>
        <w:t xml:space="preserve"> </w:t>
      </w:r>
      <w:r w:rsidRPr="00FE5FAB">
        <w:rPr>
          <w:rFonts w:ascii="David" w:hAnsi="David"/>
          <w:rtl/>
        </w:rPr>
        <w:t>דברי כב' השופט סולברג ב</w:t>
      </w:r>
      <w:hyperlink r:id="rId26" w:history="1">
        <w:r w:rsidR="00F64BAB" w:rsidRPr="00F64BAB">
          <w:rPr>
            <w:color w:val="0000FF"/>
            <w:u w:val="single"/>
            <w:rtl/>
          </w:rPr>
          <w:t>ע"פ 7952/15</w:t>
        </w:r>
      </w:hyperlink>
      <w:r w:rsidRPr="00FE5FAB">
        <w:rPr>
          <w:rFonts w:ascii="David" w:hAnsi="David"/>
          <w:rtl/>
        </w:rPr>
        <w:t xml:space="preserve"> </w:t>
      </w:r>
      <w:r w:rsidRPr="00FE5FAB">
        <w:rPr>
          <w:rFonts w:ascii="David" w:hAnsi="David"/>
          <w:b/>
          <w:bCs/>
          <w:rtl/>
        </w:rPr>
        <w:t>מדינת ישראל נ' שץ</w:t>
      </w:r>
      <w:r w:rsidRPr="00FE5FAB">
        <w:rPr>
          <w:rFonts w:ascii="David" w:hAnsi="David"/>
          <w:rtl/>
        </w:rPr>
        <w:t xml:space="preserve"> (15.2.2016):</w:t>
      </w:r>
    </w:p>
    <w:p w14:paraId="59C5D596" w14:textId="77777777" w:rsidR="00904E62" w:rsidRPr="00FE5FAB" w:rsidRDefault="00904E62" w:rsidP="00904E62">
      <w:pPr>
        <w:pStyle w:val="a9"/>
        <w:ind w:right="426"/>
        <w:jc w:val="both"/>
        <w:rPr>
          <w:rFonts w:ascii="David" w:hAnsi="David"/>
          <w:b/>
          <w:bCs/>
          <w:sz w:val="22"/>
          <w:szCs w:val="22"/>
        </w:rPr>
      </w:pPr>
      <w:r w:rsidRPr="00FE5FAB">
        <w:rPr>
          <w:rFonts w:ascii="David" w:hAnsi="David"/>
          <w:b/>
          <w:bCs/>
          <w:sz w:val="22"/>
          <w:szCs w:val="22"/>
          <w:rtl/>
        </w:rPr>
        <w:t xml:space="preserve">"בית משפט זה עמד לא אחת על החומרה הרבה הטמונה בעבירות סחר והפצה של סמים, לא כל שכן סמים מסוכנים המוגדרים 'קשים' (ראו למשל: </w:t>
      </w:r>
      <w:hyperlink r:id="rId27" w:history="1">
        <w:r w:rsidR="00F64BAB" w:rsidRPr="00F64BAB">
          <w:rPr>
            <w:b/>
            <w:bCs/>
            <w:color w:val="0000FF"/>
            <w:sz w:val="22"/>
            <w:szCs w:val="22"/>
            <w:u w:val="single"/>
            <w:rtl/>
          </w:rPr>
          <w:t>ע"פ 6747/11</w:t>
        </w:r>
      </w:hyperlink>
      <w:r w:rsidRPr="00FE5FAB">
        <w:rPr>
          <w:rFonts w:ascii="David" w:hAnsi="David"/>
          <w:b/>
          <w:bCs/>
          <w:sz w:val="22"/>
          <w:szCs w:val="22"/>
          <w:rtl/>
        </w:rPr>
        <w:t xml:space="preserve"> מדינת ישראל נ' אבו רקיק [פורסם בנבו] (3.1.2013)), ועל הצורך להיאבק בהן באמצעות ענישה משמעותית ומרתיעה (</w:t>
      </w:r>
      <w:hyperlink r:id="rId28" w:history="1">
        <w:r w:rsidR="00F64BAB" w:rsidRPr="00F64BAB">
          <w:rPr>
            <w:b/>
            <w:bCs/>
            <w:color w:val="0000FF"/>
            <w:sz w:val="22"/>
            <w:szCs w:val="22"/>
            <w:u w:val="single"/>
            <w:rtl/>
          </w:rPr>
          <w:t>ע"פ 9482/09</w:t>
        </w:r>
      </w:hyperlink>
      <w:r w:rsidRPr="00FE5FAB">
        <w:rPr>
          <w:rFonts w:ascii="David" w:hAnsi="David"/>
          <w:b/>
          <w:bCs/>
          <w:sz w:val="22"/>
          <w:szCs w:val="22"/>
          <w:rtl/>
        </w:rPr>
        <w:t xml:space="preserve"> ביטון נ' מדינת ישראל, [פורסם בנבו] פסקה 24 (24.7.2011)). זאת, לאור הנזק הרב שהן מסבות לא אך למשתמשים הישירים בסם, אלא לחברה כולה, הסובלת מעבירות רכוש ואלימות מצד העוסקים בסחר ומלקוחותיהם."</w:t>
      </w:r>
    </w:p>
    <w:p w14:paraId="159FB901" w14:textId="77777777" w:rsidR="00904E62" w:rsidRPr="002F4724" w:rsidRDefault="00904E62" w:rsidP="00904E62">
      <w:pPr>
        <w:pStyle w:val="12"/>
        <w:jc w:val="both"/>
        <w:rPr>
          <w:rFonts w:ascii="David" w:hAnsi="David"/>
          <w:b w:val="0"/>
          <w:bCs w:val="0"/>
          <w:sz w:val="20"/>
          <w:szCs w:val="20"/>
          <w:u w:val="none"/>
        </w:rPr>
      </w:pPr>
    </w:p>
    <w:p w14:paraId="2B892937" w14:textId="77777777" w:rsidR="00904E62" w:rsidRPr="00DE2B6F" w:rsidRDefault="00904E62" w:rsidP="00904E62">
      <w:pPr>
        <w:pStyle w:val="a9"/>
        <w:numPr>
          <w:ilvl w:val="0"/>
          <w:numId w:val="1"/>
        </w:numPr>
        <w:spacing w:line="360" w:lineRule="auto"/>
        <w:ind w:left="-98" w:firstLine="33"/>
        <w:jc w:val="both"/>
        <w:rPr>
          <w:rFonts w:ascii="David" w:hAnsi="David"/>
          <w:sz w:val="20"/>
          <w:szCs w:val="20"/>
        </w:rPr>
      </w:pPr>
      <w:r>
        <w:rPr>
          <w:rFonts w:ascii="David" w:hAnsi="David" w:hint="cs"/>
          <w:rtl/>
        </w:rPr>
        <w:t xml:space="preserve">אשר לנסיבות ביצוע העבירות שיקבעו יחדיו כאירוע עונשי (כפי טיעוני הצדדים): לצד החומרה האינהרנטית שבעבירות הקשורות להפצת סם, על אחת כמה וכמה סמים קשים מסוג קוקאין, קטמין ו </w:t>
      </w:r>
      <w:r>
        <w:rPr>
          <w:rFonts w:ascii="David" w:hAnsi="David"/>
          <w:rtl/>
        </w:rPr>
        <w:t>–</w:t>
      </w:r>
      <w:r>
        <w:rPr>
          <w:rFonts w:ascii="David" w:hAnsi="David" w:hint="cs"/>
          <w:rtl/>
        </w:rPr>
        <w:t xml:space="preserve"> </w:t>
      </w:r>
      <w:r>
        <w:rPr>
          <w:rFonts w:ascii="David" w:hAnsi="David" w:hint="cs"/>
        </w:rPr>
        <w:t>MDMA</w:t>
      </w:r>
      <w:r>
        <w:rPr>
          <w:rFonts w:ascii="David" w:hAnsi="David" w:hint="cs"/>
          <w:rtl/>
        </w:rPr>
        <w:t xml:space="preserve">, במקרה זה מלמדות הנסיבות דווקא על מידת פגיעה נמוכה בערכים המוגנים ממעשי העבירה. </w:t>
      </w:r>
      <w:r w:rsidRPr="00DE2B6F">
        <w:rPr>
          <w:rFonts w:ascii="David" w:hAnsi="David" w:hint="cs"/>
          <w:rtl/>
        </w:rPr>
        <w:t xml:space="preserve">כזכור, הנאשם הכיר את הסוכן כשזה הגיע למקום עבודתו במסעדה עוד בחודש אפריל 2019, הציג עצמו כמנעולן, שוחח עמו והם אף החליפו מספרי טלפון לצורך ביצוע שירותי מנעולנות עבור הנאשם, וללא קשר לעבירות המפורטות בכתב האישום. </w:t>
      </w:r>
    </w:p>
    <w:p w14:paraId="47FEF241" w14:textId="77777777" w:rsidR="00904E62" w:rsidRPr="007C2FAB" w:rsidRDefault="00904E62" w:rsidP="00904E62">
      <w:pPr>
        <w:pStyle w:val="a9"/>
        <w:rPr>
          <w:rFonts w:ascii="David" w:hAnsi="David"/>
          <w:sz w:val="20"/>
          <w:szCs w:val="20"/>
          <w:rtl/>
        </w:rPr>
      </w:pPr>
    </w:p>
    <w:p w14:paraId="1AA08833" w14:textId="77777777" w:rsidR="00904E62" w:rsidRPr="007C2FAB" w:rsidRDefault="00904E62" w:rsidP="00904E62">
      <w:pPr>
        <w:pStyle w:val="a9"/>
        <w:numPr>
          <w:ilvl w:val="0"/>
          <w:numId w:val="1"/>
        </w:numPr>
        <w:spacing w:line="360" w:lineRule="auto"/>
        <w:ind w:left="-98" w:firstLine="33"/>
        <w:jc w:val="both"/>
        <w:rPr>
          <w:rFonts w:ascii="David" w:hAnsi="David"/>
        </w:rPr>
      </w:pPr>
      <w:r w:rsidRPr="007C2FAB">
        <w:rPr>
          <w:rFonts w:ascii="David" w:hAnsi="David" w:hint="cs"/>
          <w:rtl/>
        </w:rPr>
        <w:t>על פי האישום הראשון בגינו הורשע הנאשם ב</w:t>
      </w:r>
      <w:r>
        <w:rPr>
          <w:rFonts w:ascii="David" w:hAnsi="David" w:hint="cs"/>
          <w:rtl/>
        </w:rPr>
        <w:t xml:space="preserve">ניסיון </w:t>
      </w:r>
      <w:r w:rsidRPr="007C2FAB">
        <w:rPr>
          <w:rFonts w:ascii="David" w:hAnsi="David" w:hint="cs"/>
          <w:rtl/>
        </w:rPr>
        <w:t>תיווך בסם, במהלך שיחה</w:t>
      </w:r>
      <w:r>
        <w:rPr>
          <w:rFonts w:ascii="David" w:hAnsi="David" w:hint="cs"/>
          <w:rtl/>
        </w:rPr>
        <w:t xml:space="preserve"> שהתקיימה בחלוף זמן מאז היכרותם, 3 חודשים לאחר מכן, בחודש יולי 2019, </w:t>
      </w:r>
      <w:r w:rsidRPr="007C2FAB">
        <w:rPr>
          <w:rFonts w:ascii="David" w:hAnsi="David" w:hint="cs"/>
          <w:rtl/>
        </w:rPr>
        <w:t xml:space="preserve"> </w:t>
      </w:r>
      <w:r>
        <w:rPr>
          <w:rFonts w:ascii="David" w:hAnsi="David" w:hint="cs"/>
          <w:rtl/>
        </w:rPr>
        <w:t xml:space="preserve">כשהסוכן הגיע למסעדה בה עבד הנאשם, </w:t>
      </w:r>
      <w:r w:rsidRPr="007C2FAB">
        <w:rPr>
          <w:rFonts w:ascii="David" w:hAnsi="David" w:hint="cs"/>
          <w:rtl/>
        </w:rPr>
        <w:t xml:space="preserve">אמר הנאשם לסוכן </w:t>
      </w:r>
      <w:r>
        <w:rPr>
          <w:rFonts w:ascii="David" w:hAnsi="David" w:hint="cs"/>
          <w:rtl/>
        </w:rPr>
        <w:t xml:space="preserve">שיתן לו </w:t>
      </w:r>
      <w:r w:rsidRPr="007C2FAB">
        <w:rPr>
          <w:rFonts w:ascii="David" w:hAnsi="David" w:hint="cs"/>
          <w:rtl/>
        </w:rPr>
        <w:t>את מספר הטלפון של "הבחור שלו"</w:t>
      </w:r>
      <w:r>
        <w:rPr>
          <w:rFonts w:ascii="David" w:hAnsi="David" w:hint="cs"/>
          <w:rtl/>
        </w:rPr>
        <w:t xml:space="preserve"> ושאל אם הוא צריך קוק או </w:t>
      </w:r>
      <w:r>
        <w:rPr>
          <w:rFonts w:ascii="David" w:hAnsi="David" w:hint="cs"/>
        </w:rPr>
        <w:t>K</w:t>
      </w:r>
      <w:r>
        <w:rPr>
          <w:rFonts w:ascii="David" w:hAnsi="David" w:hint="cs"/>
          <w:rtl/>
        </w:rPr>
        <w:t xml:space="preserve">. </w:t>
      </w:r>
      <w:r w:rsidRPr="007C2FAB">
        <w:rPr>
          <w:rFonts w:ascii="David" w:hAnsi="David" w:hint="cs"/>
          <w:rtl/>
        </w:rPr>
        <w:t xml:space="preserve">כשהסוכן </w:t>
      </w:r>
      <w:r>
        <w:rPr>
          <w:rFonts w:ascii="David" w:hAnsi="David" w:hint="cs"/>
          <w:rtl/>
        </w:rPr>
        <w:t>השיב לנאשם שהוא רוצה קוק ושאל כמה זה יעלה, הנאשם</w:t>
      </w:r>
      <w:r w:rsidRPr="007C2FAB">
        <w:rPr>
          <w:rFonts w:ascii="David" w:hAnsi="David" w:hint="cs"/>
          <w:rtl/>
        </w:rPr>
        <w:t xml:space="preserve"> </w:t>
      </w:r>
      <w:r>
        <w:rPr>
          <w:rFonts w:ascii="David" w:hAnsi="David" w:hint="cs"/>
          <w:rtl/>
        </w:rPr>
        <w:t>השיב ש</w:t>
      </w:r>
      <w:r w:rsidRPr="007C2FAB">
        <w:rPr>
          <w:rFonts w:ascii="David" w:hAnsi="David" w:hint="cs"/>
          <w:rtl/>
        </w:rPr>
        <w:t xml:space="preserve">גרם של קוקאין </w:t>
      </w:r>
      <w:r>
        <w:rPr>
          <w:rFonts w:ascii="David" w:hAnsi="David" w:hint="cs"/>
          <w:rtl/>
        </w:rPr>
        <w:t xml:space="preserve">יעלה 500 ₪. </w:t>
      </w:r>
      <w:r w:rsidRPr="007C2FAB">
        <w:rPr>
          <w:rFonts w:ascii="David" w:hAnsi="David" w:hint="cs"/>
          <w:rtl/>
        </w:rPr>
        <w:t xml:space="preserve">הנאשם </w:t>
      </w:r>
      <w:r>
        <w:rPr>
          <w:rFonts w:ascii="David" w:hAnsi="David" w:hint="cs"/>
          <w:rtl/>
        </w:rPr>
        <w:t xml:space="preserve">אמר </w:t>
      </w:r>
      <w:r w:rsidRPr="007C2FAB">
        <w:rPr>
          <w:rFonts w:ascii="David" w:hAnsi="David" w:hint="cs"/>
          <w:rtl/>
        </w:rPr>
        <w:t xml:space="preserve">לסוכן שידבר קודם עם </w:t>
      </w:r>
      <w:r>
        <w:rPr>
          <w:rFonts w:ascii="David" w:hAnsi="David" w:hint="cs"/>
          <w:rtl/>
        </w:rPr>
        <w:t>"</w:t>
      </w:r>
      <w:r w:rsidRPr="007C2FAB">
        <w:rPr>
          <w:rFonts w:ascii="David" w:hAnsi="David" w:hint="cs"/>
          <w:rtl/>
        </w:rPr>
        <w:t>הבחור</w:t>
      </w:r>
      <w:r>
        <w:rPr>
          <w:rFonts w:ascii="David" w:hAnsi="David" w:hint="cs"/>
          <w:rtl/>
        </w:rPr>
        <w:t>"</w:t>
      </w:r>
      <w:r w:rsidRPr="007C2FAB">
        <w:rPr>
          <w:rFonts w:ascii="David" w:hAnsi="David" w:hint="cs"/>
          <w:rtl/>
        </w:rPr>
        <w:t xml:space="preserve"> ואז יתן לו את מספר הטלפון</w:t>
      </w:r>
      <w:r>
        <w:rPr>
          <w:rFonts w:ascii="David" w:hAnsi="David" w:hint="cs"/>
          <w:rtl/>
        </w:rPr>
        <w:t xml:space="preserve"> שלו</w:t>
      </w:r>
      <w:r w:rsidRPr="007C2FAB">
        <w:rPr>
          <w:rFonts w:ascii="David" w:hAnsi="David" w:hint="cs"/>
          <w:rtl/>
        </w:rPr>
        <w:t xml:space="preserve">. בהמשך לכך, כעבור מספר ימים, שלח הנאשם לסוכן את מספר הטלפון של "מוקי" וכתב לו "שלח לו הודעה </w:t>
      </w:r>
      <w:r w:rsidRPr="007C2FAB">
        <w:rPr>
          <w:rFonts w:ascii="David" w:hAnsi="David" w:hint="cs"/>
        </w:rPr>
        <w:t>SMS</w:t>
      </w:r>
      <w:r w:rsidRPr="007C2FAB">
        <w:rPr>
          <w:rFonts w:ascii="David" w:hAnsi="David" w:hint="cs"/>
          <w:rtl/>
        </w:rPr>
        <w:t xml:space="preserve"> שקיבלת את הטלפון ממני"</w:t>
      </w:r>
      <w:r>
        <w:rPr>
          <w:rFonts w:ascii="David" w:hAnsi="David" w:hint="cs"/>
          <w:rtl/>
        </w:rPr>
        <w:t>,</w:t>
      </w:r>
      <w:r w:rsidRPr="007C2FAB">
        <w:rPr>
          <w:rFonts w:ascii="David" w:hAnsi="David" w:hint="cs"/>
          <w:rtl/>
        </w:rPr>
        <w:t xml:space="preserve"> ולא צוינה כל מעורבות נוספת של הנאשם. אדרבא, באישום פורט שכשנפגשו פעם נוספת שאל הנאשם את הסוכן כמה קנה, וכשזה השיב לו "שלקח 5" אמר הנאשם "עכשיו אני מבין למה הוא שלח לי תודה, זה על שהבאתי אותך אליו". שיח זה מלמד כי הנאשם לא פעל "מטעם הסוכן", ו</w:t>
      </w:r>
      <w:r>
        <w:rPr>
          <w:rFonts w:ascii="David" w:hAnsi="David" w:hint="cs"/>
          <w:rtl/>
        </w:rPr>
        <w:t xml:space="preserve">אף </w:t>
      </w:r>
      <w:r w:rsidRPr="007C2FAB">
        <w:rPr>
          <w:rFonts w:ascii="David" w:hAnsi="David" w:hint="cs"/>
          <w:rtl/>
        </w:rPr>
        <w:t>לא קיבל כל תמורה</w:t>
      </w:r>
      <w:r>
        <w:rPr>
          <w:rFonts w:ascii="David" w:hAnsi="David" w:hint="cs"/>
          <w:rtl/>
        </w:rPr>
        <w:t xml:space="preserve"> ונראה כי נודע לו על הרכישה בדיעבד</w:t>
      </w:r>
      <w:r w:rsidRPr="007C2FAB">
        <w:rPr>
          <w:rFonts w:ascii="David" w:hAnsi="David" w:hint="cs"/>
          <w:rtl/>
        </w:rPr>
        <w:t xml:space="preserve">. </w:t>
      </w:r>
      <w:r>
        <w:rPr>
          <w:rFonts w:ascii="David" w:hAnsi="David" w:hint="cs"/>
          <w:rtl/>
        </w:rPr>
        <w:t xml:space="preserve">יש לתת את הדעת גם לכך שחרף היכרותם הארוכה יחסית של הנאשם והסוכן עוד ממרץ 2019 ופעילותו הרציפה מאז ועד 3.2.2020, זהו המקרה הראשון המוזכר ביחס לנאשם בקשר לתיווך (או ניסיון תיווך) בסמים. </w:t>
      </w:r>
    </w:p>
    <w:p w14:paraId="1B95C52D" w14:textId="77777777" w:rsidR="00904E62" w:rsidRPr="00A252A7" w:rsidRDefault="00904E62" w:rsidP="00904E62">
      <w:pPr>
        <w:pStyle w:val="a9"/>
        <w:ind w:left="-65"/>
        <w:jc w:val="both"/>
        <w:rPr>
          <w:rFonts w:ascii="David" w:hAnsi="David"/>
          <w:sz w:val="20"/>
          <w:szCs w:val="20"/>
        </w:rPr>
      </w:pPr>
    </w:p>
    <w:p w14:paraId="5BBA0F1C" w14:textId="77777777" w:rsidR="00904E62" w:rsidRDefault="00904E62" w:rsidP="00904E62">
      <w:pPr>
        <w:pStyle w:val="a9"/>
        <w:numPr>
          <w:ilvl w:val="0"/>
          <w:numId w:val="1"/>
        </w:numPr>
        <w:spacing w:line="360" w:lineRule="auto"/>
        <w:ind w:left="-98" w:firstLine="33"/>
        <w:jc w:val="both"/>
        <w:rPr>
          <w:rFonts w:ascii="David" w:hAnsi="David"/>
        </w:rPr>
      </w:pPr>
      <w:r>
        <w:rPr>
          <w:rFonts w:ascii="David" w:hAnsi="David" w:hint="cs"/>
          <w:rtl/>
        </w:rPr>
        <w:t xml:space="preserve">המקרה הנוסף בגינו הורשע הנאשם בתיווך לסם ארע בתחילת אוגוסט 2019 ופורט באישום השני. גם אז פגש הנאשם בסוכן כשזה הגיע למסעדה בה עבד. באותו מקרה אמר הנאשם לסוכן שיש לי בחור שמספק אמדי טוב אם הוא רוצה, והסוכן אמר שיגיד לנאשם כשיצטרך. בהמשך לכך, לאחר מספר ימים שוחחו הנאשם והסוכן בטלפון ואז אמר הסוכן לנאשם שהוא מבקש לרכוש </w:t>
      </w:r>
      <w:r>
        <w:rPr>
          <w:rFonts w:ascii="David" w:hAnsi="David" w:hint="cs"/>
        </w:rPr>
        <w:t>MDMA</w:t>
      </w:r>
      <w:r>
        <w:rPr>
          <w:rFonts w:ascii="David" w:hAnsi="David" w:hint="cs"/>
          <w:rtl/>
        </w:rPr>
        <w:t xml:space="preserve"> וביקש מהנאשם את הטלפון של "הבחור שלו". הנאשם השיב שישלח לו את הטלפון אך קודם ידבר איתו, ולאחר כרבע שעה שלח לסוכן הודעת וואטסאפ "הוא עושה לך טלפון". גם כאן לא נטען כי הנאשם קיבל כל תמורה על מעשיו. הנאשם הורשע בנוסף גם בהחזקת קנבוס לצריכה עצמית באישום השלישי.</w:t>
      </w:r>
    </w:p>
    <w:p w14:paraId="0BE2951E" w14:textId="77777777" w:rsidR="00904E62" w:rsidRPr="00380219" w:rsidRDefault="00904E62" w:rsidP="00904E62">
      <w:pPr>
        <w:pStyle w:val="a9"/>
        <w:rPr>
          <w:rFonts w:ascii="David" w:hAnsi="David"/>
          <w:sz w:val="20"/>
          <w:szCs w:val="20"/>
          <w:rtl/>
        </w:rPr>
      </w:pPr>
    </w:p>
    <w:p w14:paraId="0E7F619D" w14:textId="77777777" w:rsidR="00904E62" w:rsidRPr="00380219" w:rsidRDefault="00904E62" w:rsidP="00904E62">
      <w:pPr>
        <w:pStyle w:val="a9"/>
        <w:numPr>
          <w:ilvl w:val="0"/>
          <w:numId w:val="1"/>
        </w:numPr>
        <w:spacing w:line="360" w:lineRule="auto"/>
        <w:ind w:left="-98" w:firstLine="33"/>
        <w:jc w:val="both"/>
        <w:rPr>
          <w:rFonts w:ascii="David" w:hAnsi="David"/>
        </w:rPr>
      </w:pPr>
      <w:r w:rsidRPr="00380219">
        <w:rPr>
          <w:rFonts w:ascii="David" w:hAnsi="David" w:hint="cs"/>
          <w:rtl/>
        </w:rPr>
        <w:t>הרחבתי ופרטתי במקרה זה אודות עובדות התיווך וניסיון התיווך בסם על מנת להמחיש את ייחודיות המקרה. מהעובדות עולה כי אין המדובר במי שעסק בתיווך בסם באופן שיטתי, כי הנאשם לא היה קשור או מעורב באופן אקטיבי ומתוכנן בשרשרת הפצת הסם, כי על פי עובדות האישום הראשון נראה כי נודע לו על רכישת הסם על ידי הסוכן רק בדיעבד, ועולה כי פעל מול הסוכן בשני האישומים ממקום חברי וכמעט חד פעמי לביצוע העבירות. הנאשם אף לא קיבל כל תמורה בגין מעשיו. כמו כן, אין בכתב האישום לצד אישומי התיווך וניסיון התיווך גם אישומי סחר בסם.</w:t>
      </w:r>
    </w:p>
    <w:p w14:paraId="47D082FA" w14:textId="77777777" w:rsidR="00904E62" w:rsidRPr="00380219" w:rsidRDefault="00904E62" w:rsidP="00904E62">
      <w:pPr>
        <w:rPr>
          <w:rFonts w:ascii="Arial" w:hAnsi="Arial"/>
          <w:sz w:val="20"/>
          <w:szCs w:val="20"/>
          <w:rtl/>
        </w:rPr>
      </w:pPr>
    </w:p>
    <w:p w14:paraId="253D7A7A" w14:textId="77777777" w:rsidR="00904E62" w:rsidRDefault="00904E62" w:rsidP="00904E62">
      <w:pPr>
        <w:pStyle w:val="a9"/>
        <w:numPr>
          <w:ilvl w:val="0"/>
          <w:numId w:val="1"/>
        </w:numPr>
        <w:spacing w:line="360" w:lineRule="auto"/>
        <w:ind w:left="-98" w:firstLine="33"/>
        <w:jc w:val="both"/>
        <w:rPr>
          <w:rFonts w:ascii="David" w:hAnsi="David"/>
        </w:rPr>
      </w:pPr>
      <w:r w:rsidRPr="00911B78">
        <w:rPr>
          <w:rFonts w:ascii="David" w:hAnsi="David"/>
          <w:rtl/>
        </w:rPr>
        <w:t xml:space="preserve">בחנתי את הסדר הטיעון בין הצדדים גם מול הענישה הנוהגת המלמדת על </w:t>
      </w:r>
      <w:r>
        <w:rPr>
          <w:rFonts w:ascii="David" w:hAnsi="David"/>
          <w:rtl/>
        </w:rPr>
        <w:t xml:space="preserve">מנעד </w:t>
      </w:r>
      <w:r w:rsidRPr="00911B78">
        <w:rPr>
          <w:rFonts w:ascii="David" w:hAnsi="David"/>
          <w:rtl/>
        </w:rPr>
        <w:t>ענישה מגוון בעבירת התיווך, המושפע מנסיבות ביצוע העבירות</w:t>
      </w:r>
      <w:r>
        <w:rPr>
          <w:rFonts w:ascii="David" w:hAnsi="David" w:hint="cs"/>
          <w:rtl/>
        </w:rPr>
        <w:t>,</w:t>
      </w:r>
      <w:r w:rsidRPr="00911B78">
        <w:rPr>
          <w:rFonts w:ascii="David" w:hAnsi="David"/>
          <w:rtl/>
        </w:rPr>
        <w:t xml:space="preserve"> </w:t>
      </w:r>
      <w:r>
        <w:rPr>
          <w:rFonts w:ascii="David" w:hAnsi="David" w:hint="cs"/>
          <w:rtl/>
        </w:rPr>
        <w:t>ובכלל זאת</w:t>
      </w:r>
      <w:r w:rsidRPr="00911B78">
        <w:rPr>
          <w:rFonts w:ascii="David" w:hAnsi="David"/>
          <w:rtl/>
        </w:rPr>
        <w:t xml:space="preserve"> </w:t>
      </w:r>
      <w:r>
        <w:rPr>
          <w:rFonts w:ascii="David" w:hAnsi="David" w:hint="cs"/>
          <w:rtl/>
        </w:rPr>
        <w:t>מ</w:t>
      </w:r>
      <w:r w:rsidRPr="00911B78">
        <w:rPr>
          <w:rFonts w:ascii="David" w:hAnsi="David"/>
          <w:rtl/>
        </w:rPr>
        <w:t>התכנון והשיטתיות שבביצוע</w:t>
      </w:r>
      <w:r>
        <w:rPr>
          <w:rFonts w:ascii="David" w:hAnsi="David" w:hint="cs"/>
          <w:rtl/>
        </w:rPr>
        <w:t>ן</w:t>
      </w:r>
      <w:r w:rsidRPr="00911B78">
        <w:rPr>
          <w:rFonts w:ascii="David" w:hAnsi="David"/>
          <w:rtl/>
        </w:rPr>
        <w:t xml:space="preserve">, </w:t>
      </w:r>
      <w:r>
        <w:rPr>
          <w:rFonts w:ascii="David" w:hAnsi="David" w:hint="cs"/>
          <w:rtl/>
        </w:rPr>
        <w:t>מ</w:t>
      </w:r>
      <w:r w:rsidRPr="00911B78">
        <w:rPr>
          <w:rFonts w:ascii="David" w:hAnsi="David"/>
          <w:rtl/>
        </w:rPr>
        <w:t xml:space="preserve">מספרן ותדירותן, </w:t>
      </w:r>
      <w:r>
        <w:rPr>
          <w:rFonts w:ascii="David" w:hAnsi="David" w:hint="cs"/>
          <w:rtl/>
        </w:rPr>
        <w:t>מ</w:t>
      </w:r>
      <w:r>
        <w:rPr>
          <w:rFonts w:ascii="David" w:hAnsi="David"/>
          <w:rtl/>
        </w:rPr>
        <w:t>סוג הסם</w:t>
      </w:r>
      <w:r>
        <w:rPr>
          <w:rFonts w:ascii="David" w:hAnsi="David" w:hint="cs"/>
          <w:rtl/>
        </w:rPr>
        <w:t xml:space="preserve"> ו</w:t>
      </w:r>
      <w:r w:rsidRPr="00911B78">
        <w:rPr>
          <w:rFonts w:ascii="David" w:hAnsi="David"/>
          <w:rtl/>
        </w:rPr>
        <w:t xml:space="preserve">כמותו, </w:t>
      </w:r>
      <w:r>
        <w:rPr>
          <w:rFonts w:ascii="David" w:hAnsi="David" w:hint="cs"/>
          <w:rtl/>
        </w:rPr>
        <w:t>מ</w:t>
      </w:r>
      <w:r w:rsidRPr="00911B78">
        <w:rPr>
          <w:rFonts w:ascii="David" w:hAnsi="David"/>
          <w:rtl/>
        </w:rPr>
        <w:t xml:space="preserve">התמורה שהתקבלה על ידי הנאשם, </w:t>
      </w:r>
      <w:r>
        <w:rPr>
          <w:rFonts w:ascii="David" w:hAnsi="David" w:hint="cs"/>
          <w:rtl/>
        </w:rPr>
        <w:t>מ</w:t>
      </w:r>
      <w:r w:rsidRPr="00911B78">
        <w:rPr>
          <w:rFonts w:ascii="David" w:hAnsi="David"/>
          <w:rtl/>
        </w:rPr>
        <w:t>תרומתו לביצוע העסקה ו</w:t>
      </w:r>
      <w:r>
        <w:rPr>
          <w:rFonts w:ascii="David" w:hAnsi="David" w:hint="cs"/>
          <w:rtl/>
        </w:rPr>
        <w:t>מ</w:t>
      </w:r>
      <w:r w:rsidRPr="00911B78">
        <w:rPr>
          <w:rFonts w:ascii="David" w:hAnsi="David"/>
          <w:rtl/>
        </w:rPr>
        <w:t xml:space="preserve">הנסיבות הכוללות. כידוע, מתחם הענישה אינו עניין אריתמטי פשוט אלא מגלם הכרעה ערכית המבוססת על שיקולים שונים שמדיניות הענישה היא רק אחד מהם, כשעצם העובדה שלעולם יוכל כל צד למצוא פסקי דין התומכים בעמדתו מלמדת כי אין המדובר במדד מדויק (ע"פ </w:t>
      </w:r>
      <w:hyperlink r:id="rId29" w:history="1">
        <w:r w:rsidR="001B4AB7" w:rsidRPr="001B4AB7">
          <w:rPr>
            <w:rFonts w:ascii="David" w:hAnsi="David"/>
            <w:color w:val="0000FF"/>
            <w:u w:val="single"/>
            <w:rtl/>
          </w:rPr>
          <w:t xml:space="preserve">3877/13 </w:t>
        </w:r>
      </w:hyperlink>
      <w:r w:rsidRPr="00911B78">
        <w:rPr>
          <w:rFonts w:ascii="David" w:hAnsi="David"/>
          <w:rtl/>
        </w:rPr>
        <w:t xml:space="preserve"> </w:t>
      </w:r>
      <w:r w:rsidRPr="00911B78">
        <w:rPr>
          <w:rFonts w:ascii="David" w:hAnsi="David"/>
          <w:b/>
          <w:bCs/>
          <w:rtl/>
        </w:rPr>
        <w:t>ג'אבלי נ' מדינת ישראל</w:t>
      </w:r>
      <w:r w:rsidRPr="00911B78">
        <w:rPr>
          <w:rFonts w:ascii="David" w:hAnsi="David"/>
          <w:rtl/>
        </w:rPr>
        <w:t xml:space="preserve"> (17.11.2016), </w:t>
      </w:r>
      <w:hyperlink r:id="rId30" w:history="1">
        <w:r w:rsidR="00F64BAB" w:rsidRPr="00F64BAB">
          <w:rPr>
            <w:rFonts w:ascii="David" w:hAnsi="David"/>
            <w:color w:val="0000FF"/>
            <w:u w:val="single"/>
            <w:rtl/>
          </w:rPr>
          <w:t>עפ"ג (ת"א) 12063-04-15</w:t>
        </w:r>
      </w:hyperlink>
      <w:r w:rsidRPr="00911B78">
        <w:rPr>
          <w:rFonts w:ascii="David" w:hAnsi="David"/>
          <w:rtl/>
        </w:rPr>
        <w:t xml:space="preserve"> </w:t>
      </w:r>
      <w:r w:rsidRPr="00911B78">
        <w:rPr>
          <w:rFonts w:ascii="David" w:hAnsi="David"/>
          <w:b/>
          <w:bCs/>
          <w:rtl/>
        </w:rPr>
        <w:t xml:space="preserve">בראונר נ' מדינת ישראל </w:t>
      </w:r>
      <w:r w:rsidRPr="00911B78">
        <w:rPr>
          <w:rFonts w:ascii="David" w:hAnsi="David"/>
          <w:rtl/>
        </w:rPr>
        <w:t xml:space="preserve">(20.07.2015)). </w:t>
      </w:r>
    </w:p>
    <w:p w14:paraId="42906300" w14:textId="77777777" w:rsidR="00904E62" w:rsidRPr="0035056B" w:rsidRDefault="00904E62" w:rsidP="00904E62">
      <w:pPr>
        <w:pStyle w:val="a9"/>
        <w:rPr>
          <w:rFonts w:ascii="Arial" w:hAnsi="Arial"/>
          <w:sz w:val="20"/>
          <w:szCs w:val="20"/>
          <w:rtl/>
        </w:rPr>
      </w:pPr>
    </w:p>
    <w:p w14:paraId="3832D82F" w14:textId="77777777" w:rsidR="00904E62" w:rsidRDefault="00904E62" w:rsidP="00904E62">
      <w:pPr>
        <w:pStyle w:val="a9"/>
        <w:numPr>
          <w:ilvl w:val="0"/>
          <w:numId w:val="1"/>
        </w:numPr>
        <w:spacing w:line="360" w:lineRule="auto"/>
        <w:ind w:left="-98" w:firstLine="33"/>
        <w:jc w:val="both"/>
        <w:rPr>
          <w:rFonts w:ascii="David" w:hAnsi="David"/>
        </w:rPr>
      </w:pPr>
      <w:r w:rsidRPr="00911B78">
        <w:rPr>
          <w:rFonts w:ascii="Arial" w:hAnsi="Arial" w:hint="cs"/>
          <w:rtl/>
        </w:rPr>
        <w:t xml:space="preserve">עיון בפסיקה מלמד שקיימים מקרים רבים בהם קובע בית המשפט בתחתית מתחם הענישה עונש מאסר לריצוי בעבודות שירות לתקופות שונות, בפרט כשמדובר בתיווך בתמורה, במי שנוהג באופן די שיטתי בביצוע העבירות ועולה מעורבותו האקטיבית </w:t>
      </w:r>
      <w:r>
        <w:rPr>
          <w:rFonts w:ascii="David" w:hAnsi="David" w:hint="cs"/>
          <w:rtl/>
        </w:rPr>
        <w:t xml:space="preserve">בביצוען. </w:t>
      </w:r>
      <w:r w:rsidRPr="00911B78">
        <w:rPr>
          <w:rFonts w:ascii="David" w:hAnsi="David" w:hint="cs"/>
          <w:rtl/>
        </w:rPr>
        <w:t xml:space="preserve">ראו לדוגמא כפי שהפנתה המאשימה </w:t>
      </w:r>
      <w:hyperlink r:id="rId31" w:history="1">
        <w:r w:rsidR="00F64BAB" w:rsidRPr="00F64BAB">
          <w:rPr>
            <w:rFonts w:ascii="David" w:hAnsi="David"/>
            <w:color w:val="0000FF"/>
            <w:u w:val="single"/>
            <w:rtl/>
          </w:rPr>
          <w:t>ת"פ (ת"א) 28496-07-14</w:t>
        </w:r>
      </w:hyperlink>
      <w:r w:rsidRPr="00911B78">
        <w:rPr>
          <w:rFonts w:ascii="David" w:hAnsi="David" w:hint="cs"/>
          <w:rtl/>
        </w:rPr>
        <w:t xml:space="preserve"> </w:t>
      </w:r>
      <w:r w:rsidRPr="00911B78">
        <w:rPr>
          <w:rFonts w:ascii="David" w:hAnsi="David" w:hint="cs"/>
          <w:b/>
          <w:bCs/>
          <w:rtl/>
        </w:rPr>
        <w:t>מדינת ישראל נ' טלמור</w:t>
      </w:r>
      <w:r w:rsidRPr="00911B78">
        <w:rPr>
          <w:rFonts w:ascii="David" w:hAnsi="David" w:hint="cs"/>
          <w:rtl/>
        </w:rPr>
        <w:t xml:space="preserve"> (15.2.2016)</w:t>
      </w:r>
      <w:r>
        <w:rPr>
          <w:rFonts w:ascii="David" w:hAnsi="David" w:hint="cs"/>
          <w:rtl/>
        </w:rPr>
        <w:t xml:space="preserve"> שם נקבע מתחם ענישה בגין כל אירוע תיווך בין מאסר לתקופה קצרה שיכול ותרוצה בעבודות שירות ותקרתו 12 חודשי מאסר. עונשו הכולל של הנאשם נגזר ל- 6 חודשי מאסר בעבודות שירות וענישה נלווית. בנוסף הוטל צו מבחן</w:t>
      </w:r>
      <w:r w:rsidRPr="00911B78">
        <w:rPr>
          <w:rFonts w:ascii="David" w:hAnsi="David" w:hint="cs"/>
          <w:rtl/>
        </w:rPr>
        <w:t>. באותו המקרה דובר במי שתיווך בסם מסוג קוקאין ב-5 מקרים שונים וקיבל לידי</w:t>
      </w:r>
      <w:r>
        <w:rPr>
          <w:rFonts w:ascii="David" w:hAnsi="David" w:hint="cs"/>
          <w:rtl/>
        </w:rPr>
        <w:t>ו</w:t>
      </w:r>
      <w:r w:rsidRPr="00911B78">
        <w:rPr>
          <w:rFonts w:ascii="David" w:hAnsi="David" w:hint="cs"/>
          <w:rtl/>
        </w:rPr>
        <w:t xml:space="preserve"> תמורה משמעותית (הגם שבגזר הדין צוין כי לא הרוויח דבר ממעשיו הפסולים). </w:t>
      </w:r>
    </w:p>
    <w:p w14:paraId="119C4D1B" w14:textId="77777777" w:rsidR="00904E62" w:rsidRPr="0035056B" w:rsidRDefault="00904E62" w:rsidP="00904E62">
      <w:pPr>
        <w:pStyle w:val="a9"/>
        <w:rPr>
          <w:rFonts w:ascii="David" w:hAnsi="David"/>
          <w:rtl/>
        </w:rPr>
      </w:pPr>
    </w:p>
    <w:p w14:paraId="3446C9F8" w14:textId="77777777" w:rsidR="00904E62" w:rsidRPr="0035056B" w:rsidRDefault="00904E62" w:rsidP="00904E62">
      <w:pPr>
        <w:pStyle w:val="a9"/>
        <w:numPr>
          <w:ilvl w:val="0"/>
          <w:numId w:val="1"/>
        </w:numPr>
        <w:spacing w:line="360" w:lineRule="auto"/>
        <w:ind w:left="-98" w:firstLine="33"/>
        <w:jc w:val="both"/>
        <w:rPr>
          <w:rFonts w:ascii="David" w:hAnsi="David"/>
        </w:rPr>
      </w:pPr>
      <w:r w:rsidRPr="0035056B">
        <w:rPr>
          <w:rFonts w:ascii="David" w:hAnsi="David" w:hint="cs"/>
          <w:rtl/>
        </w:rPr>
        <w:t xml:space="preserve">לצד זאת, קיימים מקרים מתאימים בהם </w:t>
      </w:r>
      <w:r>
        <w:rPr>
          <w:rFonts w:ascii="David" w:hAnsi="David" w:hint="cs"/>
          <w:rtl/>
        </w:rPr>
        <w:t xml:space="preserve">בגין </w:t>
      </w:r>
      <w:r w:rsidRPr="0035056B">
        <w:rPr>
          <w:rFonts w:ascii="David" w:hAnsi="David" w:hint="cs"/>
          <w:rtl/>
        </w:rPr>
        <w:t>מעשים דומים לאלה שביצע הנאשם נקבעת תחתית מתחם הענישה על מאסר על תנאי. כך לדוגמא ב</w:t>
      </w:r>
      <w:hyperlink r:id="rId32" w:history="1">
        <w:r w:rsidR="00F64BAB" w:rsidRPr="00F64BAB">
          <w:rPr>
            <w:rFonts w:ascii="David" w:hAnsi="David"/>
            <w:color w:val="0000FF"/>
            <w:u w:val="single"/>
            <w:rtl/>
          </w:rPr>
          <w:t>ת"פ (ב"ש) 47378-06-15</w:t>
        </w:r>
      </w:hyperlink>
      <w:r w:rsidRPr="0035056B">
        <w:rPr>
          <w:rFonts w:ascii="David" w:hAnsi="David" w:hint="cs"/>
          <w:rtl/>
        </w:rPr>
        <w:t xml:space="preserve"> </w:t>
      </w:r>
      <w:r w:rsidRPr="0035056B">
        <w:rPr>
          <w:rFonts w:ascii="David" w:hAnsi="David" w:hint="cs"/>
          <w:b/>
          <w:bCs/>
          <w:rtl/>
        </w:rPr>
        <w:t>מדינת ישראל נ' רובינוב</w:t>
      </w:r>
      <w:r w:rsidRPr="0035056B">
        <w:rPr>
          <w:rFonts w:ascii="David" w:hAnsi="David" w:hint="cs"/>
          <w:rtl/>
        </w:rPr>
        <w:t xml:space="preserve"> (12.1.2016), לגבי האישום הראשון בו הואשם הנאשם</w:t>
      </w:r>
      <w:r>
        <w:rPr>
          <w:rFonts w:ascii="David" w:hAnsi="David" w:hint="cs"/>
          <w:rtl/>
        </w:rPr>
        <w:t>,</w:t>
      </w:r>
      <w:r w:rsidRPr="0035056B">
        <w:rPr>
          <w:rFonts w:ascii="David" w:hAnsi="David" w:hint="cs"/>
          <w:rtl/>
        </w:rPr>
        <w:t xml:space="preserve"> </w:t>
      </w:r>
      <w:r>
        <w:rPr>
          <w:rFonts w:ascii="David" w:hAnsi="David" w:hint="cs"/>
          <w:rtl/>
        </w:rPr>
        <w:t xml:space="preserve">שהיה בן 18 בעת ביצוע העבירות, </w:t>
      </w:r>
      <w:r w:rsidRPr="0035056B">
        <w:rPr>
          <w:rFonts w:ascii="David" w:hAnsi="David" w:hint="cs"/>
          <w:rtl/>
        </w:rPr>
        <w:t>בקשירת קשר לפשע בגין "חיבור" בין הסוכן המשטרתי לסוחר הסמים</w:t>
      </w:r>
      <w:r>
        <w:rPr>
          <w:rFonts w:ascii="David" w:hAnsi="David" w:hint="cs"/>
          <w:rtl/>
        </w:rPr>
        <w:t>,</w:t>
      </w:r>
      <w:r w:rsidRPr="0035056B">
        <w:rPr>
          <w:rFonts w:ascii="David" w:hAnsi="David" w:hint="cs"/>
          <w:rtl/>
        </w:rPr>
        <w:t xml:space="preserve"> נקבע מתחם ענישה שתחתיתו מאסר על תנאי. באותו מקרה הואשם הנאשם גם בשני אישומי תיווך בחשיש, בית המשפט ציין כי "חלקו הפיזי" של הנאשם בביצוע העבירות הלך וגדל, הגם שהסוכן הוא זה שפנה לנאשם והנאשם אינו בגדר מי ש</w:t>
      </w:r>
      <w:r>
        <w:rPr>
          <w:rFonts w:ascii="David" w:hAnsi="David" w:hint="cs"/>
          <w:rtl/>
        </w:rPr>
        <w:t>מציע ו</w:t>
      </w:r>
      <w:r w:rsidRPr="0035056B">
        <w:rPr>
          <w:rFonts w:ascii="David" w:hAnsi="David" w:hint="cs"/>
          <w:rtl/>
        </w:rPr>
        <w:t xml:space="preserve">מתהדר במרכולתו. בגין אישומי התיווך נקבע מתחם ענישה המתחיל ממאסר קצר ועד 12 חודשי מאסר. </w:t>
      </w:r>
    </w:p>
    <w:p w14:paraId="1ABEFBAC" w14:textId="77777777" w:rsidR="00904E62" w:rsidRPr="00EB147D" w:rsidRDefault="00904E62" w:rsidP="00904E62">
      <w:pPr>
        <w:pStyle w:val="a9"/>
        <w:rPr>
          <w:rFonts w:ascii="David" w:hAnsi="David"/>
          <w:sz w:val="20"/>
          <w:szCs w:val="20"/>
          <w:rtl/>
        </w:rPr>
      </w:pPr>
    </w:p>
    <w:p w14:paraId="2BC9C163" w14:textId="77777777" w:rsidR="00904E62" w:rsidRDefault="00904E62" w:rsidP="00904E62">
      <w:pPr>
        <w:pStyle w:val="a9"/>
        <w:spacing w:line="360" w:lineRule="auto"/>
        <w:ind w:left="-65" w:firstLine="785"/>
        <w:jc w:val="both"/>
        <w:rPr>
          <w:rFonts w:ascii="David" w:hAnsi="David"/>
          <w:rtl/>
        </w:rPr>
      </w:pPr>
      <w:r>
        <w:rPr>
          <w:rFonts w:ascii="David" w:hAnsi="David" w:hint="cs"/>
          <w:rtl/>
        </w:rPr>
        <w:t xml:space="preserve">ראו גם </w:t>
      </w:r>
      <w:hyperlink r:id="rId33" w:history="1">
        <w:r w:rsidR="00F64BAB" w:rsidRPr="00F64BAB">
          <w:rPr>
            <w:rFonts w:ascii="David" w:hAnsi="David"/>
            <w:color w:val="0000FF"/>
            <w:u w:val="single"/>
            <w:rtl/>
          </w:rPr>
          <w:t>ת"פ (רח') 13289-03-15</w:t>
        </w:r>
      </w:hyperlink>
      <w:r>
        <w:rPr>
          <w:rFonts w:ascii="David" w:hAnsi="David" w:hint="cs"/>
          <w:rtl/>
        </w:rPr>
        <w:t xml:space="preserve"> </w:t>
      </w:r>
      <w:r w:rsidRPr="00821DB7">
        <w:rPr>
          <w:rFonts w:ascii="David" w:hAnsi="David" w:hint="cs"/>
          <w:b/>
          <w:bCs/>
          <w:rtl/>
        </w:rPr>
        <w:t>מדינת ישראל נ' רעד</w:t>
      </w:r>
      <w:r>
        <w:rPr>
          <w:rFonts w:ascii="David" w:hAnsi="David" w:hint="cs"/>
          <w:rtl/>
        </w:rPr>
        <w:t xml:space="preserve"> (30.11.2015) שם דובר בנאשם אשר הורשע באישום אחד בעבירת תיווך ובשני בעבירת סחר בקנבוס במספר הזדמנויות. בגין עבירת התיווך נקבע מתחם ענישה שתחתיתו מאסר על תנאי. מבלי להתעלם מכך שבאותו מקרה דובר בתיווך בקנבוס ולא בסמים קשים כמו בעניינו, מעורבותו האקטיבית של הנאשם במעשי העבירה הייתה משמעותית הרבה יותר. </w:t>
      </w:r>
    </w:p>
    <w:p w14:paraId="760CCCE0" w14:textId="77777777" w:rsidR="00904E62" w:rsidRPr="00EB147D" w:rsidRDefault="00904E62" w:rsidP="00904E62">
      <w:pPr>
        <w:pStyle w:val="a9"/>
        <w:ind w:left="-65" w:firstLine="785"/>
        <w:jc w:val="both"/>
        <w:rPr>
          <w:rFonts w:ascii="David" w:hAnsi="David"/>
          <w:sz w:val="20"/>
          <w:szCs w:val="20"/>
          <w:rtl/>
        </w:rPr>
      </w:pPr>
    </w:p>
    <w:p w14:paraId="641CAC60" w14:textId="77777777" w:rsidR="00904E62" w:rsidRDefault="00904E62" w:rsidP="00904E62">
      <w:pPr>
        <w:pStyle w:val="a9"/>
        <w:spacing w:line="360" w:lineRule="auto"/>
        <w:ind w:left="-65" w:firstLine="785"/>
        <w:jc w:val="both"/>
        <w:rPr>
          <w:rFonts w:ascii="David" w:hAnsi="David"/>
          <w:rtl/>
        </w:rPr>
      </w:pPr>
      <w:r>
        <w:rPr>
          <w:rFonts w:ascii="David" w:hAnsi="David" w:hint="cs"/>
          <w:rtl/>
        </w:rPr>
        <w:t xml:space="preserve">כן ראו </w:t>
      </w:r>
      <w:hyperlink r:id="rId34" w:history="1">
        <w:r w:rsidR="00F64BAB" w:rsidRPr="00F64BAB">
          <w:rPr>
            <w:rFonts w:ascii="David" w:hAnsi="David"/>
            <w:color w:val="0000FF"/>
            <w:u w:val="single"/>
            <w:rtl/>
          </w:rPr>
          <w:t>ת"פ  (ת"א) 33985-01-13</w:t>
        </w:r>
      </w:hyperlink>
      <w:r>
        <w:rPr>
          <w:rFonts w:ascii="David" w:hAnsi="David" w:hint="cs"/>
          <w:rtl/>
        </w:rPr>
        <w:t xml:space="preserve"> </w:t>
      </w:r>
      <w:r w:rsidRPr="00821DB7">
        <w:rPr>
          <w:rFonts w:ascii="David" w:hAnsi="David" w:hint="cs"/>
          <w:b/>
          <w:bCs/>
          <w:rtl/>
        </w:rPr>
        <w:t>מדינת ישראל נ' שפרנסקי</w:t>
      </w:r>
      <w:r>
        <w:rPr>
          <w:rFonts w:ascii="David" w:hAnsi="David" w:hint="cs"/>
          <w:rtl/>
        </w:rPr>
        <w:t xml:space="preserve"> (29.7.2013) שם דובר בביצוע 4 עבירות של תיווך בהרואין וקוקאין. הנאשמת קיבלה תמורת שניים ממעשי התיווך שביצעה עשרות שקלים.  באותו מקרה נקבעה תחתית מתחם הענישה על מאסר על תנאי בגין עבירות התיווך בשל נסיבות מקלות בביצוע העבירות, היותה מכורה לסמים והתנהלות המשטרה, והמדובר בנסיבות שונות מעניינו.</w:t>
      </w:r>
    </w:p>
    <w:p w14:paraId="3B0DDA95" w14:textId="77777777" w:rsidR="00904E62" w:rsidRPr="00380219" w:rsidRDefault="00904E62" w:rsidP="00904E62">
      <w:pPr>
        <w:jc w:val="both"/>
        <w:rPr>
          <w:rFonts w:ascii="David" w:hAnsi="David"/>
          <w:sz w:val="20"/>
          <w:szCs w:val="20"/>
        </w:rPr>
      </w:pPr>
    </w:p>
    <w:p w14:paraId="1D875BB3" w14:textId="77777777" w:rsidR="00904E62" w:rsidRDefault="00904E62" w:rsidP="00904E62">
      <w:pPr>
        <w:pStyle w:val="a9"/>
        <w:numPr>
          <w:ilvl w:val="0"/>
          <w:numId w:val="1"/>
        </w:numPr>
        <w:spacing w:line="360" w:lineRule="auto"/>
        <w:ind w:left="-98" w:firstLine="33"/>
        <w:jc w:val="both"/>
        <w:rPr>
          <w:rFonts w:ascii="David" w:hAnsi="David"/>
        </w:rPr>
      </w:pPr>
      <w:r>
        <w:rPr>
          <w:rFonts w:ascii="David" w:hAnsi="David" w:hint="cs"/>
          <w:rtl/>
        </w:rPr>
        <w:t>בחנתי את כלל המפורט לעיל</w:t>
      </w:r>
      <w:r w:rsidRPr="00EB147D">
        <w:rPr>
          <w:rFonts w:ascii="David" w:hAnsi="David" w:hint="cs"/>
          <w:rtl/>
        </w:rPr>
        <w:t xml:space="preserve">, מחד </w:t>
      </w:r>
      <w:r>
        <w:rPr>
          <w:rFonts w:ascii="David" w:hAnsi="David" w:hint="cs"/>
          <w:rtl/>
        </w:rPr>
        <w:t xml:space="preserve">את </w:t>
      </w:r>
      <w:r w:rsidRPr="00EB147D">
        <w:rPr>
          <w:rFonts w:ascii="David" w:hAnsi="David" w:hint="cs"/>
          <w:rtl/>
        </w:rPr>
        <w:t xml:space="preserve">מידת הפגיעה הנמוכה בערכים המוגנים </w:t>
      </w:r>
      <w:r>
        <w:rPr>
          <w:rFonts w:ascii="David" w:hAnsi="David" w:hint="cs"/>
          <w:rtl/>
        </w:rPr>
        <w:t>ממעשי הנאשם,</w:t>
      </w:r>
      <w:r w:rsidRPr="00EB147D">
        <w:rPr>
          <w:rFonts w:ascii="David" w:hAnsi="David" w:hint="cs"/>
          <w:rtl/>
        </w:rPr>
        <w:t xml:space="preserve"> ומאידך </w:t>
      </w:r>
      <w:r>
        <w:rPr>
          <w:rFonts w:ascii="David" w:hAnsi="David" w:hint="cs"/>
          <w:rtl/>
        </w:rPr>
        <w:t xml:space="preserve">את </w:t>
      </w:r>
      <w:r w:rsidRPr="00EB147D">
        <w:rPr>
          <w:rFonts w:ascii="David" w:hAnsi="David" w:hint="cs"/>
          <w:rtl/>
        </w:rPr>
        <w:t>סוג הסמים</w:t>
      </w:r>
      <w:r>
        <w:rPr>
          <w:rFonts w:ascii="David" w:hAnsi="David" w:hint="cs"/>
          <w:rtl/>
        </w:rPr>
        <w:t>,</w:t>
      </w:r>
      <w:r w:rsidRPr="00EB147D">
        <w:rPr>
          <w:rFonts w:ascii="David" w:hAnsi="David" w:hint="cs"/>
          <w:rtl/>
        </w:rPr>
        <w:t xml:space="preserve"> ו</w:t>
      </w:r>
      <w:r>
        <w:rPr>
          <w:rFonts w:ascii="David" w:hAnsi="David" w:hint="cs"/>
          <w:rtl/>
        </w:rPr>
        <w:t xml:space="preserve">את </w:t>
      </w:r>
      <w:r w:rsidRPr="00EB147D">
        <w:rPr>
          <w:rFonts w:ascii="David" w:hAnsi="David" w:hint="cs"/>
          <w:rtl/>
        </w:rPr>
        <w:t>העובדה שהמדובר בשני מעשים (תיווך לסמים וניסיון תיווך</w:t>
      </w:r>
      <w:r>
        <w:rPr>
          <w:rFonts w:ascii="David" w:hAnsi="David" w:hint="cs"/>
          <w:rtl/>
        </w:rPr>
        <w:t>)</w:t>
      </w:r>
      <w:r w:rsidRPr="00EB147D">
        <w:rPr>
          <w:rFonts w:ascii="David" w:hAnsi="David" w:hint="cs"/>
          <w:rtl/>
        </w:rPr>
        <w:t xml:space="preserve"> ואף </w:t>
      </w:r>
      <w:r>
        <w:rPr>
          <w:rFonts w:ascii="David" w:hAnsi="David" w:hint="cs"/>
          <w:rtl/>
        </w:rPr>
        <w:t>ב</w:t>
      </w:r>
      <w:r w:rsidRPr="00EB147D">
        <w:rPr>
          <w:rFonts w:ascii="David" w:hAnsi="David" w:hint="cs"/>
          <w:rtl/>
        </w:rPr>
        <w:t xml:space="preserve">החזקת קנבוס לצריכה </w:t>
      </w:r>
      <w:r>
        <w:rPr>
          <w:rFonts w:ascii="David" w:hAnsi="David" w:hint="cs"/>
          <w:rtl/>
        </w:rPr>
        <w:t xml:space="preserve">עצמית (הגם שלא יכול להיות חולק שתחתית מתחם הענישה בעבירה זו מאסר על תנאי). משאלה הם פני הדברים, </w:t>
      </w:r>
      <w:r w:rsidRPr="00EB147D">
        <w:rPr>
          <w:rFonts w:ascii="David" w:hAnsi="David" w:hint="cs"/>
          <w:rtl/>
        </w:rPr>
        <w:t xml:space="preserve">מסקנתי היא כי לא ניתן להסתפק במקרה זה בתחתית מתחם ענישה </w:t>
      </w:r>
      <w:r>
        <w:rPr>
          <w:rFonts w:ascii="David" w:hAnsi="David" w:hint="cs"/>
          <w:rtl/>
        </w:rPr>
        <w:t>כולל בדמות</w:t>
      </w:r>
      <w:r w:rsidRPr="00EB147D">
        <w:rPr>
          <w:rFonts w:ascii="David" w:hAnsi="David" w:hint="cs"/>
          <w:rtl/>
        </w:rPr>
        <w:t xml:space="preserve"> מאסר על תנאי בלבד. יחד עם זאת, נראה כי עונש מאסר </w:t>
      </w:r>
      <w:r>
        <w:rPr>
          <w:rFonts w:ascii="David" w:hAnsi="David" w:hint="cs"/>
          <w:rtl/>
        </w:rPr>
        <w:t>בתחתית מתחם הענישה, ולו כזה אותו ניתן לרצות בעבודות שירות</w:t>
      </w:r>
      <w:r w:rsidRPr="00EB147D">
        <w:rPr>
          <w:rFonts w:ascii="David" w:hAnsi="David" w:hint="cs"/>
          <w:rtl/>
        </w:rPr>
        <w:t xml:space="preserve"> </w:t>
      </w:r>
      <w:r>
        <w:rPr>
          <w:rFonts w:ascii="David" w:hAnsi="David" w:hint="cs"/>
          <w:rtl/>
        </w:rPr>
        <w:t xml:space="preserve">גם </w:t>
      </w:r>
      <w:r w:rsidRPr="00EB147D">
        <w:rPr>
          <w:rFonts w:ascii="David" w:hAnsi="David" w:hint="cs"/>
          <w:rtl/>
        </w:rPr>
        <w:t xml:space="preserve">לתקופה קצרה, </w:t>
      </w:r>
      <w:r>
        <w:rPr>
          <w:rFonts w:ascii="David" w:hAnsi="David" w:hint="cs"/>
          <w:rtl/>
        </w:rPr>
        <w:t xml:space="preserve">הוא </w:t>
      </w:r>
      <w:r w:rsidRPr="00EB147D">
        <w:rPr>
          <w:rFonts w:ascii="David" w:hAnsi="David" w:hint="cs"/>
          <w:rtl/>
        </w:rPr>
        <w:t>חמור מידי בנסיבות</w:t>
      </w:r>
      <w:r>
        <w:rPr>
          <w:rFonts w:ascii="David" w:hAnsi="David" w:hint="cs"/>
          <w:rtl/>
        </w:rPr>
        <w:t>,</w:t>
      </w:r>
      <w:r w:rsidRPr="00EB147D">
        <w:rPr>
          <w:rFonts w:ascii="David" w:hAnsi="David" w:hint="cs"/>
          <w:rtl/>
        </w:rPr>
        <w:t xml:space="preserve"> בהן </w:t>
      </w:r>
      <w:r>
        <w:rPr>
          <w:rFonts w:ascii="David" w:hAnsi="David" w:hint="cs"/>
          <w:rtl/>
        </w:rPr>
        <w:t xml:space="preserve">כאמור </w:t>
      </w:r>
      <w:r w:rsidRPr="00EB147D">
        <w:rPr>
          <w:rFonts w:ascii="David" w:hAnsi="David" w:hint="cs"/>
          <w:rtl/>
        </w:rPr>
        <w:t xml:space="preserve">מעורבות הנאשם בעבירות הייתה כמעט מינורית. </w:t>
      </w:r>
      <w:r>
        <w:rPr>
          <w:rFonts w:ascii="David" w:hAnsi="David" w:hint="cs"/>
          <w:rtl/>
        </w:rPr>
        <w:t xml:space="preserve">זאת </w:t>
      </w:r>
      <w:r w:rsidRPr="00EB147D">
        <w:rPr>
          <w:rFonts w:ascii="David" w:hAnsi="David" w:hint="cs"/>
          <w:rtl/>
        </w:rPr>
        <w:t xml:space="preserve">גם </w:t>
      </w:r>
      <w:r>
        <w:rPr>
          <w:rFonts w:ascii="David" w:hAnsi="David" w:hint="cs"/>
          <w:rtl/>
        </w:rPr>
        <w:t>אם עונש מאסר קצר אותו ניתן לרצות בעבודות שירות</w:t>
      </w:r>
      <w:r w:rsidRPr="00EB147D">
        <w:rPr>
          <w:rFonts w:ascii="David" w:hAnsi="David" w:hint="cs"/>
          <w:rtl/>
        </w:rPr>
        <w:t xml:space="preserve"> </w:t>
      </w:r>
      <w:r>
        <w:rPr>
          <w:rFonts w:ascii="David" w:hAnsi="David" w:hint="cs"/>
          <w:rtl/>
        </w:rPr>
        <w:t>הוא ראוי בתחתית מתחם הענישה בעבירות אלה במקרים רבים.</w:t>
      </w:r>
      <w:r w:rsidRPr="00EB147D">
        <w:rPr>
          <w:rFonts w:ascii="David" w:hAnsi="David" w:hint="cs"/>
          <w:rtl/>
        </w:rPr>
        <w:t xml:space="preserve"> </w:t>
      </w:r>
      <w:r>
        <w:rPr>
          <w:rFonts w:ascii="David" w:hAnsi="David" w:hint="cs"/>
          <w:rtl/>
        </w:rPr>
        <w:t xml:space="preserve">על כן, במקרה מיוחד זה תקבע </w:t>
      </w:r>
      <w:r w:rsidRPr="00EB147D">
        <w:rPr>
          <w:rFonts w:ascii="David" w:hAnsi="David" w:hint="cs"/>
          <w:rtl/>
        </w:rPr>
        <w:t xml:space="preserve">תחתית מתחם הענישה </w:t>
      </w:r>
      <w:r>
        <w:rPr>
          <w:rFonts w:ascii="David" w:hAnsi="David" w:hint="cs"/>
          <w:rtl/>
        </w:rPr>
        <w:t>על עונש של</w:t>
      </w:r>
      <w:r w:rsidRPr="00EB147D">
        <w:rPr>
          <w:rFonts w:ascii="David" w:hAnsi="David" w:hint="cs"/>
          <w:rtl/>
        </w:rPr>
        <w:t xml:space="preserve"> מאסר על תנאי לצד של"צ נרחב. תקרת מתחם הענישה תקבע על </w:t>
      </w:r>
      <w:r>
        <w:rPr>
          <w:rFonts w:ascii="David" w:hAnsi="David" w:hint="cs"/>
          <w:rtl/>
        </w:rPr>
        <w:t>10 חודשי מאסר</w:t>
      </w:r>
      <w:r w:rsidRPr="00EB147D">
        <w:rPr>
          <w:rFonts w:ascii="David" w:hAnsi="David" w:hint="cs"/>
          <w:rtl/>
        </w:rPr>
        <w:t xml:space="preserve">. בנסיבות אלה, ומשמתחם העונש ההולם מצוי בגדרי ההסדר הדיוני בין הצדדים, אני מוצאת את ההסדר מאוזן וראוי. </w:t>
      </w:r>
    </w:p>
    <w:p w14:paraId="6CD5A622" w14:textId="77777777" w:rsidR="00904E62" w:rsidRPr="00E22741" w:rsidRDefault="00904E62" w:rsidP="00904E62">
      <w:pPr>
        <w:pStyle w:val="a9"/>
        <w:rPr>
          <w:b/>
          <w:bCs/>
          <w:sz w:val="20"/>
          <w:szCs w:val="20"/>
          <w:rtl/>
        </w:rPr>
      </w:pPr>
    </w:p>
    <w:p w14:paraId="5B536AD3" w14:textId="77777777" w:rsidR="00904E62" w:rsidRPr="008B70FE" w:rsidRDefault="00904E62" w:rsidP="00904E62">
      <w:pPr>
        <w:pStyle w:val="a9"/>
        <w:numPr>
          <w:ilvl w:val="0"/>
          <w:numId w:val="1"/>
        </w:numPr>
        <w:spacing w:line="360" w:lineRule="auto"/>
        <w:ind w:left="-98" w:firstLine="33"/>
        <w:jc w:val="both"/>
        <w:rPr>
          <w:sz w:val="20"/>
          <w:szCs w:val="20"/>
        </w:rPr>
      </w:pPr>
      <w:r w:rsidRPr="008B70FE">
        <w:rPr>
          <w:rFonts w:hint="cs"/>
          <w:b/>
          <w:bCs/>
          <w:rtl/>
        </w:rPr>
        <w:t>אשר לעונש שייגזר על הנאשם</w:t>
      </w:r>
      <w:r>
        <w:rPr>
          <w:rFonts w:hint="cs"/>
          <w:rtl/>
        </w:rPr>
        <w:t>, אין חולק, וגם לדעת המאשימה, נכון למקם את עונשו של הנאשם בתחתית מתחם הענישה בנסיבותיו. הנאשם הוא יליד 1993, צעיר בן 28 בתחילת דרכו, נעדר עבר פלילי, וזו לו הסתבכותו היחידה בפלילים. הנאשם הודה ונטל אחריות למפורט בכתב האישום לאחר תיקונו וזאת חרף טענות הגנה מן הצדק שהיו בפיו. הנאשם שירת כלוחם בצה"ל, מתנדב בקהילה, לומד פסיכודרמה ועובד כיום כמנהל משמרת במסעדה.</w:t>
      </w:r>
      <w:r w:rsidRPr="007921EF">
        <w:rPr>
          <w:rFonts w:hint="cs"/>
          <w:rtl/>
        </w:rPr>
        <w:t xml:space="preserve"> </w:t>
      </w:r>
      <w:r>
        <w:rPr>
          <w:rFonts w:hint="cs"/>
          <w:rtl/>
        </w:rPr>
        <w:t>בעת קביעת עונשו של הנאשם יש לתת את הדעת גם לכך ששהה משך תקופה לא מבוטלת, עד חודש יולי 2021,  תחת תנאים מגבילים שהוקלו מעת לעת.</w:t>
      </w:r>
    </w:p>
    <w:p w14:paraId="2A35FFE3" w14:textId="77777777" w:rsidR="00904E62" w:rsidRPr="008B70FE" w:rsidRDefault="00904E62" w:rsidP="00904E62">
      <w:pPr>
        <w:jc w:val="both"/>
        <w:rPr>
          <w:sz w:val="20"/>
          <w:szCs w:val="20"/>
          <w:rtl/>
        </w:rPr>
      </w:pPr>
    </w:p>
    <w:p w14:paraId="74A67C22" w14:textId="77777777" w:rsidR="00904E62" w:rsidRPr="002809DF" w:rsidRDefault="00904E62" w:rsidP="00904E62">
      <w:pPr>
        <w:pStyle w:val="a9"/>
        <w:numPr>
          <w:ilvl w:val="0"/>
          <w:numId w:val="1"/>
        </w:numPr>
        <w:spacing w:line="360" w:lineRule="auto"/>
        <w:ind w:left="-98" w:firstLine="33"/>
        <w:jc w:val="both"/>
        <w:rPr>
          <w:rFonts w:ascii="David" w:hAnsi="David"/>
        </w:rPr>
      </w:pPr>
      <w:r>
        <w:rPr>
          <w:rFonts w:hint="cs"/>
          <w:rtl/>
        </w:rPr>
        <w:t>בתסקיר שהוגש בעניינו של הנאשם צוין כי הסיכון ממנו פחת וההליך המשפטי היווה עבורו גורם מרתיע. בדיקות השתן שמסר נמצאו נקיות משרידי סם והתרשמות שירות המבחן היא שאינו מאופיין בדפוסי חשיבה והתנהגות שוליים או עבריינים ונוטל אחריות למעשים. הנאשם מביע חרטה ומבין כיום את האופן הלקוי בו פעל. שירות המבחן אמנם סבר כי הנאשם יכול להיתרם מטיפול אך הנאשם שלל נזקקות טיפולית, ואף מסר כי הוא מקבל הדרכה במסגרת לימודיו. לאור כך ומשהסיכון ממנו פחת, שירות המבחן לא המליץ על הטלת צו מבחן. שירות המבחן המליץ שלא להטיל על הנאשם עונש מאסר בעבודות שירות אלא צו של"צ נרחב ופירט כי בעונש מסוג זה יש כדי להקטין את הסיכון מביצוע עבירה בעתיד על ידו. בתסקיר פורטו ההמלצות החמות שקיבל הנאשם ממעסיקו וממנהל תוכנית הלימודים בה הוא משתתף, וחשיבות המשך יציבותו התעסוקתית ושילובו בלימודים (יציבות עליה ניתן יהיה לשמור לצד של"צ בהבחנה ממאסר בעבודות שירות). צוין כי אלה הם אלמנטים מרכזיים התורמים לחיזוק כוחותיו וחלקיו המתפקדים של הנאשם, ומהווים גורמים מפחיתי סיכון. גם אני סבורה שעונש מסוג של"צ נרחב הוא העונש הראוי והנכון בנסיבותיו המיוחדות של המקרה ונסיבותיו ומאפייניו של הנאשם.</w:t>
      </w:r>
    </w:p>
    <w:p w14:paraId="31F507EF" w14:textId="77777777" w:rsidR="00904E62" w:rsidRPr="002809DF" w:rsidRDefault="00904E62" w:rsidP="00904E62">
      <w:pPr>
        <w:pStyle w:val="a9"/>
        <w:rPr>
          <w:sz w:val="20"/>
          <w:szCs w:val="20"/>
          <w:rtl/>
        </w:rPr>
      </w:pPr>
    </w:p>
    <w:p w14:paraId="203E1EBD" w14:textId="77777777" w:rsidR="00904E62" w:rsidRPr="002809DF" w:rsidRDefault="00904E62" w:rsidP="00904E62">
      <w:pPr>
        <w:pStyle w:val="a9"/>
        <w:numPr>
          <w:ilvl w:val="0"/>
          <w:numId w:val="1"/>
        </w:numPr>
        <w:spacing w:line="360" w:lineRule="auto"/>
        <w:ind w:left="-98" w:firstLine="33"/>
        <w:jc w:val="both"/>
        <w:rPr>
          <w:rFonts w:ascii="David" w:hAnsi="David"/>
        </w:rPr>
      </w:pPr>
      <w:r>
        <w:rPr>
          <w:rFonts w:hint="cs"/>
          <w:rtl/>
        </w:rPr>
        <w:t xml:space="preserve">בכל הנוגע לקנס המבוקש, נתתי דעתי לעתירת הסנגור להימנע מהטלת קנס אך לא מצאתי להיעתר לה. בעת קביעת שיעור הקנס יינתן משקל לטענות הסנגור בדבר הקושי הברור לנאשם גם בפן הכלכלי בשנה האחרונה </w:t>
      </w:r>
      <w:r w:rsidRPr="00657A0C">
        <w:rPr>
          <w:rFonts w:hint="cs"/>
          <w:rtl/>
        </w:rPr>
        <w:t>ו</w:t>
      </w:r>
      <w:r w:rsidRPr="002809DF">
        <w:rPr>
          <w:rFonts w:hint="cs"/>
          <w:b/>
          <w:bCs/>
          <w:rtl/>
        </w:rPr>
        <w:t>לענ/1</w:t>
      </w:r>
      <w:r>
        <w:rPr>
          <w:rFonts w:hint="cs"/>
          <w:rtl/>
        </w:rPr>
        <w:t>, תלושי השכר המלמדים על משכורתו הנמוכה יחסית.</w:t>
      </w:r>
    </w:p>
    <w:p w14:paraId="0A2DF402" w14:textId="77777777" w:rsidR="00904E62" w:rsidRPr="002809DF" w:rsidRDefault="00904E62" w:rsidP="00904E62">
      <w:pPr>
        <w:pStyle w:val="a9"/>
        <w:rPr>
          <w:rFonts w:ascii="David" w:hAnsi="David"/>
          <w:sz w:val="20"/>
          <w:szCs w:val="20"/>
          <w:rtl/>
        </w:rPr>
      </w:pPr>
    </w:p>
    <w:p w14:paraId="1FF69ECF" w14:textId="77777777" w:rsidR="00904E62" w:rsidRDefault="00904E62" w:rsidP="00904E62">
      <w:pPr>
        <w:pStyle w:val="a9"/>
        <w:numPr>
          <w:ilvl w:val="0"/>
          <w:numId w:val="1"/>
        </w:numPr>
        <w:spacing w:line="360" w:lineRule="auto"/>
        <w:jc w:val="both"/>
      </w:pPr>
      <w:r>
        <w:rPr>
          <w:rFonts w:hint="cs"/>
          <w:rtl/>
        </w:rPr>
        <w:t>אשר על כן, אני גוזרת על הנאשם את העונשים הבאים:</w:t>
      </w:r>
    </w:p>
    <w:p w14:paraId="533739E0" w14:textId="77777777" w:rsidR="00904E62" w:rsidRPr="00FF7DF2" w:rsidRDefault="00904E62" w:rsidP="00904E62">
      <w:pPr>
        <w:pStyle w:val="a9"/>
        <w:rPr>
          <w:sz w:val="20"/>
          <w:szCs w:val="20"/>
          <w:rtl/>
        </w:rPr>
      </w:pPr>
    </w:p>
    <w:p w14:paraId="08B41594" w14:textId="77777777" w:rsidR="00904E62" w:rsidRDefault="00904E62" w:rsidP="00904E62">
      <w:pPr>
        <w:pStyle w:val="1"/>
        <w:numPr>
          <w:ilvl w:val="0"/>
          <w:numId w:val="2"/>
        </w:numPr>
        <w:spacing w:line="360" w:lineRule="auto"/>
        <w:jc w:val="both"/>
      </w:pPr>
      <w:r>
        <w:rPr>
          <w:rtl/>
        </w:rPr>
        <w:t xml:space="preserve">של"צ בהיקף של </w:t>
      </w:r>
      <w:r>
        <w:rPr>
          <w:rFonts w:hint="cs"/>
          <w:rtl/>
        </w:rPr>
        <w:t xml:space="preserve">300 </w:t>
      </w:r>
      <w:r>
        <w:rPr>
          <w:rtl/>
        </w:rPr>
        <w:t xml:space="preserve">שעות </w:t>
      </w:r>
      <w:r>
        <w:rPr>
          <w:rFonts w:hint="cs"/>
          <w:rtl/>
        </w:rPr>
        <w:t>במסגרת עמותת "לתת" בתל אביב, בתפקידי אדמיניסטרצי</w:t>
      </w:r>
      <w:r>
        <w:rPr>
          <w:rFonts w:hint="eastAsia"/>
          <w:rtl/>
        </w:rPr>
        <w:t>ה</w:t>
      </w:r>
      <w:r>
        <w:rPr>
          <w:rFonts w:hint="cs"/>
          <w:rtl/>
        </w:rPr>
        <w:t xml:space="preserve"> וסיוע לצוות, על </w:t>
      </w:r>
      <w:r>
        <w:rPr>
          <w:rtl/>
        </w:rPr>
        <w:t>פי המלצת שירות המבחן. הנאשם מוזהר כי אם יפר את צו השל"צ תימסר הודעה על כך לבית המשפט, אשר מוסמך לדון בעניינו מחדש במישור העונש.</w:t>
      </w:r>
    </w:p>
    <w:p w14:paraId="7FAC8203" w14:textId="77777777" w:rsidR="00904E62" w:rsidRDefault="00904E62" w:rsidP="00904E62">
      <w:pPr>
        <w:pStyle w:val="1"/>
        <w:numPr>
          <w:ilvl w:val="0"/>
          <w:numId w:val="2"/>
        </w:numPr>
        <w:spacing w:line="360" w:lineRule="auto"/>
        <w:jc w:val="both"/>
        <w:rPr>
          <w:rFonts w:ascii="Calibri" w:hAnsi="Calibri"/>
        </w:rPr>
      </w:pPr>
      <w:r>
        <w:rPr>
          <w:rFonts w:ascii="Calibri" w:hAnsi="Calibri"/>
          <w:rtl/>
        </w:rPr>
        <w:t xml:space="preserve">מאסר על תנאי למשך </w:t>
      </w:r>
      <w:r>
        <w:rPr>
          <w:rFonts w:ascii="Calibri" w:hAnsi="Calibri" w:hint="cs"/>
          <w:rtl/>
        </w:rPr>
        <w:t xml:space="preserve">7 </w:t>
      </w:r>
      <w:r>
        <w:rPr>
          <w:rFonts w:ascii="Calibri" w:hAnsi="Calibri"/>
          <w:rtl/>
        </w:rPr>
        <w:t>חודשים לתקופה של 3 שנים</w:t>
      </w:r>
      <w:r>
        <w:rPr>
          <w:rFonts w:ascii="Calibri" w:hAnsi="Calibri" w:hint="cs"/>
          <w:rtl/>
        </w:rPr>
        <w:t>,</w:t>
      </w:r>
      <w:r>
        <w:rPr>
          <w:rFonts w:ascii="Calibri" w:hAnsi="Calibri"/>
          <w:rtl/>
        </w:rPr>
        <w:t xml:space="preserve"> והתנאי שהנאשם לא יעבור עבירה מסוג פשע לפי פקודת הסמים.</w:t>
      </w:r>
    </w:p>
    <w:p w14:paraId="1804B696" w14:textId="77777777" w:rsidR="00904E62" w:rsidRDefault="00904E62" w:rsidP="00904E62">
      <w:pPr>
        <w:pStyle w:val="1"/>
        <w:numPr>
          <w:ilvl w:val="0"/>
          <w:numId w:val="2"/>
        </w:numPr>
        <w:spacing w:line="360" w:lineRule="auto"/>
        <w:jc w:val="both"/>
        <w:rPr>
          <w:rFonts w:ascii="Calibri" w:hAnsi="Calibri"/>
        </w:rPr>
      </w:pPr>
      <w:r>
        <w:rPr>
          <w:rFonts w:ascii="Calibri" w:hAnsi="Calibri"/>
          <w:rtl/>
        </w:rPr>
        <w:t xml:space="preserve">מאסר על תנאי למשך </w:t>
      </w:r>
      <w:r>
        <w:rPr>
          <w:rFonts w:ascii="Calibri" w:hAnsi="Calibri" w:hint="cs"/>
          <w:rtl/>
        </w:rPr>
        <w:t>3</w:t>
      </w:r>
      <w:r>
        <w:rPr>
          <w:rFonts w:ascii="Calibri" w:hAnsi="Calibri"/>
          <w:rtl/>
        </w:rPr>
        <w:t xml:space="preserve"> חודשים לתקופה של 3 שנים</w:t>
      </w:r>
      <w:r>
        <w:rPr>
          <w:rFonts w:ascii="Calibri" w:hAnsi="Calibri" w:hint="cs"/>
          <w:rtl/>
        </w:rPr>
        <w:t>,</w:t>
      </w:r>
      <w:r>
        <w:rPr>
          <w:rFonts w:ascii="Calibri" w:hAnsi="Calibri"/>
          <w:rtl/>
        </w:rPr>
        <w:t xml:space="preserve"> והתנאי שהנאשם לא יעבור עבירה מסוג עוון לפי פקודת הסמים.</w:t>
      </w:r>
    </w:p>
    <w:p w14:paraId="07DD57F6" w14:textId="77777777" w:rsidR="00904E62" w:rsidRDefault="00904E62" w:rsidP="00904E62">
      <w:pPr>
        <w:pStyle w:val="1"/>
        <w:numPr>
          <w:ilvl w:val="0"/>
          <w:numId w:val="2"/>
        </w:numPr>
        <w:spacing w:line="360" w:lineRule="auto"/>
        <w:jc w:val="both"/>
      </w:pPr>
      <w:r>
        <w:rPr>
          <w:rFonts w:ascii="Calibri" w:hAnsi="Calibri"/>
          <w:rtl/>
        </w:rPr>
        <w:t xml:space="preserve">קנס בסך </w:t>
      </w:r>
      <w:r>
        <w:rPr>
          <w:rFonts w:ascii="Calibri" w:hAnsi="Calibri" w:hint="cs"/>
          <w:rtl/>
        </w:rPr>
        <w:t xml:space="preserve">500 </w:t>
      </w:r>
      <w:r>
        <w:rPr>
          <w:rFonts w:ascii="Calibri" w:hAnsi="Calibri"/>
          <w:rtl/>
        </w:rPr>
        <w:t xml:space="preserve">₪ או </w:t>
      </w:r>
      <w:r>
        <w:rPr>
          <w:rFonts w:ascii="Calibri" w:hAnsi="Calibri" w:hint="cs"/>
          <w:rtl/>
        </w:rPr>
        <w:t xml:space="preserve">10 </w:t>
      </w:r>
      <w:r>
        <w:rPr>
          <w:rFonts w:ascii="Calibri" w:hAnsi="Calibri"/>
          <w:rtl/>
        </w:rPr>
        <w:t xml:space="preserve">ימי מאסר תמורתו. הקנס ישולם </w:t>
      </w:r>
      <w:r>
        <w:rPr>
          <w:rFonts w:ascii="Calibri" w:hAnsi="Calibri" w:hint="cs"/>
          <w:rtl/>
        </w:rPr>
        <w:t>עד ליום 20.1.2022</w:t>
      </w:r>
      <w:r>
        <w:rPr>
          <w:rFonts w:hint="cs"/>
          <w:rtl/>
        </w:rPr>
        <w:t>.</w:t>
      </w:r>
    </w:p>
    <w:p w14:paraId="51842613" w14:textId="77777777" w:rsidR="00904E62" w:rsidRDefault="00904E62" w:rsidP="00904E62">
      <w:pPr>
        <w:pStyle w:val="1"/>
        <w:numPr>
          <w:ilvl w:val="0"/>
          <w:numId w:val="2"/>
        </w:numPr>
        <w:spacing w:line="360" w:lineRule="auto"/>
        <w:jc w:val="both"/>
      </w:pPr>
      <w:r>
        <w:rPr>
          <w:rtl/>
        </w:rPr>
        <w:t xml:space="preserve">אני פוסלת את הנאשם מלקבל ולהחזיק רישיון נהיגה למשך 6 חודשים, אולם הנאשם לא יישא בעונש זה, אלא אם תוך שנתיים מיום מתן גזר דין סופי, יעבור עבירה על פי פקודת הסמים.  </w:t>
      </w:r>
    </w:p>
    <w:p w14:paraId="55B57919" w14:textId="77777777" w:rsidR="00904E62" w:rsidRDefault="00904E62" w:rsidP="00904E62">
      <w:pPr>
        <w:pStyle w:val="1"/>
        <w:numPr>
          <w:ilvl w:val="0"/>
          <w:numId w:val="2"/>
        </w:numPr>
        <w:spacing w:line="360" w:lineRule="auto"/>
        <w:jc w:val="both"/>
      </w:pPr>
      <w:r>
        <w:rPr>
          <w:rFonts w:hint="cs"/>
          <w:rtl/>
        </w:rPr>
        <w:t>הנאשם יתחייב על סך 2,000 ₪ להימנע משך שנתיים מביצוע העבירות בהן הורשע.</w:t>
      </w:r>
    </w:p>
    <w:p w14:paraId="2DF397E3" w14:textId="77777777" w:rsidR="00904E62" w:rsidRDefault="00904E62" w:rsidP="00904E62">
      <w:pPr>
        <w:pStyle w:val="1"/>
        <w:spacing w:line="360" w:lineRule="auto"/>
        <w:ind w:left="724"/>
        <w:jc w:val="both"/>
        <w:rPr>
          <w:b/>
          <w:bCs/>
        </w:rPr>
      </w:pPr>
    </w:p>
    <w:p w14:paraId="7516B734" w14:textId="77777777" w:rsidR="00904E62" w:rsidRDefault="00904E62" w:rsidP="00904E62">
      <w:pPr>
        <w:pStyle w:val="1"/>
        <w:spacing w:line="360" w:lineRule="auto"/>
        <w:ind w:left="724"/>
        <w:jc w:val="both"/>
      </w:pPr>
      <w:r>
        <w:rPr>
          <w:b/>
          <w:bCs/>
          <w:rtl/>
        </w:rPr>
        <w:t>ניתן צו להשמדת הסמים בתום 50 יום מהיום, ככל שלא יוגש ערעור.</w:t>
      </w:r>
    </w:p>
    <w:p w14:paraId="037F3AA2" w14:textId="77777777" w:rsidR="00904E62" w:rsidRDefault="00904E62" w:rsidP="00904E62">
      <w:pPr>
        <w:pStyle w:val="1"/>
        <w:spacing w:line="360" w:lineRule="auto"/>
        <w:ind w:left="724"/>
        <w:jc w:val="both"/>
        <w:rPr>
          <w:rFonts w:ascii="David" w:hAnsi="David"/>
          <w:b/>
          <w:bCs/>
        </w:rPr>
      </w:pPr>
    </w:p>
    <w:p w14:paraId="42F90C54" w14:textId="77777777" w:rsidR="00904E62" w:rsidRDefault="00904E62" w:rsidP="00904E62">
      <w:pPr>
        <w:pStyle w:val="1"/>
        <w:spacing w:line="360" w:lineRule="auto"/>
        <w:ind w:left="724"/>
        <w:jc w:val="both"/>
        <w:rPr>
          <w:rFonts w:ascii="David" w:hAnsi="David"/>
          <w:b/>
          <w:bCs/>
          <w:rtl/>
        </w:rPr>
      </w:pPr>
      <w:r>
        <w:rPr>
          <w:rFonts w:ascii="David" w:hAnsi="David"/>
          <w:b/>
          <w:bCs/>
          <w:rtl/>
        </w:rPr>
        <w:t>ככל שהופקד פיקדון במסגרת תיק זה – יושב הפיקדון למפקידו, בכפוף לכל מניעה על פי דין.</w:t>
      </w:r>
    </w:p>
    <w:p w14:paraId="675AC42F" w14:textId="77777777" w:rsidR="00904E62" w:rsidRDefault="00904E62" w:rsidP="00904E62">
      <w:pPr>
        <w:spacing w:line="360" w:lineRule="auto"/>
        <w:jc w:val="both"/>
        <w:rPr>
          <w:rFonts w:ascii="David" w:hAnsi="David"/>
          <w:b/>
          <w:bCs/>
          <w:rtl/>
        </w:rPr>
      </w:pPr>
      <w:r>
        <w:rPr>
          <w:rFonts w:ascii="David" w:hAnsi="David"/>
          <w:b/>
          <w:bCs/>
          <w:rtl/>
        </w:rPr>
        <w:br w:type="page"/>
      </w:r>
    </w:p>
    <w:p w14:paraId="20253ED4" w14:textId="77777777" w:rsidR="00904E62" w:rsidRDefault="00904E62" w:rsidP="00904E62">
      <w:pPr>
        <w:pStyle w:val="1"/>
        <w:spacing w:line="360" w:lineRule="auto"/>
        <w:jc w:val="both"/>
        <w:rPr>
          <w:rFonts w:ascii="David" w:hAnsi="David"/>
          <w:b/>
          <w:bCs/>
          <w:u w:val="single"/>
          <w:rtl/>
        </w:rPr>
      </w:pPr>
      <w:r>
        <w:rPr>
          <w:rFonts w:ascii="David" w:hAnsi="David"/>
          <w:b/>
          <w:bCs/>
          <w:u w:val="single"/>
          <w:rtl/>
        </w:rPr>
        <w:t>המזכירות תעביר עותק מגזר הדין לשירות המבחן</w:t>
      </w:r>
      <w:r>
        <w:rPr>
          <w:rFonts w:ascii="David" w:hAnsi="David" w:hint="cs"/>
          <w:b/>
          <w:bCs/>
          <w:u w:val="single"/>
          <w:rtl/>
        </w:rPr>
        <w:t xml:space="preserve"> ולממונה על עבודות השירות</w:t>
      </w:r>
      <w:r>
        <w:rPr>
          <w:rFonts w:ascii="David" w:hAnsi="David"/>
          <w:b/>
          <w:bCs/>
          <w:u w:val="single"/>
          <w:rtl/>
        </w:rPr>
        <w:t>.</w:t>
      </w:r>
    </w:p>
    <w:p w14:paraId="4FE8193D" w14:textId="77777777" w:rsidR="00904E62" w:rsidRPr="00B05847" w:rsidRDefault="00904E62" w:rsidP="00904E62">
      <w:pPr>
        <w:pStyle w:val="a9"/>
        <w:spacing w:line="360" w:lineRule="auto"/>
        <w:ind w:left="-65"/>
        <w:jc w:val="both"/>
        <w:rPr>
          <w:rtl/>
        </w:rPr>
      </w:pPr>
    </w:p>
    <w:p w14:paraId="161D2B47" w14:textId="77777777" w:rsidR="00904E62" w:rsidRPr="00F64BAB" w:rsidRDefault="00F64BAB" w:rsidP="00904E62">
      <w:pPr>
        <w:rPr>
          <w:color w:val="FFFFFF"/>
          <w:sz w:val="2"/>
          <w:szCs w:val="2"/>
          <w:rtl/>
        </w:rPr>
      </w:pPr>
      <w:r w:rsidRPr="00F64BAB">
        <w:rPr>
          <w:color w:val="FFFFFF"/>
          <w:sz w:val="2"/>
          <w:szCs w:val="2"/>
          <w:rtl/>
        </w:rPr>
        <w:t>5129371</w:t>
      </w:r>
    </w:p>
    <w:p w14:paraId="78120EC4" w14:textId="77777777" w:rsidR="00904E62" w:rsidRPr="00F64BAB" w:rsidRDefault="00F64BAB" w:rsidP="00904E62">
      <w:pPr>
        <w:rPr>
          <w:color w:val="FFFFFF"/>
          <w:sz w:val="2"/>
          <w:szCs w:val="2"/>
          <w:rtl/>
        </w:rPr>
      </w:pPr>
      <w:r w:rsidRPr="00F64BAB">
        <w:rPr>
          <w:color w:val="FFFFFF"/>
          <w:sz w:val="2"/>
          <w:szCs w:val="2"/>
          <w:rtl/>
        </w:rPr>
        <w:t>54678313</w:t>
      </w:r>
    </w:p>
    <w:p w14:paraId="67CD7C72" w14:textId="77777777" w:rsidR="00904E62" w:rsidRPr="00250B83" w:rsidRDefault="00F64BAB" w:rsidP="00904E62">
      <w:pPr>
        <w:rPr>
          <w:rtl/>
        </w:rPr>
      </w:pPr>
      <w:bookmarkStart w:id="8" w:name="Nitan"/>
      <w:r>
        <w:rPr>
          <w:rFonts w:ascii="Arial" w:hAnsi="Arial"/>
          <w:rtl/>
        </w:rPr>
        <w:t xml:space="preserve">ניתן היום,  י"ז טבת תשפ"ב, 21 דצמבר 2021, במעמד הצדדים. </w:t>
      </w:r>
      <w:bookmarkEnd w:id="8"/>
    </w:p>
    <w:p w14:paraId="512C1C5F" w14:textId="77777777" w:rsidR="00904E62" w:rsidRPr="00250B83" w:rsidRDefault="00904E62" w:rsidP="00F64BAB">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4494520" w14:textId="77777777" w:rsidR="00904E62" w:rsidRPr="00250B83" w:rsidRDefault="00904E62" w:rsidP="00904E62">
      <w:pPr>
        <w:jc w:val="center"/>
        <w:rPr>
          <w:rFonts w:ascii="Arial" w:hAnsi="Arial"/>
          <w:rtl/>
        </w:rPr>
      </w:pPr>
    </w:p>
    <w:p w14:paraId="29EDA395" w14:textId="77777777" w:rsidR="00904E62" w:rsidRDefault="00904E62" w:rsidP="00904E62">
      <w:pPr>
        <w:pStyle w:val="a3"/>
        <w:rPr>
          <w:rtl/>
        </w:rPr>
      </w:pPr>
    </w:p>
    <w:p w14:paraId="1CA9657F" w14:textId="77777777" w:rsidR="00424447" w:rsidRPr="00F64BAB" w:rsidRDefault="00424447" w:rsidP="00F64BAB">
      <w:pPr>
        <w:keepNext/>
        <w:rPr>
          <w:rFonts w:ascii="David" w:hAnsi="David"/>
          <w:color w:val="000000"/>
          <w:sz w:val="22"/>
          <w:szCs w:val="22"/>
          <w:rtl/>
        </w:rPr>
      </w:pPr>
    </w:p>
    <w:p w14:paraId="29A76EDD" w14:textId="77777777" w:rsidR="00F64BAB" w:rsidRPr="00F64BAB" w:rsidRDefault="00F64BAB" w:rsidP="00F64BAB">
      <w:pPr>
        <w:keepNext/>
        <w:rPr>
          <w:rFonts w:ascii="David" w:hAnsi="David"/>
          <w:color w:val="000000"/>
          <w:sz w:val="22"/>
          <w:szCs w:val="22"/>
          <w:rtl/>
        </w:rPr>
      </w:pPr>
      <w:r w:rsidRPr="00F64BAB">
        <w:rPr>
          <w:rFonts w:ascii="David" w:hAnsi="David"/>
          <w:color w:val="000000"/>
          <w:sz w:val="22"/>
          <w:szCs w:val="22"/>
          <w:rtl/>
        </w:rPr>
        <w:t>דנה אמיר 54678313</w:t>
      </w:r>
    </w:p>
    <w:p w14:paraId="1754D0D4" w14:textId="77777777" w:rsidR="00F64BAB" w:rsidRDefault="00F64BAB" w:rsidP="00F64BAB">
      <w:r w:rsidRPr="00F64BAB">
        <w:rPr>
          <w:color w:val="000000"/>
          <w:rtl/>
        </w:rPr>
        <w:t>נוסח מסמך זה כפוף לשינויי ניסוח ועריכה</w:t>
      </w:r>
    </w:p>
    <w:p w14:paraId="2BDC25DD" w14:textId="77777777" w:rsidR="00F64BAB" w:rsidRDefault="00F64BAB" w:rsidP="00F64BAB">
      <w:pPr>
        <w:rPr>
          <w:rtl/>
        </w:rPr>
      </w:pPr>
    </w:p>
    <w:p w14:paraId="37A568C0" w14:textId="77777777" w:rsidR="00F64BAB" w:rsidRDefault="00F64BAB" w:rsidP="00F64BAB">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FB062F1" w14:textId="77777777" w:rsidR="00F64BAB" w:rsidRPr="00F64BAB" w:rsidRDefault="00F64BAB" w:rsidP="00F64BAB">
      <w:pPr>
        <w:jc w:val="center"/>
        <w:rPr>
          <w:color w:val="0000FF"/>
          <w:u w:val="single"/>
        </w:rPr>
      </w:pPr>
    </w:p>
    <w:sectPr w:rsidR="00F64BAB" w:rsidRPr="00F64BAB" w:rsidSect="00F64BAB">
      <w:headerReference w:type="even" r:id="rId36"/>
      <w:headerReference w:type="default" r:id="rId37"/>
      <w:footerReference w:type="even" r:id="rId38"/>
      <w:footerReference w:type="default" r:id="rId3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44C6B" w14:textId="77777777" w:rsidR="00990827" w:rsidRDefault="00990827" w:rsidP="005E3FA7">
      <w:r>
        <w:separator/>
      </w:r>
    </w:p>
  </w:endnote>
  <w:endnote w:type="continuationSeparator" w:id="0">
    <w:p w14:paraId="5962AAEC" w14:textId="77777777" w:rsidR="00990827" w:rsidRDefault="00990827" w:rsidP="005E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25D5D" w14:textId="77777777" w:rsidR="00F64BAB" w:rsidRDefault="00F64BAB" w:rsidP="00F64B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3498D8" w14:textId="77777777" w:rsidR="004615AE" w:rsidRPr="00F64BAB" w:rsidRDefault="00F64BAB" w:rsidP="00F64B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0216C" w14:textId="77777777" w:rsidR="00F64BAB" w:rsidRDefault="00F64BAB" w:rsidP="00F64B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22F6">
      <w:rPr>
        <w:rFonts w:ascii="FrankRuehl" w:hAnsi="FrankRuehl" w:cs="FrankRuehl"/>
        <w:noProof/>
        <w:rtl/>
      </w:rPr>
      <w:t>1</w:t>
    </w:r>
    <w:r>
      <w:rPr>
        <w:rFonts w:ascii="FrankRuehl" w:hAnsi="FrankRuehl" w:cs="FrankRuehl"/>
        <w:rtl/>
      </w:rPr>
      <w:fldChar w:fldCharType="end"/>
    </w:r>
  </w:p>
  <w:p w14:paraId="1F5F198F" w14:textId="77777777" w:rsidR="004615AE" w:rsidRPr="00F64BAB" w:rsidRDefault="00F64BAB" w:rsidP="00F64B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EF1A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BB836" w14:textId="77777777" w:rsidR="00990827" w:rsidRDefault="00990827" w:rsidP="005E3FA7">
      <w:r>
        <w:separator/>
      </w:r>
    </w:p>
  </w:footnote>
  <w:footnote w:type="continuationSeparator" w:id="0">
    <w:p w14:paraId="0472791A" w14:textId="77777777" w:rsidR="00990827" w:rsidRDefault="00990827" w:rsidP="005E3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6E44" w14:textId="77777777" w:rsidR="00F64BAB" w:rsidRPr="00F64BAB" w:rsidRDefault="00F64BAB" w:rsidP="00F64B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15997-02-20</w:t>
    </w:r>
    <w:r>
      <w:rPr>
        <w:rFonts w:ascii="David" w:hAnsi="David"/>
        <w:color w:val="000000"/>
        <w:sz w:val="22"/>
        <w:szCs w:val="22"/>
        <w:rtl/>
      </w:rPr>
      <w:tab/>
      <w:t xml:space="preserve"> מדינת ישראל נ' דניאל פינחסוב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A055A" w14:textId="77777777" w:rsidR="00F64BAB" w:rsidRPr="00F64BAB" w:rsidRDefault="00F64BAB" w:rsidP="00F64B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15997-02-20</w:t>
    </w:r>
    <w:r>
      <w:rPr>
        <w:rFonts w:ascii="David" w:hAnsi="David"/>
        <w:color w:val="000000"/>
        <w:sz w:val="22"/>
        <w:szCs w:val="22"/>
        <w:rtl/>
      </w:rPr>
      <w:tab/>
      <w:t xml:space="preserve"> מדינת ישראל נ' דניאל פינחסוב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33BB7"/>
    <w:multiLevelType w:val="hybridMultilevel"/>
    <w:tmpl w:val="1170517C"/>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3DE11C16"/>
    <w:multiLevelType w:val="hybridMultilevel"/>
    <w:tmpl w:val="825A3B90"/>
    <w:lvl w:ilvl="0" w:tplc="B0D42E7C">
      <w:start w:val="1"/>
      <w:numFmt w:val="decimal"/>
      <w:lvlText w:val="%1."/>
      <w:lvlJc w:val="left"/>
      <w:pPr>
        <w:ind w:left="720" w:hanging="360"/>
      </w:pPr>
      <w:rPr>
        <w:b w:val="0"/>
        <w:bCs w:val="0"/>
        <w:sz w:val="24"/>
        <w:szCs w:val="24"/>
      </w:rPr>
    </w:lvl>
    <w:lvl w:ilvl="1" w:tplc="9AB0B8B8">
      <w:start w:val="1"/>
      <w:numFmt w:val="lowerLetter"/>
      <w:lvlText w:val="%2."/>
      <w:lvlJc w:val="left"/>
      <w:pPr>
        <w:ind w:left="1440" w:hanging="360"/>
      </w:pPr>
    </w:lvl>
    <w:lvl w:ilvl="2" w:tplc="2466DE40">
      <w:start w:val="1"/>
      <w:numFmt w:val="lowerRoman"/>
      <w:lvlText w:val="%3."/>
      <w:lvlJc w:val="right"/>
      <w:pPr>
        <w:ind w:left="2160" w:hanging="180"/>
      </w:pPr>
    </w:lvl>
    <w:lvl w:ilvl="3" w:tplc="BC54882C">
      <w:start w:val="1"/>
      <w:numFmt w:val="decimal"/>
      <w:lvlText w:val="%4."/>
      <w:lvlJc w:val="left"/>
      <w:pPr>
        <w:ind w:left="2880" w:hanging="360"/>
      </w:pPr>
    </w:lvl>
    <w:lvl w:ilvl="4" w:tplc="7F6E1FEC">
      <w:start w:val="1"/>
      <w:numFmt w:val="lowerLetter"/>
      <w:lvlText w:val="%5."/>
      <w:lvlJc w:val="left"/>
      <w:pPr>
        <w:ind w:left="3600" w:hanging="360"/>
      </w:pPr>
    </w:lvl>
    <w:lvl w:ilvl="5" w:tplc="F64444D0">
      <w:start w:val="1"/>
      <w:numFmt w:val="lowerRoman"/>
      <w:lvlText w:val="%6."/>
      <w:lvlJc w:val="right"/>
      <w:pPr>
        <w:ind w:left="4320" w:hanging="180"/>
      </w:pPr>
    </w:lvl>
    <w:lvl w:ilvl="6" w:tplc="5CF0C584">
      <w:start w:val="1"/>
      <w:numFmt w:val="decimal"/>
      <w:lvlText w:val="%7."/>
      <w:lvlJc w:val="left"/>
      <w:pPr>
        <w:ind w:left="5040" w:hanging="360"/>
      </w:pPr>
    </w:lvl>
    <w:lvl w:ilvl="7" w:tplc="D13A3ECA">
      <w:start w:val="1"/>
      <w:numFmt w:val="lowerLetter"/>
      <w:lvlText w:val="%8."/>
      <w:lvlJc w:val="left"/>
      <w:pPr>
        <w:ind w:left="5760" w:hanging="360"/>
      </w:pPr>
    </w:lvl>
    <w:lvl w:ilvl="8" w:tplc="1748754C">
      <w:start w:val="1"/>
      <w:numFmt w:val="lowerRoman"/>
      <w:lvlText w:val="%9."/>
      <w:lvlJc w:val="right"/>
      <w:pPr>
        <w:ind w:left="6480" w:hanging="180"/>
      </w:pPr>
    </w:lvl>
  </w:abstractNum>
  <w:num w:numId="1" w16cid:durableId="1540318696">
    <w:abstractNumId w:val="1"/>
  </w:num>
  <w:num w:numId="2" w16cid:durableId="1097868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4E62"/>
    <w:rsid w:val="000A6D2A"/>
    <w:rsid w:val="00186D27"/>
    <w:rsid w:val="001B4AB7"/>
    <w:rsid w:val="00424447"/>
    <w:rsid w:val="004615AE"/>
    <w:rsid w:val="005E3FA7"/>
    <w:rsid w:val="006C1E13"/>
    <w:rsid w:val="00904E62"/>
    <w:rsid w:val="0091784B"/>
    <w:rsid w:val="00990827"/>
    <w:rsid w:val="009A4E4C"/>
    <w:rsid w:val="00C722F6"/>
    <w:rsid w:val="00D375D2"/>
    <w:rsid w:val="00E346C6"/>
    <w:rsid w:val="00E84BFB"/>
    <w:rsid w:val="00F64BAB"/>
    <w:rsid w:val="00FC60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907C58"/>
  <w15:chartTrackingRefBased/>
  <w15:docId w15:val="{11E0A00E-5CEB-47E3-9440-08907719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4E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4E62"/>
    <w:pPr>
      <w:tabs>
        <w:tab w:val="center" w:pos="4153"/>
        <w:tab w:val="right" w:pos="8306"/>
      </w:tabs>
    </w:pPr>
  </w:style>
  <w:style w:type="character" w:customStyle="1" w:styleId="a4">
    <w:name w:val="כותרת עליונה תו"/>
    <w:link w:val="a3"/>
    <w:rsid w:val="00904E62"/>
    <w:rPr>
      <w:rFonts w:ascii="Times New Roman" w:eastAsia="Times New Roman" w:hAnsi="Times New Roman" w:cs="David"/>
      <w:sz w:val="24"/>
      <w:szCs w:val="24"/>
    </w:rPr>
  </w:style>
  <w:style w:type="paragraph" w:styleId="a5">
    <w:name w:val="footer"/>
    <w:basedOn w:val="a"/>
    <w:link w:val="a6"/>
    <w:rsid w:val="00904E62"/>
    <w:pPr>
      <w:tabs>
        <w:tab w:val="center" w:pos="4153"/>
        <w:tab w:val="right" w:pos="8306"/>
      </w:tabs>
    </w:pPr>
  </w:style>
  <w:style w:type="character" w:customStyle="1" w:styleId="a6">
    <w:name w:val="כותרת תחתונה תו"/>
    <w:link w:val="a5"/>
    <w:rsid w:val="00904E62"/>
    <w:rPr>
      <w:rFonts w:ascii="Times New Roman" w:eastAsia="Times New Roman" w:hAnsi="Times New Roman" w:cs="David"/>
      <w:sz w:val="24"/>
      <w:szCs w:val="24"/>
    </w:rPr>
  </w:style>
  <w:style w:type="table" w:styleId="a7">
    <w:name w:val="Table Grid"/>
    <w:basedOn w:val="a1"/>
    <w:rsid w:val="00904E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04E62"/>
  </w:style>
  <w:style w:type="paragraph" w:styleId="a9">
    <w:name w:val="List Paragraph"/>
    <w:basedOn w:val="a"/>
    <w:qFormat/>
    <w:rsid w:val="00904E62"/>
    <w:pPr>
      <w:ind w:left="720"/>
      <w:contextualSpacing/>
    </w:pPr>
  </w:style>
  <w:style w:type="paragraph" w:customStyle="1" w:styleId="12">
    <w:name w:val="רגיל + ‏12 נק'"/>
    <w:aliases w:val="מיושר לשני הצדדים,מרווח בין שורות:  שורה וחצי"/>
    <w:basedOn w:val="a"/>
    <w:rsid w:val="00904E62"/>
    <w:rPr>
      <w:b/>
      <w:bCs/>
      <w:u w:val="single"/>
    </w:rPr>
  </w:style>
  <w:style w:type="paragraph" w:customStyle="1" w:styleId="1">
    <w:name w:val="פיסקת רשימה1"/>
    <w:basedOn w:val="a"/>
    <w:rsid w:val="00904E62"/>
    <w:pPr>
      <w:ind w:left="720"/>
      <w:contextualSpacing/>
    </w:pPr>
  </w:style>
  <w:style w:type="character" w:styleId="Hyperlink">
    <w:name w:val="Hyperlink"/>
    <w:rsid w:val="00F64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4"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0683594"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case/4585059"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5" TargetMode="External"/><Relationship Id="rId20" Type="http://schemas.openxmlformats.org/officeDocument/2006/relationships/hyperlink" Target="http://www.nevo.co.il/case/161892" TargetMode="External"/><Relationship Id="rId29" Type="http://schemas.openxmlformats.org/officeDocument/2006/relationships/hyperlink" Target="http://www.nevo.co.il/case/21474168"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376129"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4" TargetMode="External"/><Relationship Id="rId23" Type="http://schemas.openxmlformats.org/officeDocument/2006/relationships/hyperlink" Target="http://www.nevo.co.il/case/25535302" TargetMode="External"/><Relationship Id="rId28" Type="http://schemas.openxmlformats.org/officeDocument/2006/relationships/hyperlink" Target="http://www.nevo.co.il/case/5726579" TargetMode="External"/><Relationship Id="rId36" Type="http://schemas.openxmlformats.org/officeDocument/2006/relationships/header" Target="header1.xml"/><Relationship Id="rId10" Type="http://schemas.openxmlformats.org/officeDocument/2006/relationships/hyperlink" Target="http://www.nevo.co.il/law/4216/14" TargetMode="External"/><Relationship Id="rId19" Type="http://schemas.openxmlformats.org/officeDocument/2006/relationships/hyperlink" Target="http://www.nevo.co.il/case/22294063" TargetMode="External"/><Relationship Id="rId31" Type="http://schemas.openxmlformats.org/officeDocument/2006/relationships/hyperlink" Target="http://www.nevo.co.il/case/1706200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85052" TargetMode="External"/><Relationship Id="rId30" Type="http://schemas.openxmlformats.org/officeDocument/2006/relationships/hyperlink" Target="http://www.nevo.co.il/case/20172118"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580841" TargetMode="External"/><Relationship Id="rId33" Type="http://schemas.openxmlformats.org/officeDocument/2006/relationships/hyperlink" Target="http://www.nevo.co.il/case/20075002"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3631</Words>
  <Characters>18160</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21748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3473521</vt:i4>
      </vt:variant>
      <vt:variant>
        <vt:i4>81</vt:i4>
      </vt:variant>
      <vt:variant>
        <vt:i4>0</vt:i4>
      </vt:variant>
      <vt:variant>
        <vt:i4>5</vt:i4>
      </vt:variant>
      <vt:variant>
        <vt:lpwstr>http://www.nevo.co.il/case/4585059</vt:lpwstr>
      </vt:variant>
      <vt:variant>
        <vt:lpwstr/>
      </vt:variant>
      <vt:variant>
        <vt:i4>3604595</vt:i4>
      </vt:variant>
      <vt:variant>
        <vt:i4>78</vt:i4>
      </vt:variant>
      <vt:variant>
        <vt:i4>0</vt:i4>
      </vt:variant>
      <vt:variant>
        <vt:i4>5</vt:i4>
      </vt:variant>
      <vt:variant>
        <vt:lpwstr>http://www.nevo.co.il/case/20075002</vt:lpwstr>
      </vt:variant>
      <vt:variant>
        <vt:lpwstr/>
      </vt:variant>
      <vt:variant>
        <vt:i4>3473522</vt:i4>
      </vt:variant>
      <vt:variant>
        <vt:i4>75</vt:i4>
      </vt:variant>
      <vt:variant>
        <vt:i4>0</vt:i4>
      </vt:variant>
      <vt:variant>
        <vt:i4>5</vt:i4>
      </vt:variant>
      <vt:variant>
        <vt:lpwstr>http://www.nevo.co.il/case/20376129</vt:lpwstr>
      </vt:variant>
      <vt:variant>
        <vt:lpwstr/>
      </vt:variant>
      <vt:variant>
        <vt:i4>3342453</vt:i4>
      </vt:variant>
      <vt:variant>
        <vt:i4>72</vt:i4>
      </vt:variant>
      <vt:variant>
        <vt:i4>0</vt:i4>
      </vt:variant>
      <vt:variant>
        <vt:i4>5</vt:i4>
      </vt:variant>
      <vt:variant>
        <vt:lpwstr>http://www.nevo.co.il/case/17062004</vt:lpwstr>
      </vt:variant>
      <vt:variant>
        <vt:lpwstr/>
      </vt:variant>
      <vt:variant>
        <vt:i4>3145842</vt:i4>
      </vt:variant>
      <vt:variant>
        <vt:i4>69</vt:i4>
      </vt:variant>
      <vt:variant>
        <vt:i4>0</vt:i4>
      </vt:variant>
      <vt:variant>
        <vt:i4>5</vt:i4>
      </vt:variant>
      <vt:variant>
        <vt:lpwstr>http://www.nevo.co.il/case/20172118</vt:lpwstr>
      </vt:variant>
      <vt:variant>
        <vt:lpwstr/>
      </vt:variant>
      <vt:variant>
        <vt:i4>3407987</vt:i4>
      </vt:variant>
      <vt:variant>
        <vt:i4>66</vt:i4>
      </vt:variant>
      <vt:variant>
        <vt:i4>0</vt:i4>
      </vt:variant>
      <vt:variant>
        <vt:i4>5</vt:i4>
      </vt:variant>
      <vt:variant>
        <vt:lpwstr>http://www.nevo.co.il/case/21474168</vt:lpwstr>
      </vt:variant>
      <vt:variant>
        <vt:lpwstr/>
      </vt:variant>
      <vt:variant>
        <vt:i4>3866738</vt:i4>
      </vt:variant>
      <vt:variant>
        <vt:i4>63</vt:i4>
      </vt:variant>
      <vt:variant>
        <vt:i4>0</vt:i4>
      </vt:variant>
      <vt:variant>
        <vt:i4>5</vt:i4>
      </vt:variant>
      <vt:variant>
        <vt:lpwstr>http://www.nevo.co.il/case/5726579</vt:lpwstr>
      </vt:variant>
      <vt:variant>
        <vt:lpwstr/>
      </vt:variant>
      <vt:variant>
        <vt:i4>4128881</vt:i4>
      </vt:variant>
      <vt:variant>
        <vt:i4>60</vt:i4>
      </vt:variant>
      <vt:variant>
        <vt:i4>0</vt:i4>
      </vt:variant>
      <vt:variant>
        <vt:i4>5</vt:i4>
      </vt:variant>
      <vt:variant>
        <vt:lpwstr>http://www.nevo.co.il/case/5585052</vt:lpwstr>
      </vt:variant>
      <vt:variant>
        <vt:lpwstr/>
      </vt:variant>
      <vt:variant>
        <vt:i4>4063353</vt:i4>
      </vt:variant>
      <vt:variant>
        <vt:i4>57</vt:i4>
      </vt:variant>
      <vt:variant>
        <vt:i4>0</vt:i4>
      </vt:variant>
      <vt:variant>
        <vt:i4>5</vt:i4>
      </vt:variant>
      <vt:variant>
        <vt:lpwstr>http://www.nevo.co.il/case/20683594</vt:lpwstr>
      </vt:variant>
      <vt:variant>
        <vt:lpwstr/>
      </vt:variant>
      <vt:variant>
        <vt:i4>3407989</vt:i4>
      </vt:variant>
      <vt:variant>
        <vt:i4>54</vt:i4>
      </vt:variant>
      <vt:variant>
        <vt:i4>0</vt:i4>
      </vt:variant>
      <vt:variant>
        <vt:i4>5</vt:i4>
      </vt:variant>
      <vt:variant>
        <vt:lpwstr>http://www.nevo.co.il/case/5580841</vt:lpwstr>
      </vt:variant>
      <vt:variant>
        <vt:lpwstr/>
      </vt:variant>
      <vt:variant>
        <vt:i4>7995492</vt:i4>
      </vt:variant>
      <vt:variant>
        <vt:i4>51</vt:i4>
      </vt:variant>
      <vt:variant>
        <vt:i4>0</vt:i4>
      </vt:variant>
      <vt:variant>
        <vt:i4>5</vt:i4>
      </vt:variant>
      <vt:variant>
        <vt:lpwstr>http://www.nevo.co.il/law/70301</vt:lpwstr>
      </vt:variant>
      <vt:variant>
        <vt:lpwstr/>
      </vt:variant>
      <vt:variant>
        <vt:i4>3276913</vt:i4>
      </vt:variant>
      <vt:variant>
        <vt:i4>48</vt:i4>
      </vt:variant>
      <vt:variant>
        <vt:i4>0</vt:i4>
      </vt:variant>
      <vt:variant>
        <vt:i4>5</vt:i4>
      </vt:variant>
      <vt:variant>
        <vt:lpwstr>http://www.nevo.co.il/case/25535302</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589898</vt:i4>
      </vt:variant>
      <vt:variant>
        <vt:i4>39</vt:i4>
      </vt:variant>
      <vt:variant>
        <vt:i4>0</vt:i4>
      </vt:variant>
      <vt:variant>
        <vt:i4>5</vt:i4>
      </vt:variant>
      <vt:variant>
        <vt:lpwstr>http://www.nevo.co.il/case/161892</vt:lpwstr>
      </vt:variant>
      <vt:variant>
        <vt:lpwstr/>
      </vt:variant>
      <vt:variant>
        <vt:i4>3276927</vt:i4>
      </vt:variant>
      <vt:variant>
        <vt:i4>36</vt:i4>
      </vt:variant>
      <vt:variant>
        <vt:i4>0</vt:i4>
      </vt:variant>
      <vt:variant>
        <vt:i4>5</vt:i4>
      </vt:variant>
      <vt:variant>
        <vt:lpwstr>http://www.nevo.co.il/case/22294063</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5177418</vt:i4>
      </vt:variant>
      <vt:variant>
        <vt:i4>24</vt:i4>
      </vt:variant>
      <vt:variant>
        <vt:i4>0</vt:i4>
      </vt:variant>
      <vt:variant>
        <vt:i4>5</vt:i4>
      </vt:variant>
      <vt:variant>
        <vt:lpwstr>http://www.nevo.co.il/law/4216/14</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http://www.nevo.co.il/law/4216/14</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2025-04-23T00:27:00Z</dcterms:created>
  <dcterms:modified xsi:type="dcterms:W3CDTF">2025-04-23T00:27:00Z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15997</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דניאל פינחסוב</vt:lpwstr>
  </property>
  <property fmtid="{D5CDD505-2E9C-101B-9397-08002B2CF9AE}" pid="10" name="LAWYER">
    <vt:lpwstr>מיטל סטי;יקי קהן</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20211221</vt:lpwstr>
  </property>
  <property fmtid="{D5CDD505-2E9C-101B-9397-08002B2CF9AE}" pid="14" name="TYPE_N_DATE">
    <vt:lpwstr>38020211221</vt:lpwstr>
  </property>
  <property fmtid="{D5CDD505-2E9C-101B-9397-08002B2CF9AE}" pid="15" name="WORDNUMPAGES">
    <vt:lpwstr>10</vt:lpwstr>
  </property>
  <property fmtid="{D5CDD505-2E9C-101B-9397-08002B2CF9AE}" pid="16" name="TYPE_ABS_DATE">
    <vt:lpwstr>380020211221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22294063;161892;25535302;5580841;20683594;5585052;5726579;21474168;20172118;17062004;20376129;20075002;4585059</vt:lpwstr>
  </property>
  <property fmtid="{D5CDD505-2E9C-101B-9397-08002B2CF9AE}" pid="36" name="LAWLISTTMP1">
    <vt:lpwstr>4216/014:2;007.a;007.c</vt:lpwstr>
  </property>
  <property fmtid="{D5CDD505-2E9C-101B-9397-08002B2CF9AE}" pid="37" name="LAWLISTTMP2">
    <vt:lpwstr>70301/025</vt:lpwstr>
  </property>
</Properties>
</file>