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C6973" w:rsidRPr="00BE2AEC" w14:paraId="469F9764" w14:textId="77777777" w:rsidTr="00326116">
        <w:trPr>
          <w:trHeight w:hRule="exact" w:val="418"/>
          <w:jc w:val="center"/>
        </w:trPr>
        <w:tc>
          <w:tcPr>
            <w:tcW w:w="8721" w:type="dxa"/>
            <w:gridSpan w:val="2"/>
          </w:tcPr>
          <w:p w14:paraId="7E776D0D" w14:textId="77777777" w:rsidR="00BC6973" w:rsidRPr="00BE2AEC" w:rsidRDefault="00BC6973" w:rsidP="004F286C">
            <w:pPr>
              <w:pStyle w:val="a3"/>
              <w:jc w:val="center"/>
              <w:rPr>
                <w:rFonts w:ascii="Tahoma" w:hAnsi="Tahoma" w:cs="Tahoma"/>
                <w:color w:val="000080"/>
                <w:rtl/>
              </w:rPr>
            </w:pPr>
            <w:bookmarkStart w:id="0" w:name="LastJudge"/>
            <w:r w:rsidRPr="00BE2AEC">
              <w:rPr>
                <w:rFonts w:ascii="Tahoma" w:hAnsi="Tahoma" w:cs="Tahoma"/>
                <w:b/>
                <w:bCs/>
                <w:color w:val="000080"/>
                <w:rtl/>
              </w:rPr>
              <w:t>בית משפט השלום בירושלים</w:t>
            </w:r>
          </w:p>
        </w:tc>
      </w:tr>
      <w:tr w:rsidR="00BC6973" w:rsidRPr="00BE2AEC" w14:paraId="1C285D63" w14:textId="77777777" w:rsidTr="00326116">
        <w:trPr>
          <w:trHeight w:val="337"/>
          <w:jc w:val="center"/>
        </w:trPr>
        <w:tc>
          <w:tcPr>
            <w:tcW w:w="5054" w:type="dxa"/>
          </w:tcPr>
          <w:p w14:paraId="737FA0FB" w14:textId="77777777" w:rsidR="00BC6973" w:rsidRPr="00BE2AEC" w:rsidRDefault="00BC6973" w:rsidP="004F286C">
            <w:pPr>
              <w:rPr>
                <w:rFonts w:cs="FrankRuehl"/>
                <w:sz w:val="28"/>
                <w:szCs w:val="28"/>
                <w:rtl/>
              </w:rPr>
            </w:pPr>
            <w:r w:rsidRPr="00BE2AEC">
              <w:rPr>
                <w:rFonts w:cs="FrankRuehl"/>
                <w:sz w:val="28"/>
                <w:szCs w:val="28"/>
                <w:rtl/>
              </w:rPr>
              <w:t>ת"פ</w:t>
            </w:r>
            <w:r w:rsidRPr="00BE2AEC">
              <w:rPr>
                <w:rFonts w:cs="FrankRuehl" w:hint="cs"/>
                <w:sz w:val="28"/>
                <w:szCs w:val="28"/>
                <w:rtl/>
              </w:rPr>
              <w:t xml:space="preserve"> </w:t>
            </w:r>
            <w:hyperlink r:id="rId7" w:history="1">
              <w:r w:rsidR="00CA57E4" w:rsidRPr="00CA57E4">
                <w:rPr>
                  <w:rFonts w:cs="FrankRuehl"/>
                  <w:color w:val="0000FF"/>
                  <w:sz w:val="28"/>
                  <w:szCs w:val="28"/>
                  <w:u w:val="single"/>
                  <w:rtl/>
                </w:rPr>
                <w:t xml:space="preserve">16802-02-20 </w:t>
              </w:r>
            </w:hyperlink>
            <w:r w:rsidRPr="00BE2AEC">
              <w:rPr>
                <w:rFonts w:cs="FrankRuehl" w:hint="cs"/>
                <w:sz w:val="28"/>
                <w:szCs w:val="28"/>
                <w:rtl/>
              </w:rPr>
              <w:t xml:space="preserve"> </w:t>
            </w:r>
            <w:r w:rsidRPr="00BE2AEC">
              <w:rPr>
                <w:rFonts w:cs="FrankRuehl"/>
                <w:sz w:val="28"/>
                <w:szCs w:val="28"/>
                <w:rtl/>
              </w:rPr>
              <w:t>מדינת ישראל נ' דבעי</w:t>
            </w:r>
          </w:p>
          <w:p w14:paraId="024FAC3B" w14:textId="77777777" w:rsidR="00BC6973" w:rsidRPr="00BE2AEC" w:rsidRDefault="00BC6973" w:rsidP="004F286C">
            <w:pPr>
              <w:pStyle w:val="a3"/>
              <w:rPr>
                <w:rFonts w:cs="FrankRuehl"/>
                <w:sz w:val="28"/>
                <w:szCs w:val="28"/>
                <w:rtl/>
              </w:rPr>
            </w:pPr>
          </w:p>
        </w:tc>
        <w:tc>
          <w:tcPr>
            <w:tcW w:w="3667" w:type="dxa"/>
          </w:tcPr>
          <w:p w14:paraId="458F0E67" w14:textId="77777777" w:rsidR="00BC6973" w:rsidRPr="00BE2AEC" w:rsidRDefault="00BC6973" w:rsidP="004F286C">
            <w:pPr>
              <w:pStyle w:val="a3"/>
              <w:jc w:val="right"/>
              <w:rPr>
                <w:rFonts w:cs="FrankRuehl"/>
                <w:sz w:val="28"/>
                <w:szCs w:val="28"/>
                <w:rtl/>
              </w:rPr>
            </w:pPr>
          </w:p>
        </w:tc>
      </w:tr>
    </w:tbl>
    <w:p w14:paraId="539372E2" w14:textId="77777777" w:rsidR="00BC6973" w:rsidRPr="00BE2AEC" w:rsidRDefault="00BC6973" w:rsidP="00BC6973">
      <w:pPr>
        <w:pStyle w:val="a3"/>
        <w:rPr>
          <w:rtl/>
        </w:rPr>
      </w:pPr>
      <w:r w:rsidRPr="00BE2AEC">
        <w:rPr>
          <w:rFonts w:hint="cs"/>
          <w:rtl/>
        </w:rPr>
        <w:t xml:space="preserve"> </w:t>
      </w:r>
    </w:p>
    <w:p w14:paraId="5AAB32B9" w14:textId="77777777" w:rsidR="00BC6973" w:rsidRPr="00BE2AEC" w:rsidRDefault="00BC6973" w:rsidP="00BC6973">
      <w:pPr>
        <w:rPr>
          <w:b/>
          <w:bCs/>
          <w:rtl/>
        </w:rPr>
      </w:pPr>
    </w:p>
    <w:p w14:paraId="74C5CF40" w14:textId="77777777" w:rsidR="00BC6973" w:rsidRPr="00BE2AEC" w:rsidRDefault="00BC6973" w:rsidP="00BC6973">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C6973" w:rsidRPr="00BE2AEC" w14:paraId="75C69B94" w14:textId="77777777" w:rsidTr="00BC6973">
        <w:trPr>
          <w:trHeight w:val="295"/>
          <w:jc w:val="center"/>
        </w:trPr>
        <w:tc>
          <w:tcPr>
            <w:tcW w:w="923" w:type="dxa"/>
            <w:tcBorders>
              <w:top w:val="nil"/>
              <w:left w:val="nil"/>
              <w:bottom w:val="nil"/>
              <w:right w:val="nil"/>
            </w:tcBorders>
            <w:shd w:val="clear" w:color="auto" w:fill="auto"/>
          </w:tcPr>
          <w:p w14:paraId="63ACC79A" w14:textId="77777777" w:rsidR="00BC6973" w:rsidRPr="00BE2AEC" w:rsidRDefault="00BC6973" w:rsidP="00BC6973">
            <w:pPr>
              <w:jc w:val="both"/>
              <w:rPr>
                <w:rFonts w:ascii="David" w:hAnsi="David"/>
                <w:b/>
                <w:bCs/>
                <w:sz w:val="26"/>
                <w:szCs w:val="26"/>
              </w:rPr>
            </w:pPr>
            <w:r w:rsidRPr="00BE2AEC">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6725ACC" w14:textId="77777777" w:rsidR="00BC6973" w:rsidRPr="00BE2AEC" w:rsidRDefault="00BC6973" w:rsidP="004F286C">
            <w:pPr>
              <w:rPr>
                <w:rFonts w:ascii="David" w:hAnsi="David"/>
                <w:b/>
                <w:bCs/>
                <w:sz w:val="26"/>
                <w:szCs w:val="26"/>
                <w:rtl/>
              </w:rPr>
            </w:pPr>
            <w:r w:rsidRPr="00BE2AEC">
              <w:rPr>
                <w:rFonts w:ascii="David" w:hAnsi="David"/>
                <w:b/>
                <w:bCs/>
                <w:sz w:val="26"/>
                <w:szCs w:val="26"/>
                <w:rtl/>
              </w:rPr>
              <w:t>כבוד השופטת  ג'ויה סקפה שפירא</w:t>
            </w:r>
          </w:p>
          <w:p w14:paraId="1C124DFB" w14:textId="77777777" w:rsidR="00BC6973" w:rsidRPr="00BE2AEC" w:rsidRDefault="00BC6973" w:rsidP="004F286C">
            <w:pPr>
              <w:rPr>
                <w:rFonts w:ascii="David" w:hAnsi="David"/>
                <w:b/>
                <w:bCs/>
                <w:sz w:val="26"/>
                <w:szCs w:val="26"/>
                <w:rtl/>
              </w:rPr>
            </w:pPr>
          </w:p>
          <w:p w14:paraId="0546520E" w14:textId="77777777" w:rsidR="00BC6973" w:rsidRPr="00BE2AEC" w:rsidRDefault="00BC6973" w:rsidP="00BC6973">
            <w:pPr>
              <w:jc w:val="both"/>
              <w:rPr>
                <w:rFonts w:ascii="David" w:hAnsi="David"/>
                <w:b/>
                <w:bCs/>
                <w:sz w:val="26"/>
                <w:szCs w:val="26"/>
              </w:rPr>
            </w:pPr>
          </w:p>
        </w:tc>
      </w:tr>
      <w:tr w:rsidR="00BC6973" w:rsidRPr="00BE2AEC" w14:paraId="7267F1DF" w14:textId="77777777" w:rsidTr="00BC6973">
        <w:trPr>
          <w:trHeight w:val="355"/>
          <w:jc w:val="center"/>
        </w:trPr>
        <w:tc>
          <w:tcPr>
            <w:tcW w:w="923" w:type="dxa"/>
            <w:tcBorders>
              <w:top w:val="nil"/>
              <w:left w:val="nil"/>
              <w:bottom w:val="nil"/>
              <w:right w:val="nil"/>
            </w:tcBorders>
            <w:shd w:val="clear" w:color="auto" w:fill="auto"/>
          </w:tcPr>
          <w:p w14:paraId="5F4B7B51" w14:textId="77777777" w:rsidR="00BC6973" w:rsidRPr="00BE2AEC" w:rsidRDefault="00BC6973" w:rsidP="00BC6973">
            <w:pPr>
              <w:jc w:val="both"/>
              <w:rPr>
                <w:rFonts w:ascii="David" w:hAnsi="David"/>
                <w:b/>
                <w:bCs/>
                <w:sz w:val="26"/>
                <w:szCs w:val="26"/>
              </w:rPr>
            </w:pPr>
            <w:bookmarkStart w:id="1" w:name="FirstAppellant"/>
            <w:r w:rsidRPr="00BE2AEC">
              <w:rPr>
                <w:rFonts w:ascii="David" w:hAnsi="David"/>
                <w:b/>
                <w:bCs/>
                <w:sz w:val="26"/>
                <w:szCs w:val="26"/>
                <w:rtl/>
              </w:rPr>
              <w:t>בעניין:</w:t>
            </w:r>
          </w:p>
        </w:tc>
        <w:tc>
          <w:tcPr>
            <w:tcW w:w="4126" w:type="dxa"/>
            <w:tcBorders>
              <w:top w:val="nil"/>
              <w:left w:val="nil"/>
              <w:bottom w:val="nil"/>
              <w:right w:val="nil"/>
            </w:tcBorders>
            <w:shd w:val="clear" w:color="auto" w:fill="auto"/>
          </w:tcPr>
          <w:p w14:paraId="6DC6CAAF" w14:textId="77777777" w:rsidR="00BC6973" w:rsidRPr="00BE2AEC" w:rsidRDefault="00BC6973" w:rsidP="004F286C">
            <w:pPr>
              <w:rPr>
                <w:rFonts w:ascii="David" w:hAnsi="David"/>
                <w:b/>
                <w:bCs/>
                <w:sz w:val="26"/>
                <w:szCs w:val="26"/>
              </w:rPr>
            </w:pPr>
            <w:r w:rsidRPr="00BE2AEC">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E5A89DD" w14:textId="77777777" w:rsidR="00BC6973" w:rsidRPr="00BE2AEC" w:rsidRDefault="00BC6973" w:rsidP="00BC6973">
            <w:pPr>
              <w:jc w:val="both"/>
              <w:rPr>
                <w:rFonts w:ascii="David" w:hAnsi="David"/>
                <w:b/>
                <w:bCs/>
                <w:sz w:val="26"/>
                <w:szCs w:val="26"/>
              </w:rPr>
            </w:pPr>
          </w:p>
        </w:tc>
      </w:tr>
      <w:tr w:rsidR="00BC6973" w:rsidRPr="00BE2AEC" w14:paraId="240093B1" w14:textId="77777777" w:rsidTr="00BC6973">
        <w:trPr>
          <w:trHeight w:val="355"/>
          <w:jc w:val="center"/>
        </w:trPr>
        <w:tc>
          <w:tcPr>
            <w:tcW w:w="923" w:type="dxa"/>
            <w:tcBorders>
              <w:top w:val="nil"/>
              <w:left w:val="nil"/>
              <w:bottom w:val="nil"/>
              <w:right w:val="nil"/>
            </w:tcBorders>
            <w:shd w:val="clear" w:color="auto" w:fill="auto"/>
          </w:tcPr>
          <w:p w14:paraId="18B6EB54" w14:textId="77777777" w:rsidR="00BC6973" w:rsidRPr="00BE2AEC" w:rsidRDefault="00BC6973" w:rsidP="00BC6973">
            <w:pPr>
              <w:jc w:val="both"/>
              <w:rPr>
                <w:rFonts w:ascii="David" w:hAnsi="David"/>
                <w:b/>
                <w:bCs/>
                <w:sz w:val="26"/>
                <w:szCs w:val="26"/>
                <w:rtl/>
              </w:rPr>
            </w:pPr>
            <w:bookmarkStart w:id="2" w:name="FirstLawyer"/>
            <w:bookmarkEnd w:id="1"/>
          </w:p>
        </w:tc>
        <w:tc>
          <w:tcPr>
            <w:tcW w:w="4126" w:type="dxa"/>
            <w:tcBorders>
              <w:top w:val="nil"/>
              <w:left w:val="nil"/>
              <w:bottom w:val="nil"/>
              <w:right w:val="nil"/>
            </w:tcBorders>
            <w:shd w:val="clear" w:color="auto" w:fill="auto"/>
          </w:tcPr>
          <w:p w14:paraId="3C6EBDF9" w14:textId="77777777" w:rsidR="00BC6973" w:rsidRPr="00BE2AEC" w:rsidRDefault="00BC6973" w:rsidP="00BC6973">
            <w:pPr>
              <w:jc w:val="both"/>
              <w:rPr>
                <w:rFonts w:ascii="David" w:hAnsi="David"/>
                <w:b/>
                <w:bCs/>
                <w:sz w:val="26"/>
                <w:szCs w:val="26"/>
                <w:rtl/>
              </w:rPr>
            </w:pPr>
            <w:r w:rsidRPr="00BE2AEC">
              <w:rPr>
                <w:rFonts w:ascii="David" w:hAnsi="David" w:hint="cs"/>
                <w:b/>
                <w:bCs/>
                <w:sz w:val="26"/>
                <w:szCs w:val="26"/>
                <w:rtl/>
              </w:rPr>
              <w:t xml:space="preserve">ע"י ב"כ עו"ד רינת בן יעקב </w:t>
            </w:r>
          </w:p>
        </w:tc>
        <w:tc>
          <w:tcPr>
            <w:tcW w:w="3771" w:type="dxa"/>
            <w:tcBorders>
              <w:top w:val="nil"/>
              <w:left w:val="nil"/>
              <w:bottom w:val="nil"/>
              <w:right w:val="nil"/>
            </w:tcBorders>
            <w:shd w:val="clear" w:color="auto" w:fill="auto"/>
          </w:tcPr>
          <w:p w14:paraId="7F7AC5BB" w14:textId="77777777" w:rsidR="00BC6973" w:rsidRPr="00BE2AEC" w:rsidRDefault="00BC6973" w:rsidP="00BC6973">
            <w:pPr>
              <w:jc w:val="right"/>
              <w:rPr>
                <w:rFonts w:ascii="David" w:hAnsi="David"/>
                <w:b/>
                <w:bCs/>
                <w:sz w:val="26"/>
                <w:szCs w:val="26"/>
                <w:rtl/>
              </w:rPr>
            </w:pPr>
            <w:r w:rsidRPr="00BE2AEC">
              <w:rPr>
                <w:rFonts w:ascii="David" w:hAnsi="David"/>
                <w:b/>
                <w:bCs/>
                <w:sz w:val="26"/>
                <w:szCs w:val="26"/>
                <w:rtl/>
              </w:rPr>
              <w:t>המאשימה</w:t>
            </w:r>
          </w:p>
        </w:tc>
      </w:tr>
      <w:bookmarkEnd w:id="2"/>
      <w:tr w:rsidR="00BC6973" w:rsidRPr="00BE2AEC" w14:paraId="41F06614" w14:textId="77777777" w:rsidTr="00BC6973">
        <w:trPr>
          <w:trHeight w:val="355"/>
          <w:jc w:val="center"/>
        </w:trPr>
        <w:tc>
          <w:tcPr>
            <w:tcW w:w="923" w:type="dxa"/>
            <w:tcBorders>
              <w:top w:val="nil"/>
              <w:left w:val="nil"/>
              <w:bottom w:val="nil"/>
              <w:right w:val="nil"/>
            </w:tcBorders>
            <w:shd w:val="clear" w:color="auto" w:fill="auto"/>
          </w:tcPr>
          <w:p w14:paraId="452EB169" w14:textId="77777777" w:rsidR="00BC6973" w:rsidRPr="00BE2AEC" w:rsidRDefault="00BC6973" w:rsidP="00BC6973">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B58E742" w14:textId="77777777" w:rsidR="00BC6973" w:rsidRPr="00BE2AEC" w:rsidRDefault="00BC6973" w:rsidP="00BC6973">
            <w:pPr>
              <w:jc w:val="center"/>
              <w:rPr>
                <w:rFonts w:ascii="David" w:hAnsi="David"/>
                <w:b/>
                <w:bCs/>
                <w:sz w:val="26"/>
                <w:szCs w:val="26"/>
                <w:rtl/>
              </w:rPr>
            </w:pPr>
          </w:p>
          <w:p w14:paraId="0CAC87DA" w14:textId="77777777" w:rsidR="00BC6973" w:rsidRPr="00BE2AEC" w:rsidRDefault="00BC6973" w:rsidP="00BC6973">
            <w:pPr>
              <w:jc w:val="center"/>
              <w:rPr>
                <w:rFonts w:ascii="David" w:hAnsi="David"/>
                <w:b/>
                <w:bCs/>
                <w:sz w:val="26"/>
                <w:szCs w:val="26"/>
                <w:rtl/>
              </w:rPr>
            </w:pPr>
            <w:r w:rsidRPr="00BE2AEC">
              <w:rPr>
                <w:rFonts w:ascii="David" w:hAnsi="David"/>
                <w:b/>
                <w:bCs/>
                <w:sz w:val="26"/>
                <w:szCs w:val="26"/>
                <w:rtl/>
              </w:rPr>
              <w:t>נגד</w:t>
            </w:r>
          </w:p>
          <w:p w14:paraId="51E46480" w14:textId="77777777" w:rsidR="00BC6973" w:rsidRPr="00BE2AEC" w:rsidRDefault="00BC6973" w:rsidP="00BC6973">
            <w:pPr>
              <w:jc w:val="both"/>
              <w:rPr>
                <w:rFonts w:ascii="David" w:hAnsi="David"/>
                <w:b/>
                <w:bCs/>
                <w:sz w:val="26"/>
                <w:szCs w:val="26"/>
              </w:rPr>
            </w:pPr>
          </w:p>
        </w:tc>
      </w:tr>
      <w:tr w:rsidR="00BC6973" w:rsidRPr="00BE2AEC" w14:paraId="66C410B1" w14:textId="77777777" w:rsidTr="00BC6973">
        <w:trPr>
          <w:trHeight w:val="355"/>
          <w:jc w:val="center"/>
        </w:trPr>
        <w:tc>
          <w:tcPr>
            <w:tcW w:w="923" w:type="dxa"/>
            <w:tcBorders>
              <w:top w:val="nil"/>
              <w:left w:val="nil"/>
              <w:bottom w:val="nil"/>
              <w:right w:val="nil"/>
            </w:tcBorders>
            <w:shd w:val="clear" w:color="auto" w:fill="auto"/>
          </w:tcPr>
          <w:p w14:paraId="3E88F677" w14:textId="77777777" w:rsidR="00BC6973" w:rsidRPr="00BE2AEC" w:rsidRDefault="00BC6973" w:rsidP="004F286C">
            <w:pPr>
              <w:rPr>
                <w:rFonts w:ascii="David" w:hAnsi="David"/>
                <w:b/>
                <w:bCs/>
                <w:sz w:val="26"/>
                <w:szCs w:val="26"/>
                <w:rtl/>
              </w:rPr>
            </w:pPr>
          </w:p>
        </w:tc>
        <w:tc>
          <w:tcPr>
            <w:tcW w:w="4126" w:type="dxa"/>
            <w:tcBorders>
              <w:top w:val="nil"/>
              <w:left w:val="nil"/>
              <w:bottom w:val="nil"/>
              <w:right w:val="nil"/>
            </w:tcBorders>
            <w:shd w:val="clear" w:color="auto" w:fill="auto"/>
          </w:tcPr>
          <w:p w14:paraId="27640DF8" w14:textId="77777777" w:rsidR="00BC6973" w:rsidRPr="00BE2AEC" w:rsidRDefault="00BC6973" w:rsidP="004F286C">
            <w:pPr>
              <w:rPr>
                <w:rFonts w:ascii="David" w:hAnsi="David"/>
                <w:b/>
                <w:bCs/>
                <w:sz w:val="26"/>
                <w:szCs w:val="26"/>
                <w:rtl/>
              </w:rPr>
            </w:pPr>
            <w:r w:rsidRPr="00BE2AEC">
              <w:rPr>
                <w:rFonts w:ascii="David" w:hAnsi="David"/>
                <w:b/>
                <w:bCs/>
                <w:sz w:val="26"/>
                <w:szCs w:val="26"/>
                <w:rtl/>
              </w:rPr>
              <w:t>טארק דבעי</w:t>
            </w:r>
          </w:p>
        </w:tc>
        <w:tc>
          <w:tcPr>
            <w:tcW w:w="3771" w:type="dxa"/>
            <w:tcBorders>
              <w:top w:val="nil"/>
              <w:left w:val="nil"/>
              <w:bottom w:val="nil"/>
              <w:right w:val="nil"/>
            </w:tcBorders>
            <w:shd w:val="clear" w:color="auto" w:fill="auto"/>
          </w:tcPr>
          <w:p w14:paraId="4478BBA9" w14:textId="77777777" w:rsidR="00BC6973" w:rsidRPr="00BE2AEC" w:rsidRDefault="00BC6973" w:rsidP="00BC6973">
            <w:pPr>
              <w:jc w:val="right"/>
              <w:rPr>
                <w:rFonts w:ascii="David" w:hAnsi="David"/>
                <w:b/>
                <w:bCs/>
                <w:sz w:val="26"/>
                <w:szCs w:val="26"/>
              </w:rPr>
            </w:pPr>
          </w:p>
        </w:tc>
      </w:tr>
      <w:tr w:rsidR="00BC6973" w:rsidRPr="00BE2AEC" w14:paraId="3689F0DC" w14:textId="77777777" w:rsidTr="00BC6973">
        <w:trPr>
          <w:trHeight w:val="355"/>
          <w:jc w:val="center"/>
        </w:trPr>
        <w:tc>
          <w:tcPr>
            <w:tcW w:w="923" w:type="dxa"/>
            <w:tcBorders>
              <w:top w:val="nil"/>
              <w:left w:val="nil"/>
              <w:bottom w:val="nil"/>
              <w:right w:val="nil"/>
            </w:tcBorders>
            <w:shd w:val="clear" w:color="auto" w:fill="auto"/>
          </w:tcPr>
          <w:p w14:paraId="0AC14F63" w14:textId="77777777" w:rsidR="00BC6973" w:rsidRPr="00BE2AEC" w:rsidRDefault="00BC6973" w:rsidP="00BC6973">
            <w:pPr>
              <w:jc w:val="both"/>
              <w:rPr>
                <w:rFonts w:ascii="David" w:hAnsi="David"/>
                <w:b/>
                <w:bCs/>
                <w:sz w:val="26"/>
                <w:szCs w:val="26"/>
                <w:rtl/>
              </w:rPr>
            </w:pPr>
          </w:p>
        </w:tc>
        <w:tc>
          <w:tcPr>
            <w:tcW w:w="4126" w:type="dxa"/>
            <w:tcBorders>
              <w:top w:val="nil"/>
              <w:left w:val="nil"/>
              <w:bottom w:val="nil"/>
              <w:right w:val="nil"/>
            </w:tcBorders>
            <w:shd w:val="clear" w:color="auto" w:fill="auto"/>
          </w:tcPr>
          <w:p w14:paraId="350F50D2" w14:textId="77777777" w:rsidR="00BC6973" w:rsidRPr="00BE2AEC" w:rsidRDefault="00BC6973" w:rsidP="00BC6973">
            <w:pPr>
              <w:jc w:val="both"/>
              <w:rPr>
                <w:rFonts w:ascii="David" w:hAnsi="David"/>
                <w:b/>
                <w:bCs/>
                <w:sz w:val="26"/>
                <w:szCs w:val="26"/>
                <w:rtl/>
              </w:rPr>
            </w:pPr>
            <w:r w:rsidRPr="00BE2AEC">
              <w:rPr>
                <w:rFonts w:ascii="David" w:hAnsi="David" w:hint="cs"/>
                <w:b/>
                <w:bCs/>
                <w:sz w:val="26"/>
                <w:szCs w:val="26"/>
                <w:rtl/>
              </w:rPr>
              <w:t>ע"י ב"כ עו"ד גיורא זילברשטיין</w:t>
            </w:r>
          </w:p>
        </w:tc>
        <w:tc>
          <w:tcPr>
            <w:tcW w:w="3771" w:type="dxa"/>
            <w:tcBorders>
              <w:top w:val="nil"/>
              <w:left w:val="nil"/>
              <w:bottom w:val="nil"/>
              <w:right w:val="nil"/>
            </w:tcBorders>
            <w:shd w:val="clear" w:color="auto" w:fill="auto"/>
          </w:tcPr>
          <w:p w14:paraId="279C698C" w14:textId="77777777" w:rsidR="00BC6973" w:rsidRPr="00BE2AEC" w:rsidRDefault="00BC6973" w:rsidP="00BC6973">
            <w:pPr>
              <w:jc w:val="right"/>
              <w:rPr>
                <w:rFonts w:ascii="David" w:hAnsi="David"/>
                <w:b/>
                <w:bCs/>
                <w:sz w:val="26"/>
                <w:szCs w:val="26"/>
              </w:rPr>
            </w:pPr>
            <w:r w:rsidRPr="00BE2AEC">
              <w:rPr>
                <w:rFonts w:ascii="David" w:hAnsi="David"/>
                <w:b/>
                <w:bCs/>
                <w:sz w:val="26"/>
                <w:szCs w:val="26"/>
                <w:rtl/>
              </w:rPr>
              <w:t>הנאשם</w:t>
            </w:r>
          </w:p>
        </w:tc>
      </w:tr>
    </w:tbl>
    <w:p w14:paraId="64E9E8F5" w14:textId="77777777" w:rsidR="00326116" w:rsidRDefault="00326116" w:rsidP="00BC6973">
      <w:pPr>
        <w:rPr>
          <w:rtl/>
        </w:rPr>
      </w:pPr>
    </w:p>
    <w:p w14:paraId="7C9AF251" w14:textId="77777777" w:rsidR="00326116" w:rsidRPr="00326116" w:rsidRDefault="00326116" w:rsidP="00326116">
      <w:pPr>
        <w:spacing w:after="120" w:line="240" w:lineRule="exact"/>
        <w:ind w:left="283" w:hanging="283"/>
        <w:jc w:val="both"/>
        <w:rPr>
          <w:rFonts w:ascii="FrankRuehl" w:hAnsi="FrankRuehl" w:cs="FrankRuehl"/>
          <w:rtl/>
        </w:rPr>
      </w:pPr>
    </w:p>
    <w:p w14:paraId="5F4EFC2B" w14:textId="77777777" w:rsidR="00CA57E4" w:rsidRPr="00CA57E4" w:rsidRDefault="00CA57E4" w:rsidP="00CA57E4">
      <w:pPr>
        <w:spacing w:before="120" w:after="120" w:line="240" w:lineRule="exact"/>
        <w:ind w:left="283" w:hanging="283"/>
        <w:jc w:val="both"/>
        <w:rPr>
          <w:rFonts w:ascii="FrankRuehl" w:hAnsi="FrankRuehl" w:cs="FrankRuehl"/>
          <w:rtl/>
        </w:rPr>
      </w:pPr>
    </w:p>
    <w:p w14:paraId="742CE971" w14:textId="77777777" w:rsidR="00FD5003" w:rsidRDefault="00FD5003" w:rsidP="00FD5003">
      <w:pPr>
        <w:rPr>
          <w:rFonts w:ascii="Arial" w:hAnsi="Arial"/>
          <w:sz w:val="26"/>
          <w:szCs w:val="26"/>
          <w:rtl/>
        </w:rPr>
      </w:pPr>
      <w:bookmarkStart w:id="3" w:name="LawTable"/>
      <w:bookmarkEnd w:id="3"/>
    </w:p>
    <w:p w14:paraId="7A047C7F" w14:textId="77777777" w:rsidR="00FD5003" w:rsidRPr="00FD5003" w:rsidRDefault="00FD5003" w:rsidP="00FD5003">
      <w:pPr>
        <w:spacing w:before="120" w:after="120" w:line="240" w:lineRule="exact"/>
        <w:ind w:left="283" w:hanging="283"/>
        <w:jc w:val="both"/>
        <w:rPr>
          <w:rFonts w:ascii="FrankRuehl" w:hAnsi="FrankRuehl" w:cs="FrankRuehl"/>
          <w:rtl/>
        </w:rPr>
      </w:pPr>
    </w:p>
    <w:p w14:paraId="19291C6F" w14:textId="77777777" w:rsidR="00FD5003" w:rsidRPr="00FD5003" w:rsidRDefault="00FD5003" w:rsidP="00FD5003">
      <w:pPr>
        <w:spacing w:before="120" w:after="120" w:line="240" w:lineRule="exact"/>
        <w:ind w:left="283" w:hanging="283"/>
        <w:jc w:val="both"/>
        <w:rPr>
          <w:rFonts w:ascii="FrankRuehl" w:hAnsi="FrankRuehl" w:cs="FrankRuehl"/>
          <w:rtl/>
        </w:rPr>
      </w:pPr>
    </w:p>
    <w:p w14:paraId="59349162" w14:textId="77777777" w:rsidR="00FD5003" w:rsidRPr="00FD5003" w:rsidRDefault="00FD5003" w:rsidP="00FD5003">
      <w:pPr>
        <w:spacing w:before="120" w:after="120" w:line="240" w:lineRule="exact"/>
        <w:ind w:left="283" w:hanging="283"/>
        <w:jc w:val="both"/>
        <w:rPr>
          <w:rFonts w:ascii="FrankRuehl" w:hAnsi="FrankRuehl" w:cs="FrankRuehl"/>
          <w:rtl/>
        </w:rPr>
      </w:pPr>
      <w:r w:rsidRPr="00FD5003">
        <w:rPr>
          <w:rFonts w:ascii="FrankRuehl" w:hAnsi="FrankRuehl" w:cs="FrankRuehl"/>
          <w:rtl/>
        </w:rPr>
        <w:t xml:space="preserve">חקיקה שאוזכרה: </w:t>
      </w:r>
    </w:p>
    <w:p w14:paraId="50BA4C3E" w14:textId="77777777" w:rsidR="00FD5003" w:rsidRPr="00FD5003" w:rsidRDefault="00FD5003" w:rsidP="00FD5003">
      <w:pPr>
        <w:spacing w:before="120" w:after="120" w:line="240" w:lineRule="exact"/>
        <w:ind w:left="283" w:hanging="283"/>
        <w:jc w:val="both"/>
        <w:rPr>
          <w:rFonts w:ascii="FrankRuehl" w:hAnsi="FrankRuehl" w:cs="FrankRuehl"/>
          <w:rtl/>
        </w:rPr>
      </w:pPr>
      <w:hyperlink r:id="rId8" w:history="1">
        <w:r w:rsidRPr="00FD5003">
          <w:rPr>
            <w:rFonts w:ascii="FrankRuehl" w:hAnsi="FrankRuehl" w:cs="FrankRuehl"/>
            <w:color w:val="0000FF"/>
            <w:rtl/>
          </w:rPr>
          <w:t>פקודת הסמים המסוכנים [נוסח חדש], תשל"ג-1973</w:t>
        </w:r>
      </w:hyperlink>
    </w:p>
    <w:p w14:paraId="160BD917" w14:textId="77777777" w:rsidR="00FD5003" w:rsidRPr="00FD5003" w:rsidRDefault="00FD5003" w:rsidP="00FD5003">
      <w:pPr>
        <w:rPr>
          <w:rFonts w:ascii="Arial" w:hAnsi="Arial"/>
          <w:sz w:val="26"/>
          <w:szCs w:val="26"/>
          <w:rtl/>
        </w:rPr>
      </w:pPr>
      <w:bookmarkStart w:id="4" w:name="LawTable_End"/>
      <w:bookmarkEnd w:id="4"/>
    </w:p>
    <w:p w14:paraId="5F9416C7" w14:textId="77777777" w:rsidR="00BC6973" w:rsidRPr="00CA57E4" w:rsidRDefault="00BC6973" w:rsidP="00CA57E4">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6973" w14:paraId="57C76564" w14:textId="77777777" w:rsidTr="00BC6973">
        <w:trPr>
          <w:trHeight w:val="355"/>
          <w:jc w:val="center"/>
        </w:trPr>
        <w:tc>
          <w:tcPr>
            <w:tcW w:w="8820" w:type="dxa"/>
            <w:tcBorders>
              <w:top w:val="nil"/>
              <w:left w:val="nil"/>
              <w:bottom w:val="nil"/>
              <w:right w:val="nil"/>
            </w:tcBorders>
            <w:shd w:val="clear" w:color="auto" w:fill="auto"/>
          </w:tcPr>
          <w:p w14:paraId="4F3ABED0" w14:textId="77777777" w:rsidR="00BE2AEC" w:rsidRPr="00BE2AEC" w:rsidRDefault="00BE2AEC" w:rsidP="00BE2AEC">
            <w:pPr>
              <w:jc w:val="center"/>
              <w:rPr>
                <w:rFonts w:ascii="David" w:hAnsi="David"/>
                <w:b/>
                <w:bCs/>
                <w:sz w:val="32"/>
                <w:szCs w:val="32"/>
                <w:u w:val="single"/>
                <w:rtl/>
              </w:rPr>
            </w:pPr>
            <w:bookmarkStart w:id="5" w:name="PsakDin" w:colFirst="0" w:colLast="0"/>
            <w:bookmarkEnd w:id="0"/>
            <w:r w:rsidRPr="00BE2AEC">
              <w:rPr>
                <w:rFonts w:ascii="David" w:hAnsi="David"/>
                <w:b/>
                <w:bCs/>
                <w:sz w:val="32"/>
                <w:szCs w:val="32"/>
                <w:u w:val="single"/>
                <w:rtl/>
              </w:rPr>
              <w:t>גזר דין</w:t>
            </w:r>
          </w:p>
          <w:p w14:paraId="1BB70855" w14:textId="77777777" w:rsidR="00BC6973" w:rsidRPr="00BE2AEC" w:rsidRDefault="00BC6973" w:rsidP="00BE2AEC">
            <w:pPr>
              <w:jc w:val="center"/>
              <w:rPr>
                <w:rFonts w:ascii="David" w:hAnsi="David"/>
                <w:bCs/>
                <w:sz w:val="32"/>
                <w:szCs w:val="32"/>
                <w:u w:val="single"/>
                <w:rtl/>
              </w:rPr>
            </w:pPr>
          </w:p>
        </w:tc>
      </w:tr>
      <w:bookmarkEnd w:id="5"/>
    </w:tbl>
    <w:p w14:paraId="1789963B" w14:textId="77777777" w:rsidR="00BC6973" w:rsidRDefault="00BC6973" w:rsidP="00BC6973">
      <w:pPr>
        <w:rPr>
          <w:rFonts w:ascii="Arial" w:hAnsi="Arial"/>
          <w:sz w:val="26"/>
          <w:szCs w:val="26"/>
          <w:rtl/>
        </w:rPr>
      </w:pPr>
    </w:p>
    <w:p w14:paraId="1455144D" w14:textId="77777777" w:rsidR="00BC6973" w:rsidRPr="00DA5B49" w:rsidRDefault="00BC6973" w:rsidP="00BC6973">
      <w:pPr>
        <w:spacing w:line="360" w:lineRule="auto"/>
        <w:jc w:val="both"/>
        <w:rPr>
          <w:rFonts w:ascii="Arial" w:hAnsi="Arial"/>
          <w:b/>
          <w:bCs/>
          <w:sz w:val="26"/>
          <w:u w:val="single"/>
          <w:rtl/>
        </w:rPr>
      </w:pPr>
      <w:r w:rsidRPr="00DA5B49">
        <w:rPr>
          <w:rFonts w:ascii="Arial" w:hAnsi="Arial" w:hint="cs"/>
          <w:b/>
          <w:bCs/>
          <w:sz w:val="26"/>
          <w:u w:val="single"/>
          <w:rtl/>
        </w:rPr>
        <w:t>כללי</w:t>
      </w:r>
    </w:p>
    <w:p w14:paraId="1EF890A9" w14:textId="77777777" w:rsidR="00BC6973" w:rsidRPr="003C01DE" w:rsidRDefault="00BC6973" w:rsidP="00BC6973">
      <w:pPr>
        <w:pStyle w:val="a9"/>
        <w:numPr>
          <w:ilvl w:val="0"/>
          <w:numId w:val="1"/>
        </w:numPr>
        <w:spacing w:line="360" w:lineRule="auto"/>
        <w:jc w:val="both"/>
        <w:rPr>
          <w:sz w:val="26"/>
        </w:rPr>
      </w:pPr>
      <w:bookmarkStart w:id="6" w:name="ABSTRACT_START"/>
      <w:bookmarkEnd w:id="6"/>
      <w:r w:rsidRPr="00DA5B49">
        <w:rPr>
          <w:rFonts w:ascii="Arial" w:hAnsi="Arial" w:hint="cs"/>
          <w:sz w:val="26"/>
          <w:rtl/>
        </w:rPr>
        <w:t>הנאשם הורשע</w:t>
      </w:r>
      <w:r>
        <w:rPr>
          <w:rFonts w:ascii="Arial" w:hAnsi="Arial" w:hint="cs"/>
          <w:sz w:val="26"/>
          <w:rtl/>
        </w:rPr>
        <w:t>,</w:t>
      </w:r>
      <w:r w:rsidRPr="00DA5B49">
        <w:rPr>
          <w:rFonts w:ascii="Arial" w:hAnsi="Arial" w:hint="cs"/>
          <w:sz w:val="26"/>
          <w:rtl/>
        </w:rPr>
        <w:t xml:space="preserve"> על פי הודאתו בעובדות כתב אישום מתוקן, בעבירת סחר בסם מסוכן. </w:t>
      </w:r>
    </w:p>
    <w:p w14:paraId="40D27032" w14:textId="77777777" w:rsidR="00BC6973" w:rsidRDefault="00BC6973" w:rsidP="00BC6973">
      <w:pPr>
        <w:pStyle w:val="a9"/>
        <w:spacing w:line="360" w:lineRule="auto"/>
        <w:jc w:val="both"/>
        <w:rPr>
          <w:sz w:val="26"/>
        </w:rPr>
      </w:pPr>
      <w:r w:rsidRPr="00DA5B49">
        <w:rPr>
          <w:rFonts w:ascii="Arial" w:hAnsi="Arial" w:hint="cs"/>
          <w:sz w:val="26"/>
          <w:rtl/>
        </w:rPr>
        <w:t xml:space="preserve">ביום 4.1.20, התקשר סוכן משטרתי סמוי שפעל בשליחות משטרת ישראל לאדם שכינויו </w:t>
      </w:r>
      <w:r>
        <w:rPr>
          <w:rFonts w:ascii="Arial" w:hAnsi="Arial" w:hint="cs"/>
          <w:sz w:val="26"/>
          <w:rtl/>
        </w:rPr>
        <w:t>"</w:t>
      </w:r>
      <w:r w:rsidRPr="00DA5B49">
        <w:rPr>
          <w:rFonts w:ascii="Arial" w:hAnsi="Arial" w:hint="cs"/>
          <w:sz w:val="26"/>
          <w:rtl/>
        </w:rPr>
        <w:t>חודיפה</w:t>
      </w:r>
      <w:r>
        <w:rPr>
          <w:rFonts w:ascii="Arial" w:hAnsi="Arial" w:hint="cs"/>
          <w:sz w:val="26"/>
          <w:rtl/>
        </w:rPr>
        <w:t>"</w:t>
      </w:r>
      <w:r w:rsidRPr="00DA5B49">
        <w:rPr>
          <w:rFonts w:ascii="Arial" w:hAnsi="Arial" w:hint="cs"/>
          <w:sz w:val="26"/>
          <w:rtl/>
        </w:rPr>
        <w:t xml:space="preserve"> </w:t>
      </w:r>
      <w:r w:rsidRPr="00DA5B49">
        <w:rPr>
          <w:rFonts w:hint="cs"/>
          <w:sz w:val="26"/>
          <w:rtl/>
        </w:rPr>
        <w:t>ובמהלך השיחה עדכן חודיפה את הסוכן כי הוא עתיד להיכנס לכלא למחרת היום וכי הוא "סידר" לסוכן בחור שימכור לו סמים מסוג קוקאין, אשר ממתין ל</w:t>
      </w:r>
      <w:r>
        <w:rPr>
          <w:rFonts w:hint="cs"/>
          <w:sz w:val="26"/>
          <w:rtl/>
        </w:rPr>
        <w:t xml:space="preserve">שיחת </w:t>
      </w:r>
      <w:r w:rsidRPr="00DA5B49">
        <w:rPr>
          <w:rFonts w:hint="cs"/>
          <w:sz w:val="26"/>
          <w:rtl/>
        </w:rPr>
        <w:t xml:space="preserve">טלפון ממנו. חודיפה שלח לסוכן את מספר הטלפון של הנאשם. </w:t>
      </w:r>
    </w:p>
    <w:p w14:paraId="64270EF8" w14:textId="77777777" w:rsidR="00BC6973" w:rsidRDefault="00BC6973" w:rsidP="00BC6973">
      <w:pPr>
        <w:pStyle w:val="a9"/>
        <w:spacing w:line="360" w:lineRule="auto"/>
        <w:jc w:val="both"/>
        <w:rPr>
          <w:sz w:val="26"/>
          <w:rtl/>
        </w:rPr>
      </w:pPr>
      <w:bookmarkStart w:id="7" w:name="ABSTRACT_END"/>
      <w:bookmarkEnd w:id="7"/>
      <w:r w:rsidRPr="00DA5B49">
        <w:rPr>
          <w:rFonts w:hint="cs"/>
          <w:sz w:val="26"/>
          <w:rtl/>
        </w:rPr>
        <w:t xml:space="preserve">באותו היום סמוך לשעה 18:30, התקשר הסוכן לנאשם והשניים קבעו להיפגש באופן מידי כדי לדון בפרטי עסקה לרכישת קוקאין על ידי הסוכן מהנאשם. </w:t>
      </w:r>
      <w:r>
        <w:rPr>
          <w:rFonts w:hint="cs"/>
          <w:sz w:val="26"/>
          <w:rtl/>
        </w:rPr>
        <w:t>הנאשם נסע מרמלה לירושלים, פגש בסוכן, אמר לו</w:t>
      </w:r>
      <w:r w:rsidRPr="00DA5B49">
        <w:rPr>
          <w:rFonts w:hint="cs"/>
          <w:sz w:val="26"/>
          <w:rtl/>
        </w:rPr>
        <w:t xml:space="preserve"> כי </w:t>
      </w:r>
      <w:r>
        <w:rPr>
          <w:rFonts w:hint="cs"/>
          <w:sz w:val="26"/>
          <w:rtl/>
        </w:rPr>
        <w:t xml:space="preserve">יש </w:t>
      </w:r>
      <w:r w:rsidRPr="00DA5B49">
        <w:rPr>
          <w:rFonts w:hint="cs"/>
          <w:sz w:val="26"/>
          <w:rtl/>
        </w:rPr>
        <w:t xml:space="preserve">ברשותו קוקאין </w:t>
      </w:r>
      <w:r>
        <w:rPr>
          <w:rFonts w:hint="cs"/>
          <w:sz w:val="26"/>
          <w:rtl/>
        </w:rPr>
        <w:t xml:space="preserve">שאותו מוכר </w:t>
      </w:r>
      <w:r w:rsidRPr="00DA5B49">
        <w:rPr>
          <w:rFonts w:hint="cs"/>
          <w:sz w:val="26"/>
          <w:rtl/>
        </w:rPr>
        <w:t>במחיר 400 ₪ לגרם</w:t>
      </w:r>
      <w:r>
        <w:rPr>
          <w:rFonts w:hint="cs"/>
          <w:sz w:val="26"/>
          <w:rtl/>
        </w:rPr>
        <w:t xml:space="preserve"> והשניים סיכמו כי למחרת היום הנאשם ימכור לסוכן 20 גרם קוקאין. </w:t>
      </w:r>
    </w:p>
    <w:p w14:paraId="49763402" w14:textId="77777777" w:rsidR="00BC6973" w:rsidRPr="00DA5B49" w:rsidRDefault="00BC6973" w:rsidP="00BC6973">
      <w:pPr>
        <w:pStyle w:val="a9"/>
        <w:spacing w:line="360" w:lineRule="auto"/>
        <w:jc w:val="both"/>
        <w:rPr>
          <w:sz w:val="26"/>
        </w:rPr>
      </w:pPr>
      <w:r w:rsidRPr="00DA5B49">
        <w:rPr>
          <w:rFonts w:hint="cs"/>
          <w:sz w:val="26"/>
          <w:rtl/>
        </w:rPr>
        <w:lastRenderedPageBreak/>
        <w:t xml:space="preserve">למחרת, ביום 5.1.20 סמוך לאחר השעה 16:00, בהתאם לסיכום ביניהם, התקשר הסוכן לנאשם והם קבעו להיפגש מאוחר יותר כדי להוציא את העסקה לפועל. באותו היום סמוך לשעה 19:15, נפגשו הנאשם והסוכן במחנה </w:t>
      </w:r>
      <w:r>
        <w:rPr>
          <w:rFonts w:hint="cs"/>
          <w:sz w:val="26"/>
          <w:rtl/>
        </w:rPr>
        <w:t>ה</w:t>
      </w:r>
      <w:r w:rsidRPr="00DA5B49">
        <w:rPr>
          <w:rFonts w:hint="cs"/>
          <w:sz w:val="26"/>
          <w:rtl/>
        </w:rPr>
        <w:t>פליטים שעפאט</w:t>
      </w:r>
      <w:r>
        <w:rPr>
          <w:rFonts w:hint="cs"/>
          <w:sz w:val="26"/>
          <w:rtl/>
        </w:rPr>
        <w:t xml:space="preserve"> בירושלים</w:t>
      </w:r>
      <w:r w:rsidRPr="00DA5B49">
        <w:rPr>
          <w:rFonts w:hint="cs"/>
          <w:sz w:val="26"/>
          <w:rtl/>
        </w:rPr>
        <w:t xml:space="preserve">, הנאשם מסר לסוכן שקית שקופה ובתוכה 18.7739 גרם </w:t>
      </w:r>
      <w:r>
        <w:rPr>
          <w:rFonts w:hint="cs"/>
          <w:sz w:val="26"/>
          <w:rtl/>
        </w:rPr>
        <w:t xml:space="preserve">סם מסוכן מסוג </w:t>
      </w:r>
      <w:r w:rsidRPr="00DA5B49">
        <w:rPr>
          <w:rFonts w:hint="cs"/>
          <w:sz w:val="26"/>
          <w:rtl/>
        </w:rPr>
        <w:t xml:space="preserve">קוקאין והסוכן שילם לו 8,000 ₪ במזומן. </w:t>
      </w:r>
    </w:p>
    <w:p w14:paraId="56B60A7D" w14:textId="77777777" w:rsidR="00BC6973" w:rsidRPr="00DA5B49" w:rsidRDefault="00BC6973" w:rsidP="00BC6973">
      <w:pPr>
        <w:pStyle w:val="a9"/>
        <w:jc w:val="both"/>
        <w:rPr>
          <w:sz w:val="26"/>
        </w:rPr>
      </w:pPr>
    </w:p>
    <w:p w14:paraId="20BD4E7B" w14:textId="77777777" w:rsidR="00BC6973" w:rsidRDefault="00BC6973" w:rsidP="00BC6973">
      <w:pPr>
        <w:pStyle w:val="a9"/>
        <w:numPr>
          <w:ilvl w:val="0"/>
          <w:numId w:val="1"/>
        </w:numPr>
        <w:spacing w:line="360" w:lineRule="auto"/>
        <w:jc w:val="both"/>
        <w:rPr>
          <w:sz w:val="26"/>
        </w:rPr>
      </w:pPr>
      <w:r w:rsidRPr="00DA5B49">
        <w:rPr>
          <w:rFonts w:hint="cs"/>
          <w:sz w:val="26"/>
          <w:rtl/>
        </w:rPr>
        <w:t>הצדדים הציגו הסדר דיוני שלפיו כתב האישום תוקן</w:t>
      </w:r>
      <w:r>
        <w:rPr>
          <w:rFonts w:hint="cs"/>
          <w:sz w:val="26"/>
          <w:rtl/>
        </w:rPr>
        <w:t>,</w:t>
      </w:r>
      <w:r w:rsidRPr="00DA5B49">
        <w:rPr>
          <w:rFonts w:hint="cs"/>
          <w:sz w:val="26"/>
          <w:rtl/>
        </w:rPr>
        <w:t xml:space="preserve"> הנאשם הודה במיוחס לו והורשע. לא נערך הסדר לענ</w:t>
      </w:r>
      <w:r>
        <w:rPr>
          <w:rFonts w:hint="cs"/>
          <w:sz w:val="26"/>
          <w:rtl/>
        </w:rPr>
        <w:t>י</w:t>
      </w:r>
      <w:r w:rsidRPr="00DA5B49">
        <w:rPr>
          <w:rFonts w:hint="cs"/>
          <w:sz w:val="26"/>
          <w:rtl/>
        </w:rPr>
        <w:t>ין העונש.</w:t>
      </w:r>
    </w:p>
    <w:p w14:paraId="19787BD5" w14:textId="77777777" w:rsidR="00BC6973" w:rsidRPr="00DA5B49" w:rsidRDefault="00BC6973" w:rsidP="00BC6973">
      <w:pPr>
        <w:pStyle w:val="a9"/>
        <w:jc w:val="both"/>
        <w:rPr>
          <w:sz w:val="26"/>
        </w:rPr>
      </w:pPr>
    </w:p>
    <w:p w14:paraId="3E33683B" w14:textId="77777777" w:rsidR="00BC6973" w:rsidRDefault="00BC6973" w:rsidP="00BC6973">
      <w:pPr>
        <w:pStyle w:val="a9"/>
        <w:numPr>
          <w:ilvl w:val="0"/>
          <w:numId w:val="1"/>
        </w:numPr>
        <w:spacing w:line="360" w:lineRule="auto"/>
        <w:jc w:val="both"/>
        <w:rPr>
          <w:sz w:val="26"/>
        </w:rPr>
      </w:pPr>
      <w:r w:rsidRPr="00DA5B49">
        <w:rPr>
          <w:rFonts w:hint="cs"/>
          <w:sz w:val="26"/>
          <w:rtl/>
        </w:rPr>
        <w:t>תסקיר שירות המבחן מיום 4.4.21, מלמד כי הנאשם כבן 19, רווק, תושב רמלה, מצוי בתנאים מגבילים ובמסגרת זאת גם עובד כמחסנאי במרכול. הנאשם נשר ממערכת החינוך לאחר 8 שנות לימוד וכשהיה צעיר עברה משפחתו להתגורר בעיר רמלה על מנת להתרחק מקשרים שוליים. לאחר שנשר מבית הספר, עבד הנאשם בעבודות מזדמנות. הנאשם תיאר קשרים תקינים עם בני משפחתו</w:t>
      </w:r>
      <w:r>
        <w:rPr>
          <w:rFonts w:hint="cs"/>
          <w:sz w:val="26"/>
          <w:rtl/>
        </w:rPr>
        <w:t>,</w:t>
      </w:r>
      <w:r w:rsidRPr="00DA5B49">
        <w:rPr>
          <w:rFonts w:hint="cs"/>
          <w:sz w:val="26"/>
          <w:rtl/>
        </w:rPr>
        <w:t xml:space="preserve"> אך שירות המבחן ציין כי חלק מהמידע שמסר </w:t>
      </w:r>
      <w:r>
        <w:rPr>
          <w:rFonts w:hint="cs"/>
          <w:sz w:val="26"/>
          <w:rtl/>
        </w:rPr>
        <w:t xml:space="preserve">הנאשם </w:t>
      </w:r>
      <w:r w:rsidRPr="00DA5B49">
        <w:rPr>
          <w:rFonts w:hint="cs"/>
          <w:sz w:val="26"/>
          <w:rtl/>
        </w:rPr>
        <w:t xml:space="preserve">סותר את הפרטים שמסר בחקירת המעצר. </w:t>
      </w:r>
    </w:p>
    <w:p w14:paraId="55326EB5" w14:textId="77777777" w:rsidR="00BC6973" w:rsidRDefault="00BC6973" w:rsidP="00BC6973">
      <w:pPr>
        <w:pStyle w:val="a9"/>
        <w:spacing w:line="360" w:lineRule="auto"/>
        <w:jc w:val="both"/>
        <w:rPr>
          <w:sz w:val="26"/>
          <w:rtl/>
        </w:rPr>
      </w:pPr>
      <w:r w:rsidRPr="00DA5B49">
        <w:rPr>
          <w:rFonts w:hint="cs"/>
          <w:sz w:val="26"/>
          <w:rtl/>
        </w:rPr>
        <w:t xml:space="preserve">לנאשם אין הרשעות קודמות. הוא הודה גם לפני שירות המבחן בביצוע העבירה, הביע צער וחרטה על מעשיו והבנה של השלכות </w:t>
      </w:r>
      <w:r>
        <w:rPr>
          <w:rFonts w:hint="cs"/>
          <w:sz w:val="26"/>
          <w:rtl/>
        </w:rPr>
        <w:t xml:space="preserve">העבירה </w:t>
      </w:r>
      <w:r w:rsidRPr="00DA5B49">
        <w:rPr>
          <w:rFonts w:hint="cs"/>
          <w:sz w:val="26"/>
          <w:rtl/>
        </w:rPr>
        <w:t>וחומרת מעורבותו בה. הנאשם טען כי התבקש לבצע את העסקה על ידי חבר באופן חד</w:t>
      </w:r>
      <w:r>
        <w:rPr>
          <w:rFonts w:hint="cs"/>
          <w:sz w:val="26"/>
          <w:rtl/>
        </w:rPr>
        <w:t>-</w:t>
      </w:r>
      <w:r w:rsidRPr="00DA5B49">
        <w:rPr>
          <w:rFonts w:hint="cs"/>
          <w:sz w:val="26"/>
          <w:rtl/>
        </w:rPr>
        <w:t xml:space="preserve"> פעמי תמורת כסף</w:t>
      </w:r>
      <w:r>
        <w:rPr>
          <w:rFonts w:hint="cs"/>
          <w:sz w:val="26"/>
          <w:rtl/>
        </w:rPr>
        <w:t>,</w:t>
      </w:r>
      <w:r w:rsidRPr="00DA5B49">
        <w:rPr>
          <w:rFonts w:hint="cs"/>
          <w:sz w:val="26"/>
          <w:rtl/>
        </w:rPr>
        <w:t xml:space="preserve"> והסכים על רקע לחץ רגשי ומתוך צורך בכסף, בשל מצבו הכלכלי. הנאשם התייחס לתקופת מעצר</w:t>
      </w:r>
      <w:r>
        <w:rPr>
          <w:rFonts w:hint="cs"/>
          <w:sz w:val="26"/>
          <w:rtl/>
        </w:rPr>
        <w:t>ו</w:t>
      </w:r>
      <w:r w:rsidRPr="00DA5B49">
        <w:rPr>
          <w:rFonts w:hint="cs"/>
          <w:sz w:val="26"/>
          <w:rtl/>
        </w:rPr>
        <w:t xml:space="preserve"> כמשברית ולמחירים הכבדים ששילם כתוצאה מביצוע העבירה. הנאשם שלל שימוש בחומרים ממכרים ובדיקות </w:t>
      </w:r>
      <w:r>
        <w:rPr>
          <w:rFonts w:hint="cs"/>
          <w:sz w:val="26"/>
          <w:rtl/>
        </w:rPr>
        <w:t>לאיתור שרידי</w:t>
      </w:r>
      <w:r w:rsidRPr="00DA5B49">
        <w:rPr>
          <w:rFonts w:hint="cs"/>
          <w:sz w:val="26"/>
          <w:rtl/>
        </w:rPr>
        <w:t xml:space="preserve"> סם לימדו על ניקיונו מסמים. </w:t>
      </w:r>
    </w:p>
    <w:p w14:paraId="0ACDF657" w14:textId="77777777" w:rsidR="00BC6973" w:rsidRDefault="00BC6973" w:rsidP="00BC6973">
      <w:pPr>
        <w:pStyle w:val="a9"/>
        <w:spacing w:line="360" w:lineRule="auto"/>
        <w:jc w:val="both"/>
        <w:rPr>
          <w:sz w:val="26"/>
          <w:rtl/>
        </w:rPr>
      </w:pPr>
      <w:r w:rsidRPr="00DA5B49">
        <w:rPr>
          <w:rFonts w:hint="cs"/>
          <w:sz w:val="26"/>
          <w:rtl/>
        </w:rPr>
        <w:t>הנאשם שיתף פעולה באופן מלא עם שירות המבחן</w:t>
      </w:r>
      <w:r>
        <w:rPr>
          <w:rFonts w:hint="cs"/>
          <w:sz w:val="26"/>
          <w:rtl/>
        </w:rPr>
        <w:t>,</w:t>
      </w:r>
      <w:r w:rsidRPr="00DA5B49">
        <w:rPr>
          <w:rFonts w:hint="cs"/>
          <w:sz w:val="26"/>
          <w:rtl/>
        </w:rPr>
        <w:t xml:space="preserve"> אשר התרשם כי</w:t>
      </w:r>
      <w:r>
        <w:rPr>
          <w:rFonts w:hint="cs"/>
          <w:sz w:val="26"/>
          <w:rtl/>
        </w:rPr>
        <w:t xml:space="preserve"> מעשי העבירה </w:t>
      </w:r>
      <w:r w:rsidRPr="00DA5B49">
        <w:rPr>
          <w:rFonts w:hint="cs"/>
          <w:sz w:val="26"/>
          <w:rtl/>
        </w:rPr>
        <w:t>נבע</w:t>
      </w:r>
      <w:r>
        <w:rPr>
          <w:rFonts w:hint="cs"/>
          <w:sz w:val="26"/>
          <w:rtl/>
        </w:rPr>
        <w:t>ו</w:t>
      </w:r>
      <w:r w:rsidRPr="00DA5B49">
        <w:rPr>
          <w:rFonts w:hint="cs"/>
          <w:sz w:val="26"/>
          <w:rtl/>
        </w:rPr>
        <w:t xml:space="preserve"> מקשרים שוליים, צורך בשייכות חברתית והעדר דמויות תומכות ומכוונות. עוד התרשם שירות המבחן מהקושי של הנאשם לזהות גורמי סיכון. </w:t>
      </w:r>
    </w:p>
    <w:p w14:paraId="1A702041" w14:textId="77777777" w:rsidR="00BC6973" w:rsidRDefault="00BC6973" w:rsidP="00BC6973">
      <w:pPr>
        <w:pStyle w:val="a9"/>
        <w:spacing w:line="360" w:lineRule="auto"/>
        <w:jc w:val="both"/>
        <w:rPr>
          <w:sz w:val="26"/>
          <w:rtl/>
        </w:rPr>
      </w:pPr>
      <w:r w:rsidRPr="00DA5B49">
        <w:rPr>
          <w:rFonts w:hint="cs"/>
          <w:sz w:val="26"/>
          <w:rtl/>
        </w:rPr>
        <w:t>הנאשם הביע עמדה השוללת נזקקות טיפולית ושירות המבחן סבור כי עמדה זו</w:t>
      </w:r>
      <w:r>
        <w:rPr>
          <w:rFonts w:hint="cs"/>
          <w:sz w:val="26"/>
          <w:rtl/>
        </w:rPr>
        <w:t>,</w:t>
      </w:r>
      <w:r w:rsidRPr="00DA5B49">
        <w:rPr>
          <w:rFonts w:hint="cs"/>
          <w:sz w:val="26"/>
          <w:rtl/>
        </w:rPr>
        <w:t xml:space="preserve"> לצד נטייה של הנאשם ליטול סיכונים והעדר</w:t>
      </w:r>
      <w:r>
        <w:rPr>
          <w:rFonts w:hint="cs"/>
          <w:sz w:val="26"/>
          <w:rtl/>
        </w:rPr>
        <w:t>ן</w:t>
      </w:r>
      <w:r w:rsidRPr="00DA5B49">
        <w:rPr>
          <w:rFonts w:hint="cs"/>
          <w:sz w:val="26"/>
          <w:rtl/>
        </w:rPr>
        <w:t xml:space="preserve"> של דמויות מציבות גבול ומכוונות, מקימים סיכון להישנות ביצוע עבירות דומות. </w:t>
      </w:r>
    </w:p>
    <w:p w14:paraId="5A921D60" w14:textId="77777777" w:rsidR="00BC6973" w:rsidRPr="00DA5B49" w:rsidRDefault="00BC6973" w:rsidP="00BC6973">
      <w:pPr>
        <w:pStyle w:val="a9"/>
        <w:spacing w:line="360" w:lineRule="auto"/>
        <w:jc w:val="both"/>
        <w:rPr>
          <w:sz w:val="26"/>
        </w:rPr>
      </w:pPr>
      <w:r w:rsidRPr="00DA5B49">
        <w:rPr>
          <w:rFonts w:hint="cs"/>
          <w:sz w:val="26"/>
          <w:rtl/>
        </w:rPr>
        <w:t>שירות המבחן נמנע מהמלצה טיפולית עקב עמדותיו של הנאשם בענ</w:t>
      </w:r>
      <w:r>
        <w:rPr>
          <w:rFonts w:hint="cs"/>
          <w:sz w:val="26"/>
          <w:rtl/>
        </w:rPr>
        <w:t>י</w:t>
      </w:r>
      <w:r w:rsidRPr="00DA5B49">
        <w:rPr>
          <w:rFonts w:hint="cs"/>
          <w:sz w:val="26"/>
          <w:rtl/>
        </w:rPr>
        <w:t>ין</w:t>
      </w:r>
      <w:r>
        <w:rPr>
          <w:rFonts w:hint="cs"/>
          <w:sz w:val="26"/>
          <w:rtl/>
        </w:rPr>
        <w:t>,</w:t>
      </w:r>
      <w:r w:rsidRPr="00DA5B49">
        <w:rPr>
          <w:rFonts w:hint="cs"/>
          <w:sz w:val="26"/>
          <w:rtl/>
        </w:rPr>
        <w:t xml:space="preserve"> אך בשל גילו הצעיר, עברו הנקי ועל מנת לצמצם חשיפה לדפוסים עבריינים ולהגביר את הסיכוי לשיקום, הומלץ לגזור על</w:t>
      </w:r>
      <w:r>
        <w:rPr>
          <w:rFonts w:hint="cs"/>
          <w:sz w:val="26"/>
          <w:rtl/>
        </w:rPr>
        <w:t>יו</w:t>
      </w:r>
      <w:r w:rsidRPr="00DA5B49">
        <w:rPr>
          <w:rFonts w:hint="cs"/>
          <w:sz w:val="26"/>
          <w:rtl/>
        </w:rPr>
        <w:t xml:space="preserve"> מאסר בעבודות שירות לצד מאסר מותנה משמעותי. </w:t>
      </w:r>
    </w:p>
    <w:p w14:paraId="327DDBD2" w14:textId="77777777" w:rsidR="00BC6973" w:rsidRPr="00661581" w:rsidRDefault="00BC6973" w:rsidP="00BC6973">
      <w:pPr>
        <w:pStyle w:val="a9"/>
        <w:jc w:val="both"/>
        <w:rPr>
          <w:sz w:val="26"/>
        </w:rPr>
      </w:pPr>
    </w:p>
    <w:p w14:paraId="2166C901" w14:textId="77777777" w:rsidR="00BC6973" w:rsidRPr="00DA5B49" w:rsidRDefault="00BC6973" w:rsidP="00BC6973">
      <w:pPr>
        <w:pStyle w:val="a9"/>
        <w:numPr>
          <w:ilvl w:val="0"/>
          <w:numId w:val="1"/>
        </w:numPr>
        <w:spacing w:line="360" w:lineRule="auto"/>
        <w:jc w:val="both"/>
        <w:rPr>
          <w:sz w:val="26"/>
        </w:rPr>
      </w:pPr>
      <w:r w:rsidRPr="00DA5B49">
        <w:rPr>
          <w:rFonts w:hint="cs"/>
          <w:sz w:val="26"/>
          <w:rtl/>
        </w:rPr>
        <w:t xml:space="preserve">המאשימה ביקשה לקבוע </w:t>
      </w:r>
      <w:r>
        <w:rPr>
          <w:rFonts w:hint="cs"/>
          <w:sz w:val="26"/>
          <w:rtl/>
        </w:rPr>
        <w:t>מ</w:t>
      </w:r>
      <w:r w:rsidRPr="00DA5B49">
        <w:rPr>
          <w:rFonts w:hint="cs"/>
          <w:sz w:val="26"/>
          <w:rtl/>
        </w:rPr>
        <w:t xml:space="preserve">תחם עונש הולם שבין </w:t>
      </w:r>
      <w:r>
        <w:rPr>
          <w:rFonts w:hint="cs"/>
          <w:sz w:val="26"/>
          <w:rtl/>
        </w:rPr>
        <w:t xml:space="preserve">עשרים וארבעה לארבעים חודשי </w:t>
      </w:r>
      <w:r w:rsidRPr="00DA5B49">
        <w:rPr>
          <w:rFonts w:hint="cs"/>
          <w:sz w:val="26"/>
          <w:rtl/>
        </w:rPr>
        <w:t xml:space="preserve">מאסר בפועל, לצד מאסר מותנה, קנס ופסילה מלקבל או להחזיק רישיון נהיגה וביקשה לגזור על הנאשם עונש המצוי בתחתית מתחם </w:t>
      </w:r>
      <w:r>
        <w:rPr>
          <w:rFonts w:hint="cs"/>
          <w:sz w:val="26"/>
          <w:rtl/>
        </w:rPr>
        <w:t xml:space="preserve">העונש ההולם. </w:t>
      </w:r>
      <w:r w:rsidRPr="00DA5B49">
        <w:rPr>
          <w:rFonts w:hint="cs"/>
          <w:sz w:val="26"/>
          <w:rtl/>
        </w:rPr>
        <w:t>בטיעוני המאשימה הודגשו סוג הסם, כמותו, התוכנית שקדמה לעסקת הסמים ושלילת הצורך בטיפול מצד הנאשם, אך מנגד הודגשו הודא</w:t>
      </w:r>
      <w:r>
        <w:rPr>
          <w:rFonts w:hint="cs"/>
          <w:sz w:val="26"/>
          <w:rtl/>
        </w:rPr>
        <w:t>ת הנאשם, גילו הצעיר ועברו הנקי.</w:t>
      </w:r>
    </w:p>
    <w:p w14:paraId="7F39EA4D" w14:textId="77777777" w:rsidR="00BC6973" w:rsidRPr="00DA5B49" w:rsidRDefault="00BC6973" w:rsidP="00BC6973">
      <w:pPr>
        <w:pStyle w:val="a9"/>
        <w:jc w:val="both"/>
        <w:rPr>
          <w:sz w:val="26"/>
        </w:rPr>
      </w:pPr>
    </w:p>
    <w:p w14:paraId="6BDE7BFD" w14:textId="77777777" w:rsidR="00BC6973" w:rsidRPr="00DA5B49" w:rsidRDefault="00BC6973" w:rsidP="00BC6973">
      <w:pPr>
        <w:pStyle w:val="a9"/>
        <w:numPr>
          <w:ilvl w:val="0"/>
          <w:numId w:val="1"/>
        </w:numPr>
        <w:spacing w:line="360" w:lineRule="auto"/>
        <w:jc w:val="both"/>
        <w:rPr>
          <w:sz w:val="26"/>
        </w:rPr>
      </w:pPr>
      <w:r w:rsidRPr="00DA5B49">
        <w:rPr>
          <w:rFonts w:hint="cs"/>
          <w:sz w:val="26"/>
          <w:rtl/>
        </w:rPr>
        <w:t xml:space="preserve">ב"כ הנאשם ביקש לקבל את המלצת שירות המבחן, תוך שהדגיש את גילו הצעיר של הנאשם, את עברו הנקי, את התקופה שבה שהה </w:t>
      </w:r>
      <w:r>
        <w:rPr>
          <w:rFonts w:hint="cs"/>
          <w:sz w:val="26"/>
          <w:rtl/>
        </w:rPr>
        <w:t xml:space="preserve">הנאשם </w:t>
      </w:r>
      <w:r w:rsidRPr="00DA5B49">
        <w:rPr>
          <w:rFonts w:hint="cs"/>
          <w:sz w:val="26"/>
          <w:rtl/>
        </w:rPr>
        <w:t>במעצר ו</w:t>
      </w:r>
      <w:r>
        <w:rPr>
          <w:rFonts w:hint="cs"/>
          <w:sz w:val="26"/>
          <w:rtl/>
        </w:rPr>
        <w:t xml:space="preserve">את </w:t>
      </w:r>
      <w:r w:rsidRPr="00DA5B49">
        <w:rPr>
          <w:rFonts w:hint="cs"/>
          <w:sz w:val="26"/>
          <w:rtl/>
        </w:rPr>
        <w:t>השפעותיה המרתיעות, את העובדה כי הנאשם עובד באופן רציף לפרנסתו ועל פי הנטען, אינו מנהל אורח חיים עברייני. נטען על ידי ההגנה</w:t>
      </w:r>
      <w:r>
        <w:rPr>
          <w:rFonts w:hint="cs"/>
          <w:sz w:val="26"/>
          <w:rtl/>
        </w:rPr>
        <w:t>,</w:t>
      </w:r>
      <w:r w:rsidRPr="00DA5B49">
        <w:rPr>
          <w:rFonts w:hint="cs"/>
          <w:sz w:val="26"/>
          <w:rtl/>
        </w:rPr>
        <w:t xml:space="preserve"> כי אם הנאשם ייכנס למאסר הוא עלול להתחבר לחברה שולית ועבריינית. הודגש כי הנאשם שיתף פעולה עם שירות המבחן וכי עמדתו לפיה </w:t>
      </w:r>
      <w:r>
        <w:rPr>
          <w:rFonts w:hint="cs"/>
          <w:sz w:val="26"/>
          <w:rtl/>
        </w:rPr>
        <w:t>כ</w:t>
      </w:r>
      <w:r w:rsidRPr="00DA5B49">
        <w:rPr>
          <w:rFonts w:hint="cs"/>
          <w:sz w:val="26"/>
          <w:rtl/>
        </w:rPr>
        <w:t>יום אינו נזקק לטיפול נבעה מאי הבנה</w:t>
      </w:r>
      <w:r>
        <w:rPr>
          <w:rFonts w:hint="cs"/>
          <w:sz w:val="26"/>
          <w:rtl/>
        </w:rPr>
        <w:t>,</w:t>
      </w:r>
      <w:r w:rsidRPr="00DA5B49">
        <w:rPr>
          <w:rFonts w:hint="cs"/>
          <w:sz w:val="26"/>
          <w:rtl/>
        </w:rPr>
        <w:t xml:space="preserve"> ולמעשה </w:t>
      </w:r>
      <w:r>
        <w:rPr>
          <w:rFonts w:hint="cs"/>
          <w:sz w:val="26"/>
          <w:rtl/>
        </w:rPr>
        <w:t>הוא מבקש</w:t>
      </w:r>
      <w:r w:rsidRPr="00DA5B49">
        <w:rPr>
          <w:rFonts w:hint="cs"/>
          <w:sz w:val="26"/>
          <w:rtl/>
        </w:rPr>
        <w:t xml:space="preserve"> לקבל טיפול.</w:t>
      </w:r>
      <w:r>
        <w:rPr>
          <w:rFonts w:hint="cs"/>
          <w:sz w:val="26"/>
          <w:rtl/>
        </w:rPr>
        <w:t xml:space="preserve"> עוד</w:t>
      </w:r>
      <w:r w:rsidRPr="00DA5B49">
        <w:rPr>
          <w:rFonts w:hint="cs"/>
          <w:sz w:val="26"/>
          <w:rtl/>
        </w:rPr>
        <w:t xml:space="preserve"> נטען כי הנאשם לא היה ברשימת יעדי המשטרה בעת הפעלת הסוכן וכי העבירה בוצעה לאחר שאחד היעדים פנה לנאשם על מנת שיבצע את המכירה. מטעם ההגנה הוגשו תלוני משכורת של הנאשם וכן מסמכים רפואיים </w:t>
      </w:r>
      <w:r>
        <w:rPr>
          <w:rFonts w:hint="cs"/>
          <w:sz w:val="26"/>
          <w:rtl/>
        </w:rPr>
        <w:t xml:space="preserve">המלמדים על בעיה רפואית ממנה סובל הנאשם לאחרונה המצויה, עדיין, בהליכי בירור. </w:t>
      </w:r>
    </w:p>
    <w:p w14:paraId="51478807" w14:textId="77777777" w:rsidR="00BC6973" w:rsidRPr="00FD410E" w:rsidRDefault="00BC6973" w:rsidP="00BC6973">
      <w:pPr>
        <w:pStyle w:val="a9"/>
        <w:spacing w:line="360" w:lineRule="auto"/>
        <w:jc w:val="both"/>
        <w:rPr>
          <w:sz w:val="26"/>
        </w:rPr>
      </w:pPr>
    </w:p>
    <w:p w14:paraId="403A5CC5" w14:textId="77777777" w:rsidR="00BC6973" w:rsidRDefault="00BC6973" w:rsidP="00BC6973">
      <w:pPr>
        <w:pStyle w:val="a9"/>
        <w:numPr>
          <w:ilvl w:val="0"/>
          <w:numId w:val="1"/>
        </w:numPr>
        <w:spacing w:line="360" w:lineRule="auto"/>
        <w:jc w:val="both"/>
        <w:rPr>
          <w:sz w:val="26"/>
        </w:rPr>
      </w:pPr>
      <w:r w:rsidRPr="00A1737D">
        <w:rPr>
          <w:rFonts w:hint="cs"/>
          <w:sz w:val="26"/>
          <w:rtl/>
        </w:rPr>
        <w:t xml:space="preserve">הנאשם עצמו אמר כי הוא מתחרט על מעשיו, כי אינו מתכוון לחזור עליהם וכן תיאר את המצב הרפואי עמו מתמודד לאחרונה. </w:t>
      </w:r>
    </w:p>
    <w:p w14:paraId="1A05BE72" w14:textId="77777777" w:rsidR="00BC6973" w:rsidRPr="00A1737D" w:rsidRDefault="00BC6973" w:rsidP="00BC6973">
      <w:pPr>
        <w:pStyle w:val="a9"/>
        <w:spacing w:line="360" w:lineRule="auto"/>
        <w:jc w:val="both"/>
        <w:rPr>
          <w:sz w:val="26"/>
        </w:rPr>
      </w:pPr>
    </w:p>
    <w:p w14:paraId="6967DCD3" w14:textId="77777777" w:rsidR="00BC6973" w:rsidRPr="00DA5B49" w:rsidRDefault="00BC6973" w:rsidP="00BC6973">
      <w:pPr>
        <w:pStyle w:val="a9"/>
        <w:numPr>
          <w:ilvl w:val="0"/>
          <w:numId w:val="1"/>
        </w:numPr>
        <w:spacing w:line="360" w:lineRule="auto"/>
        <w:jc w:val="both"/>
        <w:rPr>
          <w:sz w:val="26"/>
        </w:rPr>
      </w:pPr>
      <w:r w:rsidRPr="00DA5B49">
        <w:rPr>
          <w:rFonts w:hint="cs"/>
          <w:sz w:val="26"/>
          <w:rtl/>
        </w:rPr>
        <w:t>גם אביו של הנאשם ביקש לומר דברים במסגרת פרשת העונש וביקש להימנע מלשלוח את הנאשם למאסר</w:t>
      </w:r>
      <w:r>
        <w:rPr>
          <w:rFonts w:hint="cs"/>
          <w:sz w:val="26"/>
          <w:rtl/>
        </w:rPr>
        <w:t>,</w:t>
      </w:r>
      <w:r w:rsidRPr="00DA5B49">
        <w:rPr>
          <w:rFonts w:hint="cs"/>
          <w:sz w:val="26"/>
          <w:rtl/>
        </w:rPr>
        <w:t xml:space="preserve"> על מנת שלא יתחבר לחברה עבריינית. אביו של הנאשם תיאר את עברו הפלילי שלו עצמו ואת ההשפעה ההרסנית שהיתה לשהותו שלו במאסר על חייו. לדבריו הוא עשה כל מאמץ על מנת להרחיק את ילדיו ממוקד עבריינות ואף העביר את המשפחה להתגורר בעיר אחרת.</w:t>
      </w:r>
    </w:p>
    <w:p w14:paraId="508F7A72" w14:textId="77777777" w:rsidR="00BC6973" w:rsidRPr="00DA5B49" w:rsidRDefault="00BC6973" w:rsidP="00BC6973">
      <w:pPr>
        <w:jc w:val="both"/>
        <w:rPr>
          <w:sz w:val="26"/>
          <w:rtl/>
        </w:rPr>
      </w:pPr>
    </w:p>
    <w:p w14:paraId="2B59418E" w14:textId="77777777" w:rsidR="00BC6973" w:rsidRPr="00DA5B49" w:rsidRDefault="00BC6973" w:rsidP="00BC6973">
      <w:pPr>
        <w:spacing w:line="360" w:lineRule="auto"/>
        <w:jc w:val="both"/>
        <w:rPr>
          <w:b/>
          <w:bCs/>
          <w:sz w:val="26"/>
          <w:u w:val="single"/>
        </w:rPr>
      </w:pPr>
      <w:r w:rsidRPr="00DA5B49">
        <w:rPr>
          <w:rFonts w:hint="cs"/>
          <w:b/>
          <w:bCs/>
          <w:sz w:val="26"/>
          <w:u w:val="single"/>
          <w:rtl/>
        </w:rPr>
        <w:t>מתחם העונש ההולם</w:t>
      </w:r>
    </w:p>
    <w:p w14:paraId="1A34ABC5" w14:textId="77777777" w:rsidR="00BC6973" w:rsidRDefault="00BC6973" w:rsidP="00BC6973">
      <w:pPr>
        <w:pStyle w:val="a9"/>
        <w:numPr>
          <w:ilvl w:val="0"/>
          <w:numId w:val="1"/>
        </w:numPr>
        <w:spacing w:line="360" w:lineRule="auto"/>
        <w:jc w:val="both"/>
        <w:rPr>
          <w:sz w:val="26"/>
        </w:rPr>
      </w:pPr>
      <w:r w:rsidRPr="00254760">
        <w:rPr>
          <w:rFonts w:ascii="David" w:hAnsi="David"/>
          <w:rtl/>
        </w:rPr>
        <w:t xml:space="preserve">עבירות </w:t>
      </w:r>
      <w:r w:rsidRPr="00254760">
        <w:rPr>
          <w:rFonts w:ascii="David" w:hAnsi="David" w:hint="cs"/>
          <w:rtl/>
        </w:rPr>
        <w:t xml:space="preserve">הסמים </w:t>
      </w:r>
      <w:r w:rsidRPr="00254760">
        <w:rPr>
          <w:rFonts w:ascii="David" w:hAnsi="David"/>
          <w:rtl/>
        </w:rPr>
        <w:t>נועדו להגן על הציבור מפני הנזקים הישירים והעקיפים הנגרמים כתוצאה משימוש בסמים. השימוש בסמים פוגע פגיעה פיזית ונפשית במשתמשים עצמם, ויש לו השלכות פוגעניות גם על בני משפחותיהם של המשתמשים, על סביבתם הקרובה ולבסוף הוא פוגע בחברה כולה. לעיתים קרובות המשתמשים בסמים ממשיכים לנהל שגרת חיים מתפקדת לצד השימוש, ובכלל זאת לבצע פעולות שהן מסוכנות מטבען, כגון נהיגה או הפעלת ציוד מכני כבד, ובכך הם מסכנים את כל סביבתם. בנוסף, צריכת סמים קבועה מחייבת משאבים כספיים לא מבוטלים וגוררת בעקבותיה, לעיתים קרובות, ביצוע עבירות נוספות שתכליתן לממן את צריכ</w:t>
      </w:r>
      <w:r>
        <w:rPr>
          <w:rFonts w:hint="cs"/>
          <w:sz w:val="26"/>
          <w:rtl/>
        </w:rPr>
        <w:t xml:space="preserve">ת הסם. </w:t>
      </w:r>
    </w:p>
    <w:p w14:paraId="71AE6D78" w14:textId="77777777" w:rsidR="00BC6973" w:rsidRPr="00254760" w:rsidRDefault="00BC6973" w:rsidP="00BC6973">
      <w:pPr>
        <w:pStyle w:val="a9"/>
        <w:spacing w:line="360" w:lineRule="auto"/>
        <w:jc w:val="both"/>
        <w:rPr>
          <w:sz w:val="26"/>
        </w:rPr>
      </w:pPr>
      <w:r>
        <w:rPr>
          <w:rFonts w:hint="cs"/>
          <w:sz w:val="26"/>
          <w:rtl/>
        </w:rPr>
        <w:t xml:space="preserve">מובן כי המלחמה בנגע הסמים צריכה לקבל ביטוי, בראש ובראשונה בדמות של ענישה מחמירה של מי שעוסק בסחר בסמים ובהפצתם. </w:t>
      </w:r>
    </w:p>
    <w:p w14:paraId="4BAA8AAE" w14:textId="77777777" w:rsidR="00BC6973" w:rsidRPr="009F36DD" w:rsidRDefault="00BC6973" w:rsidP="00BC6973">
      <w:pPr>
        <w:pStyle w:val="a9"/>
        <w:jc w:val="both"/>
        <w:rPr>
          <w:sz w:val="26"/>
        </w:rPr>
      </w:pPr>
    </w:p>
    <w:p w14:paraId="6897193D" w14:textId="77777777" w:rsidR="00BC6973" w:rsidRDefault="00BC6973" w:rsidP="00BC6973">
      <w:pPr>
        <w:pStyle w:val="a9"/>
        <w:numPr>
          <w:ilvl w:val="0"/>
          <w:numId w:val="1"/>
        </w:numPr>
        <w:spacing w:line="360" w:lineRule="auto"/>
        <w:jc w:val="both"/>
        <w:rPr>
          <w:sz w:val="26"/>
        </w:rPr>
      </w:pPr>
      <w:r>
        <w:rPr>
          <w:rFonts w:hint="cs"/>
          <w:rtl/>
        </w:rPr>
        <w:t xml:space="preserve">הגם שהסוכן הופנה אל הנאשם על ידי אחר, וגם אם אקבל את טענת הנאשם לפני שירות המבחן, כי הוא התפתה לבצע את העבירה עבור אדם אחר, עובדות כתב האישום מלמדות כי הנאשם נכנס לנעליו של האחר בצורה טבעית ומהירה, ונהג כסוחר סמים לכל דבר ועניין. </w:t>
      </w:r>
      <w:r>
        <w:rPr>
          <w:rtl/>
        </w:rPr>
        <w:t xml:space="preserve"> </w:t>
      </w:r>
    </w:p>
    <w:p w14:paraId="07B025CF" w14:textId="77777777" w:rsidR="00BC6973" w:rsidRDefault="00BC6973" w:rsidP="00BC6973">
      <w:pPr>
        <w:pStyle w:val="a9"/>
        <w:spacing w:line="360" w:lineRule="auto"/>
        <w:jc w:val="both"/>
        <w:rPr>
          <w:sz w:val="26"/>
        </w:rPr>
      </w:pPr>
    </w:p>
    <w:p w14:paraId="0BA73837" w14:textId="77777777" w:rsidR="00BC6973" w:rsidRPr="00254760" w:rsidRDefault="00BC6973" w:rsidP="00BC6973">
      <w:pPr>
        <w:pStyle w:val="a9"/>
        <w:numPr>
          <w:ilvl w:val="0"/>
          <w:numId w:val="1"/>
        </w:numPr>
        <w:spacing w:line="360" w:lineRule="auto"/>
        <w:jc w:val="both"/>
        <w:rPr>
          <w:sz w:val="26"/>
        </w:rPr>
      </w:pPr>
      <w:r>
        <w:rPr>
          <w:rFonts w:hint="cs"/>
          <w:sz w:val="26"/>
          <w:rtl/>
        </w:rPr>
        <w:t xml:space="preserve">מכירת הסמים לסוכן בוצעה לאחר תכנון ותיאום, ואף לאחר מפגש מקדים בין השניים. </w:t>
      </w:r>
      <w:r>
        <w:rPr>
          <w:rtl/>
        </w:rPr>
        <w:t xml:space="preserve">אמנם הסוכן הוא שפנה אל הנאשם וביקש לרכוש ממנו סמים, ואולם היקף </w:t>
      </w:r>
      <w:r>
        <w:rPr>
          <w:rFonts w:hint="cs"/>
          <w:rtl/>
        </w:rPr>
        <w:t xml:space="preserve">העסקה ופרק הזמן הקצר שנדרש לנאשם כדי להשיג את הסמים ולהוציא את העסקה אל הפועל, </w:t>
      </w:r>
      <w:r>
        <w:rPr>
          <w:rtl/>
        </w:rPr>
        <w:t>מלמד על נגישות גבוהה של הנאשם לסמים.</w:t>
      </w:r>
    </w:p>
    <w:p w14:paraId="29244A6F" w14:textId="77777777" w:rsidR="00BC6973" w:rsidRPr="00BA7992" w:rsidRDefault="00BC6973" w:rsidP="00BC6973">
      <w:pPr>
        <w:pStyle w:val="a9"/>
        <w:spacing w:line="360" w:lineRule="auto"/>
        <w:jc w:val="both"/>
        <w:rPr>
          <w:sz w:val="26"/>
        </w:rPr>
      </w:pPr>
    </w:p>
    <w:p w14:paraId="70483D7E" w14:textId="77777777" w:rsidR="00BC6973" w:rsidRDefault="00BC6973" w:rsidP="00BC6973">
      <w:pPr>
        <w:pStyle w:val="a9"/>
        <w:numPr>
          <w:ilvl w:val="0"/>
          <w:numId w:val="1"/>
        </w:numPr>
        <w:spacing w:line="360" w:lineRule="auto"/>
        <w:jc w:val="both"/>
        <w:rPr>
          <w:sz w:val="26"/>
        </w:rPr>
      </w:pPr>
      <w:r>
        <w:rPr>
          <w:rFonts w:hint="cs"/>
          <w:sz w:val="26"/>
          <w:rtl/>
        </w:rPr>
        <w:t xml:space="preserve">הנאשם מכר לסוכן סם מסוג קוקאין, המקובל להתייחס אליו כאל "סם קשה" בשל השפעתו ההרסנית על בריאותם של המשתמשים בו והנזקים הקשים שהשימוש בו גורם. </w:t>
      </w:r>
    </w:p>
    <w:p w14:paraId="1E6BFB51" w14:textId="77777777" w:rsidR="00BC6973" w:rsidRPr="007E60E8" w:rsidRDefault="00BC6973" w:rsidP="00BC6973">
      <w:pPr>
        <w:pStyle w:val="a9"/>
        <w:spacing w:line="360" w:lineRule="auto"/>
        <w:jc w:val="both"/>
        <w:rPr>
          <w:sz w:val="26"/>
        </w:rPr>
      </w:pPr>
      <w:r>
        <w:rPr>
          <w:rFonts w:hint="cs"/>
          <w:sz w:val="26"/>
          <w:rtl/>
        </w:rPr>
        <w:t xml:space="preserve">גם כמות הסמים שמכר הנאשם היא גדולה מאוד - פי 62 מהכמות הקבועה בחוק ככזו המקימה חזקה כי מדובר בסם לשימוש עצמי בלבד. העסקה שביצע הנאשם היא עסקה סיטונאית, ולא מכירה ל"משתמש קצה". עם זאת נתתי דעתי לעובדה כי מדובר בעסקה בודדת. </w:t>
      </w:r>
    </w:p>
    <w:p w14:paraId="2F9525AC" w14:textId="77777777" w:rsidR="00BC6973" w:rsidRPr="00DA5B49" w:rsidRDefault="00BC6973" w:rsidP="00BC6973">
      <w:pPr>
        <w:pStyle w:val="a9"/>
        <w:jc w:val="both"/>
        <w:rPr>
          <w:sz w:val="26"/>
        </w:rPr>
      </w:pPr>
    </w:p>
    <w:p w14:paraId="07D309C2" w14:textId="77777777" w:rsidR="00BC6973" w:rsidRPr="00DA5B49" w:rsidRDefault="00BC6973" w:rsidP="00BC6973">
      <w:pPr>
        <w:pStyle w:val="a9"/>
        <w:numPr>
          <w:ilvl w:val="0"/>
          <w:numId w:val="1"/>
        </w:numPr>
        <w:spacing w:line="360" w:lineRule="auto"/>
        <w:jc w:val="both"/>
        <w:rPr>
          <w:sz w:val="26"/>
        </w:rPr>
      </w:pPr>
      <w:r w:rsidRPr="00DA5B49">
        <w:rPr>
          <w:rFonts w:hint="cs"/>
          <w:sz w:val="26"/>
          <w:rtl/>
        </w:rPr>
        <w:t>עיון בפסיקה</w:t>
      </w:r>
      <w:r>
        <w:rPr>
          <w:rFonts w:hint="cs"/>
          <w:sz w:val="26"/>
          <w:rtl/>
        </w:rPr>
        <w:t xml:space="preserve"> מלמד כי בגין מעשים דומים נגזרו, ככלל, עונשים שכללו רכיב משמעותי של מאסר בפועל. ראו למשל </w:t>
      </w:r>
      <w:hyperlink r:id="rId9" w:history="1">
        <w:r w:rsidR="00BE2AEC" w:rsidRPr="00BE2AEC">
          <w:rPr>
            <w:color w:val="0000FF"/>
            <w:sz w:val="26"/>
            <w:u w:val="single"/>
            <w:rtl/>
          </w:rPr>
          <w:t>ת"פ (פתח תקווה) 16240-11-11</w:t>
        </w:r>
      </w:hyperlink>
      <w:r>
        <w:rPr>
          <w:rFonts w:hint="cs"/>
          <w:sz w:val="26"/>
          <w:rtl/>
        </w:rPr>
        <w:t xml:space="preserve"> </w:t>
      </w:r>
      <w:r>
        <w:rPr>
          <w:rFonts w:hint="cs"/>
          <w:b/>
          <w:bCs/>
          <w:sz w:val="26"/>
          <w:rtl/>
        </w:rPr>
        <w:t xml:space="preserve">מדינת ישראל נ' זיתון </w:t>
      </w:r>
      <w:r>
        <w:rPr>
          <w:rFonts w:hint="cs"/>
          <w:rtl/>
        </w:rPr>
        <w:t>(פורסם בנבו 30.9.13), הפסיקה הענפה הנזכרת שם ופסק הדין בערעור עליו ב</w:t>
      </w:r>
      <w:r>
        <w:rPr>
          <w:rFonts w:hint="cs"/>
          <w:sz w:val="26"/>
          <w:rtl/>
        </w:rPr>
        <w:t xml:space="preserve">ע"פ (מרכז) 20785-11-13 </w:t>
      </w:r>
      <w:r>
        <w:rPr>
          <w:rFonts w:hint="cs"/>
          <w:b/>
          <w:bCs/>
          <w:sz w:val="26"/>
          <w:rtl/>
        </w:rPr>
        <w:t xml:space="preserve">זיתון נ' מדינת ישראל </w:t>
      </w:r>
      <w:r>
        <w:rPr>
          <w:rFonts w:hint="cs"/>
          <w:sz w:val="26"/>
          <w:rtl/>
        </w:rPr>
        <w:t xml:space="preserve"> (פורסם בנבו 29.12.13)</w:t>
      </w:r>
    </w:p>
    <w:p w14:paraId="462A1BE3" w14:textId="77777777" w:rsidR="00BC6973" w:rsidRPr="00FD410E" w:rsidRDefault="00BC6973" w:rsidP="00BC6973">
      <w:pPr>
        <w:pStyle w:val="a9"/>
        <w:jc w:val="both"/>
        <w:rPr>
          <w:sz w:val="26"/>
        </w:rPr>
      </w:pPr>
    </w:p>
    <w:p w14:paraId="587CA715" w14:textId="77777777" w:rsidR="00BC6973" w:rsidRDefault="00BC6973" w:rsidP="00BC6973">
      <w:pPr>
        <w:pStyle w:val="a9"/>
        <w:numPr>
          <w:ilvl w:val="0"/>
          <w:numId w:val="1"/>
        </w:numPr>
        <w:spacing w:line="360" w:lineRule="auto"/>
        <w:jc w:val="both"/>
        <w:rPr>
          <w:sz w:val="26"/>
        </w:rPr>
      </w:pPr>
      <w:r w:rsidRPr="00DA5B49">
        <w:rPr>
          <w:rFonts w:hint="cs"/>
          <w:sz w:val="26"/>
          <w:rtl/>
        </w:rPr>
        <w:t>לנו</w:t>
      </w:r>
      <w:r>
        <w:rPr>
          <w:rFonts w:hint="cs"/>
          <w:sz w:val="26"/>
          <w:rtl/>
        </w:rPr>
        <w:t xml:space="preserve">כח האמור לעיל  מתחם העונש ההולם את מעשיו של הנאשם הוא בין שישה-עשר לשלושים חודשי מאסר בפועל, לצד מאסר מותנה וקנס. </w:t>
      </w:r>
    </w:p>
    <w:p w14:paraId="4122C5BE" w14:textId="77777777" w:rsidR="00BC6973" w:rsidRDefault="00BC6973" w:rsidP="00BC6973">
      <w:pPr>
        <w:pStyle w:val="a9"/>
        <w:spacing w:line="360" w:lineRule="auto"/>
        <w:jc w:val="both"/>
        <w:rPr>
          <w:sz w:val="26"/>
        </w:rPr>
      </w:pPr>
      <w:r w:rsidRPr="00DA5B49">
        <w:rPr>
          <w:rFonts w:hint="cs"/>
          <w:sz w:val="26"/>
          <w:rtl/>
        </w:rPr>
        <w:t xml:space="preserve">משעה שמדובר בעבירה שבוצעה מתוך </w:t>
      </w:r>
      <w:r>
        <w:rPr>
          <w:rFonts w:hint="cs"/>
          <w:sz w:val="26"/>
          <w:rtl/>
        </w:rPr>
        <w:t>מניע כלכלי</w:t>
      </w:r>
      <w:r w:rsidRPr="00DA5B49">
        <w:rPr>
          <w:rFonts w:hint="cs"/>
          <w:sz w:val="26"/>
          <w:rtl/>
        </w:rPr>
        <w:t>, יש</w:t>
      </w:r>
      <w:r>
        <w:rPr>
          <w:rFonts w:hint="cs"/>
          <w:sz w:val="26"/>
          <w:rtl/>
        </w:rPr>
        <w:t xml:space="preserve">נה חשיבות מיוחדת לגזירת רכיב עונשי כספי, </w:t>
      </w:r>
      <w:r w:rsidRPr="00DA5B49">
        <w:rPr>
          <w:rFonts w:hint="cs"/>
          <w:sz w:val="26"/>
          <w:rtl/>
        </w:rPr>
        <w:t>על מנת להבהיר כי ה</w:t>
      </w:r>
      <w:r>
        <w:rPr>
          <w:rFonts w:hint="cs"/>
          <w:sz w:val="26"/>
          <w:rtl/>
        </w:rPr>
        <w:t>עבירה אינה כדאית גם בהיבט הכלכלי</w:t>
      </w:r>
      <w:r w:rsidRPr="00DA5B49">
        <w:rPr>
          <w:rFonts w:hint="cs"/>
          <w:sz w:val="26"/>
          <w:rtl/>
        </w:rPr>
        <w:t>.</w:t>
      </w:r>
      <w:r w:rsidRPr="00DA5B49">
        <w:rPr>
          <w:sz w:val="26"/>
          <w:rtl/>
        </w:rPr>
        <w:t xml:space="preserve"> </w:t>
      </w:r>
    </w:p>
    <w:p w14:paraId="6E08E030" w14:textId="77777777" w:rsidR="00BC6973" w:rsidRPr="00DA5B49" w:rsidRDefault="00BC6973" w:rsidP="00BC6973">
      <w:pPr>
        <w:pStyle w:val="a9"/>
        <w:jc w:val="both"/>
        <w:rPr>
          <w:sz w:val="26"/>
        </w:rPr>
      </w:pPr>
    </w:p>
    <w:p w14:paraId="658D8D4B" w14:textId="77777777" w:rsidR="00BC6973" w:rsidRPr="00DA5B49" w:rsidRDefault="00BC6973" w:rsidP="00BC6973">
      <w:pPr>
        <w:spacing w:line="360" w:lineRule="auto"/>
        <w:jc w:val="both"/>
        <w:rPr>
          <w:b/>
          <w:bCs/>
          <w:sz w:val="26"/>
          <w:u w:val="single"/>
        </w:rPr>
      </w:pPr>
      <w:r w:rsidRPr="00DA5B49">
        <w:rPr>
          <w:rFonts w:hint="cs"/>
          <w:b/>
          <w:bCs/>
          <w:sz w:val="26"/>
          <w:u w:val="single"/>
          <w:rtl/>
        </w:rPr>
        <w:t>העונש המתאים לנאשם</w:t>
      </w:r>
    </w:p>
    <w:p w14:paraId="027259D4" w14:textId="77777777" w:rsidR="00BC6973" w:rsidRPr="00DA5B49" w:rsidRDefault="00BC6973" w:rsidP="00BC6973">
      <w:pPr>
        <w:pStyle w:val="a9"/>
        <w:numPr>
          <w:ilvl w:val="0"/>
          <w:numId w:val="1"/>
        </w:numPr>
        <w:spacing w:line="360" w:lineRule="auto"/>
        <w:jc w:val="both"/>
        <w:rPr>
          <w:sz w:val="26"/>
        </w:rPr>
      </w:pPr>
      <w:r w:rsidRPr="00DA5B49">
        <w:rPr>
          <w:rFonts w:hint="cs"/>
          <w:sz w:val="26"/>
          <w:rtl/>
        </w:rPr>
        <w:t>שקלתי לזכות הנאשם את הודאתו במיוחס לו וקבלת אחריות על מעשיו</w:t>
      </w:r>
      <w:r>
        <w:rPr>
          <w:rFonts w:hint="cs"/>
          <w:sz w:val="26"/>
          <w:rtl/>
        </w:rPr>
        <w:t>,</w:t>
      </w:r>
      <w:r w:rsidRPr="00DA5B49">
        <w:rPr>
          <w:rFonts w:hint="cs"/>
          <w:sz w:val="26"/>
          <w:rtl/>
        </w:rPr>
        <w:t xml:space="preserve"> שהיה בה כדי לחסוך את הצורך בשמיעת עדים</w:t>
      </w:r>
      <w:r>
        <w:rPr>
          <w:rFonts w:hint="cs"/>
          <w:sz w:val="26"/>
          <w:rtl/>
        </w:rPr>
        <w:t xml:space="preserve"> ולקצר את משפטו</w:t>
      </w:r>
      <w:r w:rsidRPr="00DA5B49">
        <w:rPr>
          <w:rFonts w:hint="cs"/>
          <w:sz w:val="26"/>
          <w:rtl/>
        </w:rPr>
        <w:t xml:space="preserve">. קבלת אחריות מגלמת הבנה של הנאשם בדבר הפסול שיש במעשיו ומפחיתה את הסיכון להישנותם. </w:t>
      </w:r>
    </w:p>
    <w:p w14:paraId="77ECDCD9" w14:textId="77777777" w:rsidR="00BC6973" w:rsidRPr="00DA5B49" w:rsidRDefault="00BC6973" w:rsidP="00BC6973">
      <w:pPr>
        <w:pStyle w:val="a9"/>
        <w:jc w:val="both"/>
        <w:rPr>
          <w:sz w:val="26"/>
        </w:rPr>
      </w:pPr>
    </w:p>
    <w:p w14:paraId="54E171EF" w14:textId="77777777" w:rsidR="00BC6973" w:rsidRPr="008D11B8" w:rsidRDefault="00BC6973" w:rsidP="00BC6973">
      <w:pPr>
        <w:pStyle w:val="a9"/>
        <w:numPr>
          <w:ilvl w:val="0"/>
          <w:numId w:val="1"/>
        </w:numPr>
        <w:spacing w:line="360" w:lineRule="auto"/>
        <w:jc w:val="both"/>
        <w:rPr>
          <w:sz w:val="26"/>
        </w:rPr>
      </w:pPr>
      <w:r w:rsidRPr="00DA5B49">
        <w:rPr>
          <w:rFonts w:hint="cs"/>
          <w:sz w:val="26"/>
          <w:rtl/>
        </w:rPr>
        <w:t>עוד שקלתי לזכות הנאשם את עברו הנקי ואת גילו</w:t>
      </w:r>
      <w:r>
        <w:rPr>
          <w:rFonts w:hint="cs"/>
          <w:sz w:val="26"/>
          <w:rtl/>
        </w:rPr>
        <w:t xml:space="preserve"> </w:t>
      </w:r>
      <w:r w:rsidRPr="00DA5B49">
        <w:rPr>
          <w:rFonts w:hint="cs"/>
          <w:sz w:val="26"/>
          <w:rtl/>
        </w:rPr>
        <w:t>הצעיר</w:t>
      </w:r>
      <w:r>
        <w:rPr>
          <w:rFonts w:hint="cs"/>
          <w:sz w:val="26"/>
          <w:rtl/>
        </w:rPr>
        <w:t>,</w:t>
      </w:r>
      <w:r w:rsidRPr="00DA5B49">
        <w:rPr>
          <w:rFonts w:hint="cs"/>
          <w:sz w:val="26"/>
          <w:rtl/>
        </w:rPr>
        <w:t xml:space="preserve"> כמו גם את התמדתו במסגרת תעסוקתית. כל אלה מלמדים על רצון לקיים אורח חיים נורמטיבי ומתפקד ומצדיקים הקלה ע</w:t>
      </w:r>
      <w:r>
        <w:rPr>
          <w:rFonts w:hint="cs"/>
          <w:sz w:val="26"/>
          <w:rtl/>
        </w:rPr>
        <w:t xml:space="preserve">מו. </w:t>
      </w:r>
    </w:p>
    <w:p w14:paraId="67DCCD64" w14:textId="77777777" w:rsidR="00BC6973" w:rsidRPr="00DA5B49" w:rsidRDefault="00BC6973" w:rsidP="00BC6973">
      <w:pPr>
        <w:pStyle w:val="a9"/>
        <w:jc w:val="both"/>
        <w:rPr>
          <w:sz w:val="26"/>
        </w:rPr>
      </w:pPr>
    </w:p>
    <w:p w14:paraId="1CC060ED" w14:textId="77777777" w:rsidR="00BC6973" w:rsidRDefault="00BC6973" w:rsidP="00BC6973">
      <w:pPr>
        <w:pStyle w:val="a9"/>
        <w:numPr>
          <w:ilvl w:val="0"/>
          <w:numId w:val="1"/>
        </w:numPr>
        <w:spacing w:line="360" w:lineRule="auto"/>
        <w:jc w:val="both"/>
        <w:rPr>
          <w:sz w:val="26"/>
        </w:rPr>
      </w:pPr>
      <w:r>
        <w:rPr>
          <w:rFonts w:hint="cs"/>
          <w:sz w:val="26"/>
          <w:rtl/>
        </w:rPr>
        <w:t>שקלתי את ההשפעה המרתיעה שהייתה למעצר ולהליך המשפטי על הנאשם, ואת החרדה שוודאי מלווה אותו לנוכח הבירור הרפואי שהוא מצוי בעיצומו.</w:t>
      </w:r>
    </w:p>
    <w:p w14:paraId="1B5337A5" w14:textId="77777777" w:rsidR="00BC6973" w:rsidRPr="00804120" w:rsidRDefault="00BC6973" w:rsidP="00BC6973">
      <w:pPr>
        <w:pStyle w:val="a9"/>
        <w:spacing w:line="360" w:lineRule="auto"/>
        <w:jc w:val="both"/>
        <w:rPr>
          <w:sz w:val="26"/>
        </w:rPr>
      </w:pPr>
    </w:p>
    <w:p w14:paraId="628A7CB9" w14:textId="77777777" w:rsidR="00BC6973" w:rsidRDefault="00BC6973" w:rsidP="00BC6973">
      <w:pPr>
        <w:pStyle w:val="a9"/>
        <w:numPr>
          <w:ilvl w:val="0"/>
          <w:numId w:val="1"/>
        </w:numPr>
        <w:spacing w:line="360" w:lineRule="auto"/>
        <w:jc w:val="both"/>
        <w:rPr>
          <w:sz w:val="26"/>
        </w:rPr>
      </w:pPr>
      <w:r w:rsidRPr="00DA5B49">
        <w:rPr>
          <w:rFonts w:hint="cs"/>
          <w:sz w:val="26"/>
          <w:rtl/>
        </w:rPr>
        <w:t xml:space="preserve">שירות המבחן סבור כי </w:t>
      </w:r>
      <w:r>
        <w:rPr>
          <w:rFonts w:hint="cs"/>
          <w:sz w:val="26"/>
          <w:rtl/>
        </w:rPr>
        <w:t>ל</w:t>
      </w:r>
      <w:r w:rsidRPr="00DA5B49">
        <w:rPr>
          <w:rFonts w:hint="cs"/>
          <w:sz w:val="26"/>
          <w:rtl/>
        </w:rPr>
        <w:t>נאשם נזקקות טיפולית</w:t>
      </w:r>
      <w:r>
        <w:rPr>
          <w:rFonts w:hint="cs"/>
          <w:sz w:val="26"/>
          <w:rtl/>
        </w:rPr>
        <w:t>,</w:t>
      </w:r>
      <w:r w:rsidRPr="00DA5B49">
        <w:rPr>
          <w:rFonts w:hint="cs"/>
          <w:sz w:val="26"/>
          <w:rtl/>
        </w:rPr>
        <w:t xml:space="preserve"> אך לתפיסת הנאשם הוא אינו זקוק לטיפול. העדרו של טפול מגביר את הסיכוי להישנות העבירות כפי ש</w:t>
      </w:r>
      <w:r>
        <w:rPr>
          <w:rFonts w:hint="cs"/>
          <w:sz w:val="26"/>
          <w:rtl/>
        </w:rPr>
        <w:t>העריך</w:t>
      </w:r>
      <w:r w:rsidRPr="00DA5B49">
        <w:rPr>
          <w:rFonts w:hint="cs"/>
          <w:sz w:val="26"/>
          <w:rtl/>
        </w:rPr>
        <w:t xml:space="preserve"> גם שירות המבחן עצמו. משעה שהנאשם אינו נוטל חלק בשום הליך טיפולי, מובן כי אין מקום לשקול בעניינו חריגה לקולא ממתחם העונש ההולם משיקולי שיקום.</w:t>
      </w:r>
      <w:r>
        <w:rPr>
          <w:rFonts w:hint="cs"/>
          <w:sz w:val="26"/>
          <w:rtl/>
        </w:rPr>
        <w:t xml:space="preserve"> בהקשר זה אוסיף כי אף אם היה הנאשם נוטל חלק בהליך טיפולי, ספק אם חומרת העבירה הייתה מאפשרת חריגה כאמור. מכל מקום, יש לברך על הרצון שהביע הנאשם, באמצעות בא- כוחו, במסגרת הטיעונים לעונש ליטול חלק בטיפול כזה או אחר, ויש לקוות שישכיל להשתתף בטיפול כזה במהלך תקופת מאסרו.  </w:t>
      </w:r>
    </w:p>
    <w:p w14:paraId="75DF9F7E" w14:textId="77777777" w:rsidR="00BC6973" w:rsidRPr="00DA5B49" w:rsidRDefault="00BC6973" w:rsidP="00BC6973">
      <w:pPr>
        <w:pStyle w:val="a9"/>
        <w:spacing w:line="360" w:lineRule="auto"/>
        <w:jc w:val="both"/>
        <w:rPr>
          <w:sz w:val="26"/>
        </w:rPr>
      </w:pPr>
    </w:p>
    <w:p w14:paraId="1EF6A042" w14:textId="77777777" w:rsidR="00BC6973" w:rsidRPr="00DA5B49" w:rsidRDefault="00BC6973" w:rsidP="00BC6973">
      <w:pPr>
        <w:pStyle w:val="a9"/>
        <w:numPr>
          <w:ilvl w:val="0"/>
          <w:numId w:val="1"/>
        </w:numPr>
        <w:spacing w:line="360" w:lineRule="auto"/>
        <w:jc w:val="both"/>
        <w:rPr>
          <w:sz w:val="26"/>
        </w:rPr>
      </w:pPr>
      <w:r w:rsidRPr="00DA5B49">
        <w:rPr>
          <w:rFonts w:hint="cs"/>
          <w:sz w:val="26"/>
          <w:rtl/>
        </w:rPr>
        <w:t>מכלול הנסיבות שאינן קשורות לביצוע עבירה מחייב לגזור על הנאשם עונש המצוי בתחתית מתחם העונש ההולם.</w:t>
      </w:r>
    </w:p>
    <w:p w14:paraId="766EC4A3" w14:textId="77777777" w:rsidR="00BC6973" w:rsidRPr="00C039EB" w:rsidRDefault="00BC6973" w:rsidP="00BC6973">
      <w:pPr>
        <w:pStyle w:val="a9"/>
        <w:jc w:val="both"/>
        <w:rPr>
          <w:sz w:val="26"/>
        </w:rPr>
      </w:pPr>
    </w:p>
    <w:p w14:paraId="127A980E" w14:textId="77777777" w:rsidR="00BC6973" w:rsidRDefault="00BC6973" w:rsidP="00BC6973">
      <w:pPr>
        <w:pStyle w:val="a9"/>
        <w:numPr>
          <w:ilvl w:val="0"/>
          <w:numId w:val="1"/>
        </w:numPr>
        <w:spacing w:line="360" w:lineRule="auto"/>
        <w:jc w:val="both"/>
        <w:rPr>
          <w:sz w:val="26"/>
        </w:rPr>
      </w:pPr>
      <w:r w:rsidRPr="00DA5B49">
        <w:rPr>
          <w:rFonts w:hint="cs"/>
          <w:rtl/>
        </w:rPr>
        <w:t>אני גוזרת על הנאשם את העונשים הבאים:</w:t>
      </w:r>
    </w:p>
    <w:p w14:paraId="042807DD" w14:textId="77777777" w:rsidR="00BC6973" w:rsidRPr="00DA5B49" w:rsidRDefault="00BC6973" w:rsidP="00BC6973">
      <w:pPr>
        <w:pStyle w:val="a9"/>
        <w:spacing w:line="360" w:lineRule="auto"/>
        <w:jc w:val="both"/>
        <w:rPr>
          <w:sz w:val="26"/>
          <w:rtl/>
        </w:rPr>
      </w:pPr>
    </w:p>
    <w:p w14:paraId="0EC2544C" w14:textId="77777777" w:rsidR="00BC6973" w:rsidRPr="00DA5B49" w:rsidRDefault="00BC6973" w:rsidP="00BC6973">
      <w:pPr>
        <w:spacing w:line="360" w:lineRule="auto"/>
        <w:ind w:left="1440" w:hanging="720"/>
        <w:jc w:val="both"/>
        <w:rPr>
          <w:rFonts w:ascii="David" w:hAnsi="David"/>
          <w:sz w:val="22"/>
          <w:rtl/>
          <w:lang w:eastAsia="he-IL"/>
        </w:rPr>
      </w:pPr>
      <w:r w:rsidRPr="00DA5B49">
        <w:rPr>
          <w:rFonts w:hint="cs"/>
          <w:rtl/>
        </w:rPr>
        <w:t>א.</w:t>
      </w:r>
      <w:r w:rsidRPr="00DA5B49">
        <w:rPr>
          <w:rFonts w:hint="cs"/>
          <w:rtl/>
        </w:rPr>
        <w:tab/>
      </w:r>
      <w:r>
        <w:rPr>
          <w:rFonts w:hint="cs"/>
          <w:rtl/>
        </w:rPr>
        <w:t xml:space="preserve">שישה-עשר </w:t>
      </w:r>
      <w:r w:rsidRPr="00DA5B49">
        <w:rPr>
          <w:rFonts w:hint="cs"/>
          <w:rtl/>
        </w:rPr>
        <w:t xml:space="preserve">חודשי מאסר בפועל בניכוי ימי מעצרו מיום 28.1.20 עד יום 12.3.20. </w:t>
      </w:r>
      <w:r w:rsidRPr="00DA5B49">
        <w:rPr>
          <w:rFonts w:ascii="David" w:hAnsi="David"/>
          <w:sz w:val="22"/>
          <w:rtl/>
          <w:lang w:eastAsia="he-IL"/>
        </w:rPr>
        <w:t>הנאשם</w:t>
      </w:r>
      <w:r w:rsidRPr="00DA5B49">
        <w:rPr>
          <w:rFonts w:ascii="Calibri" w:hAnsi="Calibri"/>
          <w:sz w:val="22"/>
          <w:lang w:eastAsia="he-IL"/>
        </w:rPr>
        <w:t xml:space="preserve"> </w:t>
      </w:r>
      <w:r w:rsidRPr="00DA5B49">
        <w:rPr>
          <w:rFonts w:ascii="David" w:hAnsi="David"/>
          <w:sz w:val="22"/>
          <w:rtl/>
          <w:lang w:eastAsia="he-IL"/>
        </w:rPr>
        <w:t>יתאם כניסתו</w:t>
      </w:r>
      <w:r w:rsidRPr="00DA5B49">
        <w:rPr>
          <w:rFonts w:ascii="Calibri" w:hAnsi="Calibri"/>
          <w:sz w:val="22"/>
          <w:lang w:eastAsia="he-IL"/>
        </w:rPr>
        <w:t xml:space="preserve"> </w:t>
      </w:r>
      <w:r w:rsidRPr="00DA5B49">
        <w:rPr>
          <w:rFonts w:ascii="David" w:hAnsi="David"/>
          <w:sz w:val="22"/>
          <w:rtl/>
          <w:lang w:eastAsia="he-IL"/>
        </w:rPr>
        <w:t>למאסר עם</w:t>
      </w:r>
      <w:r w:rsidRPr="00DA5B49">
        <w:rPr>
          <w:rFonts w:ascii="Calibri" w:hAnsi="Calibri"/>
          <w:sz w:val="22"/>
          <w:lang w:eastAsia="he-IL"/>
        </w:rPr>
        <w:t xml:space="preserve"> </w:t>
      </w:r>
      <w:r w:rsidRPr="00DA5B49">
        <w:rPr>
          <w:rFonts w:ascii="David" w:hAnsi="David"/>
          <w:sz w:val="22"/>
          <w:rtl/>
          <w:lang w:eastAsia="he-IL"/>
        </w:rPr>
        <w:t>ענף</w:t>
      </w:r>
      <w:r w:rsidRPr="00DA5B49">
        <w:rPr>
          <w:rFonts w:ascii="Calibri" w:hAnsi="Calibri"/>
          <w:sz w:val="22"/>
          <w:lang w:eastAsia="he-IL"/>
        </w:rPr>
        <w:t xml:space="preserve"> </w:t>
      </w:r>
      <w:r w:rsidRPr="00DA5B49">
        <w:rPr>
          <w:rFonts w:ascii="David" w:hAnsi="David"/>
          <w:sz w:val="22"/>
          <w:rtl/>
          <w:lang w:eastAsia="he-IL"/>
        </w:rPr>
        <w:t>אבחון</w:t>
      </w:r>
      <w:r w:rsidRPr="00DA5B49">
        <w:rPr>
          <w:rFonts w:ascii="Calibri" w:hAnsi="Calibri"/>
          <w:sz w:val="22"/>
          <w:lang w:eastAsia="he-IL"/>
        </w:rPr>
        <w:t xml:space="preserve"> </w:t>
      </w:r>
      <w:r w:rsidRPr="00DA5B49">
        <w:rPr>
          <w:rFonts w:ascii="David" w:hAnsi="David"/>
          <w:sz w:val="22"/>
          <w:rtl/>
          <w:lang w:eastAsia="he-IL"/>
        </w:rPr>
        <w:t>ומיון</w:t>
      </w:r>
      <w:r w:rsidRPr="00DA5B49">
        <w:rPr>
          <w:rFonts w:ascii="Calibri" w:hAnsi="Calibri"/>
          <w:sz w:val="22"/>
          <w:lang w:eastAsia="he-IL"/>
        </w:rPr>
        <w:t xml:space="preserve"> </w:t>
      </w:r>
      <w:r w:rsidRPr="00DA5B49">
        <w:rPr>
          <w:rFonts w:ascii="David" w:hAnsi="David"/>
          <w:sz w:val="22"/>
          <w:rtl/>
          <w:lang w:eastAsia="he-IL"/>
        </w:rPr>
        <w:t>של</w:t>
      </w:r>
      <w:r w:rsidRPr="00DA5B49">
        <w:rPr>
          <w:rFonts w:ascii="Calibri" w:hAnsi="Calibri"/>
          <w:sz w:val="22"/>
          <w:lang w:eastAsia="he-IL"/>
        </w:rPr>
        <w:t xml:space="preserve"> </w:t>
      </w:r>
      <w:r w:rsidRPr="00DA5B49">
        <w:rPr>
          <w:rFonts w:ascii="David" w:hAnsi="David"/>
          <w:sz w:val="22"/>
          <w:rtl/>
          <w:lang w:eastAsia="he-IL"/>
        </w:rPr>
        <w:t>שירות</w:t>
      </w:r>
      <w:r w:rsidRPr="00DA5B49">
        <w:rPr>
          <w:rFonts w:ascii="Calibri" w:hAnsi="Calibri"/>
          <w:sz w:val="22"/>
          <w:lang w:eastAsia="he-IL"/>
        </w:rPr>
        <w:t xml:space="preserve"> </w:t>
      </w:r>
      <w:r w:rsidRPr="00DA5B49">
        <w:rPr>
          <w:rFonts w:ascii="David" w:hAnsi="David"/>
          <w:sz w:val="22"/>
          <w:rtl/>
          <w:lang w:eastAsia="he-IL"/>
        </w:rPr>
        <w:t xml:space="preserve">בתי הסוהר: פקס 08-9193314, דואר אלקטרוני </w:t>
      </w:r>
      <w:hyperlink r:id="rId10" w:history="1">
        <w:r w:rsidRPr="00DA5B49">
          <w:rPr>
            <w:rFonts w:ascii="Calibri" w:hAnsi="Calibri"/>
            <w:sz w:val="22"/>
            <w:lang w:eastAsia="he-IL"/>
          </w:rPr>
          <w:t>MaasarN@ips.gov.il</w:t>
        </w:r>
      </w:hyperlink>
      <w:r w:rsidRPr="00DA5B49">
        <w:rPr>
          <w:rFonts w:ascii="David" w:hAnsi="David"/>
          <w:sz w:val="22"/>
          <w:rtl/>
          <w:lang w:eastAsia="he-IL"/>
        </w:rPr>
        <w:t>, טלפון : 08-9787377 או 08-9787336.</w:t>
      </w:r>
    </w:p>
    <w:p w14:paraId="5028A520" w14:textId="77777777" w:rsidR="00BC6973" w:rsidRDefault="00BC6973" w:rsidP="00BC6973">
      <w:pPr>
        <w:spacing w:after="120" w:line="360" w:lineRule="auto"/>
        <w:ind w:left="1440"/>
        <w:jc w:val="both"/>
        <w:rPr>
          <w:rFonts w:ascii="David" w:hAnsi="David"/>
          <w:sz w:val="22"/>
          <w:rtl/>
          <w:lang w:eastAsia="he-IL"/>
        </w:rPr>
      </w:pPr>
      <w:r w:rsidRPr="00DA5B49">
        <w:rPr>
          <w:rFonts w:ascii="David" w:hAnsi="David"/>
          <w:sz w:val="22"/>
          <w:rtl/>
          <w:lang w:eastAsia="he-IL"/>
        </w:rPr>
        <w:t xml:space="preserve">ככל שלא יקבל הנאשם הנחיה אחרת, עליו להתייצב לריצוי עונשו ביום </w:t>
      </w:r>
      <w:r w:rsidRPr="00DA5B49">
        <w:rPr>
          <w:rFonts w:ascii="David" w:hAnsi="David" w:hint="cs"/>
          <w:sz w:val="22"/>
          <w:rtl/>
          <w:lang w:eastAsia="he-IL"/>
        </w:rPr>
        <w:t xml:space="preserve">4.7.21 </w:t>
      </w:r>
      <w:r w:rsidRPr="00DA5B49">
        <w:rPr>
          <w:rFonts w:ascii="David" w:hAnsi="David"/>
          <w:sz w:val="22"/>
          <w:rtl/>
          <w:lang w:eastAsia="he-IL"/>
        </w:rPr>
        <w:t>עד השעה 9:00 במתקן המעצר בכלא ניצן ברמלה</w:t>
      </w:r>
      <w:r>
        <w:rPr>
          <w:rFonts w:ascii="David" w:hAnsi="David" w:hint="cs"/>
          <w:sz w:val="22"/>
          <w:rtl/>
          <w:lang w:eastAsia="he-IL"/>
        </w:rPr>
        <w:t>,</w:t>
      </w:r>
      <w:r w:rsidRPr="00DA5B49">
        <w:rPr>
          <w:rFonts w:ascii="David" w:hAnsi="David"/>
          <w:sz w:val="22"/>
          <w:rtl/>
          <w:lang w:eastAsia="he-IL"/>
        </w:rPr>
        <w:t xml:space="preserve"> עם תעודה מזהה והעתק גזר הדין.</w:t>
      </w:r>
      <w:r>
        <w:rPr>
          <w:rFonts w:ascii="David" w:hAnsi="David" w:hint="cs"/>
          <w:sz w:val="22"/>
          <w:rtl/>
          <w:lang w:eastAsia="he-IL"/>
        </w:rPr>
        <w:t xml:space="preserve"> </w:t>
      </w:r>
    </w:p>
    <w:p w14:paraId="42539B56" w14:textId="77777777" w:rsidR="00BC6973" w:rsidRDefault="00BC6973" w:rsidP="00BC6973">
      <w:pPr>
        <w:spacing w:after="120" w:line="360" w:lineRule="auto"/>
        <w:ind w:left="1440"/>
        <w:jc w:val="both"/>
        <w:rPr>
          <w:rFonts w:ascii="David" w:hAnsi="David"/>
          <w:sz w:val="22"/>
          <w:rtl/>
          <w:lang w:eastAsia="he-IL"/>
        </w:rPr>
      </w:pPr>
      <w:r>
        <w:rPr>
          <w:rFonts w:ascii="David" w:hAnsi="David" w:hint="cs"/>
          <w:sz w:val="22"/>
          <w:rtl/>
          <w:lang w:eastAsia="he-IL"/>
        </w:rPr>
        <w:t xml:space="preserve">עד להתייצבותו לריצוי העונש יוסיף הנאשם לשהות בתנאים המגבילים שבהם היה נתון ערב גזר הדין. </w:t>
      </w:r>
    </w:p>
    <w:p w14:paraId="1C7AFC80" w14:textId="77777777" w:rsidR="00BC6973" w:rsidRDefault="00BC6973" w:rsidP="00BC6973">
      <w:pPr>
        <w:spacing w:after="120" w:line="360" w:lineRule="auto"/>
        <w:jc w:val="both"/>
        <w:rPr>
          <w:rFonts w:ascii="David" w:hAnsi="David"/>
          <w:sz w:val="22"/>
          <w:rtl/>
          <w:lang w:eastAsia="he-IL"/>
        </w:rPr>
      </w:pPr>
    </w:p>
    <w:p w14:paraId="35356E34" w14:textId="77777777" w:rsidR="00BC6973" w:rsidRDefault="00BC6973" w:rsidP="00BC6973">
      <w:pPr>
        <w:spacing w:line="360" w:lineRule="auto"/>
        <w:ind w:left="1440" w:hanging="720"/>
        <w:jc w:val="both"/>
        <w:rPr>
          <w:rtl/>
        </w:rPr>
      </w:pPr>
      <w:r w:rsidRPr="00DA5B49">
        <w:rPr>
          <w:rFonts w:hint="cs"/>
          <w:rtl/>
        </w:rPr>
        <w:t>ב.</w:t>
      </w:r>
      <w:r w:rsidRPr="00DA5B49">
        <w:rPr>
          <w:rFonts w:hint="cs"/>
          <w:rtl/>
        </w:rPr>
        <w:tab/>
        <w:t xml:space="preserve">שישה חודשי מאסר על תנאי למשך שלוש שנים מיום שחרורו ממאסר, שלא יעבור עבירה לפי </w:t>
      </w:r>
      <w:hyperlink r:id="rId11" w:history="1">
        <w:r w:rsidR="00BE2AEC" w:rsidRPr="00BE2AEC">
          <w:rPr>
            <w:color w:val="0000FF"/>
            <w:u w:val="single"/>
            <w:rtl/>
          </w:rPr>
          <w:t>פקודת הסמים המסוכנים</w:t>
        </w:r>
      </w:hyperlink>
      <w:r w:rsidRPr="00DA5B49">
        <w:rPr>
          <w:rFonts w:hint="cs"/>
          <w:rtl/>
        </w:rPr>
        <w:t xml:space="preserve"> למעט החזקת סמים לצריכה עצמית וכלים. </w:t>
      </w:r>
    </w:p>
    <w:p w14:paraId="5DD1811A" w14:textId="77777777" w:rsidR="00BC6973" w:rsidRPr="00DA5B49" w:rsidRDefault="00BC6973" w:rsidP="00BC6973">
      <w:pPr>
        <w:spacing w:line="360" w:lineRule="auto"/>
        <w:jc w:val="both"/>
        <w:rPr>
          <w:rtl/>
        </w:rPr>
      </w:pPr>
    </w:p>
    <w:p w14:paraId="4952B5D6" w14:textId="77777777" w:rsidR="00BC6973" w:rsidRDefault="00BC6973" w:rsidP="00BC6973">
      <w:pPr>
        <w:spacing w:line="360" w:lineRule="auto"/>
        <w:ind w:left="1440" w:hanging="720"/>
        <w:jc w:val="both"/>
        <w:rPr>
          <w:rtl/>
        </w:rPr>
      </w:pPr>
      <w:r w:rsidRPr="00DA5B49">
        <w:rPr>
          <w:rFonts w:hint="cs"/>
          <w:rtl/>
        </w:rPr>
        <w:t>ג.</w:t>
      </w:r>
      <w:r w:rsidRPr="00DA5B49">
        <w:rPr>
          <w:rFonts w:hint="cs"/>
          <w:rtl/>
        </w:rPr>
        <w:tab/>
        <w:t>פסילה מלקבל או להחזיק רישיון נהיגה למשך שישה חודשים מיום שחרורו ממאסר. עם שחרורו ממאסר יפקיד הנאשם את רישיון הנהיגה שלו במזכירות בית משפט או יפקיד הצהרה כי אין לו רישיון נהיגה.</w:t>
      </w:r>
    </w:p>
    <w:p w14:paraId="0516A218" w14:textId="77777777" w:rsidR="00BC6973" w:rsidRPr="00DA5B49" w:rsidRDefault="00BC6973" w:rsidP="00BC6973">
      <w:pPr>
        <w:spacing w:line="360" w:lineRule="auto"/>
        <w:jc w:val="both"/>
        <w:rPr>
          <w:rtl/>
        </w:rPr>
      </w:pPr>
    </w:p>
    <w:p w14:paraId="505533E8" w14:textId="77777777" w:rsidR="00BC6973" w:rsidRPr="00DA5B49" w:rsidRDefault="00BC6973" w:rsidP="00BC6973">
      <w:pPr>
        <w:spacing w:line="360" w:lineRule="auto"/>
        <w:ind w:left="1440" w:hanging="720"/>
        <w:jc w:val="both"/>
        <w:rPr>
          <w:rtl/>
        </w:rPr>
      </w:pPr>
      <w:r w:rsidRPr="00DA5B49">
        <w:rPr>
          <w:rFonts w:hint="cs"/>
          <w:rtl/>
        </w:rPr>
        <w:t>ד.</w:t>
      </w:r>
      <w:r w:rsidRPr="00DA5B49">
        <w:rPr>
          <w:rFonts w:hint="cs"/>
          <w:rtl/>
        </w:rPr>
        <w:tab/>
        <w:t xml:space="preserve">קנס בסך </w:t>
      </w:r>
      <w:r>
        <w:rPr>
          <w:rFonts w:hint="cs"/>
          <w:rtl/>
        </w:rPr>
        <w:t>3,000</w:t>
      </w:r>
      <w:r w:rsidRPr="00DA5B49">
        <w:rPr>
          <w:rFonts w:hint="cs"/>
          <w:rtl/>
        </w:rPr>
        <w:t xml:space="preserve"> </w:t>
      </w:r>
      <w:r>
        <w:rPr>
          <w:rFonts w:hint="cs"/>
          <w:rtl/>
        </w:rPr>
        <w:t xml:space="preserve">₪ </w:t>
      </w:r>
      <w:r w:rsidRPr="00DA5B49">
        <w:rPr>
          <w:rFonts w:hint="cs"/>
          <w:rtl/>
        </w:rPr>
        <w:t xml:space="preserve">או </w:t>
      </w:r>
      <w:r>
        <w:rPr>
          <w:rFonts w:hint="cs"/>
          <w:rtl/>
        </w:rPr>
        <w:t>30</w:t>
      </w:r>
      <w:r w:rsidRPr="00DA5B49">
        <w:rPr>
          <w:rFonts w:hint="cs"/>
          <w:rtl/>
        </w:rPr>
        <w:t xml:space="preserve"> ימי מאסר תמורתו. הקנס ישולם ב</w:t>
      </w:r>
      <w:r>
        <w:rPr>
          <w:rFonts w:hint="cs"/>
          <w:rtl/>
        </w:rPr>
        <w:t>ארבעה</w:t>
      </w:r>
      <w:r w:rsidRPr="00DA5B49">
        <w:rPr>
          <w:rFonts w:hint="cs"/>
          <w:rtl/>
        </w:rPr>
        <w:t xml:space="preserve"> תשלומים חודשיים שווים ורצופים הראשון עד ליום </w:t>
      </w:r>
      <w:r>
        <w:rPr>
          <w:rFonts w:hint="cs"/>
          <w:rtl/>
        </w:rPr>
        <w:t>1.8.21</w:t>
      </w:r>
      <w:r w:rsidRPr="00DA5B49">
        <w:rPr>
          <w:rFonts w:hint="cs"/>
          <w:rtl/>
        </w:rPr>
        <w:t xml:space="preserve"> והבאים עד ל-1 בכל חודש עוקב. לא ישולם איזה מהתשלומים במועדו, תעמוד מלוא יתרת הקנס לפירעון מידי.</w:t>
      </w:r>
    </w:p>
    <w:p w14:paraId="6FB5262B" w14:textId="77777777" w:rsidR="00BC6973" w:rsidRDefault="00BC6973" w:rsidP="00BC6973">
      <w:pPr>
        <w:ind w:left="1440" w:hanging="720"/>
        <w:jc w:val="both"/>
        <w:rPr>
          <w:rtl/>
        </w:rPr>
      </w:pPr>
    </w:p>
    <w:p w14:paraId="13862620" w14:textId="77777777" w:rsidR="00BC6973" w:rsidRDefault="00BC6973" w:rsidP="00BC6973">
      <w:pPr>
        <w:ind w:left="1440" w:hanging="720"/>
        <w:jc w:val="both"/>
        <w:rPr>
          <w:rtl/>
        </w:rPr>
      </w:pPr>
    </w:p>
    <w:p w14:paraId="1C715FAF" w14:textId="77777777" w:rsidR="00BC6973" w:rsidRDefault="00BC6973" w:rsidP="00BC6973">
      <w:pPr>
        <w:ind w:left="1440" w:hanging="720"/>
        <w:jc w:val="both"/>
        <w:rPr>
          <w:rtl/>
        </w:rPr>
      </w:pPr>
    </w:p>
    <w:p w14:paraId="4470900B" w14:textId="77777777" w:rsidR="00BC6973" w:rsidRDefault="00BC6973" w:rsidP="00BC6973">
      <w:pPr>
        <w:ind w:left="1440" w:hanging="720"/>
        <w:jc w:val="both"/>
        <w:rPr>
          <w:rtl/>
        </w:rPr>
      </w:pPr>
    </w:p>
    <w:p w14:paraId="2D52DD2C" w14:textId="77777777" w:rsidR="00BC6973" w:rsidRDefault="00BC6973" w:rsidP="00BC6973">
      <w:pPr>
        <w:ind w:left="1440" w:hanging="720"/>
        <w:jc w:val="both"/>
        <w:rPr>
          <w:rtl/>
        </w:rPr>
      </w:pPr>
    </w:p>
    <w:p w14:paraId="5EFBBF64" w14:textId="77777777" w:rsidR="00BC6973" w:rsidRDefault="00BC6973" w:rsidP="00BC6973">
      <w:pPr>
        <w:ind w:left="1440" w:hanging="720"/>
        <w:jc w:val="both"/>
        <w:rPr>
          <w:rtl/>
        </w:rPr>
      </w:pPr>
    </w:p>
    <w:p w14:paraId="7AEA5A6F" w14:textId="77777777" w:rsidR="00BC6973" w:rsidRDefault="00BC6973" w:rsidP="00BC6973">
      <w:pPr>
        <w:ind w:left="1440" w:hanging="720"/>
        <w:jc w:val="both"/>
        <w:rPr>
          <w:rtl/>
        </w:rPr>
      </w:pPr>
    </w:p>
    <w:p w14:paraId="0B9C3EE0" w14:textId="77777777" w:rsidR="00BC6973" w:rsidRDefault="00BC6973" w:rsidP="00BC6973">
      <w:pPr>
        <w:ind w:left="1440" w:hanging="720"/>
        <w:jc w:val="both"/>
        <w:rPr>
          <w:rtl/>
        </w:rPr>
      </w:pPr>
    </w:p>
    <w:p w14:paraId="0424D63E" w14:textId="77777777" w:rsidR="00BC6973" w:rsidRPr="00DA5B49" w:rsidRDefault="00BC6973" w:rsidP="00BC6973">
      <w:pPr>
        <w:ind w:left="1440" w:hanging="720"/>
        <w:jc w:val="both"/>
        <w:rPr>
          <w:rtl/>
        </w:rPr>
      </w:pPr>
    </w:p>
    <w:p w14:paraId="143BCB36" w14:textId="77777777" w:rsidR="00BC6973" w:rsidRPr="00DA5B49" w:rsidRDefault="00BC6973" w:rsidP="00BC6973">
      <w:pPr>
        <w:pStyle w:val="a9"/>
        <w:numPr>
          <w:ilvl w:val="0"/>
          <w:numId w:val="1"/>
        </w:numPr>
        <w:spacing w:line="360" w:lineRule="auto"/>
        <w:jc w:val="both"/>
        <w:rPr>
          <w:sz w:val="26"/>
        </w:rPr>
      </w:pPr>
      <w:r w:rsidRPr="00DA5B49">
        <w:rPr>
          <w:rFonts w:hint="cs"/>
          <w:sz w:val="26"/>
          <w:rtl/>
        </w:rPr>
        <w:t>הסמים יושמדו.</w:t>
      </w:r>
    </w:p>
    <w:p w14:paraId="54EFA36B" w14:textId="77777777" w:rsidR="00BC6973" w:rsidRPr="00DA5B49" w:rsidRDefault="00BC6973" w:rsidP="00BC6973">
      <w:pPr>
        <w:pStyle w:val="a9"/>
        <w:jc w:val="both"/>
        <w:rPr>
          <w:sz w:val="26"/>
        </w:rPr>
      </w:pPr>
    </w:p>
    <w:p w14:paraId="085D20AF" w14:textId="77777777" w:rsidR="00BC6973" w:rsidRPr="00DA5B49" w:rsidRDefault="00BC6973" w:rsidP="00BC6973">
      <w:pPr>
        <w:pStyle w:val="a9"/>
        <w:numPr>
          <w:ilvl w:val="0"/>
          <w:numId w:val="1"/>
        </w:numPr>
        <w:spacing w:line="360" w:lineRule="auto"/>
        <w:jc w:val="both"/>
        <w:rPr>
          <w:sz w:val="26"/>
        </w:rPr>
      </w:pPr>
      <w:r w:rsidRPr="00DA5B49">
        <w:rPr>
          <w:rFonts w:hint="cs"/>
          <w:sz w:val="26"/>
          <w:rtl/>
        </w:rPr>
        <w:t>המזכירות תשלח העתק גזר הדין לשירות המבחן.</w:t>
      </w:r>
    </w:p>
    <w:p w14:paraId="77BB80C2" w14:textId="77777777" w:rsidR="00BC6973" w:rsidRDefault="00BC6973" w:rsidP="00BC6973">
      <w:pPr>
        <w:pStyle w:val="a9"/>
        <w:jc w:val="both"/>
        <w:rPr>
          <w:sz w:val="26"/>
          <w:rtl/>
        </w:rPr>
      </w:pPr>
    </w:p>
    <w:p w14:paraId="6F47929A" w14:textId="77777777" w:rsidR="00BC6973" w:rsidRDefault="00BC6973" w:rsidP="00BC6973">
      <w:pPr>
        <w:pStyle w:val="a9"/>
        <w:jc w:val="both"/>
        <w:rPr>
          <w:sz w:val="26"/>
          <w:rtl/>
        </w:rPr>
      </w:pPr>
    </w:p>
    <w:p w14:paraId="27D00F2A" w14:textId="77777777" w:rsidR="00BC6973" w:rsidRDefault="00BC6973" w:rsidP="00BC6973">
      <w:pPr>
        <w:pStyle w:val="a9"/>
        <w:jc w:val="both"/>
        <w:rPr>
          <w:sz w:val="26"/>
          <w:rtl/>
        </w:rPr>
      </w:pPr>
    </w:p>
    <w:p w14:paraId="73E2836A" w14:textId="77777777" w:rsidR="00BC6973" w:rsidRPr="00DA5B49" w:rsidRDefault="00BC6973" w:rsidP="00BC6973">
      <w:pPr>
        <w:pStyle w:val="a9"/>
        <w:jc w:val="both"/>
        <w:rPr>
          <w:sz w:val="26"/>
        </w:rPr>
      </w:pPr>
    </w:p>
    <w:p w14:paraId="53D86C72" w14:textId="77777777" w:rsidR="00BC6973" w:rsidRDefault="00BC6973" w:rsidP="00BC6973">
      <w:pPr>
        <w:rPr>
          <w:rtl/>
        </w:rPr>
      </w:pPr>
      <w:r w:rsidRPr="00DA5B49">
        <w:rPr>
          <w:rFonts w:hint="cs"/>
          <w:rtl/>
        </w:rPr>
        <w:t xml:space="preserve">זכות ערעור לבית המשפט המחוזי בירושלים בתוך 45 ימים מהיום. </w:t>
      </w:r>
    </w:p>
    <w:p w14:paraId="30C543D5" w14:textId="77777777" w:rsidR="00BC6973" w:rsidRPr="00DA5B49" w:rsidRDefault="00BC6973" w:rsidP="00BC6973"/>
    <w:p w14:paraId="1AC803DE" w14:textId="77777777" w:rsidR="00BC6973" w:rsidRPr="00BE2AEC" w:rsidRDefault="00BE2AEC" w:rsidP="00BC6973">
      <w:pPr>
        <w:rPr>
          <w:color w:val="FFFFFF"/>
          <w:sz w:val="2"/>
          <w:szCs w:val="2"/>
          <w:rtl/>
        </w:rPr>
      </w:pPr>
      <w:r w:rsidRPr="00BE2AEC">
        <w:rPr>
          <w:color w:val="FFFFFF"/>
          <w:sz w:val="2"/>
          <w:szCs w:val="2"/>
          <w:rtl/>
        </w:rPr>
        <w:t>5129371</w:t>
      </w:r>
    </w:p>
    <w:p w14:paraId="06492C0D" w14:textId="77777777" w:rsidR="00BC6973" w:rsidRPr="00AF11AA" w:rsidRDefault="00BE2AEC" w:rsidP="00BC6973">
      <w:pPr>
        <w:rPr>
          <w:rFonts w:cs="FrankRuehl"/>
          <w:sz w:val="28"/>
          <w:szCs w:val="28"/>
          <w:rtl/>
        </w:rPr>
      </w:pPr>
      <w:bookmarkStart w:id="8" w:name="Nitan"/>
      <w:r w:rsidRPr="00BE2AEC">
        <w:rPr>
          <w:rFonts w:ascii="Arial" w:hAnsi="Arial"/>
          <w:color w:val="FFFFFF"/>
          <w:sz w:val="2"/>
          <w:szCs w:val="2"/>
          <w:rtl/>
        </w:rPr>
        <w:t>54678313</w:t>
      </w:r>
      <w:r>
        <w:rPr>
          <w:rFonts w:ascii="Arial" w:hAnsi="Arial"/>
          <w:rtl/>
        </w:rPr>
        <w:t xml:space="preserve">ניתן היום,  ט"ו סיוון תשפ"א, 26 מאי 2021, בנוכחות הצדדים. </w:t>
      </w:r>
      <w:bookmarkEnd w:id="8"/>
    </w:p>
    <w:p w14:paraId="402B9E61" w14:textId="77777777" w:rsidR="00BC6973" w:rsidRDefault="00BC6973" w:rsidP="00BE2AE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467B6CB" w14:textId="77777777" w:rsidR="00BC6973" w:rsidRDefault="00BC6973" w:rsidP="00BC6973">
      <w:pPr>
        <w:jc w:val="center"/>
        <w:rPr>
          <w:rFonts w:ascii="Arial" w:hAnsi="Arial" w:cs="FrankRuehl"/>
          <w:sz w:val="28"/>
          <w:szCs w:val="28"/>
          <w:rtl/>
        </w:rPr>
      </w:pPr>
    </w:p>
    <w:p w14:paraId="79DC757D" w14:textId="77777777" w:rsidR="00BE2AEC" w:rsidRDefault="00BE2AEC" w:rsidP="00BE2AEC">
      <w:pPr>
        <w:rPr>
          <w:rtl/>
        </w:rPr>
      </w:pPr>
    </w:p>
    <w:p w14:paraId="19944442" w14:textId="77777777" w:rsidR="00BE2AEC" w:rsidRDefault="00BE2AEC" w:rsidP="00BE2AEC">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680B5797" w14:textId="77777777" w:rsidR="00326116" w:rsidRPr="00326116" w:rsidRDefault="00326116" w:rsidP="00326116">
      <w:pPr>
        <w:keepNext/>
        <w:rPr>
          <w:rFonts w:ascii="David" w:hAnsi="David"/>
          <w:color w:val="000000"/>
          <w:sz w:val="22"/>
          <w:szCs w:val="22"/>
          <w:rtl/>
        </w:rPr>
      </w:pPr>
    </w:p>
    <w:p w14:paraId="162C1DDD" w14:textId="77777777" w:rsidR="00326116" w:rsidRPr="00326116" w:rsidRDefault="00326116" w:rsidP="00326116">
      <w:pPr>
        <w:keepNext/>
        <w:rPr>
          <w:rFonts w:ascii="David" w:hAnsi="David"/>
          <w:color w:val="000000"/>
          <w:sz w:val="22"/>
          <w:szCs w:val="22"/>
          <w:rtl/>
        </w:rPr>
      </w:pPr>
      <w:r w:rsidRPr="00326116">
        <w:rPr>
          <w:rFonts w:ascii="David" w:hAnsi="David"/>
          <w:color w:val="000000"/>
          <w:sz w:val="22"/>
          <w:szCs w:val="22"/>
          <w:rtl/>
        </w:rPr>
        <w:t>ג'ויה סקפה שפירא 54678313-/</w:t>
      </w:r>
    </w:p>
    <w:p w14:paraId="3582713E" w14:textId="77777777" w:rsidR="00BE2AEC" w:rsidRPr="00BE2AEC" w:rsidRDefault="00326116" w:rsidP="00326116">
      <w:pPr>
        <w:rPr>
          <w:color w:val="0000FF"/>
          <w:u w:val="single"/>
        </w:rPr>
      </w:pPr>
      <w:r w:rsidRPr="00326116">
        <w:rPr>
          <w:color w:val="000000"/>
          <w:u w:val="single"/>
          <w:rtl/>
        </w:rPr>
        <w:t>נוסח מסמך זה כפוף לשינויי ניסוח ועריכה</w:t>
      </w:r>
    </w:p>
    <w:sectPr w:rsidR="00BE2AEC" w:rsidRPr="00BE2AEC" w:rsidSect="00326116">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C83A1" w14:textId="77777777" w:rsidR="00A567A0" w:rsidRDefault="00A567A0" w:rsidP="005B57D1">
      <w:r>
        <w:separator/>
      </w:r>
    </w:p>
  </w:endnote>
  <w:endnote w:type="continuationSeparator" w:id="0">
    <w:p w14:paraId="4942AC69" w14:textId="77777777" w:rsidR="00A567A0" w:rsidRDefault="00A567A0" w:rsidP="005B5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99721" w14:textId="77777777" w:rsidR="00326116" w:rsidRDefault="00326116" w:rsidP="003261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4407BEA8" w14:textId="77777777" w:rsidR="004F286C" w:rsidRPr="00326116" w:rsidRDefault="00326116" w:rsidP="00326116">
    <w:pPr>
      <w:pStyle w:val="a5"/>
      <w:pBdr>
        <w:top w:val="single" w:sz="4" w:space="1" w:color="auto"/>
        <w:between w:val="single" w:sz="4" w:space="0" w:color="auto"/>
      </w:pBdr>
      <w:spacing w:after="60"/>
      <w:jc w:val="center"/>
      <w:rPr>
        <w:rFonts w:ascii="FrankRuehl" w:hAnsi="FrankRuehl" w:cs="FrankRuehl"/>
        <w:color w:val="000000"/>
      </w:rPr>
    </w:pPr>
    <w:r w:rsidRPr="0032611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7766D" w14:textId="77777777" w:rsidR="00326116" w:rsidRDefault="00326116" w:rsidP="003261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331B">
      <w:rPr>
        <w:rFonts w:ascii="FrankRuehl" w:hAnsi="FrankRuehl" w:cs="FrankRuehl"/>
        <w:noProof/>
        <w:rtl/>
      </w:rPr>
      <w:t>1</w:t>
    </w:r>
    <w:r>
      <w:rPr>
        <w:rFonts w:ascii="FrankRuehl" w:hAnsi="FrankRuehl" w:cs="FrankRuehl"/>
        <w:rtl/>
      </w:rPr>
      <w:fldChar w:fldCharType="end"/>
    </w:r>
  </w:p>
  <w:p w14:paraId="1C77281D" w14:textId="77777777" w:rsidR="004F286C" w:rsidRPr="00326116" w:rsidRDefault="00326116" w:rsidP="00326116">
    <w:pPr>
      <w:pStyle w:val="a5"/>
      <w:pBdr>
        <w:top w:val="single" w:sz="4" w:space="1" w:color="auto"/>
        <w:between w:val="single" w:sz="4" w:space="0" w:color="auto"/>
      </w:pBdr>
      <w:spacing w:after="60"/>
      <w:jc w:val="center"/>
      <w:rPr>
        <w:rFonts w:ascii="FrankRuehl" w:hAnsi="FrankRuehl" w:cs="FrankRuehl"/>
        <w:color w:val="000000"/>
      </w:rPr>
    </w:pPr>
    <w:r w:rsidRPr="00326116">
      <w:rPr>
        <w:rFonts w:ascii="FrankRuehl" w:hAnsi="FrankRuehl" w:cs="FrankRuehl"/>
        <w:color w:val="000000"/>
      </w:rPr>
      <w:pict w14:anchorId="3EB5F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0DE2D" w14:textId="77777777" w:rsidR="00A567A0" w:rsidRDefault="00A567A0" w:rsidP="005B57D1">
      <w:r>
        <w:separator/>
      </w:r>
    </w:p>
  </w:footnote>
  <w:footnote w:type="continuationSeparator" w:id="0">
    <w:p w14:paraId="08A13F99" w14:textId="77777777" w:rsidR="00A567A0" w:rsidRDefault="00A567A0" w:rsidP="005B5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EBA9" w14:textId="77777777" w:rsidR="00BE2AEC" w:rsidRPr="00326116" w:rsidRDefault="00326116" w:rsidP="003261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16802-02-20</w:t>
    </w:r>
    <w:r>
      <w:rPr>
        <w:rFonts w:ascii="David" w:hAnsi="David"/>
        <w:color w:val="000000"/>
        <w:sz w:val="22"/>
        <w:szCs w:val="22"/>
        <w:rtl/>
      </w:rPr>
      <w:tab/>
      <w:t xml:space="preserve"> מדינת ישראל נ' טארק דבעי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C96B8" w14:textId="77777777" w:rsidR="00BE2AEC" w:rsidRPr="00326116" w:rsidRDefault="00326116" w:rsidP="003261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16802-02-20</w:t>
    </w:r>
    <w:r>
      <w:rPr>
        <w:rFonts w:ascii="David" w:hAnsi="David"/>
        <w:color w:val="000000"/>
        <w:sz w:val="22"/>
        <w:szCs w:val="22"/>
        <w:rtl/>
      </w:rPr>
      <w:tab/>
      <w:t xml:space="preserve"> מדינת ישראל נ' טארק דבעי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81BF8"/>
    <w:multiLevelType w:val="hybridMultilevel"/>
    <w:tmpl w:val="5994F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83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6973"/>
    <w:rsid w:val="0004685D"/>
    <w:rsid w:val="001B5A3B"/>
    <w:rsid w:val="00305188"/>
    <w:rsid w:val="00326116"/>
    <w:rsid w:val="004E74B3"/>
    <w:rsid w:val="004F286C"/>
    <w:rsid w:val="005B57D1"/>
    <w:rsid w:val="00760A67"/>
    <w:rsid w:val="008F39B2"/>
    <w:rsid w:val="00A567A0"/>
    <w:rsid w:val="00BC6973"/>
    <w:rsid w:val="00BE2AEC"/>
    <w:rsid w:val="00CA57E4"/>
    <w:rsid w:val="00D8331B"/>
    <w:rsid w:val="00EC3A18"/>
    <w:rsid w:val="00FD5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6787C0"/>
  <w15:chartTrackingRefBased/>
  <w15:docId w15:val="{1728937D-B145-42AC-83C8-D6CCE80A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697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6973"/>
    <w:pPr>
      <w:tabs>
        <w:tab w:val="center" w:pos="4153"/>
        <w:tab w:val="right" w:pos="8306"/>
      </w:tabs>
    </w:pPr>
  </w:style>
  <w:style w:type="character" w:customStyle="1" w:styleId="a4">
    <w:name w:val="כותרת עליונה תו"/>
    <w:link w:val="a3"/>
    <w:rsid w:val="00BC6973"/>
    <w:rPr>
      <w:rFonts w:ascii="Times New Roman" w:eastAsia="Times New Roman" w:hAnsi="Times New Roman" w:cs="David"/>
      <w:sz w:val="24"/>
      <w:szCs w:val="24"/>
    </w:rPr>
  </w:style>
  <w:style w:type="paragraph" w:styleId="a5">
    <w:name w:val="footer"/>
    <w:basedOn w:val="a"/>
    <w:link w:val="a6"/>
    <w:rsid w:val="00BC6973"/>
    <w:pPr>
      <w:tabs>
        <w:tab w:val="center" w:pos="4153"/>
        <w:tab w:val="right" w:pos="8306"/>
      </w:tabs>
    </w:pPr>
  </w:style>
  <w:style w:type="character" w:customStyle="1" w:styleId="a6">
    <w:name w:val="כותרת תחתונה תו"/>
    <w:link w:val="a5"/>
    <w:rsid w:val="00BC6973"/>
    <w:rPr>
      <w:rFonts w:ascii="Times New Roman" w:eastAsia="Times New Roman" w:hAnsi="Times New Roman" w:cs="David"/>
      <w:sz w:val="24"/>
      <w:szCs w:val="24"/>
    </w:rPr>
  </w:style>
  <w:style w:type="table" w:styleId="a7">
    <w:name w:val="Table Grid"/>
    <w:basedOn w:val="a1"/>
    <w:rsid w:val="00BC697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6973"/>
  </w:style>
  <w:style w:type="paragraph" w:styleId="a9">
    <w:name w:val="List Paragraph"/>
    <w:basedOn w:val="a"/>
    <w:qFormat/>
    <w:rsid w:val="00BC6973"/>
    <w:pPr>
      <w:ind w:left="720"/>
      <w:contextualSpacing/>
    </w:pPr>
  </w:style>
  <w:style w:type="character" w:styleId="Hyperlink">
    <w:name w:val="Hyperlink"/>
    <w:rsid w:val="00BE2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case/26432717"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asarN@ips.gov.il" TargetMode="External"/><Relationship Id="rId4" Type="http://schemas.openxmlformats.org/officeDocument/2006/relationships/webSettings" Target="webSettings.xml"/><Relationship Id="rId9" Type="http://schemas.openxmlformats.org/officeDocument/2006/relationships/hyperlink" Target="http://www.nevo.co.il/case/3381283"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1527</Words>
  <Characters>7639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9148</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196725</vt:i4>
      </vt:variant>
      <vt:variant>
        <vt:i4>9</vt:i4>
      </vt:variant>
      <vt:variant>
        <vt:i4>0</vt:i4>
      </vt:variant>
      <vt:variant>
        <vt:i4>5</vt:i4>
      </vt:variant>
      <vt:variant>
        <vt:lpwstr>mailto:MaasarN@ips.gov.il</vt:lpwstr>
      </vt:variant>
      <vt:variant>
        <vt:lpwstr/>
      </vt:variant>
      <vt:variant>
        <vt:i4>3801214</vt:i4>
      </vt:variant>
      <vt:variant>
        <vt:i4>6</vt:i4>
      </vt:variant>
      <vt:variant>
        <vt:i4>0</vt:i4>
      </vt:variant>
      <vt:variant>
        <vt:i4>5</vt:i4>
      </vt:variant>
      <vt:variant>
        <vt:lpwstr>http://www.nevo.co.il/case/3381283</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3473526</vt:i4>
      </vt:variant>
      <vt:variant>
        <vt:i4>0</vt:i4>
      </vt:variant>
      <vt:variant>
        <vt:i4>0</vt:i4>
      </vt:variant>
      <vt:variant>
        <vt:i4>5</vt:i4>
      </vt:variant>
      <vt:variant>
        <vt:lpwstr>http://www.nevo.co.il/case/26432717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2025-04-23T00:27:00Z</dcterms:created>
  <dcterms:modified xsi:type="dcterms:W3CDTF">2025-04-23T00:27:00Z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16802</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טארק דבעי</vt:lpwstr>
  </property>
  <property fmtid="{D5CDD505-2E9C-101B-9397-08002B2CF9AE}" pid="10" name="LAWYER">
    <vt:lpwstr>רינת בן יעקב;גיורא זילברשטיין</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20210526</vt:lpwstr>
  </property>
  <property fmtid="{D5CDD505-2E9C-101B-9397-08002B2CF9AE}" pid="14" name="TYPE_N_DATE">
    <vt:lpwstr>38020210526</vt:lpwstr>
  </property>
  <property fmtid="{D5CDD505-2E9C-101B-9397-08002B2CF9AE}" pid="15" name="WORDNUMPAGES">
    <vt:lpwstr>6</vt:lpwstr>
  </property>
  <property fmtid="{D5CDD505-2E9C-101B-9397-08002B2CF9AE}" pid="16" name="TYPE_ABS_DATE">
    <vt:lpwstr>380020210526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26432717;3381283</vt:lpwstr>
  </property>
  <property fmtid="{D5CDD505-2E9C-101B-9397-08002B2CF9AE}" pid="36" name="LAWLISTTMP1">
    <vt:lpwstr>4216</vt:lpwstr>
  </property>
</Properties>
</file>