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757E25" w:rsidRPr="004D4704" w14:paraId="05F0C4CF" w14:textId="77777777" w:rsidTr="00517ABB">
        <w:trPr>
          <w:trHeight w:hRule="exact" w:val="418"/>
          <w:jc w:val="center"/>
        </w:trPr>
        <w:tc>
          <w:tcPr>
            <w:tcW w:w="8523" w:type="dxa"/>
            <w:gridSpan w:val="2"/>
          </w:tcPr>
          <w:p w14:paraId="2FE882DA" w14:textId="77777777" w:rsidR="00757E25" w:rsidRPr="004D4704" w:rsidRDefault="00757E25" w:rsidP="00676B46">
            <w:pPr>
              <w:pStyle w:val="a3"/>
              <w:jc w:val="center"/>
              <w:rPr>
                <w:rFonts w:ascii="Tahoma" w:hAnsi="Tahoma"/>
                <w:color w:val="000080"/>
                <w:sz w:val="32"/>
                <w:szCs w:val="32"/>
                <w:rtl/>
              </w:rPr>
            </w:pPr>
            <w:bookmarkStart w:id="0" w:name="LastJudge"/>
            <w:r w:rsidRPr="004D4704">
              <w:rPr>
                <w:rFonts w:ascii="Tahoma" w:hAnsi="Tahoma"/>
                <w:b/>
                <w:bCs/>
                <w:color w:val="000080"/>
                <w:sz w:val="32"/>
                <w:szCs w:val="32"/>
                <w:rtl/>
              </w:rPr>
              <w:t>בית משפט השלום בתל אביב - יפו</w:t>
            </w:r>
          </w:p>
        </w:tc>
      </w:tr>
      <w:tr w:rsidR="00757E25" w:rsidRPr="004D4704" w14:paraId="677F1E63" w14:textId="77777777" w:rsidTr="00517ABB">
        <w:trPr>
          <w:trHeight w:val="337"/>
          <w:jc w:val="center"/>
        </w:trPr>
        <w:tc>
          <w:tcPr>
            <w:tcW w:w="4945" w:type="dxa"/>
          </w:tcPr>
          <w:p w14:paraId="00BAE3FD" w14:textId="77777777" w:rsidR="00757E25" w:rsidRPr="004D4704" w:rsidRDefault="00757E25" w:rsidP="00676B46">
            <w:pPr>
              <w:rPr>
                <w:sz w:val="26"/>
                <w:szCs w:val="26"/>
                <w:rtl/>
              </w:rPr>
            </w:pPr>
            <w:r w:rsidRPr="004D4704">
              <w:rPr>
                <w:sz w:val="26"/>
                <w:szCs w:val="26"/>
                <w:rtl/>
              </w:rPr>
              <w:t>ת"פ</w:t>
            </w:r>
            <w:r w:rsidRPr="004D4704">
              <w:rPr>
                <w:rFonts w:hint="cs"/>
                <w:sz w:val="26"/>
                <w:szCs w:val="26"/>
                <w:rtl/>
              </w:rPr>
              <w:t xml:space="preserve"> </w:t>
            </w:r>
            <w:r w:rsidRPr="004D4704">
              <w:rPr>
                <w:sz w:val="26"/>
                <w:szCs w:val="26"/>
                <w:rtl/>
              </w:rPr>
              <w:t>20393-02-20</w:t>
            </w:r>
            <w:r w:rsidRPr="004D4704">
              <w:rPr>
                <w:rFonts w:hint="cs"/>
                <w:sz w:val="26"/>
                <w:szCs w:val="26"/>
                <w:rtl/>
              </w:rPr>
              <w:t xml:space="preserve"> </w:t>
            </w:r>
            <w:r w:rsidRPr="004D4704">
              <w:rPr>
                <w:b/>
                <w:bCs/>
                <w:sz w:val="26"/>
                <w:szCs w:val="26"/>
                <w:rtl/>
              </w:rPr>
              <w:t>מדינת ישראל נ' עיסא</w:t>
            </w:r>
          </w:p>
        </w:tc>
        <w:tc>
          <w:tcPr>
            <w:tcW w:w="3578" w:type="dxa"/>
          </w:tcPr>
          <w:p w14:paraId="1CC90986" w14:textId="77777777" w:rsidR="00757E25" w:rsidRPr="004D4704" w:rsidRDefault="00757E25" w:rsidP="00676B46">
            <w:pPr>
              <w:pStyle w:val="a3"/>
              <w:jc w:val="right"/>
              <w:rPr>
                <w:rFonts w:cs="FrankRuehl"/>
                <w:sz w:val="28"/>
                <w:szCs w:val="28"/>
                <w:rtl/>
              </w:rPr>
            </w:pPr>
          </w:p>
        </w:tc>
      </w:tr>
    </w:tbl>
    <w:p w14:paraId="12BDB6F6" w14:textId="77777777" w:rsidR="00757E25" w:rsidRPr="004D4704" w:rsidRDefault="00757E25" w:rsidP="00757E25">
      <w:pPr>
        <w:pStyle w:val="a3"/>
        <w:rPr>
          <w:rtl/>
        </w:rPr>
      </w:pPr>
      <w:r w:rsidRPr="004D470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4"/>
        <w:gridCol w:w="3334"/>
      </w:tblGrid>
      <w:tr w:rsidR="00757E25" w:rsidRPr="004D4704" w14:paraId="2DF98567" w14:textId="77777777" w:rsidTr="00757E25">
        <w:trPr>
          <w:trHeight w:val="295"/>
          <w:jc w:val="center"/>
        </w:trPr>
        <w:tc>
          <w:tcPr>
            <w:tcW w:w="8820" w:type="dxa"/>
            <w:gridSpan w:val="3"/>
            <w:tcBorders>
              <w:top w:val="nil"/>
              <w:left w:val="nil"/>
              <w:bottom w:val="nil"/>
              <w:right w:val="nil"/>
            </w:tcBorders>
            <w:shd w:val="clear" w:color="auto" w:fill="auto"/>
          </w:tcPr>
          <w:p w14:paraId="1320C83F" w14:textId="77777777" w:rsidR="00757E25" w:rsidRPr="004D4704" w:rsidRDefault="00757E25" w:rsidP="00757E25">
            <w:pPr>
              <w:spacing w:line="360" w:lineRule="auto"/>
              <w:jc w:val="both"/>
              <w:rPr>
                <w:b/>
                <w:bCs/>
                <w:sz w:val="26"/>
                <w:szCs w:val="26"/>
                <w:rtl/>
              </w:rPr>
            </w:pPr>
            <w:r w:rsidRPr="004D4704">
              <w:rPr>
                <w:rFonts w:ascii="Arial" w:hAnsi="Arial" w:hint="cs"/>
                <w:b/>
                <w:bCs/>
                <w:sz w:val="26"/>
                <w:szCs w:val="26"/>
                <w:rtl/>
              </w:rPr>
              <w:t>ל</w:t>
            </w:r>
            <w:r w:rsidRPr="004D4704">
              <w:rPr>
                <w:rFonts w:ascii="Arial" w:hAnsi="Arial"/>
                <w:b/>
                <w:bCs/>
                <w:sz w:val="26"/>
                <w:szCs w:val="26"/>
                <w:rtl/>
              </w:rPr>
              <w:t xml:space="preserve">פני </w:t>
            </w:r>
            <w:r w:rsidRPr="004D4704">
              <w:rPr>
                <w:rFonts w:ascii="Arial" w:hAnsi="Arial" w:hint="cs"/>
                <w:b/>
                <w:bCs/>
                <w:sz w:val="26"/>
                <w:szCs w:val="26"/>
                <w:rtl/>
              </w:rPr>
              <w:t>כבוד ה</w:t>
            </w:r>
            <w:r w:rsidRPr="004D4704">
              <w:rPr>
                <w:rFonts w:ascii="Arial" w:hAnsi="Arial"/>
                <w:b/>
                <w:bCs/>
                <w:sz w:val="26"/>
                <w:szCs w:val="26"/>
                <w:rtl/>
              </w:rPr>
              <w:t>שופט</w:t>
            </w:r>
            <w:r w:rsidRPr="004D4704">
              <w:rPr>
                <w:rFonts w:ascii="Arial" w:hAnsi="Arial" w:hint="cs"/>
                <w:b/>
                <w:bCs/>
                <w:sz w:val="26"/>
                <w:szCs w:val="26"/>
                <w:rtl/>
              </w:rPr>
              <w:t xml:space="preserve"> </w:t>
            </w:r>
            <w:r w:rsidRPr="004D4704">
              <w:rPr>
                <w:rFonts w:ascii="Arial" w:hAnsi="Arial"/>
                <w:b/>
                <w:bCs/>
                <w:sz w:val="26"/>
                <w:szCs w:val="26"/>
                <w:rtl/>
              </w:rPr>
              <w:t>שאול אבינור</w:t>
            </w:r>
          </w:p>
          <w:p w14:paraId="6BAEDA4C" w14:textId="77777777" w:rsidR="00757E25" w:rsidRPr="004D4704" w:rsidRDefault="00757E25" w:rsidP="00757E25">
            <w:pPr>
              <w:spacing w:line="360" w:lineRule="auto"/>
              <w:jc w:val="both"/>
              <w:rPr>
                <w:rFonts w:ascii="Arial" w:hAnsi="Arial"/>
                <w:b/>
                <w:bCs/>
                <w:sz w:val="26"/>
                <w:szCs w:val="26"/>
              </w:rPr>
            </w:pPr>
          </w:p>
        </w:tc>
      </w:tr>
      <w:tr w:rsidR="00757E25" w:rsidRPr="004D4704" w14:paraId="6B552A0E" w14:textId="77777777" w:rsidTr="00517ABB">
        <w:trPr>
          <w:trHeight w:val="355"/>
          <w:jc w:val="center"/>
        </w:trPr>
        <w:tc>
          <w:tcPr>
            <w:tcW w:w="1332" w:type="dxa"/>
            <w:tcBorders>
              <w:top w:val="nil"/>
              <w:left w:val="nil"/>
              <w:bottom w:val="nil"/>
              <w:right w:val="nil"/>
            </w:tcBorders>
            <w:shd w:val="clear" w:color="auto" w:fill="auto"/>
          </w:tcPr>
          <w:p w14:paraId="587F9A8E" w14:textId="77777777" w:rsidR="00757E25" w:rsidRPr="004D4704" w:rsidRDefault="00757E25" w:rsidP="00757E25">
            <w:pPr>
              <w:spacing w:line="360" w:lineRule="auto"/>
              <w:jc w:val="both"/>
              <w:rPr>
                <w:rFonts w:ascii="Arial" w:hAnsi="Arial"/>
                <w:b/>
                <w:bCs/>
                <w:sz w:val="26"/>
                <w:szCs w:val="26"/>
              </w:rPr>
            </w:pPr>
            <w:bookmarkStart w:id="1" w:name="FirstAppellant"/>
            <w:bookmarkStart w:id="2" w:name="FirstLawyer"/>
            <w:r w:rsidRPr="004D4704">
              <w:rPr>
                <w:rFonts w:ascii="Arial" w:hAnsi="Arial" w:hint="cs"/>
                <w:b/>
                <w:bCs/>
                <w:sz w:val="26"/>
                <w:szCs w:val="26"/>
                <w:rtl/>
              </w:rPr>
              <w:t>ה</w:t>
            </w:r>
            <w:r w:rsidRPr="004D4704">
              <w:rPr>
                <w:rFonts w:ascii="Arial" w:hAnsi="Arial"/>
                <w:b/>
                <w:bCs/>
                <w:sz w:val="26"/>
                <w:szCs w:val="26"/>
                <w:rtl/>
              </w:rPr>
              <w:t>מאשימה</w:t>
            </w:r>
            <w:r w:rsidRPr="004D4704">
              <w:rPr>
                <w:rFonts w:ascii="Arial" w:hAnsi="Arial" w:hint="cs"/>
                <w:b/>
                <w:bCs/>
                <w:sz w:val="26"/>
                <w:szCs w:val="26"/>
                <w:rtl/>
              </w:rPr>
              <w:t>:</w:t>
            </w:r>
          </w:p>
        </w:tc>
        <w:tc>
          <w:tcPr>
            <w:tcW w:w="4154" w:type="dxa"/>
            <w:tcBorders>
              <w:top w:val="nil"/>
              <w:left w:val="nil"/>
              <w:bottom w:val="nil"/>
              <w:right w:val="nil"/>
            </w:tcBorders>
            <w:shd w:val="clear" w:color="auto" w:fill="auto"/>
          </w:tcPr>
          <w:p w14:paraId="32592722" w14:textId="77777777" w:rsidR="00757E25" w:rsidRPr="004D4704" w:rsidRDefault="00757E25" w:rsidP="00757E25">
            <w:pPr>
              <w:spacing w:line="360" w:lineRule="auto"/>
              <w:rPr>
                <w:b/>
                <w:bCs/>
                <w:sz w:val="26"/>
                <w:szCs w:val="26"/>
                <w:rtl/>
              </w:rPr>
            </w:pPr>
            <w:r w:rsidRPr="004D4704">
              <w:rPr>
                <w:rFonts w:ascii="Arial" w:hAnsi="Arial"/>
                <w:b/>
                <w:bCs/>
                <w:sz w:val="26"/>
                <w:szCs w:val="26"/>
                <w:rtl/>
              </w:rPr>
              <w:t>מדינת ישראל</w:t>
            </w:r>
          </w:p>
          <w:p w14:paraId="213F0C42" w14:textId="77777777" w:rsidR="00757E25" w:rsidRPr="004D4704" w:rsidRDefault="00757E25" w:rsidP="00757E25">
            <w:pPr>
              <w:spacing w:line="360" w:lineRule="auto"/>
              <w:rPr>
                <w:sz w:val="26"/>
                <w:szCs w:val="26"/>
              </w:rPr>
            </w:pPr>
            <w:r w:rsidRPr="004D4704">
              <w:rPr>
                <w:rFonts w:hint="cs"/>
                <w:rtl/>
              </w:rPr>
              <w:t>ע"י ב"כ עו"ד איתי זרחי</w:t>
            </w:r>
          </w:p>
        </w:tc>
        <w:tc>
          <w:tcPr>
            <w:tcW w:w="3334" w:type="dxa"/>
            <w:tcBorders>
              <w:top w:val="nil"/>
              <w:left w:val="nil"/>
              <w:bottom w:val="nil"/>
              <w:right w:val="nil"/>
            </w:tcBorders>
            <w:shd w:val="clear" w:color="auto" w:fill="auto"/>
          </w:tcPr>
          <w:p w14:paraId="0AC60FB4" w14:textId="77777777" w:rsidR="00757E25" w:rsidRPr="004D4704" w:rsidRDefault="00757E25" w:rsidP="00757E25">
            <w:pPr>
              <w:spacing w:line="360" w:lineRule="auto"/>
              <w:jc w:val="both"/>
              <w:rPr>
                <w:rFonts w:ascii="Arial" w:hAnsi="Arial"/>
                <w:b/>
                <w:bCs/>
                <w:sz w:val="26"/>
                <w:szCs w:val="26"/>
              </w:rPr>
            </w:pPr>
          </w:p>
        </w:tc>
      </w:tr>
      <w:bookmarkEnd w:id="1"/>
      <w:bookmarkEnd w:id="2"/>
      <w:tr w:rsidR="00757E25" w:rsidRPr="004D4704" w14:paraId="5AE1AFF8" w14:textId="77777777" w:rsidTr="00517ABB">
        <w:trPr>
          <w:trHeight w:val="373"/>
          <w:jc w:val="center"/>
        </w:trPr>
        <w:tc>
          <w:tcPr>
            <w:tcW w:w="1332" w:type="dxa"/>
            <w:tcBorders>
              <w:top w:val="nil"/>
              <w:left w:val="nil"/>
              <w:bottom w:val="nil"/>
              <w:right w:val="nil"/>
            </w:tcBorders>
            <w:shd w:val="clear" w:color="auto" w:fill="auto"/>
          </w:tcPr>
          <w:p w14:paraId="3D3B47BC" w14:textId="77777777" w:rsidR="00757E25" w:rsidRPr="004D4704" w:rsidRDefault="00757E25" w:rsidP="00757E25">
            <w:pPr>
              <w:spacing w:line="360" w:lineRule="auto"/>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263BB976" w14:textId="77777777" w:rsidR="00757E25" w:rsidRPr="004D4704" w:rsidRDefault="00757E25" w:rsidP="00757E25">
            <w:pPr>
              <w:spacing w:line="360" w:lineRule="auto"/>
              <w:jc w:val="center"/>
              <w:rPr>
                <w:rFonts w:ascii="Arial" w:hAnsi="Arial"/>
                <w:b/>
                <w:bCs/>
                <w:sz w:val="26"/>
                <w:szCs w:val="26"/>
                <w:rtl/>
              </w:rPr>
            </w:pPr>
          </w:p>
          <w:p w14:paraId="5C46A641" w14:textId="77777777" w:rsidR="00757E25" w:rsidRPr="004D4704" w:rsidRDefault="00757E25" w:rsidP="00757E25">
            <w:pPr>
              <w:spacing w:line="360" w:lineRule="auto"/>
              <w:jc w:val="center"/>
              <w:rPr>
                <w:rFonts w:ascii="Arial" w:hAnsi="Arial"/>
                <w:b/>
                <w:bCs/>
                <w:sz w:val="26"/>
                <w:szCs w:val="26"/>
                <w:rtl/>
              </w:rPr>
            </w:pPr>
          </w:p>
          <w:p w14:paraId="1D64E2E8" w14:textId="77777777" w:rsidR="00757E25" w:rsidRPr="004D4704" w:rsidRDefault="00757E25" w:rsidP="00757E25">
            <w:pPr>
              <w:spacing w:line="360" w:lineRule="auto"/>
              <w:jc w:val="center"/>
              <w:rPr>
                <w:rFonts w:ascii="Arial" w:hAnsi="Arial"/>
                <w:b/>
                <w:bCs/>
                <w:sz w:val="26"/>
                <w:szCs w:val="26"/>
                <w:rtl/>
              </w:rPr>
            </w:pPr>
            <w:r w:rsidRPr="004D4704">
              <w:rPr>
                <w:rFonts w:ascii="Arial" w:hAnsi="Arial"/>
                <w:b/>
                <w:bCs/>
                <w:sz w:val="26"/>
                <w:szCs w:val="26"/>
                <w:rtl/>
              </w:rPr>
              <w:t>נגד</w:t>
            </w:r>
          </w:p>
          <w:p w14:paraId="4261A936" w14:textId="77777777" w:rsidR="00757E25" w:rsidRPr="004D4704" w:rsidRDefault="00757E25" w:rsidP="00757E25">
            <w:pPr>
              <w:spacing w:line="360" w:lineRule="auto"/>
              <w:jc w:val="both"/>
              <w:rPr>
                <w:rFonts w:ascii="Arial" w:hAnsi="Arial"/>
                <w:b/>
                <w:bCs/>
                <w:sz w:val="26"/>
                <w:szCs w:val="26"/>
                <w:rtl/>
              </w:rPr>
            </w:pPr>
          </w:p>
          <w:p w14:paraId="37A548AC" w14:textId="77777777" w:rsidR="00757E25" w:rsidRPr="004D4704" w:rsidRDefault="00757E25" w:rsidP="00757E25">
            <w:pPr>
              <w:spacing w:line="360" w:lineRule="auto"/>
              <w:jc w:val="both"/>
              <w:rPr>
                <w:rFonts w:ascii="Arial" w:hAnsi="Arial"/>
                <w:b/>
                <w:bCs/>
                <w:sz w:val="26"/>
                <w:szCs w:val="26"/>
              </w:rPr>
            </w:pPr>
          </w:p>
        </w:tc>
      </w:tr>
      <w:tr w:rsidR="00757E25" w:rsidRPr="004D4704" w14:paraId="21194D20" w14:textId="77777777" w:rsidTr="00517ABB">
        <w:trPr>
          <w:trHeight w:val="355"/>
          <w:jc w:val="center"/>
        </w:trPr>
        <w:tc>
          <w:tcPr>
            <w:tcW w:w="1332" w:type="dxa"/>
            <w:tcBorders>
              <w:top w:val="nil"/>
              <w:left w:val="nil"/>
              <w:bottom w:val="nil"/>
              <w:right w:val="nil"/>
            </w:tcBorders>
            <w:shd w:val="clear" w:color="auto" w:fill="auto"/>
          </w:tcPr>
          <w:p w14:paraId="1F28B3DB" w14:textId="77777777" w:rsidR="00757E25" w:rsidRPr="004D4704" w:rsidRDefault="00757E25" w:rsidP="00757E25">
            <w:pPr>
              <w:spacing w:line="360" w:lineRule="auto"/>
              <w:rPr>
                <w:rFonts w:ascii="Arial" w:hAnsi="Arial"/>
                <w:b/>
                <w:bCs/>
                <w:sz w:val="26"/>
                <w:szCs w:val="26"/>
                <w:rtl/>
              </w:rPr>
            </w:pPr>
            <w:r w:rsidRPr="004D4704">
              <w:rPr>
                <w:rFonts w:ascii="Arial" w:hAnsi="Arial" w:hint="cs"/>
                <w:b/>
                <w:bCs/>
                <w:sz w:val="26"/>
                <w:szCs w:val="26"/>
                <w:rtl/>
              </w:rPr>
              <w:t>ה</w:t>
            </w:r>
            <w:r w:rsidRPr="004D4704">
              <w:rPr>
                <w:rFonts w:ascii="Arial" w:hAnsi="Arial"/>
                <w:b/>
                <w:bCs/>
                <w:sz w:val="26"/>
                <w:szCs w:val="26"/>
                <w:rtl/>
              </w:rPr>
              <w:t>נאשם</w:t>
            </w:r>
            <w:r w:rsidRPr="004D4704">
              <w:rPr>
                <w:rFonts w:ascii="Arial" w:hAnsi="Arial" w:hint="cs"/>
                <w:b/>
                <w:bCs/>
                <w:sz w:val="26"/>
                <w:szCs w:val="26"/>
                <w:rtl/>
              </w:rPr>
              <w:t>:</w:t>
            </w:r>
          </w:p>
        </w:tc>
        <w:tc>
          <w:tcPr>
            <w:tcW w:w="4154" w:type="dxa"/>
            <w:tcBorders>
              <w:top w:val="nil"/>
              <w:left w:val="nil"/>
              <w:bottom w:val="nil"/>
              <w:right w:val="nil"/>
            </w:tcBorders>
            <w:shd w:val="clear" w:color="auto" w:fill="auto"/>
          </w:tcPr>
          <w:p w14:paraId="7788AE93" w14:textId="77777777" w:rsidR="00757E25" w:rsidRPr="004D4704" w:rsidRDefault="00757E25" w:rsidP="00757E25">
            <w:pPr>
              <w:spacing w:line="360" w:lineRule="auto"/>
              <w:rPr>
                <w:b/>
                <w:bCs/>
                <w:sz w:val="26"/>
                <w:szCs w:val="26"/>
                <w:rtl/>
              </w:rPr>
            </w:pPr>
            <w:r w:rsidRPr="004D4704">
              <w:rPr>
                <w:rFonts w:ascii="Arial" w:hAnsi="Arial"/>
                <w:b/>
                <w:bCs/>
                <w:sz w:val="26"/>
                <w:szCs w:val="26"/>
                <w:rtl/>
              </w:rPr>
              <w:t>איסר עיסא</w:t>
            </w:r>
          </w:p>
          <w:p w14:paraId="519E2B52" w14:textId="77777777" w:rsidR="00757E25" w:rsidRPr="004D4704" w:rsidRDefault="00757E25" w:rsidP="00757E25">
            <w:pPr>
              <w:spacing w:line="360" w:lineRule="auto"/>
              <w:rPr>
                <w:sz w:val="26"/>
                <w:szCs w:val="26"/>
                <w:rtl/>
              </w:rPr>
            </w:pPr>
            <w:r w:rsidRPr="004D4704">
              <w:rPr>
                <w:rFonts w:hint="cs"/>
                <w:rtl/>
              </w:rPr>
              <w:t>ע"י ב"כ עו"ד אנואר פריג'</w:t>
            </w:r>
          </w:p>
        </w:tc>
        <w:tc>
          <w:tcPr>
            <w:tcW w:w="3334" w:type="dxa"/>
            <w:tcBorders>
              <w:top w:val="nil"/>
              <w:left w:val="nil"/>
              <w:bottom w:val="nil"/>
              <w:right w:val="nil"/>
            </w:tcBorders>
            <w:shd w:val="clear" w:color="auto" w:fill="auto"/>
          </w:tcPr>
          <w:p w14:paraId="3BF0D49D" w14:textId="77777777" w:rsidR="00757E25" w:rsidRPr="004D4704" w:rsidRDefault="00757E25" w:rsidP="00757E25">
            <w:pPr>
              <w:spacing w:line="360" w:lineRule="auto"/>
              <w:jc w:val="right"/>
              <w:rPr>
                <w:rFonts w:ascii="Arial" w:hAnsi="Arial"/>
                <w:b/>
                <w:bCs/>
                <w:sz w:val="26"/>
                <w:szCs w:val="26"/>
              </w:rPr>
            </w:pPr>
          </w:p>
        </w:tc>
      </w:tr>
    </w:tbl>
    <w:p w14:paraId="62B0800B" w14:textId="77777777" w:rsidR="00517ABB" w:rsidRDefault="00517ABB" w:rsidP="00757E25">
      <w:pPr>
        <w:spacing w:line="360" w:lineRule="auto"/>
        <w:rPr>
          <w:rtl/>
        </w:rPr>
      </w:pPr>
    </w:p>
    <w:p w14:paraId="282D0169" w14:textId="77777777" w:rsidR="00517ABB" w:rsidRPr="00517ABB" w:rsidRDefault="00517ABB" w:rsidP="00517ABB">
      <w:pPr>
        <w:spacing w:after="120" w:line="240" w:lineRule="exact"/>
        <w:ind w:left="283" w:hanging="283"/>
        <w:jc w:val="both"/>
        <w:rPr>
          <w:rFonts w:ascii="FrankRuehl" w:hAnsi="FrankRuehl" w:cs="FrankRuehl"/>
          <w:rtl/>
        </w:rPr>
      </w:pPr>
    </w:p>
    <w:p w14:paraId="619BE3B2" w14:textId="77777777" w:rsidR="00D04311" w:rsidRPr="00D04311" w:rsidRDefault="00D04311" w:rsidP="00D04311">
      <w:pPr>
        <w:spacing w:before="120" w:after="120" w:line="240" w:lineRule="exact"/>
        <w:ind w:left="283" w:hanging="283"/>
        <w:jc w:val="both"/>
        <w:rPr>
          <w:rFonts w:ascii="FrankRuehl" w:hAnsi="FrankRuehl" w:cs="FrankRuehl"/>
          <w:rtl/>
        </w:rPr>
      </w:pPr>
    </w:p>
    <w:p w14:paraId="347B199A" w14:textId="77777777" w:rsidR="00504942" w:rsidRDefault="00504942" w:rsidP="00504942">
      <w:pPr>
        <w:spacing w:line="360" w:lineRule="auto"/>
        <w:rPr>
          <w:rtl/>
        </w:rPr>
      </w:pPr>
      <w:bookmarkStart w:id="3" w:name="LawTable"/>
      <w:bookmarkEnd w:id="3"/>
    </w:p>
    <w:p w14:paraId="7191FF09" w14:textId="77777777" w:rsidR="00504942" w:rsidRPr="00504942" w:rsidRDefault="00504942" w:rsidP="00504942">
      <w:pPr>
        <w:spacing w:before="120" w:after="120" w:line="240" w:lineRule="exact"/>
        <w:ind w:left="283" w:hanging="283"/>
        <w:jc w:val="both"/>
        <w:rPr>
          <w:rFonts w:ascii="FrankRuehl" w:hAnsi="FrankRuehl" w:cs="FrankRuehl"/>
          <w:rtl/>
        </w:rPr>
      </w:pPr>
    </w:p>
    <w:p w14:paraId="08F1F129" w14:textId="77777777" w:rsidR="00504942" w:rsidRPr="00504942" w:rsidRDefault="00504942" w:rsidP="00504942">
      <w:pPr>
        <w:spacing w:before="120" w:after="120" w:line="240" w:lineRule="exact"/>
        <w:ind w:left="283" w:hanging="283"/>
        <w:jc w:val="both"/>
        <w:rPr>
          <w:rFonts w:ascii="FrankRuehl" w:hAnsi="FrankRuehl" w:cs="FrankRuehl"/>
          <w:rtl/>
        </w:rPr>
      </w:pPr>
    </w:p>
    <w:p w14:paraId="44BD7328" w14:textId="77777777" w:rsidR="00504942" w:rsidRPr="00504942" w:rsidRDefault="00504942" w:rsidP="00504942">
      <w:pPr>
        <w:spacing w:before="120" w:after="120" w:line="240" w:lineRule="exact"/>
        <w:ind w:left="283" w:hanging="283"/>
        <w:jc w:val="both"/>
        <w:rPr>
          <w:rFonts w:ascii="FrankRuehl" w:hAnsi="FrankRuehl" w:cs="FrankRuehl"/>
          <w:rtl/>
        </w:rPr>
      </w:pPr>
      <w:r w:rsidRPr="00504942">
        <w:rPr>
          <w:rFonts w:ascii="FrankRuehl" w:hAnsi="FrankRuehl" w:cs="FrankRuehl"/>
          <w:rtl/>
        </w:rPr>
        <w:t xml:space="preserve">חקיקה שאוזכרה: </w:t>
      </w:r>
    </w:p>
    <w:p w14:paraId="32F7A764" w14:textId="77777777" w:rsidR="00504942" w:rsidRPr="00504942" w:rsidRDefault="00504942" w:rsidP="00504942">
      <w:pPr>
        <w:spacing w:before="120" w:after="120" w:line="240" w:lineRule="exact"/>
        <w:ind w:left="283" w:hanging="283"/>
        <w:jc w:val="both"/>
        <w:rPr>
          <w:rFonts w:ascii="FrankRuehl" w:hAnsi="FrankRuehl" w:cs="FrankRuehl"/>
          <w:rtl/>
        </w:rPr>
      </w:pPr>
      <w:hyperlink r:id="rId7" w:history="1">
        <w:r w:rsidRPr="00504942">
          <w:rPr>
            <w:rFonts w:ascii="FrankRuehl" w:hAnsi="FrankRuehl" w:cs="FrankRuehl"/>
            <w:color w:val="0000FF"/>
            <w:rtl/>
          </w:rPr>
          <w:t>פקודת הסמים המסוכנים [נוסח חדש], תשל"ג-1973</w:t>
        </w:r>
      </w:hyperlink>
      <w:r w:rsidRPr="00504942">
        <w:rPr>
          <w:rFonts w:ascii="FrankRuehl" w:hAnsi="FrankRuehl" w:cs="FrankRuehl"/>
          <w:rtl/>
        </w:rPr>
        <w:t xml:space="preserve">: סע'  </w:t>
      </w:r>
      <w:hyperlink r:id="rId8" w:history="1">
        <w:r w:rsidRPr="00504942">
          <w:rPr>
            <w:rFonts w:ascii="FrankRuehl" w:hAnsi="FrankRuehl" w:cs="FrankRuehl"/>
            <w:color w:val="0000FF"/>
            <w:rtl/>
          </w:rPr>
          <w:t>13</w:t>
        </w:r>
      </w:hyperlink>
      <w:r w:rsidRPr="00504942">
        <w:rPr>
          <w:rFonts w:ascii="FrankRuehl" w:hAnsi="FrankRuehl" w:cs="FrankRuehl"/>
          <w:rtl/>
        </w:rPr>
        <w:t xml:space="preserve">, </w:t>
      </w:r>
      <w:hyperlink r:id="rId9" w:history="1">
        <w:r w:rsidRPr="00504942">
          <w:rPr>
            <w:rFonts w:ascii="FrankRuehl" w:hAnsi="FrankRuehl" w:cs="FrankRuehl"/>
            <w:color w:val="0000FF"/>
            <w:rtl/>
          </w:rPr>
          <w:t>19א</w:t>
        </w:r>
      </w:hyperlink>
    </w:p>
    <w:p w14:paraId="61DD6358" w14:textId="77777777" w:rsidR="00504942" w:rsidRPr="00504942" w:rsidRDefault="00504942" w:rsidP="00504942">
      <w:pPr>
        <w:spacing w:before="120" w:after="120" w:line="240" w:lineRule="exact"/>
        <w:ind w:left="283" w:hanging="283"/>
        <w:jc w:val="both"/>
        <w:rPr>
          <w:rFonts w:ascii="FrankRuehl" w:hAnsi="FrankRuehl" w:cs="FrankRuehl"/>
          <w:rtl/>
        </w:rPr>
      </w:pPr>
      <w:hyperlink r:id="rId10" w:history="1">
        <w:r w:rsidRPr="00504942">
          <w:rPr>
            <w:rFonts w:ascii="FrankRuehl" w:hAnsi="FrankRuehl" w:cs="FrankRuehl"/>
            <w:color w:val="0000FF"/>
            <w:rtl/>
          </w:rPr>
          <w:t>חוק העונשין, תשל"ז-1977</w:t>
        </w:r>
      </w:hyperlink>
      <w:r w:rsidRPr="00504942">
        <w:rPr>
          <w:rFonts w:ascii="FrankRuehl" w:hAnsi="FrankRuehl" w:cs="FrankRuehl"/>
          <w:rtl/>
        </w:rPr>
        <w:t xml:space="preserve">: סע'  </w:t>
      </w:r>
      <w:hyperlink r:id="rId11" w:history="1">
        <w:r w:rsidRPr="00504942">
          <w:rPr>
            <w:rFonts w:ascii="FrankRuehl" w:hAnsi="FrankRuehl" w:cs="FrankRuehl"/>
            <w:color w:val="0000FF"/>
            <w:rtl/>
          </w:rPr>
          <w:t>31</w:t>
        </w:r>
      </w:hyperlink>
      <w:r w:rsidRPr="00504942">
        <w:rPr>
          <w:rFonts w:ascii="FrankRuehl" w:hAnsi="FrankRuehl" w:cs="FrankRuehl"/>
          <w:rtl/>
        </w:rPr>
        <w:t xml:space="preserve">, </w:t>
      </w:r>
      <w:hyperlink r:id="rId12" w:history="1">
        <w:r w:rsidRPr="00504942">
          <w:rPr>
            <w:rFonts w:ascii="FrankRuehl" w:hAnsi="FrankRuehl" w:cs="FrankRuehl"/>
            <w:color w:val="0000FF"/>
            <w:rtl/>
          </w:rPr>
          <w:t>32</w:t>
        </w:r>
      </w:hyperlink>
      <w:r w:rsidRPr="00504942">
        <w:rPr>
          <w:rFonts w:ascii="FrankRuehl" w:hAnsi="FrankRuehl" w:cs="FrankRuehl"/>
          <w:rtl/>
        </w:rPr>
        <w:t xml:space="preserve">, </w:t>
      </w:r>
      <w:hyperlink r:id="rId13" w:history="1">
        <w:r w:rsidRPr="00504942">
          <w:rPr>
            <w:rFonts w:ascii="FrankRuehl" w:hAnsi="FrankRuehl" w:cs="FrankRuehl"/>
            <w:color w:val="0000FF"/>
            <w:rtl/>
          </w:rPr>
          <w:t>40ד</w:t>
        </w:r>
      </w:hyperlink>
      <w:r w:rsidRPr="00504942">
        <w:rPr>
          <w:rFonts w:ascii="FrankRuehl" w:hAnsi="FrankRuehl" w:cs="FrankRuehl"/>
          <w:rtl/>
        </w:rPr>
        <w:t xml:space="preserve">, </w:t>
      </w:r>
      <w:hyperlink r:id="rId14" w:history="1">
        <w:r w:rsidRPr="00504942">
          <w:rPr>
            <w:rFonts w:ascii="FrankRuehl" w:hAnsi="FrankRuehl" w:cs="FrankRuehl"/>
            <w:color w:val="0000FF"/>
            <w:rtl/>
          </w:rPr>
          <w:t>40יא</w:t>
        </w:r>
      </w:hyperlink>
    </w:p>
    <w:p w14:paraId="053913C5" w14:textId="77777777" w:rsidR="00504942" w:rsidRPr="00504942" w:rsidRDefault="00504942" w:rsidP="00504942">
      <w:pPr>
        <w:spacing w:line="360" w:lineRule="auto"/>
        <w:rPr>
          <w:rtl/>
        </w:rPr>
      </w:pPr>
      <w:bookmarkStart w:id="4" w:name="LawTable_End"/>
      <w:bookmarkEnd w:id="4"/>
    </w:p>
    <w:p w14:paraId="79B81626" w14:textId="77777777" w:rsidR="00757E25" w:rsidRPr="00D04311" w:rsidRDefault="00757E25" w:rsidP="00D04311">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7E25" w14:paraId="498BD8CA" w14:textId="77777777" w:rsidTr="00757E25">
        <w:trPr>
          <w:trHeight w:val="355"/>
          <w:jc w:val="center"/>
        </w:trPr>
        <w:tc>
          <w:tcPr>
            <w:tcW w:w="8820" w:type="dxa"/>
            <w:tcBorders>
              <w:top w:val="nil"/>
              <w:left w:val="nil"/>
              <w:bottom w:val="nil"/>
              <w:right w:val="nil"/>
            </w:tcBorders>
            <w:shd w:val="clear" w:color="auto" w:fill="auto"/>
          </w:tcPr>
          <w:p w14:paraId="2636A8BE" w14:textId="77777777" w:rsidR="004D4704" w:rsidRPr="004D4704" w:rsidRDefault="004D4704" w:rsidP="004D4704">
            <w:pPr>
              <w:spacing w:after="240" w:line="360" w:lineRule="auto"/>
              <w:jc w:val="center"/>
              <w:rPr>
                <w:rFonts w:ascii="Arial" w:hAnsi="Arial"/>
                <w:b/>
                <w:bCs/>
                <w:sz w:val="36"/>
                <w:szCs w:val="36"/>
                <w:u w:val="single"/>
                <w:rtl/>
              </w:rPr>
            </w:pPr>
            <w:bookmarkStart w:id="5" w:name="PsakDin" w:colFirst="0" w:colLast="0"/>
            <w:bookmarkEnd w:id="0"/>
            <w:r w:rsidRPr="004D4704">
              <w:rPr>
                <w:rFonts w:ascii="Arial" w:hAnsi="Arial"/>
                <w:b/>
                <w:bCs/>
                <w:sz w:val="36"/>
                <w:szCs w:val="36"/>
                <w:u w:val="single"/>
                <w:rtl/>
              </w:rPr>
              <w:t>גזר דין</w:t>
            </w:r>
          </w:p>
          <w:p w14:paraId="19F43B18" w14:textId="77777777" w:rsidR="00757E25" w:rsidRPr="004D4704" w:rsidRDefault="00757E25" w:rsidP="004D4704">
            <w:pPr>
              <w:spacing w:after="240" w:line="360" w:lineRule="auto"/>
              <w:jc w:val="center"/>
              <w:rPr>
                <w:rFonts w:ascii="Arial" w:hAnsi="Arial"/>
                <w:bCs/>
                <w:sz w:val="36"/>
                <w:szCs w:val="36"/>
                <w:u w:val="single"/>
                <w:rtl/>
              </w:rPr>
            </w:pPr>
          </w:p>
        </w:tc>
      </w:tr>
    </w:tbl>
    <w:bookmarkEnd w:id="5"/>
    <w:p w14:paraId="1508ABC1" w14:textId="77777777" w:rsidR="00757E25" w:rsidRDefault="00757E25" w:rsidP="00757E25">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08B1D3F3" w14:textId="77777777" w:rsidR="00757E25" w:rsidRDefault="00757E25" w:rsidP="00757E25">
      <w:pPr>
        <w:numPr>
          <w:ilvl w:val="0"/>
          <w:numId w:val="1"/>
        </w:numPr>
        <w:tabs>
          <w:tab w:val="num" w:pos="720"/>
        </w:tabs>
        <w:spacing w:after="120" w:line="360" w:lineRule="auto"/>
        <w:ind w:left="720"/>
        <w:jc w:val="both"/>
        <w:rPr>
          <w:rFonts w:ascii="David" w:eastAsia="David" w:hAnsi="David"/>
          <w:rtl/>
        </w:rPr>
      </w:pPr>
      <w:bookmarkStart w:id="6" w:name="ABSTRACT_START"/>
      <w:bookmarkEnd w:id="6"/>
      <w:r>
        <w:rPr>
          <w:rFonts w:ascii="David" w:eastAsia="David" w:hAnsi="David"/>
          <w:rtl/>
        </w:rPr>
        <w:t xml:space="preserve">הנאשם הורשע – על יסוד הודאתו בעובדות כתב האישום המתוקן, שניתנה במסגרת הסדר טיעון – בעבירה של סיוע לסחר בסמים מסוכנים לפי הוראות </w:t>
      </w:r>
      <w:hyperlink r:id="rId15" w:history="1">
        <w:r w:rsidR="00517ABB" w:rsidRPr="00517ABB">
          <w:rPr>
            <w:rStyle w:val="Hyperlink"/>
            <w:rFonts w:ascii="David" w:eastAsia="David" w:hAnsi="David"/>
            <w:rtl/>
          </w:rPr>
          <w:t>סעיף 13</w:t>
        </w:r>
      </w:hyperlink>
      <w:r>
        <w:rPr>
          <w:rFonts w:ascii="David" w:eastAsia="David" w:hAnsi="David"/>
          <w:rtl/>
        </w:rPr>
        <w:t xml:space="preserve"> וסעיף </w:t>
      </w:r>
      <w:hyperlink r:id="rId16" w:history="1">
        <w:r w:rsidR="00517ABB" w:rsidRPr="00517ABB">
          <w:rPr>
            <w:rStyle w:val="Hyperlink"/>
            <w:rFonts w:ascii="David" w:eastAsia="David" w:hAnsi="David"/>
            <w:rtl/>
          </w:rPr>
          <w:t>19א</w:t>
        </w:r>
      </w:hyperlink>
      <w:r>
        <w:rPr>
          <w:rFonts w:ascii="David" w:eastAsia="David" w:hAnsi="David"/>
          <w:rtl/>
        </w:rPr>
        <w:t xml:space="preserve"> ל</w:t>
      </w:r>
      <w:hyperlink r:id="rId17" w:history="1">
        <w:r w:rsidR="004D4704" w:rsidRPr="004D4704">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המסוכנים), יחד עם </w:t>
      </w:r>
      <w:hyperlink r:id="rId18" w:history="1">
        <w:r w:rsidR="00517ABB" w:rsidRPr="00517ABB">
          <w:rPr>
            <w:rStyle w:val="Hyperlink"/>
            <w:rFonts w:ascii="David" w:eastAsia="David" w:hAnsi="David"/>
            <w:rtl/>
          </w:rPr>
          <w:t>סעיף 31</w:t>
        </w:r>
      </w:hyperlink>
      <w:r>
        <w:rPr>
          <w:rFonts w:ascii="David" w:eastAsia="David" w:hAnsi="David"/>
          <w:rtl/>
        </w:rPr>
        <w:t xml:space="preserve"> ל</w:t>
      </w:r>
      <w:hyperlink r:id="rId19" w:history="1">
        <w:r w:rsidR="004D4704" w:rsidRPr="004D4704">
          <w:rPr>
            <w:rFonts w:ascii="David" w:eastAsia="David" w:hAnsi="David"/>
            <w:color w:val="0000FF"/>
            <w:u w:val="single"/>
            <w:rtl/>
          </w:rPr>
          <w:t>חוק העונשין</w:t>
        </w:r>
      </w:hyperlink>
      <w:r>
        <w:rPr>
          <w:rFonts w:ascii="David" w:eastAsia="David" w:hAnsi="David"/>
          <w:rtl/>
        </w:rPr>
        <w:t>, תשל"ז-1977 (להלן – חוק העונשין).</w:t>
      </w:r>
    </w:p>
    <w:p w14:paraId="291CB3AC"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bookmarkStart w:id="7" w:name="ABSTRACT_END"/>
      <w:bookmarkEnd w:id="7"/>
      <w:r>
        <w:rPr>
          <w:rFonts w:ascii="David" w:hAnsi="David"/>
          <w:rtl/>
        </w:rPr>
        <w:t xml:space="preserve">על פי האמור בעובדות כתב האישום המתוקן, ביום 13.12.17 תיאם שוטר עם אחר, שזהותו אינה ידועה למאשימה, רכישת שתי מנות של סמים מסוכן מסוג קוקאין. השוטר </w:t>
      </w:r>
      <w:r>
        <w:rPr>
          <w:rFonts w:ascii="David" w:hAnsi="David"/>
          <w:rtl/>
        </w:rPr>
        <w:lastRenderedPageBreak/>
        <w:t>שוחח עם האחר וסיכם עמו שיפגוש אותו למחרת היום בתל אביב, להשלמת העסקה. למחרת היום, בשעה 21:30 לערך, נפגשו השוטר והנאשם ברחוב ישראליס בתל אביב. או אז מסר הנאשם לשוטר חבילה עטופה שהכילה סמים מסוכנים מסוג קוקאין, במשקל כולל של 1.4954 גרם.</w:t>
      </w:r>
    </w:p>
    <w:p w14:paraId="4D258F45"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 xml:space="preserve">הצדדים הגיעו להסדר טיעון, שהוצג בדיון המקדמי הראשון (בפרוטוקול, עמ' 2 שורה 9 ואילך). במסגרת ההסדר הוגש כתב האישום המתוקן, שעובדותיו תוארו לעיל, אשר ממנו הושמטו אישומו של הנאשם בעבירת </w:t>
      </w:r>
      <w:r>
        <w:rPr>
          <w:rFonts w:ascii="David" w:hAnsi="David" w:hint="cs"/>
          <w:rtl/>
        </w:rPr>
        <w:t>ה</w:t>
      </w:r>
      <w:r>
        <w:rPr>
          <w:rFonts w:ascii="David" w:hAnsi="David"/>
          <w:rtl/>
        </w:rPr>
        <w:t xml:space="preserve">סחר </w:t>
      </w:r>
      <w:r>
        <w:rPr>
          <w:rFonts w:ascii="David" w:hAnsi="David" w:hint="cs"/>
          <w:rtl/>
        </w:rPr>
        <w:t xml:space="preserve">עצמה </w:t>
      </w:r>
      <w:r>
        <w:rPr>
          <w:rFonts w:ascii="David" w:hAnsi="David"/>
          <w:rtl/>
        </w:rPr>
        <w:t>ו</w:t>
      </w:r>
      <w:r>
        <w:rPr>
          <w:rFonts w:ascii="David" w:hAnsi="David" w:hint="cs"/>
          <w:rtl/>
        </w:rPr>
        <w:t xml:space="preserve">כן </w:t>
      </w:r>
      <w:r>
        <w:rPr>
          <w:rFonts w:ascii="David" w:hAnsi="David"/>
          <w:rtl/>
        </w:rPr>
        <w:t xml:space="preserve">בעבירה </w:t>
      </w:r>
      <w:r>
        <w:rPr>
          <w:rFonts w:ascii="David" w:hAnsi="David" w:hint="cs"/>
          <w:rtl/>
        </w:rPr>
        <w:t xml:space="preserve">נוספת </w:t>
      </w:r>
      <w:r>
        <w:rPr>
          <w:rFonts w:ascii="David" w:hAnsi="David"/>
          <w:rtl/>
        </w:rPr>
        <w:t>של החזקת סמים מסוכנים מסוג קוקאין</w:t>
      </w:r>
      <w:r>
        <w:rPr>
          <w:rFonts w:ascii="David" w:hAnsi="David" w:hint="cs"/>
          <w:rtl/>
        </w:rPr>
        <w:t>, בכמות</w:t>
      </w:r>
      <w:r>
        <w:rPr>
          <w:rFonts w:ascii="David" w:hAnsi="David"/>
          <w:rtl/>
        </w:rPr>
        <w:t xml:space="preserve"> נוספת שלא לצריכה עצמית</w:t>
      </w:r>
      <w:r>
        <w:rPr>
          <w:rFonts w:ascii="David" w:hAnsi="David" w:hint="cs"/>
          <w:rtl/>
        </w:rPr>
        <w:t xml:space="preserve">; והכל </w:t>
      </w:r>
      <w:r>
        <w:rPr>
          <w:rFonts w:ascii="David" w:hAnsi="David"/>
          <w:rtl/>
        </w:rPr>
        <w:t xml:space="preserve">במונית בה נהג באותה העת. לעניין הענישה עתרו הצדדים במשותף לקבלת תסקיר שירות המבחן. המאשימה הודיעה כי תגביל עתירתה לעונש כלהלן: </w:t>
      </w:r>
      <w:r>
        <w:rPr>
          <w:rFonts w:ascii="David" w:eastAsia="David" w:hAnsi="David"/>
          <w:rtl/>
        </w:rPr>
        <w:t xml:space="preserve">מאסר בפועל לתקופה של חודשיים, לנשיאה בדרך של עבודות שירות, מאסר מותנה, </w:t>
      </w:r>
      <w:r>
        <w:rPr>
          <w:rFonts w:ascii="David" w:hAnsi="David"/>
          <w:rtl/>
        </w:rPr>
        <w:t xml:space="preserve">קנס כספי ופסילה מותנית. </w:t>
      </w:r>
      <w:r>
        <w:rPr>
          <w:rFonts w:ascii="David" w:hAnsi="David" w:hint="cs"/>
          <w:rtl/>
        </w:rPr>
        <w:t xml:space="preserve">עוד </w:t>
      </w:r>
      <w:r>
        <w:rPr>
          <w:rFonts w:ascii="David" w:hAnsi="David"/>
          <w:rtl/>
        </w:rPr>
        <w:t>הוסכם כי ההגנה תהא חופשית בטיעוניה, לרבות בעתירה לביטול ההרשעה.</w:t>
      </w:r>
    </w:p>
    <w:p w14:paraId="34F63657"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הנאשם הודה אפוא בעובדות כתב האישום המתוקן והורשע, על יסוד הודאה זו, בעבירה בה הואשם כאמור בפסקה 1 דלעיל. בית המשפט נעתר לבקשת הצדדים והורה על קבלת תסקיר שירות המבחן, שיבחן גם את סוגיית ההרשעה, תוך שהבהיר כי אין בהחלטה זו משום הבעת עמדה לעניין הענישה שתיגזר בסופו של יום.</w:t>
      </w:r>
    </w:p>
    <w:p w14:paraId="648F6D23" w14:textId="77777777" w:rsidR="00757E25" w:rsidRDefault="00757E25" w:rsidP="00757E25">
      <w:pPr>
        <w:spacing w:after="120" w:line="360" w:lineRule="auto"/>
        <w:jc w:val="both"/>
        <w:rPr>
          <w:rFonts w:ascii="David" w:hAnsi="David"/>
        </w:rPr>
      </w:pPr>
    </w:p>
    <w:p w14:paraId="6D5AC721" w14:textId="77777777" w:rsidR="00757E25" w:rsidRDefault="00757E25" w:rsidP="00757E25">
      <w:pPr>
        <w:spacing w:after="120" w:line="360" w:lineRule="auto"/>
        <w:jc w:val="both"/>
        <w:rPr>
          <w:rFonts w:ascii="David" w:hAnsi="David"/>
          <w:b/>
          <w:bCs/>
          <w:rtl/>
        </w:rPr>
      </w:pPr>
      <w:r>
        <w:rPr>
          <w:rFonts w:ascii="David" w:hAnsi="David"/>
          <w:b/>
          <w:bCs/>
          <w:rtl/>
        </w:rPr>
        <w:t>ב.</w:t>
      </w:r>
      <w:r>
        <w:rPr>
          <w:rFonts w:ascii="David" w:hAnsi="David"/>
          <w:b/>
          <w:bCs/>
          <w:rtl/>
        </w:rPr>
        <w:tab/>
      </w:r>
      <w:r>
        <w:rPr>
          <w:rFonts w:ascii="David" w:hAnsi="David"/>
          <w:b/>
          <w:bCs/>
          <w:u w:val="single"/>
          <w:rtl/>
        </w:rPr>
        <w:t>תסקיר שירות המבחן:</w:t>
      </w:r>
    </w:p>
    <w:p w14:paraId="4E964103" w14:textId="77777777" w:rsidR="00757E25" w:rsidRDefault="00757E25" w:rsidP="00757E25">
      <w:pPr>
        <w:numPr>
          <w:ilvl w:val="0"/>
          <w:numId w:val="1"/>
        </w:numPr>
        <w:tabs>
          <w:tab w:val="num" w:pos="720"/>
        </w:tabs>
        <w:spacing w:after="120" w:line="360" w:lineRule="auto"/>
        <w:ind w:left="720"/>
        <w:jc w:val="both"/>
        <w:rPr>
          <w:rFonts w:ascii="David" w:hAnsi="David"/>
          <w:rtl/>
        </w:rPr>
      </w:pPr>
      <w:r>
        <w:rPr>
          <w:rFonts w:ascii="David" w:hAnsi="David"/>
          <w:rtl/>
        </w:rPr>
        <w:t>תסקיר שירות המבחן (מיום 25.01.22) מפרט את נסיבותיו האישיות של הנאשם, יליד שנת 1981 (בן 40 שנים כיום)</w:t>
      </w:r>
      <w:r>
        <w:rPr>
          <w:rFonts w:ascii="David" w:hAnsi="David" w:hint="cs"/>
          <w:rtl/>
        </w:rPr>
        <w:t>,</w:t>
      </w:r>
      <w:r>
        <w:rPr>
          <w:rFonts w:ascii="David" w:hAnsi="David"/>
          <w:rtl/>
        </w:rPr>
        <w:t xml:space="preserve"> נשוי ואב לשני ילדים. לאחר שסיים לימודיו בבית הספר התקשה הנאשם להשתלב בלימודים אקדמיים, לדבריו בשל מצוקה כלכלית. על כן עבד הנאשם כנהג משאית ובעבודות נוספות, עד שהתייצב בעבודתו הנוכחית כנהג מונית. במקביל לעבודתו סיים </w:t>
      </w:r>
      <w:r>
        <w:rPr>
          <w:rFonts w:ascii="David" w:hAnsi="David" w:hint="cs"/>
          <w:rtl/>
        </w:rPr>
        <w:t xml:space="preserve">הנאשם </w:t>
      </w:r>
      <w:r>
        <w:rPr>
          <w:rFonts w:ascii="David" w:hAnsi="David"/>
          <w:rtl/>
        </w:rPr>
        <w:t xml:space="preserve">קורס </w:t>
      </w:r>
      <w:r>
        <w:rPr>
          <w:rFonts w:ascii="David" w:hAnsi="David" w:hint="cs"/>
          <w:rtl/>
        </w:rPr>
        <w:t>ב</w:t>
      </w:r>
      <w:r>
        <w:rPr>
          <w:rFonts w:ascii="David" w:hAnsi="David"/>
          <w:rtl/>
        </w:rPr>
        <w:t xml:space="preserve">בנקאות והנהלת חשבונות, לפני כעשרים שנה. הנאשם סיפר כי השתלב </w:t>
      </w:r>
      <w:r>
        <w:rPr>
          <w:rFonts w:ascii="David" w:hAnsi="David" w:hint="cs"/>
          <w:rtl/>
        </w:rPr>
        <w:t xml:space="preserve">גם </w:t>
      </w:r>
      <w:r>
        <w:rPr>
          <w:rFonts w:ascii="David" w:hAnsi="David"/>
          <w:rtl/>
        </w:rPr>
        <w:t>בלימוד</w:t>
      </w:r>
      <w:r>
        <w:rPr>
          <w:rFonts w:ascii="David" w:hAnsi="David" w:hint="cs"/>
          <w:rtl/>
        </w:rPr>
        <w:t>י</w:t>
      </w:r>
      <w:r>
        <w:rPr>
          <w:rFonts w:ascii="David" w:hAnsi="David"/>
          <w:rtl/>
        </w:rPr>
        <w:t xml:space="preserve"> תעודה לייעוץ מס, אך לא הצליח להשלים את חובותיו הלימודיות.</w:t>
      </w:r>
    </w:p>
    <w:p w14:paraId="7548EC06"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בהתייחסות</w:t>
      </w:r>
      <w:r>
        <w:rPr>
          <w:rFonts w:ascii="David" w:hAnsi="David" w:hint="cs"/>
          <w:rtl/>
        </w:rPr>
        <w:t>ו</w:t>
      </w:r>
      <w:r>
        <w:rPr>
          <w:rFonts w:ascii="David" w:hAnsi="David"/>
          <w:rtl/>
        </w:rPr>
        <w:t xml:space="preserve"> לביצוע העבירה </w:t>
      </w:r>
      <w:r>
        <w:rPr>
          <w:rFonts w:ascii="David" w:hAnsi="David" w:hint="cs"/>
          <w:rtl/>
        </w:rPr>
        <w:t xml:space="preserve">דנא </w:t>
      </w:r>
      <w:r>
        <w:rPr>
          <w:rFonts w:ascii="David" w:hAnsi="David"/>
          <w:rtl/>
        </w:rPr>
        <w:t>נטל הנאשם אחריות על ביצועה. לשירות המבחן הסביר הנאשם כי כחלק מעבודתו התבקש להעביר משלוחים, במקרה דנא מעטפה, שלא בדק ולא בירר את תכול</w:t>
      </w:r>
      <w:r>
        <w:rPr>
          <w:rFonts w:ascii="David" w:hAnsi="David" w:hint="cs"/>
          <w:rtl/>
        </w:rPr>
        <w:t>ת</w:t>
      </w:r>
      <w:r>
        <w:rPr>
          <w:rFonts w:ascii="David" w:hAnsi="David"/>
          <w:rtl/>
        </w:rPr>
        <w:t xml:space="preserve">ה. </w:t>
      </w:r>
      <w:r>
        <w:rPr>
          <w:rFonts w:ascii="David" w:hAnsi="David" w:hint="cs"/>
          <w:rtl/>
        </w:rPr>
        <w:t xml:space="preserve">כפי </w:t>
      </w:r>
      <w:r>
        <w:rPr>
          <w:rFonts w:ascii="David" w:hAnsi="David"/>
          <w:rtl/>
        </w:rPr>
        <w:t>דבריו</w:t>
      </w:r>
      <w:r>
        <w:rPr>
          <w:rFonts w:ascii="David" w:hAnsi="David" w:hint="cs"/>
          <w:rtl/>
        </w:rPr>
        <w:t xml:space="preserve"> לשירות המבחן: </w:t>
      </w:r>
      <w:r>
        <w:rPr>
          <w:rFonts w:ascii="David" w:hAnsi="David"/>
          <w:rtl/>
        </w:rPr>
        <w:t>"</w:t>
      </w:r>
      <w:r>
        <w:rPr>
          <w:rFonts w:ascii="David" w:hAnsi="David"/>
          <w:b/>
          <w:bCs/>
          <w:rtl/>
        </w:rPr>
        <w:t>ברקע להעברת המשלוח ללא בירור מעמיק פיתוי כספי</w:t>
      </w:r>
      <w:r>
        <w:rPr>
          <w:rFonts w:ascii="David" w:hAnsi="David" w:hint="cs"/>
          <w:b/>
          <w:bCs/>
          <w:rtl/>
        </w:rPr>
        <w:t>,</w:t>
      </w:r>
      <w:r>
        <w:rPr>
          <w:rFonts w:ascii="David" w:hAnsi="David"/>
          <w:b/>
          <w:bCs/>
          <w:rtl/>
        </w:rPr>
        <w:t xml:space="preserve"> כאשר התייחס לאירוע כנקודתי</w:t>
      </w:r>
      <w:r>
        <w:rPr>
          <w:rFonts w:ascii="David" w:hAnsi="David"/>
          <w:rtl/>
        </w:rPr>
        <w:t xml:space="preserve">". הנאשם ציין כי בעקבות ביצוע העבירה </w:t>
      </w:r>
      <w:r>
        <w:rPr>
          <w:rFonts w:ascii="David" w:hAnsi="David" w:hint="cs"/>
          <w:rtl/>
        </w:rPr>
        <w:t xml:space="preserve">הוא </w:t>
      </w:r>
      <w:r>
        <w:rPr>
          <w:rFonts w:ascii="David" w:hAnsi="David"/>
          <w:rtl/>
        </w:rPr>
        <w:t>חש אשמה ובושה, כלפי עצמו וכלפי משפחתו</w:t>
      </w:r>
      <w:r>
        <w:rPr>
          <w:rFonts w:ascii="David" w:hAnsi="David" w:hint="cs"/>
          <w:rtl/>
        </w:rPr>
        <w:t xml:space="preserve">. הנאשם </w:t>
      </w:r>
      <w:r>
        <w:rPr>
          <w:rFonts w:ascii="David" w:hAnsi="David"/>
          <w:rtl/>
        </w:rPr>
        <w:t>הוסיף כי ההליכים המשפטיים המתנהלים כנגדו הרתיעו אותו, הגבירו את אחריותו והביאו אותו לשקול כיום את החלטותיו ו</w:t>
      </w:r>
      <w:r>
        <w:rPr>
          <w:rFonts w:ascii="David" w:hAnsi="David" w:hint="cs"/>
          <w:rtl/>
        </w:rPr>
        <w:t xml:space="preserve">את </w:t>
      </w:r>
      <w:r>
        <w:rPr>
          <w:rFonts w:ascii="David" w:hAnsi="David"/>
          <w:rtl/>
        </w:rPr>
        <w:t>בחירותיו באופן ביקורתי.</w:t>
      </w:r>
    </w:p>
    <w:p w14:paraId="09939D84"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בסיכומו של דבר העריך שירות המבחן כי בעניינו של הנאשם גורמי הסיכוי עולים על גורמי הסיכון. הנאשם הוא אדם בעל יכולות וכוחות לתפקוד תקין, שזוהי לו מעורבות ראשונה ויחידה בפלילים, כאשר מאז ביצוע העבירה כבר חלפו כשלוש שנים</w:t>
      </w:r>
      <w:r>
        <w:rPr>
          <w:rFonts w:ascii="David" w:hAnsi="David" w:hint="cs"/>
          <w:rtl/>
        </w:rPr>
        <w:t xml:space="preserve"> (למעשה </w:t>
      </w:r>
      <w:r>
        <w:rPr>
          <w:rFonts w:ascii="David" w:hAnsi="David" w:hint="cs"/>
          <w:rtl/>
        </w:rPr>
        <w:lastRenderedPageBreak/>
        <w:t>ארבע)</w:t>
      </w:r>
      <w:r>
        <w:rPr>
          <w:rFonts w:ascii="David" w:hAnsi="David"/>
          <w:rtl/>
        </w:rPr>
        <w:t>. עוד ניכר כי הנאשם למד והסיק מסקנות מההליך המשפטי, המהווה עבורו גורם מרתיע ומציב גבול.</w:t>
      </w:r>
    </w:p>
    <w:p w14:paraId="7F0E83D3"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 xml:space="preserve">בנסיבות אלה המליץ שירות המבחן, מבלי להפחית מחומרת העבירה, להסתפק בענישה שיקומית-חינוכית של עונש של"צ </w:t>
      </w:r>
      <w:r>
        <w:rPr>
          <w:rFonts w:ascii="David" w:hAnsi="David" w:hint="cs"/>
          <w:rtl/>
        </w:rPr>
        <w:t xml:space="preserve">בהיקף </w:t>
      </w:r>
      <w:r>
        <w:rPr>
          <w:rFonts w:ascii="David" w:hAnsi="David"/>
          <w:rtl/>
        </w:rPr>
        <w:t>של 300 שעות. אשר לסוגיית ההרשעה</w:t>
      </w:r>
      <w:r>
        <w:rPr>
          <w:rFonts w:ascii="David" w:hAnsi="David" w:hint="cs"/>
          <w:rtl/>
        </w:rPr>
        <w:t xml:space="preserve"> בדין</w:t>
      </w:r>
      <w:r>
        <w:rPr>
          <w:rFonts w:ascii="David" w:hAnsi="David"/>
          <w:rtl/>
        </w:rPr>
        <w:t xml:space="preserve">, נוכח מכתב שהציג הנאשם ממקום עבודתו הנוכחי, </w:t>
      </w:r>
      <w:r>
        <w:rPr>
          <w:rFonts w:ascii="David" w:hAnsi="David" w:hint="cs"/>
          <w:rtl/>
        </w:rPr>
        <w:t>ש</w:t>
      </w:r>
      <w:r>
        <w:rPr>
          <w:rFonts w:ascii="David" w:hAnsi="David"/>
          <w:rtl/>
        </w:rPr>
        <w:t>לפיו הרשעה עשויה להביא להפסק</w:t>
      </w:r>
      <w:r>
        <w:rPr>
          <w:rFonts w:ascii="David" w:hAnsi="David" w:hint="cs"/>
          <w:rtl/>
        </w:rPr>
        <w:t>ת</w:t>
      </w:r>
      <w:r>
        <w:rPr>
          <w:rFonts w:ascii="David" w:hAnsi="David"/>
          <w:rtl/>
        </w:rPr>
        <w:t xml:space="preserve"> עבודתו של הנאשם, המליץ שירות המבחן לשקול בחיוב את ביטול ההרשעה.</w:t>
      </w:r>
    </w:p>
    <w:p w14:paraId="6AE442AA" w14:textId="77777777" w:rsidR="00757E25" w:rsidRPr="00201C75" w:rsidRDefault="00757E25" w:rsidP="00757E25">
      <w:pPr>
        <w:spacing w:after="120" w:line="360" w:lineRule="auto"/>
        <w:jc w:val="both"/>
        <w:rPr>
          <w:rFonts w:ascii="David" w:hAnsi="David"/>
        </w:rPr>
      </w:pPr>
    </w:p>
    <w:p w14:paraId="51DE6E44" w14:textId="77777777" w:rsidR="00757E25" w:rsidRDefault="00757E25" w:rsidP="00757E25">
      <w:pPr>
        <w:spacing w:after="120" w:line="360" w:lineRule="auto"/>
        <w:jc w:val="both"/>
        <w:rPr>
          <w:rFonts w:ascii="David" w:hAnsi="David"/>
          <w:b/>
          <w:bCs/>
          <w:u w:val="single"/>
          <w:rtl/>
        </w:rPr>
      </w:pPr>
      <w:r>
        <w:rPr>
          <w:rFonts w:ascii="David" w:hAnsi="David"/>
          <w:b/>
          <w:bCs/>
          <w:rtl/>
        </w:rPr>
        <w:t>ג.</w:t>
      </w:r>
      <w:r>
        <w:rPr>
          <w:rFonts w:ascii="David" w:hAnsi="David"/>
          <w:b/>
          <w:bCs/>
          <w:rtl/>
        </w:rPr>
        <w:tab/>
      </w:r>
      <w:r>
        <w:rPr>
          <w:rFonts w:ascii="David" w:hAnsi="David"/>
          <w:b/>
          <w:bCs/>
          <w:u w:val="single"/>
          <w:rtl/>
        </w:rPr>
        <w:t>הראיות לקביעת העונש ועיקר טיעוני ב"כ הצדדים:</w:t>
      </w:r>
    </w:p>
    <w:p w14:paraId="5D38FFF1" w14:textId="77777777" w:rsidR="00757E25" w:rsidRDefault="00757E25" w:rsidP="00757E25">
      <w:pPr>
        <w:numPr>
          <w:ilvl w:val="0"/>
          <w:numId w:val="1"/>
        </w:numPr>
        <w:tabs>
          <w:tab w:val="num" w:pos="720"/>
        </w:tabs>
        <w:spacing w:after="120" w:line="360" w:lineRule="auto"/>
        <w:ind w:left="720"/>
        <w:jc w:val="both"/>
        <w:rPr>
          <w:rFonts w:ascii="David" w:hAnsi="David"/>
          <w:rtl/>
        </w:rPr>
      </w:pPr>
      <w:r>
        <w:rPr>
          <w:rFonts w:ascii="David" w:hAnsi="David"/>
          <w:rtl/>
        </w:rPr>
        <w:t>מטעם המאשימה לא הוגשו ראיות לקביעת העונש. מטעם ההגנה הוגשו שלוש</w:t>
      </w:r>
      <w:r>
        <w:rPr>
          <w:rFonts w:ascii="David" w:hAnsi="David" w:hint="cs"/>
          <w:rtl/>
        </w:rPr>
        <w:t>ה</w:t>
      </w:r>
      <w:r>
        <w:rPr>
          <w:rFonts w:ascii="David" w:hAnsi="David"/>
          <w:rtl/>
        </w:rPr>
        <w:t xml:space="preserve"> מסמכים (סומנו ס/1), </w:t>
      </w:r>
      <w:r>
        <w:rPr>
          <w:rFonts w:ascii="David" w:hAnsi="David" w:hint="cs"/>
          <w:rtl/>
        </w:rPr>
        <w:t>ש</w:t>
      </w:r>
      <w:r>
        <w:rPr>
          <w:rFonts w:ascii="David" w:hAnsi="David"/>
          <w:rtl/>
        </w:rPr>
        <w:t xml:space="preserve">בהם אישור ותעודה על השלמת קורס בבנקאות והנהלת חשבונות, כאמור לפני כעשרים שנה, וכן מכתב מהמעסיק הנוכחי (חברת מוניות). במכתב </w:t>
      </w:r>
      <w:r>
        <w:rPr>
          <w:rFonts w:ascii="David" w:hAnsi="David" w:hint="cs"/>
          <w:rtl/>
        </w:rPr>
        <w:t xml:space="preserve">האמור </w:t>
      </w:r>
      <w:r>
        <w:rPr>
          <w:rFonts w:ascii="David" w:hAnsi="David"/>
          <w:rtl/>
        </w:rPr>
        <w:t>מצוין כי הנאשם עובד בחברה מיום 04.11.21 וכי "</w:t>
      </w:r>
      <w:r w:rsidRPr="00201C75">
        <w:rPr>
          <w:rFonts w:ascii="David" w:hAnsi="David"/>
          <w:b/>
          <w:bCs/>
          <w:rtl/>
        </w:rPr>
        <w:t>נודע לנו שיש משפט בגינו ואם יורשע לא ישמר מקום עבודתו</w:t>
      </w:r>
      <w:r>
        <w:rPr>
          <w:rFonts w:ascii="David" w:hAnsi="David"/>
          <w:rtl/>
        </w:rPr>
        <w:t>".</w:t>
      </w:r>
    </w:p>
    <w:p w14:paraId="6EBFA733"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ב"כ המאשימה עמד בטיעוניו על הערכים החברתיים, אשר נפגעים כתולדה מ</w:t>
      </w:r>
      <w:r>
        <w:rPr>
          <w:rFonts w:ascii="David" w:hAnsi="David" w:hint="cs"/>
          <w:rtl/>
        </w:rPr>
        <w:t xml:space="preserve">ביצוען של </w:t>
      </w:r>
      <w:r>
        <w:rPr>
          <w:rFonts w:ascii="David" w:hAnsi="David"/>
          <w:rtl/>
        </w:rPr>
        <w:t xml:space="preserve">עבירות סמים, והדגיש את חומרת העבירה </w:t>
      </w:r>
      <w:r>
        <w:rPr>
          <w:rFonts w:ascii="David" w:hAnsi="David" w:hint="cs"/>
          <w:rtl/>
        </w:rPr>
        <w:t>דנא ב</w:t>
      </w:r>
      <w:r>
        <w:rPr>
          <w:rFonts w:ascii="David" w:hAnsi="David"/>
          <w:rtl/>
        </w:rPr>
        <w:t>נסיבותיה. לשיטת ב"כ המאשימה מתחם העונש ההולם</w:t>
      </w:r>
      <w:r>
        <w:rPr>
          <w:rFonts w:ascii="David" w:hAnsi="David" w:hint="cs"/>
          <w:rtl/>
        </w:rPr>
        <w:t>,</w:t>
      </w:r>
      <w:r>
        <w:rPr>
          <w:rFonts w:ascii="David" w:hAnsi="David"/>
          <w:rtl/>
        </w:rPr>
        <w:t xml:space="preserve"> במקרה </w:t>
      </w:r>
      <w:r>
        <w:rPr>
          <w:rFonts w:ascii="David" w:hAnsi="David" w:hint="cs"/>
          <w:rtl/>
        </w:rPr>
        <w:t xml:space="preserve">זה, </w:t>
      </w:r>
      <w:r>
        <w:rPr>
          <w:rFonts w:ascii="David" w:hAnsi="David"/>
          <w:rtl/>
        </w:rPr>
        <w:t>הוא בין 8 חודשי מאסר בפועל לבין 18 חודשי מאסר</w:t>
      </w:r>
      <w:r>
        <w:rPr>
          <w:rFonts w:ascii="David" w:hAnsi="David" w:hint="cs"/>
          <w:rtl/>
        </w:rPr>
        <w:t xml:space="preserve"> בפועל</w:t>
      </w:r>
      <w:r>
        <w:rPr>
          <w:rFonts w:ascii="David" w:hAnsi="David"/>
          <w:rtl/>
        </w:rPr>
        <w:t>. עם זאת, נוכח הנסיבות המקלות שעלו מתוך תסקיר שירות המבחן, עתר</w:t>
      </w:r>
      <w:r>
        <w:rPr>
          <w:rFonts w:ascii="David" w:hAnsi="David" w:hint="cs"/>
          <w:rtl/>
        </w:rPr>
        <w:t>-</w:t>
      </w:r>
      <w:r>
        <w:rPr>
          <w:rFonts w:ascii="David" w:hAnsi="David"/>
          <w:rtl/>
        </w:rPr>
        <w:t>למעשה ב"כ המאשימה לחריגה לכף קולה ממתחם העונש ההולם משיקולי שיקום, ולענישה כפי שהוצהרה בהצגת הסדר הטיעון</w:t>
      </w:r>
      <w:r>
        <w:rPr>
          <w:rFonts w:ascii="David" w:hAnsi="David" w:hint="cs"/>
          <w:rtl/>
        </w:rPr>
        <w:t xml:space="preserve"> (חודשיים מאסר בעבודות שירות וענישה נלווית)</w:t>
      </w:r>
      <w:r>
        <w:rPr>
          <w:rFonts w:ascii="David" w:hAnsi="David"/>
          <w:rtl/>
        </w:rPr>
        <w:t>.</w:t>
      </w:r>
    </w:p>
    <w:p w14:paraId="497E49E3"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לעניין ההרשעה הדגיש ב"כ המאשימה כי עניינו של הנאשם אינו עומד בתנאים שנקבעו בהלכה הפסוקה לביטול הרשעה</w:t>
      </w:r>
      <w:r>
        <w:rPr>
          <w:rFonts w:ascii="David" w:hAnsi="David" w:hint="cs"/>
          <w:rtl/>
        </w:rPr>
        <w:t xml:space="preserve"> בדין</w:t>
      </w:r>
      <w:r>
        <w:rPr>
          <w:rFonts w:ascii="David" w:hAnsi="David"/>
          <w:rtl/>
        </w:rPr>
        <w:t>. הנאשם לא הציג ראיות על פגיעה ממשית</w:t>
      </w:r>
      <w:r>
        <w:rPr>
          <w:rFonts w:ascii="David" w:hAnsi="David" w:hint="cs"/>
          <w:rtl/>
        </w:rPr>
        <w:t>,</w:t>
      </w:r>
      <w:r>
        <w:rPr>
          <w:rFonts w:ascii="David" w:hAnsi="David"/>
          <w:rtl/>
        </w:rPr>
        <w:t xml:space="preserve"> העלולה להיגרם לו כתולדה מן ההרשעה, אלא רק </w:t>
      </w:r>
      <w:r>
        <w:rPr>
          <w:rFonts w:ascii="David" w:hAnsi="David" w:hint="cs"/>
          <w:rtl/>
        </w:rPr>
        <w:t xml:space="preserve">לכך </w:t>
      </w:r>
      <w:r>
        <w:rPr>
          <w:rFonts w:ascii="David" w:hAnsi="David"/>
          <w:rtl/>
        </w:rPr>
        <w:t>שקיימת אפשרות כ</w:t>
      </w:r>
      <w:r>
        <w:rPr>
          <w:rFonts w:ascii="David" w:hAnsi="David" w:hint="cs"/>
          <w:rtl/>
        </w:rPr>
        <w:t>זו</w:t>
      </w:r>
      <w:r>
        <w:rPr>
          <w:rFonts w:ascii="David" w:hAnsi="David"/>
          <w:rtl/>
        </w:rPr>
        <w:t>. בנסיבות אלה לא מדובר במקרה הנמנה עם אותם חריגים שבחריגים המצדיקים ביטול הרשעה.</w:t>
      </w:r>
    </w:p>
    <w:p w14:paraId="0CE554C5"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 xml:space="preserve">ב"כ הנאשם, מצידו, עתר לביטול ההרשעה בדין. ב"כ הנאשם הדגיש את חלוף הזמן מאז ביצוע העבירה, כאשר כתב האישום הוגש בשיהוי ניכר, שלא נגרם בעטיו של הנאשם. עוד הדגיש ב"כ הנאשם את נסיבות הקולה של המעשה דנא, כפי שהן מתוארות בעובדות כתב האישום המתוקן, כאשר הנאשם היה רק השליח שהוביל חבילה עטופה ללקוח. </w:t>
      </w:r>
      <w:r>
        <w:rPr>
          <w:rFonts w:ascii="David" w:hAnsi="David" w:hint="cs"/>
          <w:rtl/>
        </w:rPr>
        <w:t xml:space="preserve">למעשה, </w:t>
      </w:r>
      <w:r>
        <w:rPr>
          <w:rFonts w:ascii="David" w:hAnsi="David"/>
          <w:rtl/>
        </w:rPr>
        <w:t xml:space="preserve">הנאשם נפל קורבן לעבירה של אחר, לא היה מודע לתוכנה של החבילה אותה העביר ורק </w:t>
      </w:r>
      <w:r>
        <w:rPr>
          <w:rFonts w:ascii="David" w:hAnsi="David" w:hint="cs"/>
          <w:rtl/>
        </w:rPr>
        <w:t>"</w:t>
      </w:r>
      <w:r>
        <w:rPr>
          <w:rFonts w:ascii="David" w:hAnsi="David"/>
          <w:rtl/>
        </w:rPr>
        <w:t>עצם את עיניו</w:t>
      </w:r>
      <w:r>
        <w:rPr>
          <w:rFonts w:ascii="David" w:hAnsi="David" w:hint="cs"/>
          <w:rtl/>
        </w:rPr>
        <w:t>"</w:t>
      </w:r>
      <w:r>
        <w:rPr>
          <w:rFonts w:ascii="David" w:hAnsi="David"/>
          <w:rtl/>
        </w:rPr>
        <w:t xml:space="preserve"> בכך שלא העמיק חקור לגבי תוכנה ומהותה של החבילה.</w:t>
      </w:r>
    </w:p>
    <w:p w14:paraId="54F1D219" w14:textId="77777777" w:rsidR="00757E25" w:rsidRPr="009F4E4D" w:rsidRDefault="00757E25" w:rsidP="00757E25">
      <w:pPr>
        <w:numPr>
          <w:ilvl w:val="0"/>
          <w:numId w:val="1"/>
        </w:numPr>
        <w:tabs>
          <w:tab w:val="num" w:pos="720"/>
        </w:tabs>
        <w:spacing w:after="120" w:line="360" w:lineRule="auto"/>
        <w:ind w:left="720"/>
        <w:jc w:val="both"/>
        <w:rPr>
          <w:rFonts w:ascii="David" w:hAnsi="David"/>
        </w:rPr>
      </w:pPr>
      <w:r w:rsidRPr="009F4E4D">
        <w:rPr>
          <w:rFonts w:ascii="David" w:hAnsi="David"/>
          <w:rtl/>
        </w:rPr>
        <w:t xml:space="preserve">ב"כ הנאשם הרחיב בנסיבות הקולה, כפי שהן עולות מתסקיר שירות המבחן, לרבות היעדר כל הסתבכות בפלילים, הפנמת חומרת המעשה ונטילת האחריות. לשיטת ב"כ הנאשם, מכתב המעסיק מלמד על קיומה של פגיעה קונקרטית ומידית בנאשם, </w:t>
      </w:r>
      <w:r w:rsidRPr="009F4E4D">
        <w:rPr>
          <w:rFonts w:ascii="David" w:hAnsi="David" w:hint="cs"/>
          <w:rtl/>
        </w:rPr>
        <w:t xml:space="preserve">זאת </w:t>
      </w:r>
      <w:r w:rsidRPr="009F4E4D">
        <w:rPr>
          <w:rFonts w:ascii="David" w:hAnsi="David"/>
          <w:rtl/>
        </w:rPr>
        <w:t>–</w:t>
      </w:r>
      <w:r w:rsidRPr="009F4E4D">
        <w:rPr>
          <w:rFonts w:ascii="David" w:hAnsi="David" w:hint="cs"/>
          <w:rtl/>
        </w:rPr>
        <w:t xml:space="preserve"> </w:t>
      </w:r>
      <w:r w:rsidRPr="009F4E4D">
        <w:rPr>
          <w:rFonts w:ascii="David" w:hAnsi="David"/>
          <w:rtl/>
        </w:rPr>
        <w:t xml:space="preserve">הגם שב"כ הנאשם לא טען כי </w:t>
      </w:r>
      <w:r>
        <w:rPr>
          <w:rFonts w:ascii="David" w:hAnsi="David" w:hint="cs"/>
          <w:rtl/>
        </w:rPr>
        <w:t xml:space="preserve">לפי הדין </w:t>
      </w:r>
      <w:r w:rsidRPr="009F4E4D">
        <w:rPr>
          <w:rFonts w:ascii="David" w:hAnsi="David"/>
          <w:rtl/>
        </w:rPr>
        <w:t xml:space="preserve">קיימת מניעה להמשך עבודתו </w:t>
      </w:r>
      <w:r>
        <w:rPr>
          <w:rFonts w:ascii="David" w:hAnsi="David" w:hint="cs"/>
          <w:rtl/>
        </w:rPr>
        <w:t xml:space="preserve">של הנאשם </w:t>
      </w:r>
      <w:r w:rsidRPr="009F4E4D">
        <w:rPr>
          <w:rFonts w:ascii="David" w:hAnsi="David"/>
          <w:rtl/>
        </w:rPr>
        <w:t>ו</w:t>
      </w:r>
      <w:r>
        <w:rPr>
          <w:rFonts w:ascii="David" w:hAnsi="David" w:hint="cs"/>
          <w:rtl/>
        </w:rPr>
        <w:t>גם</w:t>
      </w:r>
      <w:r w:rsidRPr="009F4E4D">
        <w:rPr>
          <w:rFonts w:ascii="David" w:hAnsi="David"/>
          <w:rtl/>
        </w:rPr>
        <w:t xml:space="preserve"> לא הציג אסמכתאות לכך. בסיכומו של דבר עתר אפוא ב"כ הנאשם לענישה מקלה, של של"צ בלבד, והכל תוך ביטול ההרשעה בדין.</w:t>
      </w:r>
    </w:p>
    <w:p w14:paraId="5C15DC53"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לבסוף הנאשם, בדברו האחרון לעונש, הסתפק בדברי הסניגור.</w:t>
      </w:r>
    </w:p>
    <w:p w14:paraId="4DB254C9" w14:textId="77777777" w:rsidR="00757E25" w:rsidRPr="009F4E4D" w:rsidRDefault="00757E25" w:rsidP="00757E25">
      <w:pPr>
        <w:spacing w:after="120" w:line="360" w:lineRule="auto"/>
        <w:jc w:val="both"/>
        <w:rPr>
          <w:rFonts w:ascii="David" w:eastAsia="David" w:hAnsi="David"/>
        </w:rPr>
      </w:pPr>
    </w:p>
    <w:p w14:paraId="4D6B8DCB" w14:textId="77777777" w:rsidR="00757E25" w:rsidRDefault="00757E25" w:rsidP="00757E25">
      <w:pPr>
        <w:spacing w:after="120" w:line="360" w:lineRule="auto"/>
        <w:jc w:val="both"/>
        <w:rPr>
          <w:rFonts w:ascii="David" w:eastAsia="David" w:hAnsi="David"/>
          <w:b/>
          <w:bCs/>
          <w:u w:val="single"/>
          <w:rtl/>
        </w:rPr>
      </w:pPr>
      <w:r>
        <w:rPr>
          <w:rFonts w:ascii="David" w:eastAsia="David" w:hAnsi="David"/>
          <w:b/>
          <w:bCs/>
          <w:rtl/>
        </w:rPr>
        <w:t>ד.</w:t>
      </w:r>
      <w:r>
        <w:rPr>
          <w:rFonts w:ascii="David" w:eastAsia="David" w:hAnsi="David"/>
          <w:b/>
          <w:bCs/>
          <w:rtl/>
        </w:rPr>
        <w:tab/>
      </w:r>
      <w:r>
        <w:rPr>
          <w:rFonts w:ascii="David" w:eastAsia="David" w:hAnsi="David"/>
          <w:b/>
          <w:bCs/>
          <w:u w:val="single"/>
          <w:rtl/>
        </w:rPr>
        <w:t>סוגיית ההרשעה:</w:t>
      </w:r>
    </w:p>
    <w:p w14:paraId="322B785E" w14:textId="77777777" w:rsidR="00757E25" w:rsidRDefault="00757E25" w:rsidP="00757E25">
      <w:pPr>
        <w:numPr>
          <w:ilvl w:val="0"/>
          <w:numId w:val="1"/>
        </w:numPr>
        <w:tabs>
          <w:tab w:val="num" w:pos="720"/>
        </w:tabs>
        <w:spacing w:after="120" w:line="360" w:lineRule="auto"/>
        <w:ind w:left="720"/>
        <w:jc w:val="both"/>
        <w:rPr>
          <w:rFonts w:ascii="David" w:eastAsia="David" w:hAnsi="David"/>
          <w:rtl/>
        </w:rPr>
      </w:pPr>
      <w:r>
        <w:rPr>
          <w:rFonts w:ascii="David" w:hAnsi="David"/>
          <w:rtl/>
        </w:rPr>
        <w:t>כלל הוא, כי משנקבעו על ידי בית המשפט עובדות המגבשות עבירה פלילית – בין לאחר שמיעת הראיות ובין על יסוד הודאת הנאשם – על בית המשפט להרשיע את הנאשם בעבירה הרלוואנטית. האפשרות לנקוט בדרך של הימנעות מהרשעה היא אפשרות חריגה, השמורה למקרים מיוחדים ויוצאי דופן בהם מתקיימים שני התנאים המצטברים, שנקבעו ב</w:t>
      </w:r>
      <w:hyperlink r:id="rId20" w:history="1">
        <w:r w:rsidR="004D4704" w:rsidRPr="004D4704">
          <w:rPr>
            <w:rFonts w:ascii="David" w:hAnsi="David"/>
            <w:color w:val="0000FF"/>
            <w:u w:val="single"/>
            <w:rtl/>
          </w:rPr>
          <w:t>ע"פ 2083/96</w:t>
        </w:r>
      </w:hyperlink>
      <w:r>
        <w:rPr>
          <w:rFonts w:ascii="David" w:hAnsi="David"/>
          <w:rtl/>
        </w:rPr>
        <w:t xml:space="preserve"> </w:t>
      </w:r>
      <w:r>
        <w:rPr>
          <w:rFonts w:ascii="David" w:hAnsi="David"/>
          <w:b/>
          <w:bCs/>
          <w:rtl/>
        </w:rPr>
        <w:t>כתב נ' מדינת ישראל</w:t>
      </w:r>
      <w:r>
        <w:rPr>
          <w:rFonts w:ascii="David" w:hAnsi="David"/>
          <w:rtl/>
        </w:rPr>
        <w:t>, פ"ד נב (3) 337, 342 (1997), כלהלן:</w:t>
      </w:r>
    </w:p>
    <w:p w14:paraId="48B57CE6" w14:textId="77777777" w:rsidR="00757E25" w:rsidRDefault="00757E25" w:rsidP="00757E25">
      <w:pPr>
        <w:spacing w:after="120" w:line="360" w:lineRule="auto"/>
        <w:ind w:left="1440"/>
        <w:jc w:val="both"/>
        <w:rPr>
          <w:rFonts w:ascii="David" w:hAnsi="David"/>
          <w:b/>
          <w:bCs/>
        </w:rPr>
      </w:pPr>
      <w:r>
        <w:rPr>
          <w:rFonts w:ascii="David" w:hAnsi="David"/>
          <w:b/>
          <w:bCs/>
          <w:rtl/>
        </w:rPr>
        <w:t>ראשית</w:t>
      </w:r>
      <w:r>
        <w:rPr>
          <w:rFonts w:ascii="David" w:hAnsi="David"/>
          <w:rtl/>
        </w:rPr>
        <w:t>, על ההרשעה לפגוע פגיעה חמורה בשיקום הנאשם.</w:t>
      </w:r>
    </w:p>
    <w:p w14:paraId="758559B8" w14:textId="77777777" w:rsidR="00757E25" w:rsidRDefault="00757E25" w:rsidP="00757E25">
      <w:pPr>
        <w:tabs>
          <w:tab w:val="num" w:pos="720"/>
        </w:tabs>
        <w:spacing w:after="120" w:line="360" w:lineRule="auto"/>
        <w:ind w:left="1440"/>
        <w:jc w:val="both"/>
        <w:rPr>
          <w:rFonts w:ascii="David" w:eastAsia="David" w:hAnsi="David"/>
          <w:rtl/>
        </w:rPr>
      </w:pPr>
      <w:r>
        <w:rPr>
          <w:rFonts w:ascii="David" w:hAnsi="David"/>
          <w:b/>
          <w:bCs/>
          <w:rtl/>
        </w:rPr>
        <w:t>שנית</w:t>
      </w:r>
      <w:r>
        <w:rPr>
          <w:rFonts w:ascii="David" w:hAnsi="David"/>
          <w:rtl/>
        </w:rPr>
        <w:t>, סוג העבירה מאפשר לוותר, בנסיבות המקרה המסוים, על ההרשעה מבלי לפגוע באופן מהותי בשיקולי הענישה האחרים (להלן – הלכת</w:t>
      </w:r>
      <w:r>
        <w:rPr>
          <w:rFonts w:ascii="David" w:hAnsi="David"/>
          <w:b/>
          <w:bCs/>
          <w:rtl/>
        </w:rPr>
        <w:t xml:space="preserve"> כתב</w:t>
      </w:r>
      <w:r>
        <w:rPr>
          <w:rFonts w:ascii="David" w:hAnsi="David"/>
          <w:rtl/>
        </w:rPr>
        <w:t>).</w:t>
      </w:r>
    </w:p>
    <w:p w14:paraId="17CFE3B4"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hAnsi="David"/>
          <w:rtl/>
        </w:rPr>
        <w:t xml:space="preserve">לא למותר לציין </w:t>
      </w:r>
      <w:r>
        <w:rPr>
          <w:rFonts w:ascii="David" w:hAnsi="David" w:hint="cs"/>
          <w:rtl/>
        </w:rPr>
        <w:t xml:space="preserve">כאן, </w:t>
      </w:r>
      <w:r>
        <w:rPr>
          <w:rFonts w:ascii="David" w:hAnsi="David"/>
          <w:rtl/>
        </w:rPr>
        <w:t xml:space="preserve">כי במהלך השנים הרבות שחלפו מאז שניתנה הלכת </w:t>
      </w:r>
      <w:r>
        <w:rPr>
          <w:rFonts w:ascii="David" w:hAnsi="David"/>
          <w:b/>
          <w:bCs/>
          <w:rtl/>
        </w:rPr>
        <w:t>כתב</w:t>
      </w:r>
      <w:r>
        <w:rPr>
          <w:rFonts w:ascii="David" w:hAnsi="David"/>
          <w:rtl/>
        </w:rPr>
        <w:t xml:space="preserve"> חזר בית המשפט העליון ואשרר הן את תוקפה של ההלכה והן את תנאיה (ר', למשל, </w:t>
      </w:r>
      <w:hyperlink r:id="rId21" w:history="1">
        <w:r w:rsidR="004D4704" w:rsidRPr="004D4704">
          <w:rPr>
            <w:rFonts w:ascii="David" w:hAnsi="David"/>
            <w:color w:val="0000FF"/>
            <w:u w:val="single"/>
            <w:rtl/>
          </w:rPr>
          <w:t>רע"פ 8458/18</w:t>
        </w:r>
      </w:hyperlink>
      <w:r>
        <w:rPr>
          <w:rFonts w:ascii="David" w:hAnsi="David"/>
          <w:rtl/>
        </w:rPr>
        <w:t xml:space="preserve"> </w:t>
      </w:r>
      <w:r>
        <w:rPr>
          <w:rFonts w:ascii="David" w:hAnsi="David"/>
          <w:b/>
          <w:bCs/>
          <w:rtl/>
        </w:rPr>
        <w:t>שטרר נ' מדינת ישראל</w:t>
      </w:r>
      <w:r>
        <w:rPr>
          <w:rFonts w:ascii="David" w:hAnsi="David"/>
          <w:rtl/>
        </w:rPr>
        <w:t xml:space="preserve"> (04.04.19); </w:t>
      </w:r>
      <w:hyperlink r:id="rId22" w:history="1">
        <w:r w:rsidR="004D4704" w:rsidRPr="004D4704">
          <w:rPr>
            <w:rFonts w:ascii="David" w:hAnsi="David"/>
            <w:color w:val="0000FF"/>
            <w:u w:val="single"/>
            <w:rtl/>
          </w:rPr>
          <w:t>רע"פ 2403/19</w:t>
        </w:r>
      </w:hyperlink>
      <w:r>
        <w:rPr>
          <w:rFonts w:ascii="David" w:hAnsi="David"/>
          <w:rtl/>
        </w:rPr>
        <w:t xml:space="preserve"> </w:t>
      </w:r>
      <w:r>
        <w:rPr>
          <w:rFonts w:ascii="David" w:hAnsi="David"/>
          <w:b/>
          <w:bCs/>
          <w:rtl/>
        </w:rPr>
        <w:t xml:space="preserve">פלוני נ' מדינת ישראל </w:t>
      </w:r>
      <w:r>
        <w:rPr>
          <w:rFonts w:ascii="David" w:hAnsi="David"/>
        </w:rPr>
        <w:t>(07.04.19)</w:t>
      </w:r>
      <w:r>
        <w:rPr>
          <w:rFonts w:ascii="David" w:hAnsi="David"/>
          <w:rtl/>
        </w:rPr>
        <w:t>). מדובר אפוא בהלכה שרירה וקיימת, וכמובן מחייבת.</w:t>
      </w:r>
    </w:p>
    <w:p w14:paraId="1D5F2D9C"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hAnsi="David"/>
          <w:rtl/>
        </w:rPr>
        <w:t xml:space="preserve">בענייננו נראה כי שני התנאים, שנקבעו כאמור בהלכת </w:t>
      </w:r>
      <w:r>
        <w:rPr>
          <w:rFonts w:ascii="David" w:hAnsi="David"/>
          <w:b/>
          <w:bCs/>
          <w:rtl/>
        </w:rPr>
        <w:t>כתב</w:t>
      </w:r>
      <w:r>
        <w:rPr>
          <w:rFonts w:ascii="David" w:hAnsi="David" w:hint="cs"/>
          <w:rtl/>
        </w:rPr>
        <w:t>,</w:t>
      </w:r>
      <w:r>
        <w:rPr>
          <w:rFonts w:ascii="David" w:hAnsi="David"/>
          <w:rtl/>
        </w:rPr>
        <w:t xml:space="preserve"> אינם מתקיימים. אשר לתנאי הראשון, אין לפניי אינדיקציה ממשית לפגיעה חמורה בשיקום הנאשם</w:t>
      </w:r>
      <w:r>
        <w:rPr>
          <w:rFonts w:ascii="David" w:hAnsi="David" w:hint="cs"/>
          <w:rtl/>
        </w:rPr>
        <w:t xml:space="preserve"> כתולדה מן ההרשעה</w:t>
      </w:r>
      <w:r>
        <w:rPr>
          <w:rFonts w:ascii="David" w:hAnsi="David"/>
          <w:rtl/>
        </w:rPr>
        <w:t>. אכן, הנאשם למד קורס חשבונאות לפני כעשרים שנה, אך מאז לא עסק בכך וגם לא הציג אסמכתאות לתעסוקה בעתיד בתחום זה. בנוסף, הנאשם הציג מכתב מחברת מוניות</w:t>
      </w:r>
      <w:r>
        <w:rPr>
          <w:rFonts w:ascii="David" w:hAnsi="David" w:hint="cs"/>
          <w:rtl/>
        </w:rPr>
        <w:t>, בה הוא עובד מזה כשלושה חודשים</w:t>
      </w:r>
      <w:r>
        <w:rPr>
          <w:rFonts w:ascii="David" w:hAnsi="David"/>
          <w:rtl/>
        </w:rPr>
        <w:t xml:space="preserve">, אך מדובר במכתב לקוני שלא ברור </w:t>
      </w:r>
      <w:r>
        <w:rPr>
          <w:rFonts w:ascii="David" w:hAnsi="David" w:hint="cs"/>
          <w:rtl/>
        </w:rPr>
        <w:t>הי</w:t>
      </w:r>
      <w:r>
        <w:rPr>
          <w:rFonts w:ascii="David" w:hAnsi="David"/>
          <w:rtl/>
        </w:rPr>
        <w:t xml:space="preserve">מנו מדוע ההרשעה עלולה להביא לכך שעבודת הנאשם לא תישמר. כאמור, לא נטען </w:t>
      </w:r>
      <w:r>
        <w:rPr>
          <w:rFonts w:ascii="David" w:hAnsi="David" w:hint="cs"/>
          <w:rtl/>
        </w:rPr>
        <w:t xml:space="preserve">לפניי </w:t>
      </w:r>
      <w:r>
        <w:rPr>
          <w:rFonts w:ascii="David" w:hAnsi="David"/>
          <w:rtl/>
        </w:rPr>
        <w:t xml:space="preserve">למניעה </w:t>
      </w:r>
      <w:r>
        <w:rPr>
          <w:rFonts w:ascii="David" w:hAnsi="David" w:hint="cs"/>
          <w:rtl/>
        </w:rPr>
        <w:t>לפי דין ל</w:t>
      </w:r>
      <w:r>
        <w:rPr>
          <w:rFonts w:ascii="David" w:hAnsi="David"/>
          <w:rtl/>
        </w:rPr>
        <w:t>המשך עבודתו של הנאשם וגם בתסקיר שירות המבחן אין כל הנמקה בעניין זה, למעט הפנייה למכתב המעסיק.</w:t>
      </w:r>
    </w:p>
    <w:p w14:paraId="67657C81"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hAnsi="David"/>
          <w:rtl/>
        </w:rPr>
        <w:t>אשר לתנאי השני, סוג העבירה אינו מאפשר לוותר, בנסיבות המקרה דנא, על ההרשעה מבלי לפגוע באופן מהותי בשיקולי הענישה האחרים</w:t>
      </w:r>
      <w:r>
        <w:rPr>
          <w:rFonts w:ascii="David" w:eastAsia="David" w:hAnsi="David"/>
          <w:rtl/>
        </w:rPr>
        <w:t>. הנאשם סייע לאחר לסחור בסמים מסוכנים קשים, מסוג קוקאין, ומסר לקונה סמים כאמור במשקל של 1.49 גרם נטו. הנאשם הסביר את מעשיו בפיתוי הכספי שהיה כרוך בהם</w:t>
      </w:r>
      <w:r>
        <w:rPr>
          <w:rFonts w:ascii="David" w:eastAsia="David" w:hAnsi="David" w:hint="cs"/>
          <w:rtl/>
        </w:rPr>
        <w:t>;</w:t>
      </w:r>
      <w:r>
        <w:rPr>
          <w:rFonts w:ascii="David" w:eastAsia="David" w:hAnsi="David"/>
          <w:rtl/>
        </w:rPr>
        <w:t xml:space="preserve"> ואכן, כך למרבה הצער, ניסיון בתי המשפט מלמד </w:t>
      </w:r>
      <w:r>
        <w:rPr>
          <w:rFonts w:ascii="David" w:eastAsia="David" w:hAnsi="David" w:hint="cs"/>
          <w:rtl/>
        </w:rPr>
        <w:t xml:space="preserve">כי </w:t>
      </w:r>
      <w:r>
        <w:rPr>
          <w:rFonts w:ascii="David" w:eastAsia="David" w:hAnsi="David"/>
          <w:rtl/>
        </w:rPr>
        <w:t>גם אנשים נורמטיביים נכשלים בביצוע</w:t>
      </w:r>
      <w:r>
        <w:rPr>
          <w:rFonts w:ascii="David" w:eastAsia="David" w:hAnsi="David" w:hint="cs"/>
          <w:rtl/>
        </w:rPr>
        <w:t>ן של</w:t>
      </w:r>
      <w:r>
        <w:rPr>
          <w:rFonts w:ascii="David" w:eastAsia="David" w:hAnsi="David"/>
          <w:rtl/>
        </w:rPr>
        <w:t xml:space="preserve"> עבירות סמים בשל הרווח הכספי הקל, המהיר והניכר הטמון בהם</w:t>
      </w:r>
      <w:r>
        <w:rPr>
          <w:rFonts w:ascii="David" w:eastAsia="David" w:hAnsi="David" w:hint="cs"/>
          <w:rtl/>
        </w:rPr>
        <w:t>;</w:t>
      </w:r>
      <w:r>
        <w:rPr>
          <w:rFonts w:ascii="David" w:eastAsia="David" w:hAnsi="David"/>
          <w:rtl/>
        </w:rPr>
        <w:t xml:space="preserve"> ומכאן חשיבות הענישה המרתיעה. אם אמנם, כטענת ההגנה, הנאשם רק </w:t>
      </w:r>
      <w:r>
        <w:rPr>
          <w:rFonts w:ascii="David" w:eastAsia="David" w:hAnsi="David" w:hint="cs"/>
          <w:rtl/>
        </w:rPr>
        <w:t>"</w:t>
      </w:r>
      <w:r>
        <w:rPr>
          <w:rFonts w:ascii="David" w:eastAsia="David" w:hAnsi="David"/>
          <w:rtl/>
        </w:rPr>
        <w:t>עצם את עיניו</w:t>
      </w:r>
      <w:r>
        <w:rPr>
          <w:rFonts w:ascii="David" w:eastAsia="David" w:hAnsi="David" w:hint="cs"/>
          <w:rtl/>
        </w:rPr>
        <w:t>"</w:t>
      </w:r>
      <w:r>
        <w:rPr>
          <w:rFonts w:ascii="David" w:eastAsia="David" w:hAnsi="David"/>
          <w:rtl/>
        </w:rPr>
        <w:t xml:space="preserve">, ללא מודעות-בפועל לתוכן החבילה שהעביר, הרי שגם בכך יש חומרה, שכן הנאשם היה אף יכול להעביר סמים מסוגים מסוכנים יותר, שלא לדבר על </w:t>
      </w:r>
      <w:r>
        <w:rPr>
          <w:rFonts w:ascii="David" w:eastAsia="David" w:hAnsi="David" w:hint="cs"/>
          <w:rtl/>
        </w:rPr>
        <w:t xml:space="preserve">חומרים או </w:t>
      </w:r>
      <w:r>
        <w:rPr>
          <w:rFonts w:ascii="David" w:eastAsia="David" w:hAnsi="David"/>
          <w:rtl/>
        </w:rPr>
        <w:t>דברים אחרים.</w:t>
      </w:r>
    </w:p>
    <w:p w14:paraId="3B6661F7"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eastAsia="David" w:hAnsi="David"/>
          <w:rtl/>
        </w:rPr>
        <w:t>הענישה בגין עבירות סמים, כאשר מדובר בסמים מסוכנים קשים כגון קוקאין, היא מחמירה</w:t>
      </w:r>
      <w:r>
        <w:rPr>
          <w:rFonts w:ascii="David" w:eastAsia="David" w:hAnsi="David" w:hint="cs"/>
          <w:rtl/>
        </w:rPr>
        <w:t xml:space="preserve">. לכן, </w:t>
      </w:r>
      <w:r>
        <w:rPr>
          <w:rFonts w:ascii="David" w:eastAsia="David" w:hAnsi="David"/>
          <w:rtl/>
        </w:rPr>
        <w:t xml:space="preserve">בנסיבות המקרה דנא אין הצדקה לפטור את הנאשם אפילו ללא הרשעה. בנוסף, </w:t>
      </w:r>
      <w:r>
        <w:rPr>
          <w:rFonts w:ascii="David" w:hAnsi="David"/>
          <w:rtl/>
        </w:rPr>
        <w:t>ביטול ההרשעה עלול להעביר לנאשם מסר שגוי שלפיו הוא עבר, כביכול, עבירה קלת-ערך</w:t>
      </w:r>
      <w:r>
        <w:rPr>
          <w:rFonts w:ascii="David" w:hAnsi="David" w:hint="cs"/>
          <w:rtl/>
        </w:rPr>
        <w:t>,</w:t>
      </w:r>
      <w:r>
        <w:rPr>
          <w:rFonts w:ascii="David" w:hAnsi="David"/>
          <w:rtl/>
        </w:rPr>
        <w:t xml:space="preserve"> שאפילו אינה מצדיקה את הרשעתו בדין.</w:t>
      </w:r>
    </w:p>
    <w:p w14:paraId="61C9194B" w14:textId="77777777" w:rsidR="00757E25" w:rsidRPr="00C90F6B" w:rsidRDefault="00757E25" w:rsidP="00757E25">
      <w:pPr>
        <w:spacing w:after="120" w:line="360" w:lineRule="auto"/>
        <w:jc w:val="both"/>
        <w:rPr>
          <w:rFonts w:ascii="David" w:hAnsi="David"/>
        </w:rPr>
      </w:pPr>
    </w:p>
    <w:p w14:paraId="7ADC46E8" w14:textId="77777777" w:rsidR="00757E25" w:rsidRDefault="00757E25" w:rsidP="00757E25">
      <w:pPr>
        <w:snapToGrid w:val="0"/>
        <w:spacing w:after="120" w:line="360" w:lineRule="auto"/>
        <w:jc w:val="both"/>
        <w:rPr>
          <w:rFonts w:ascii="David" w:hAnsi="David"/>
          <w:b/>
          <w:bCs/>
          <w:u w:val="single"/>
          <w:rtl/>
        </w:rPr>
      </w:pPr>
      <w:r>
        <w:rPr>
          <w:rFonts w:ascii="David" w:hAnsi="David"/>
          <w:b/>
          <w:bCs/>
          <w:rtl/>
        </w:rPr>
        <w:t>ה.</w:t>
      </w:r>
      <w:r>
        <w:rPr>
          <w:rFonts w:ascii="David" w:hAnsi="David"/>
          <w:b/>
          <w:bCs/>
          <w:rtl/>
        </w:rPr>
        <w:tab/>
      </w:r>
      <w:r>
        <w:rPr>
          <w:rFonts w:ascii="David" w:hAnsi="David"/>
          <w:b/>
          <w:bCs/>
          <w:u w:val="single"/>
          <w:rtl/>
        </w:rPr>
        <w:t>קביעת מתחם העונש ההולם:</w:t>
      </w:r>
    </w:p>
    <w:p w14:paraId="6F992B5D"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hAnsi="David"/>
          <w:rtl/>
        </w:rPr>
        <w:t>בעת גזירת עונשו של נאשם על בית המשפט לקבוע, תחילה, את מתחם העונש ההולם לאירוע שבגינו הורשע הנאשם, וזאת בהתאם לעיקרון ההלימה. עוד יתחשב בית המשפט, בהקשר זה, בערכים החברתיים שנפגעו מביצוע העבירה ובמידת הפגיעה בהם, במדיניות הענישה הנהוגה ובנסיבות הקשורות בביצוע העבירה.</w:t>
      </w:r>
    </w:p>
    <w:p w14:paraId="62217D01"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eastAsia="David" w:hAnsi="David"/>
          <w:rtl/>
        </w:rPr>
        <w:t>לעניין הערכים החברתיים, שנפגעו כתולדה מביצוע העבירה, יש לציין כי הפסיקה חוזרת ומדגישה את חומרתן של עבירות הסמים גם בשל היותן גורם "מחולל פשיעה", דהיינו: גורם הכרוך או אף עומד ביסוד ביצוען של עבירות רבות אחרות. ביצוען של עבירות סמים פוגע</w:t>
      </w:r>
      <w:r>
        <w:rPr>
          <w:rFonts w:ascii="David" w:eastAsia="David" w:hAnsi="David" w:hint="cs"/>
          <w:rtl/>
        </w:rPr>
        <w:t xml:space="preserve"> אפוא</w:t>
      </w:r>
      <w:r>
        <w:rPr>
          <w:rFonts w:ascii="David" w:eastAsia="David" w:hAnsi="David"/>
          <w:rtl/>
        </w:rPr>
        <w:t>, ובמידה ניכרת, בערכים החברתיים של ההגנה על שלום הציבור ועל בריאותו; במיוחד כאשר מדובר בסחר בסמים מסוכנים קשים</w:t>
      </w:r>
      <w:r>
        <w:rPr>
          <w:rFonts w:ascii="David" w:eastAsia="David" w:hAnsi="David" w:hint="cs"/>
          <w:rtl/>
        </w:rPr>
        <w:t xml:space="preserve"> כגון קוקאין</w:t>
      </w:r>
      <w:r>
        <w:rPr>
          <w:rFonts w:ascii="David" w:eastAsia="David" w:hAnsi="David"/>
          <w:rtl/>
        </w:rPr>
        <w:t>. הפסיקה אף מדגישה את הצורך בענישה מחמירה ומרתיעה בעבירות של סחר בסמים, בין השאר בשל הפיתוי האמור ל</w:t>
      </w:r>
      <w:r>
        <w:rPr>
          <w:rFonts w:ascii="David" w:eastAsia="David" w:hAnsi="David" w:hint="cs"/>
          <w:rtl/>
        </w:rPr>
        <w:t xml:space="preserve">עשיית </w:t>
      </w:r>
      <w:r>
        <w:rPr>
          <w:rFonts w:ascii="David" w:eastAsia="David" w:hAnsi="David"/>
          <w:rtl/>
        </w:rPr>
        <w:t>רווחים קלים מביצוען.</w:t>
      </w:r>
    </w:p>
    <w:p w14:paraId="39C570B2" w14:textId="77777777" w:rsidR="00757E25" w:rsidRDefault="00757E25" w:rsidP="00757E25">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ככלל, מדיניות הענישה הנהוגה כאשר מדובר בעבירות של סחר בסמים מסוכנים מסוג קוקאין, בכמויות קטנות יחסית, היא בקביעת מתחם עונש הולם שבין 8 חודשי מאסר בפועל לבין 18 חודשי מאסר בפועל (ר' למשל </w:t>
      </w:r>
      <w:hyperlink r:id="rId23" w:history="1">
        <w:r w:rsidR="004D4704" w:rsidRPr="004D4704">
          <w:rPr>
            <w:rFonts w:ascii="David" w:eastAsia="David" w:hAnsi="David"/>
            <w:color w:val="0000FF"/>
            <w:u w:val="single"/>
            <w:rtl/>
          </w:rPr>
          <w:t>רע"פ 126/15</w:t>
        </w:r>
      </w:hyperlink>
      <w:r>
        <w:rPr>
          <w:rFonts w:ascii="David" w:eastAsia="David" w:hAnsi="David"/>
          <w:rtl/>
        </w:rPr>
        <w:t xml:space="preserve"> </w:t>
      </w:r>
      <w:r>
        <w:rPr>
          <w:rFonts w:ascii="David" w:eastAsia="David" w:hAnsi="David"/>
          <w:b/>
          <w:bCs/>
          <w:rtl/>
        </w:rPr>
        <w:t>חביף נ' מדינת ישראל</w:t>
      </w:r>
      <w:r>
        <w:rPr>
          <w:rFonts w:ascii="David" w:eastAsia="David" w:hAnsi="David"/>
          <w:rtl/>
        </w:rPr>
        <w:t xml:space="preserve"> (13.01.2015)). עם זאת</w:t>
      </w:r>
      <w:r>
        <w:rPr>
          <w:rFonts w:ascii="David" w:eastAsia="David" w:hAnsi="David" w:hint="cs"/>
          <w:rtl/>
        </w:rPr>
        <w:t>,</w:t>
      </w:r>
      <w:r>
        <w:rPr>
          <w:rFonts w:ascii="David" w:eastAsia="David" w:hAnsi="David"/>
          <w:rtl/>
        </w:rPr>
        <w:t xml:space="preserve"> בענייננו מדובר בסיוע לסחר, שחומרתו פחותה (כאמור בהוראות </w:t>
      </w:r>
      <w:hyperlink r:id="rId24" w:history="1">
        <w:r w:rsidR="00517ABB" w:rsidRPr="00517ABB">
          <w:rPr>
            <w:rStyle w:val="Hyperlink"/>
            <w:rFonts w:ascii="David" w:eastAsia="David" w:hAnsi="David"/>
            <w:rtl/>
          </w:rPr>
          <w:t>סעיף 32</w:t>
        </w:r>
      </w:hyperlink>
      <w:r>
        <w:rPr>
          <w:rFonts w:ascii="David" w:eastAsia="David" w:hAnsi="David"/>
          <w:rtl/>
        </w:rPr>
        <w:t xml:space="preserve"> ל</w:t>
      </w:r>
      <w:hyperlink r:id="rId25" w:history="1">
        <w:r w:rsidR="004D4704" w:rsidRPr="004D4704">
          <w:rPr>
            <w:rFonts w:ascii="David" w:eastAsia="David" w:hAnsi="David"/>
            <w:color w:val="0000FF"/>
            <w:u w:val="single"/>
            <w:rtl/>
          </w:rPr>
          <w:t>חוק העונשין</w:t>
        </w:r>
      </w:hyperlink>
      <w:r>
        <w:rPr>
          <w:rFonts w:ascii="David" w:eastAsia="David" w:hAnsi="David"/>
          <w:rtl/>
        </w:rPr>
        <w:t>)</w:t>
      </w:r>
      <w:r>
        <w:rPr>
          <w:rFonts w:ascii="David" w:eastAsia="David" w:hAnsi="David" w:hint="cs"/>
          <w:rtl/>
        </w:rPr>
        <w:t>. זאת</w:t>
      </w:r>
      <w:r>
        <w:rPr>
          <w:rFonts w:ascii="David" w:eastAsia="David" w:hAnsi="David"/>
          <w:rtl/>
        </w:rPr>
        <w:t>, כאשר הנאשם היה רק שליח לדבר עבירה</w:t>
      </w:r>
      <w:r>
        <w:rPr>
          <w:rFonts w:ascii="David" w:eastAsia="David" w:hAnsi="David" w:hint="cs"/>
          <w:rtl/>
        </w:rPr>
        <w:t xml:space="preserve">, </w:t>
      </w:r>
      <w:r>
        <w:rPr>
          <w:rFonts w:ascii="David" w:eastAsia="David" w:hAnsi="David"/>
          <w:rtl/>
        </w:rPr>
        <w:t>באופן חד-פעמי. בנסיבות אלה, מתחם העונש ההולם הוא בין מאסר בן חודש ימים, לנשיאה בדרך של עבודות שירות, לבין 9 חודשי מאסר בפועל.</w:t>
      </w:r>
    </w:p>
    <w:p w14:paraId="668134A1" w14:textId="77777777" w:rsidR="00757E25" w:rsidRDefault="00757E25" w:rsidP="00757E25">
      <w:pPr>
        <w:spacing w:after="120" w:line="360" w:lineRule="auto"/>
        <w:jc w:val="both"/>
        <w:rPr>
          <w:rFonts w:ascii="David" w:hAnsi="David"/>
          <w:rtl/>
        </w:rPr>
      </w:pPr>
    </w:p>
    <w:p w14:paraId="05CCE7C6" w14:textId="77777777" w:rsidR="00757E25" w:rsidRDefault="00757E25" w:rsidP="00757E25">
      <w:pPr>
        <w:snapToGrid w:val="0"/>
        <w:spacing w:after="120" w:line="360" w:lineRule="auto"/>
        <w:jc w:val="both"/>
        <w:rPr>
          <w:rFonts w:ascii="David" w:hAnsi="David"/>
          <w:b/>
          <w:bCs/>
          <w:u w:val="single"/>
          <w:rtl/>
        </w:rPr>
      </w:pPr>
      <w:r>
        <w:rPr>
          <w:rFonts w:ascii="David" w:hAnsi="David"/>
          <w:b/>
          <w:bCs/>
          <w:rtl/>
        </w:rPr>
        <w:t>ו.</w:t>
      </w:r>
      <w:r>
        <w:rPr>
          <w:rFonts w:ascii="David" w:hAnsi="David"/>
          <w:b/>
          <w:bCs/>
          <w:rtl/>
        </w:rPr>
        <w:tab/>
      </w:r>
      <w:r>
        <w:rPr>
          <w:rFonts w:ascii="David" w:hAnsi="David"/>
          <w:b/>
          <w:bCs/>
          <w:u w:val="single"/>
          <w:rtl/>
        </w:rPr>
        <w:t>גזירת עונשו של הנאשם בתוך מתחם העונש ההולם והחריגה הימנו:</w:t>
      </w:r>
    </w:p>
    <w:p w14:paraId="20E43DE5"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 xml:space="preserve">לאחר קביעת מתחם העונש ההולם על בית המשפט לגזור את עונשו של הנאשם בתוך מתחם זה, למעט משיקולי השיקום – המנויים בהוראות </w:t>
      </w:r>
      <w:hyperlink r:id="rId26" w:history="1">
        <w:r w:rsidR="00517ABB" w:rsidRPr="00517ABB">
          <w:rPr>
            <w:rStyle w:val="Hyperlink"/>
            <w:rFonts w:ascii="David" w:hAnsi="David"/>
            <w:rtl/>
          </w:rPr>
          <w:t>סעיף 40ד</w:t>
        </w:r>
      </w:hyperlink>
      <w:r>
        <w:rPr>
          <w:rFonts w:ascii="David" w:hAnsi="David"/>
          <w:rtl/>
        </w:rPr>
        <w:t xml:space="preserve"> ל</w:t>
      </w:r>
      <w:hyperlink r:id="rId27" w:history="1">
        <w:r w:rsidR="004D4704" w:rsidRPr="004D4704">
          <w:rPr>
            <w:rFonts w:ascii="David" w:hAnsi="David"/>
            <w:color w:val="0000FF"/>
            <w:u w:val="single"/>
            <w:rtl/>
          </w:rPr>
          <w:t>חוק העונשין</w:t>
        </w:r>
      </w:hyperlink>
      <w:r>
        <w:rPr>
          <w:rFonts w:ascii="David" w:hAnsi="David"/>
          <w:rtl/>
        </w:rPr>
        <w:t xml:space="preserve"> – שבגינם רשאי בית המשפט לחרוג לכף קולה מהמתחם. גזירת העונש בתוך מתחם העונש ההולם תיעשה תוך התחשבות בנסיבות שאינן קשורות בביצוע העבירה, לרבות אלה המנויות בהוראות </w:t>
      </w:r>
      <w:hyperlink r:id="rId28" w:history="1">
        <w:r w:rsidR="00517ABB" w:rsidRPr="00517ABB">
          <w:rPr>
            <w:rStyle w:val="Hyperlink"/>
            <w:rFonts w:ascii="David" w:hAnsi="David"/>
            <w:rtl/>
          </w:rPr>
          <w:t>סעיף 40יא</w:t>
        </w:r>
      </w:hyperlink>
      <w:r>
        <w:rPr>
          <w:rFonts w:ascii="David" w:hAnsi="David"/>
          <w:rtl/>
        </w:rPr>
        <w:t xml:space="preserve"> ל</w:t>
      </w:r>
      <w:hyperlink r:id="rId29" w:history="1">
        <w:r w:rsidR="004D4704" w:rsidRPr="004D4704">
          <w:rPr>
            <w:rFonts w:ascii="David" w:hAnsi="David"/>
            <w:color w:val="0000FF"/>
            <w:u w:val="single"/>
            <w:rtl/>
          </w:rPr>
          <w:t>חוק העונשין</w:t>
        </w:r>
      </w:hyperlink>
      <w:r>
        <w:rPr>
          <w:rFonts w:ascii="David" w:hAnsi="David"/>
          <w:rtl/>
        </w:rPr>
        <w:t>.</w:t>
      </w:r>
    </w:p>
    <w:p w14:paraId="6F273F0C"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 xml:space="preserve">בענייננו מדובר בנאשם בן 40 שנה, ללא כל עבר פלילי, עובדה בעלת משמעות מוגברת נוכח חלוף הזמן המשמעותי ממועד ביצוע העבירה, כאשר הנאשם לא שב והסתבך בפלילים מאז. עובדה זו, כמו גם </w:t>
      </w:r>
      <w:r>
        <w:rPr>
          <w:rFonts w:ascii="David" w:hAnsi="David" w:hint="cs"/>
          <w:rtl/>
        </w:rPr>
        <w:t xml:space="preserve">הנתונים </w:t>
      </w:r>
      <w:r>
        <w:rPr>
          <w:rFonts w:ascii="David" w:hAnsi="David"/>
          <w:rtl/>
        </w:rPr>
        <w:t>העול</w:t>
      </w:r>
      <w:r>
        <w:rPr>
          <w:rFonts w:ascii="David" w:hAnsi="David" w:hint="cs"/>
          <w:rtl/>
        </w:rPr>
        <w:t>ים</w:t>
      </w:r>
      <w:r>
        <w:rPr>
          <w:rFonts w:ascii="David" w:hAnsi="David"/>
          <w:rtl/>
        </w:rPr>
        <w:t xml:space="preserve"> מתסקיר המבחן</w:t>
      </w:r>
      <w:r>
        <w:rPr>
          <w:rFonts w:ascii="David" w:hAnsi="David" w:hint="cs"/>
          <w:rtl/>
        </w:rPr>
        <w:t>,</w:t>
      </w:r>
      <w:r>
        <w:rPr>
          <w:rFonts w:ascii="David" w:hAnsi="David"/>
          <w:rtl/>
        </w:rPr>
        <w:t xml:space="preserve"> אודות הפנמת האחריות על ידי הנאשם והשינוי שערך בהתנהלותו עקב כך, מלמדים כי יש מקום במקרה זה לחרוג לכף קולה ממתחם העונש ההולם</w:t>
      </w:r>
      <w:r>
        <w:rPr>
          <w:rFonts w:ascii="David" w:hAnsi="David" w:hint="cs"/>
          <w:rtl/>
        </w:rPr>
        <w:t xml:space="preserve"> משיקולי שיקום</w:t>
      </w:r>
      <w:r>
        <w:rPr>
          <w:rFonts w:ascii="David" w:hAnsi="David"/>
          <w:rtl/>
        </w:rPr>
        <w:t xml:space="preserve">, ולמעשה אף ב"כ המאשימה טען כך. אמנם אין בהמלצת שירות המבחן כדי להצדיק את ביטול הרשעתו בדין של הנאשם, שכן המלצה זו אינה עומדת בתנאי הלכת </w:t>
      </w:r>
      <w:r>
        <w:rPr>
          <w:rFonts w:ascii="David" w:hAnsi="David"/>
          <w:b/>
          <w:bCs/>
          <w:rtl/>
        </w:rPr>
        <w:t>כתב</w:t>
      </w:r>
      <w:r>
        <w:rPr>
          <w:rFonts w:ascii="David" w:hAnsi="David"/>
          <w:rtl/>
        </w:rPr>
        <w:t>, אך נוכח ההמלצה יש מקום לחרוג לכף קולה ממתחם העונש ההולם ולהימנע מהטלת עונש של מאסר בפועל לנשיאה בעבודות שירות.</w:t>
      </w:r>
    </w:p>
    <w:p w14:paraId="4FAAACCA" w14:textId="77777777" w:rsidR="00757E25" w:rsidRDefault="00757E25" w:rsidP="00757E25">
      <w:pPr>
        <w:numPr>
          <w:ilvl w:val="0"/>
          <w:numId w:val="1"/>
        </w:numPr>
        <w:tabs>
          <w:tab w:val="num" w:pos="720"/>
        </w:tabs>
        <w:spacing w:after="120" w:line="360" w:lineRule="auto"/>
        <w:ind w:left="720"/>
        <w:jc w:val="both"/>
        <w:rPr>
          <w:rFonts w:ascii="David" w:hAnsi="David"/>
        </w:rPr>
      </w:pPr>
      <w:r>
        <w:rPr>
          <w:rFonts w:ascii="David" w:hAnsi="David"/>
          <w:rtl/>
        </w:rPr>
        <w:t>אשר על כן – ובהתחשב בשיקולים לכף חומרה ולכף קולה, אשר פורטו לעיל – אני מחליט לחרוג ממתחם העונש ההולם, משיקולי שיקום, ולגזור על הנאשם את העונשים הבאים:</w:t>
      </w:r>
    </w:p>
    <w:p w14:paraId="61B39DEB" w14:textId="77777777" w:rsidR="00757E25" w:rsidRDefault="00757E25" w:rsidP="00757E25">
      <w:pPr>
        <w:spacing w:after="120" w:line="360" w:lineRule="auto"/>
        <w:ind w:left="1440" w:hanging="720"/>
        <w:jc w:val="both"/>
        <w:rPr>
          <w:rFonts w:ascii="David" w:hAnsi="David"/>
        </w:rPr>
      </w:pPr>
      <w:r>
        <w:rPr>
          <w:rFonts w:ascii="David" w:hAnsi="David"/>
          <w:rtl/>
        </w:rPr>
        <w:t>(א)</w:t>
      </w:r>
      <w:r>
        <w:rPr>
          <w:rFonts w:ascii="David" w:hAnsi="David"/>
          <w:rtl/>
        </w:rPr>
        <w:tab/>
        <w:t xml:space="preserve">מאסר על תנאי למשך 6 חודשים, אותו לא יישא הנאשם אלא אם כן יעבור, תוך שלוש שנים מהיום, עבירה לפי הוראות </w:t>
      </w:r>
      <w:hyperlink r:id="rId30" w:history="1">
        <w:r w:rsidR="004D4704" w:rsidRPr="004D4704">
          <w:rPr>
            <w:rFonts w:ascii="David" w:hAnsi="David"/>
            <w:color w:val="0000FF"/>
            <w:u w:val="single"/>
            <w:rtl/>
          </w:rPr>
          <w:t>פקודת הסמים המסוכנים</w:t>
        </w:r>
      </w:hyperlink>
      <w:r>
        <w:rPr>
          <w:rFonts w:ascii="David" w:hAnsi="David"/>
          <w:rtl/>
        </w:rPr>
        <w:t xml:space="preserve"> מסוג פשע.</w:t>
      </w:r>
    </w:p>
    <w:p w14:paraId="42BE26B9" w14:textId="77777777" w:rsidR="00757E25" w:rsidRDefault="00757E25" w:rsidP="00757E25">
      <w:pPr>
        <w:spacing w:after="120" w:line="360" w:lineRule="auto"/>
        <w:ind w:left="720"/>
        <w:jc w:val="both"/>
        <w:rPr>
          <w:rFonts w:ascii="David" w:hAnsi="David"/>
          <w:rtl/>
        </w:rPr>
      </w:pPr>
      <w:r>
        <w:rPr>
          <w:rFonts w:ascii="David" w:hAnsi="David"/>
          <w:rtl/>
        </w:rPr>
        <w:t>(ב)</w:t>
      </w:r>
      <w:r>
        <w:rPr>
          <w:rFonts w:ascii="David" w:hAnsi="David"/>
          <w:rtl/>
        </w:rPr>
        <w:tab/>
        <w:t xml:space="preserve">קנס בסך של </w:t>
      </w:r>
      <w:r>
        <w:rPr>
          <w:rFonts w:ascii="David" w:hAnsi="David" w:hint="cs"/>
          <w:rtl/>
        </w:rPr>
        <w:t>2,000</w:t>
      </w:r>
      <w:r>
        <w:rPr>
          <w:rFonts w:ascii="David" w:hAnsi="David"/>
          <w:rtl/>
        </w:rPr>
        <w:t xml:space="preserve"> ₪, או 10 ימי מאסר תמורתו.</w:t>
      </w:r>
    </w:p>
    <w:p w14:paraId="13E065B2" w14:textId="77777777" w:rsidR="00757E25" w:rsidRDefault="00757E25" w:rsidP="00757E25">
      <w:pPr>
        <w:spacing w:after="120" w:line="360" w:lineRule="auto"/>
        <w:ind w:left="1440"/>
        <w:jc w:val="both"/>
        <w:rPr>
          <w:rFonts w:ascii="David" w:hAnsi="David"/>
          <w:rtl/>
        </w:rPr>
      </w:pPr>
      <w:r>
        <w:rPr>
          <w:rFonts w:ascii="David" w:hAnsi="David"/>
          <w:rtl/>
        </w:rPr>
        <w:t>הקנס ישולם ב-</w:t>
      </w:r>
      <w:r>
        <w:rPr>
          <w:rFonts w:ascii="David" w:hAnsi="David" w:hint="cs"/>
          <w:rtl/>
        </w:rPr>
        <w:t>4</w:t>
      </w:r>
      <w:r>
        <w:rPr>
          <w:rFonts w:ascii="David" w:hAnsi="David"/>
          <w:rtl/>
        </w:rPr>
        <w:t xml:space="preserve"> תשלומים חודשיים, שווים ורצופים, החל מיום 01.04.22 ובכל אחד בחודש שלאחריו. היה והנאשם לא ישלם את אחד התשלומים במועד תועמד כל יתרת הקנס לפירעון מידי.</w:t>
      </w:r>
    </w:p>
    <w:p w14:paraId="22AA1304" w14:textId="77777777" w:rsidR="00757E25" w:rsidRDefault="00757E25" w:rsidP="00757E25">
      <w:pPr>
        <w:spacing w:after="120" w:line="360" w:lineRule="auto"/>
        <w:ind w:left="1440" w:hanging="720"/>
        <w:jc w:val="both"/>
        <w:rPr>
          <w:rtl/>
        </w:rPr>
      </w:pPr>
      <w:r>
        <w:rPr>
          <w:rFonts w:hint="cs"/>
          <w:rtl/>
        </w:rPr>
        <w:t>(ג)</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1" w:history="1">
        <w:r w:rsidR="004D4704" w:rsidRPr="004D4704">
          <w:rPr>
            <w:color w:val="0000FF"/>
            <w:u w:val="single"/>
            <w:rtl/>
          </w:rPr>
          <w:t>פקודת הסמים המסוכנים</w:t>
        </w:r>
      </w:hyperlink>
      <w:r>
        <w:rPr>
          <w:rFonts w:hint="cs"/>
          <w:rtl/>
        </w:rPr>
        <w:t>.</w:t>
      </w:r>
    </w:p>
    <w:p w14:paraId="71A84084" w14:textId="77777777" w:rsidR="00757E25" w:rsidRDefault="00757E25" w:rsidP="00757E25">
      <w:pPr>
        <w:spacing w:after="120" w:line="360" w:lineRule="auto"/>
        <w:ind w:left="1440" w:hanging="720"/>
        <w:jc w:val="both"/>
        <w:rPr>
          <w:rFonts w:ascii="David" w:hAnsi="David"/>
        </w:rPr>
      </w:pPr>
      <w:r>
        <w:rPr>
          <w:rFonts w:ascii="David" w:hAnsi="David"/>
          <w:rtl/>
        </w:rPr>
        <w:t>(ד)</w:t>
      </w:r>
      <w:r>
        <w:rPr>
          <w:rFonts w:ascii="David" w:hAnsi="David"/>
          <w:rtl/>
        </w:rPr>
        <w:tab/>
        <w:t>שירות לתועלת הציבור בהיקף של 300 שעות. השירות יבוצע, בהתאם לתכנית שיגבש שירות המבחן, בהקדם האפשרי, החל במועד שייקבע שירות המבחן.</w:t>
      </w:r>
    </w:p>
    <w:p w14:paraId="5EBFED68" w14:textId="77777777" w:rsidR="00757E25" w:rsidRDefault="00757E25" w:rsidP="00757E25">
      <w:pPr>
        <w:spacing w:after="120" w:line="360" w:lineRule="auto"/>
        <w:ind w:left="1440"/>
        <w:jc w:val="both"/>
        <w:rPr>
          <w:rFonts w:ascii="David" w:hAnsi="David"/>
        </w:rPr>
      </w:pPr>
      <w:r>
        <w:rPr>
          <w:rFonts w:ascii="David" w:hAnsi="David"/>
          <w:rtl/>
        </w:rPr>
        <w:t>מובהר בזה לנאשם כי אם הוא לא ימלא אחר הוראות צו השירות יהא בית המשפט רשאי לבטל את צו השירות ולהטיל עליו, במקום צו השירות, עונש נוסף.</w:t>
      </w:r>
    </w:p>
    <w:p w14:paraId="04038687" w14:textId="77777777" w:rsidR="00757E25" w:rsidRDefault="00757E25" w:rsidP="00757E25">
      <w:pPr>
        <w:spacing w:after="120" w:line="360" w:lineRule="auto"/>
        <w:jc w:val="both"/>
        <w:rPr>
          <w:rFonts w:ascii="David" w:hAnsi="David"/>
          <w:rtl/>
        </w:rPr>
      </w:pPr>
      <w:r>
        <w:rPr>
          <w:rFonts w:ascii="David" w:hAnsi="David"/>
          <w:rtl/>
        </w:rPr>
        <w:t>ניתן בזה צו כללי, לעניין מוצגים, לשיקול דעתו של קצין משטרה. הסמים יושמדו.</w:t>
      </w:r>
    </w:p>
    <w:p w14:paraId="164C910F" w14:textId="77777777" w:rsidR="00757E25" w:rsidRDefault="00757E25" w:rsidP="00757E25">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יחולט הפיקדון לטובת 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12659FC7" w14:textId="77777777" w:rsidR="00757E25" w:rsidRDefault="00757E25" w:rsidP="00757E25">
      <w:pPr>
        <w:snapToGrid w:val="0"/>
        <w:spacing w:after="120" w:line="360" w:lineRule="auto"/>
        <w:jc w:val="both"/>
        <w:rPr>
          <w:rFonts w:ascii="David" w:hAnsi="David"/>
          <w:rtl/>
        </w:rPr>
      </w:pPr>
      <w:r>
        <w:rPr>
          <w:rFonts w:ascii="David" w:hAnsi="David"/>
          <w:rtl/>
        </w:rPr>
        <w:t>זכות ערעור בתוך 45 יום מהיום.</w:t>
      </w:r>
    </w:p>
    <w:p w14:paraId="5FAF5907" w14:textId="77777777" w:rsidR="00757E25" w:rsidRPr="00864153" w:rsidRDefault="004D4704" w:rsidP="00757E25">
      <w:pPr>
        <w:spacing w:after="120" w:line="360" w:lineRule="auto"/>
        <w:jc w:val="both"/>
        <w:rPr>
          <w:rFonts w:ascii="David" w:hAnsi="David"/>
          <w:rtl/>
        </w:rPr>
      </w:pPr>
      <w:r w:rsidRPr="004D4704">
        <w:rPr>
          <w:rFonts w:ascii="David" w:hAnsi="David"/>
          <w:color w:val="FFFFFF"/>
          <w:sz w:val="2"/>
          <w:szCs w:val="2"/>
          <w:rtl/>
        </w:rPr>
        <w:t>5129371</w:t>
      </w:r>
      <w:r w:rsidR="00757E25" w:rsidRPr="00864153">
        <w:rPr>
          <w:rFonts w:ascii="David" w:hAnsi="David"/>
          <w:rtl/>
        </w:rPr>
        <w:t>המזכירות תשלח העתק גזר דין זה לשירות המבחן.</w:t>
      </w:r>
    </w:p>
    <w:p w14:paraId="64F7432C" w14:textId="77777777" w:rsidR="00757E25" w:rsidRPr="00250B83" w:rsidRDefault="004D4704" w:rsidP="00757E25">
      <w:pPr>
        <w:rPr>
          <w:rtl/>
        </w:rPr>
      </w:pPr>
      <w:bookmarkStart w:id="8" w:name="Nitan"/>
      <w:r w:rsidRPr="004D4704">
        <w:rPr>
          <w:rFonts w:ascii="Arial" w:hAnsi="Arial"/>
          <w:color w:val="FFFFFF"/>
          <w:sz w:val="2"/>
          <w:szCs w:val="2"/>
          <w:rtl/>
        </w:rPr>
        <w:t>54678313</w:t>
      </w:r>
      <w:r>
        <w:rPr>
          <w:rFonts w:ascii="Arial" w:hAnsi="Arial"/>
          <w:rtl/>
        </w:rPr>
        <w:t xml:space="preserve">ניתן היום, ט"ו אדר א' תשפ"ב, 16 פברואר 2022, במעמד הצדדים. </w:t>
      </w:r>
      <w:bookmarkEnd w:id="8"/>
    </w:p>
    <w:p w14:paraId="7CD8E2D2" w14:textId="77777777" w:rsidR="00757E25" w:rsidRPr="00250B83" w:rsidRDefault="00757E25" w:rsidP="004D470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7828B73" w14:textId="77777777" w:rsidR="00757E25" w:rsidRPr="00250B83" w:rsidRDefault="00757E25" w:rsidP="00757E25">
      <w:pPr>
        <w:jc w:val="center"/>
        <w:rPr>
          <w:rFonts w:ascii="Arial" w:hAnsi="Arial"/>
          <w:rtl/>
        </w:rPr>
      </w:pPr>
    </w:p>
    <w:p w14:paraId="562C89AD" w14:textId="77777777" w:rsidR="00757E25" w:rsidRPr="00250B83" w:rsidRDefault="00757E25" w:rsidP="00757E25">
      <w:pPr>
        <w:rPr>
          <w:rtl/>
        </w:rPr>
      </w:pPr>
    </w:p>
    <w:p w14:paraId="05AA95F5" w14:textId="77777777" w:rsidR="00757E25" w:rsidRDefault="00757E25" w:rsidP="00757E25">
      <w:pPr>
        <w:pStyle w:val="a3"/>
        <w:jc w:val="center"/>
        <w:rPr>
          <w:rtl/>
        </w:rPr>
      </w:pPr>
    </w:p>
    <w:p w14:paraId="7C477EE3" w14:textId="77777777" w:rsidR="00002277" w:rsidRPr="004D4704" w:rsidRDefault="00002277" w:rsidP="004D4704">
      <w:pPr>
        <w:keepNext/>
        <w:rPr>
          <w:rFonts w:ascii="David" w:hAnsi="David"/>
          <w:color w:val="000000"/>
          <w:sz w:val="22"/>
          <w:szCs w:val="22"/>
          <w:rtl/>
        </w:rPr>
      </w:pPr>
    </w:p>
    <w:p w14:paraId="5DDBD515" w14:textId="77777777" w:rsidR="004D4704" w:rsidRPr="004D4704" w:rsidRDefault="004D4704" w:rsidP="004D4704">
      <w:pPr>
        <w:keepNext/>
        <w:rPr>
          <w:rFonts w:ascii="David" w:hAnsi="David"/>
          <w:color w:val="000000"/>
          <w:sz w:val="22"/>
          <w:szCs w:val="22"/>
          <w:rtl/>
        </w:rPr>
      </w:pPr>
      <w:r w:rsidRPr="004D4704">
        <w:rPr>
          <w:rFonts w:ascii="David" w:hAnsi="David"/>
          <w:color w:val="000000"/>
          <w:sz w:val="22"/>
          <w:szCs w:val="22"/>
          <w:rtl/>
        </w:rPr>
        <w:t>שאול אבינור 54678313</w:t>
      </w:r>
    </w:p>
    <w:p w14:paraId="558A61F7" w14:textId="77777777" w:rsidR="004D4704" w:rsidRDefault="004D4704" w:rsidP="004D4704">
      <w:r w:rsidRPr="004D4704">
        <w:rPr>
          <w:color w:val="000000"/>
          <w:rtl/>
        </w:rPr>
        <w:t>נוסח מסמך זה כפוף לשינויי ניסוח ועריכה</w:t>
      </w:r>
    </w:p>
    <w:p w14:paraId="38DD2AAE" w14:textId="77777777" w:rsidR="004D4704" w:rsidRDefault="004D4704" w:rsidP="004D4704">
      <w:pPr>
        <w:rPr>
          <w:rtl/>
        </w:rPr>
      </w:pPr>
    </w:p>
    <w:p w14:paraId="17BB28E9" w14:textId="77777777" w:rsidR="004D4704" w:rsidRDefault="004D4704" w:rsidP="004D470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21D2201" w14:textId="77777777" w:rsidR="004D4704" w:rsidRPr="004D4704" w:rsidRDefault="004D4704" w:rsidP="004D4704">
      <w:pPr>
        <w:jc w:val="center"/>
        <w:rPr>
          <w:color w:val="0000FF"/>
          <w:u w:val="single"/>
        </w:rPr>
      </w:pPr>
    </w:p>
    <w:sectPr w:rsidR="004D4704" w:rsidRPr="004D4704" w:rsidSect="004D4704">
      <w:headerReference w:type="even" r:id="rId33"/>
      <w:headerReference w:type="default" r:id="rId34"/>
      <w:footerReference w:type="even" r:id="rId35"/>
      <w:footerReference w:type="default" r:id="rId3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ED708" w14:textId="77777777" w:rsidR="008953CC" w:rsidRDefault="008953CC" w:rsidP="001A4751">
      <w:r>
        <w:separator/>
      </w:r>
    </w:p>
  </w:endnote>
  <w:endnote w:type="continuationSeparator" w:id="0">
    <w:p w14:paraId="72FDC350" w14:textId="77777777" w:rsidR="008953CC" w:rsidRDefault="008953CC" w:rsidP="001A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7DF2F" w14:textId="77777777" w:rsidR="004D4704" w:rsidRDefault="004D4704" w:rsidP="004D47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89D6C0" w14:textId="77777777" w:rsidR="00676B46" w:rsidRPr="004D4704" w:rsidRDefault="004D4704" w:rsidP="004D47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CACB8" w14:textId="77777777" w:rsidR="004D4704" w:rsidRDefault="004D4704" w:rsidP="004D47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5C89">
      <w:rPr>
        <w:rFonts w:ascii="FrankRuehl" w:hAnsi="FrankRuehl" w:cs="FrankRuehl"/>
        <w:noProof/>
        <w:rtl/>
      </w:rPr>
      <w:t>1</w:t>
    </w:r>
    <w:r>
      <w:rPr>
        <w:rFonts w:ascii="FrankRuehl" w:hAnsi="FrankRuehl" w:cs="FrankRuehl"/>
        <w:rtl/>
      </w:rPr>
      <w:fldChar w:fldCharType="end"/>
    </w:r>
  </w:p>
  <w:p w14:paraId="7AAAB49B" w14:textId="77777777" w:rsidR="00676B46" w:rsidRPr="004D4704" w:rsidRDefault="004D4704" w:rsidP="004D47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5EA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C9E3A" w14:textId="77777777" w:rsidR="008953CC" w:rsidRDefault="008953CC" w:rsidP="001A4751">
      <w:r>
        <w:separator/>
      </w:r>
    </w:p>
  </w:footnote>
  <w:footnote w:type="continuationSeparator" w:id="0">
    <w:p w14:paraId="66BB1A02" w14:textId="77777777" w:rsidR="008953CC" w:rsidRDefault="008953CC" w:rsidP="001A4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9AC2" w14:textId="77777777" w:rsidR="004D4704" w:rsidRPr="004D4704" w:rsidRDefault="004D4704" w:rsidP="004D47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20393-02-20</w:t>
    </w:r>
    <w:r>
      <w:rPr>
        <w:rFonts w:ascii="David" w:hAnsi="David"/>
        <w:color w:val="000000"/>
        <w:sz w:val="22"/>
        <w:szCs w:val="22"/>
        <w:rtl/>
      </w:rPr>
      <w:tab/>
      <w:t xml:space="preserve"> מדינת ישראל נ' איסר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1D72A" w14:textId="77777777" w:rsidR="004D4704" w:rsidRPr="004D4704" w:rsidRDefault="004D4704" w:rsidP="004D47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20393-02-20</w:t>
    </w:r>
    <w:r>
      <w:rPr>
        <w:rFonts w:ascii="David" w:hAnsi="David"/>
        <w:color w:val="000000"/>
        <w:sz w:val="22"/>
        <w:szCs w:val="22"/>
        <w:rtl/>
      </w:rPr>
      <w:tab/>
      <w:t xml:space="preserve"> מדינת ישראל נ' איסר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3CA851BC"/>
    <w:lvl w:ilvl="0" w:tplc="0178A5F4">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3417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7E25"/>
    <w:rsid w:val="00002277"/>
    <w:rsid w:val="00037EA3"/>
    <w:rsid w:val="001A4751"/>
    <w:rsid w:val="001B5A3B"/>
    <w:rsid w:val="004465CD"/>
    <w:rsid w:val="004D4704"/>
    <w:rsid w:val="00504942"/>
    <w:rsid w:val="00517ABB"/>
    <w:rsid w:val="00676B46"/>
    <w:rsid w:val="00757E25"/>
    <w:rsid w:val="008953CC"/>
    <w:rsid w:val="009F5C89"/>
    <w:rsid w:val="00D04311"/>
    <w:rsid w:val="00D22200"/>
    <w:rsid w:val="00D70D75"/>
    <w:rsid w:val="00E27C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89E768"/>
  <w15:chartTrackingRefBased/>
  <w15:docId w15:val="{3B26209C-0C5D-435B-A5AB-2D97AA34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7E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7E25"/>
    <w:pPr>
      <w:tabs>
        <w:tab w:val="center" w:pos="4153"/>
        <w:tab w:val="right" w:pos="8306"/>
      </w:tabs>
    </w:pPr>
  </w:style>
  <w:style w:type="character" w:customStyle="1" w:styleId="a4">
    <w:name w:val="כותרת עליונה תו"/>
    <w:link w:val="a3"/>
    <w:rsid w:val="00757E25"/>
    <w:rPr>
      <w:rFonts w:ascii="Times New Roman" w:eastAsia="Times New Roman" w:hAnsi="Times New Roman" w:cs="David"/>
      <w:sz w:val="24"/>
      <w:szCs w:val="24"/>
    </w:rPr>
  </w:style>
  <w:style w:type="paragraph" w:styleId="a5">
    <w:name w:val="footer"/>
    <w:basedOn w:val="a"/>
    <w:link w:val="a6"/>
    <w:rsid w:val="00757E25"/>
    <w:pPr>
      <w:tabs>
        <w:tab w:val="center" w:pos="4153"/>
        <w:tab w:val="right" w:pos="8306"/>
      </w:tabs>
    </w:pPr>
  </w:style>
  <w:style w:type="character" w:customStyle="1" w:styleId="a6">
    <w:name w:val="כותרת תחתונה תו"/>
    <w:link w:val="a5"/>
    <w:rsid w:val="00757E25"/>
    <w:rPr>
      <w:rFonts w:ascii="Times New Roman" w:eastAsia="Times New Roman" w:hAnsi="Times New Roman" w:cs="David"/>
      <w:sz w:val="24"/>
      <w:szCs w:val="24"/>
    </w:rPr>
  </w:style>
  <w:style w:type="table" w:styleId="a7">
    <w:name w:val="Table Grid"/>
    <w:basedOn w:val="a1"/>
    <w:rsid w:val="00757E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7E25"/>
  </w:style>
  <w:style w:type="character" w:styleId="Hyperlink">
    <w:name w:val="Hyperlink"/>
    <w:rsid w:val="004D4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70301/40d" TargetMode="External"/><Relationship Id="rId21" Type="http://schemas.openxmlformats.org/officeDocument/2006/relationships/hyperlink" Target="http://www.nevo.co.il/case/25191250"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32"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81078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law/70301/3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8793360" TargetMode="External"/><Relationship Id="rId28" Type="http://schemas.openxmlformats.org/officeDocument/2006/relationships/hyperlink" Target="http://www.nevo.co.il/law/70301/40ja"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5595514"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2137</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12802</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7995492</vt:i4>
      </vt:variant>
      <vt:variant>
        <vt:i4>54</vt:i4>
      </vt:variant>
      <vt:variant>
        <vt:i4>0</vt:i4>
      </vt:variant>
      <vt:variant>
        <vt:i4>5</vt:i4>
      </vt:variant>
      <vt:variant>
        <vt:lpwstr>http://www.nevo.co.il/law/70301</vt:lpwstr>
      </vt:variant>
      <vt:variant>
        <vt:lpwstr/>
      </vt:variant>
      <vt:variant>
        <vt:i4>6750310</vt:i4>
      </vt:variant>
      <vt:variant>
        <vt:i4>51</vt:i4>
      </vt:variant>
      <vt:variant>
        <vt:i4>0</vt:i4>
      </vt:variant>
      <vt:variant>
        <vt:i4>5</vt:i4>
      </vt:variant>
      <vt:variant>
        <vt:lpwstr>http://www.nevo.co.il/law/70301/32</vt:lpwstr>
      </vt:variant>
      <vt:variant>
        <vt:lpwstr/>
      </vt:variant>
      <vt:variant>
        <vt:i4>3342454</vt:i4>
      </vt:variant>
      <vt:variant>
        <vt:i4>48</vt:i4>
      </vt:variant>
      <vt:variant>
        <vt:i4>0</vt:i4>
      </vt:variant>
      <vt:variant>
        <vt:i4>5</vt:i4>
      </vt:variant>
      <vt:variant>
        <vt:lpwstr>http://www.nevo.co.il/case/18793360</vt:lpwstr>
      </vt:variant>
      <vt:variant>
        <vt:lpwstr/>
      </vt:variant>
      <vt:variant>
        <vt:i4>3342461</vt:i4>
      </vt:variant>
      <vt:variant>
        <vt:i4>45</vt:i4>
      </vt:variant>
      <vt:variant>
        <vt:i4>0</vt:i4>
      </vt:variant>
      <vt:variant>
        <vt:i4>5</vt:i4>
      </vt:variant>
      <vt:variant>
        <vt:lpwstr>http://www.nevo.co.il/case/25595514</vt:lpwstr>
      </vt:variant>
      <vt:variant>
        <vt:lpwstr/>
      </vt:variant>
      <vt:variant>
        <vt:i4>3604602</vt:i4>
      </vt:variant>
      <vt:variant>
        <vt:i4>42</vt:i4>
      </vt:variant>
      <vt:variant>
        <vt:i4>0</vt:i4>
      </vt:variant>
      <vt:variant>
        <vt:i4>5</vt:i4>
      </vt:variant>
      <vt:variant>
        <vt:lpwstr>http://www.nevo.co.il/case/25191250</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20393</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איסר עיסא</vt:lpwstr>
  </property>
  <property fmtid="{D5CDD505-2E9C-101B-9397-08002B2CF9AE}" pid="10" name="LAWYER">
    <vt:lpwstr>איתי זרחי;אנואר פריג'</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20220216</vt:lpwstr>
  </property>
  <property fmtid="{D5CDD505-2E9C-101B-9397-08002B2CF9AE}" pid="14" name="TYPE_N_DATE">
    <vt:lpwstr>38020220216</vt:lpwstr>
  </property>
  <property fmtid="{D5CDD505-2E9C-101B-9397-08002B2CF9AE}" pid="15" name="WORDNUMPAGES">
    <vt:lpwstr>6</vt:lpwstr>
  </property>
  <property fmtid="{D5CDD505-2E9C-101B-9397-08002B2CF9AE}" pid="16" name="TYPE_ABS_DATE">
    <vt:lpwstr>380020220216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5810781;25191250;25595514;18793360</vt:lpwstr>
  </property>
  <property fmtid="{D5CDD505-2E9C-101B-9397-08002B2CF9AE}" pid="36" name="LAWLISTTMP1">
    <vt:lpwstr>4216/013;019a</vt:lpwstr>
  </property>
  <property fmtid="{D5CDD505-2E9C-101B-9397-08002B2CF9AE}" pid="37" name="LAWLISTTMP2">
    <vt:lpwstr>70301/031;032;040d;40ja</vt:lpwstr>
  </property>
</Properties>
</file>