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1418A" w:rsidRPr="00C858FD" w14:paraId="4C15FB99" w14:textId="77777777" w:rsidTr="00A86A21">
        <w:trPr>
          <w:trHeight w:hRule="exact" w:val="418"/>
          <w:jc w:val="center"/>
        </w:trPr>
        <w:tc>
          <w:tcPr>
            <w:tcW w:w="8721" w:type="dxa"/>
            <w:gridSpan w:val="2"/>
          </w:tcPr>
          <w:p w14:paraId="5BC91420" w14:textId="77777777" w:rsidR="0021418A" w:rsidRPr="006856B4" w:rsidRDefault="0021418A" w:rsidP="00133175">
            <w:pPr>
              <w:pStyle w:val="a3"/>
              <w:jc w:val="center"/>
              <w:rPr>
                <w:rFonts w:ascii="Tahoma" w:hAnsi="Tahoma" w:cs="Tahoma"/>
                <w:b/>
                <w:bCs/>
                <w:color w:val="000080"/>
                <w:rtl/>
              </w:rPr>
            </w:pPr>
            <w:bookmarkStart w:id="0" w:name="FirstLawyer"/>
            <w:bookmarkStart w:id="1" w:name="LastJudge"/>
            <w:r w:rsidRPr="006856B4">
              <w:rPr>
                <w:rFonts w:ascii="Tahoma" w:hAnsi="Tahoma" w:cs="Tahoma"/>
                <w:b/>
                <w:bCs/>
                <w:color w:val="000080"/>
                <w:rtl/>
              </w:rPr>
              <w:t>בית משפט השלום בירושלים</w:t>
            </w:r>
          </w:p>
        </w:tc>
      </w:tr>
      <w:tr w:rsidR="0021418A" w:rsidRPr="006856B4" w14:paraId="10389400" w14:textId="77777777" w:rsidTr="00A86A21">
        <w:trPr>
          <w:trHeight w:val="337"/>
          <w:jc w:val="center"/>
        </w:trPr>
        <w:tc>
          <w:tcPr>
            <w:tcW w:w="5055" w:type="dxa"/>
          </w:tcPr>
          <w:p w14:paraId="0261EC9C" w14:textId="77777777" w:rsidR="0021418A" w:rsidRPr="006856B4" w:rsidRDefault="0021418A" w:rsidP="006856B4">
            <w:pPr>
              <w:pStyle w:val="a3"/>
              <w:spacing w:before="120" w:after="120" w:line="240" w:lineRule="exact"/>
              <w:rPr>
                <w:rFonts w:ascii="David" w:hAnsi="David"/>
                <w:b/>
                <w:bCs/>
                <w:sz w:val="26"/>
                <w:szCs w:val="26"/>
                <w:rtl/>
              </w:rPr>
            </w:pPr>
            <w:r w:rsidRPr="006856B4">
              <w:rPr>
                <w:rFonts w:ascii="David" w:hAnsi="David"/>
                <w:b/>
                <w:bCs/>
                <w:sz w:val="26"/>
                <w:szCs w:val="26"/>
                <w:rtl/>
              </w:rPr>
              <w:t>ת"פ 25852-02-20 מדינת ישראל נ' ברכה</w:t>
            </w:r>
          </w:p>
        </w:tc>
        <w:tc>
          <w:tcPr>
            <w:tcW w:w="3666" w:type="dxa"/>
          </w:tcPr>
          <w:p w14:paraId="01BECFDA" w14:textId="77777777" w:rsidR="0021418A" w:rsidRPr="006856B4" w:rsidRDefault="0021418A" w:rsidP="006856B4">
            <w:pPr>
              <w:pStyle w:val="a3"/>
              <w:spacing w:before="120" w:after="120" w:line="240" w:lineRule="exact"/>
              <w:jc w:val="right"/>
              <w:rPr>
                <w:rFonts w:cs="FrankRuehl"/>
                <w:sz w:val="26"/>
                <w:szCs w:val="26"/>
                <w:rtl/>
              </w:rPr>
            </w:pPr>
          </w:p>
        </w:tc>
      </w:tr>
    </w:tbl>
    <w:p w14:paraId="65927825" w14:textId="77777777" w:rsidR="0021418A" w:rsidRPr="006856B4" w:rsidRDefault="0021418A" w:rsidP="006856B4">
      <w:pPr>
        <w:pStyle w:val="a3"/>
        <w:spacing w:before="120" w:after="120" w:line="240" w:lineRule="exact"/>
        <w:rPr>
          <w:rFonts w:ascii="Arial" w:hAnsi="Arial"/>
          <w:sz w:val="26"/>
          <w:szCs w:val="26"/>
          <w:rtl/>
        </w:rPr>
      </w:pPr>
      <w:r w:rsidRPr="006856B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500"/>
        <w:gridCol w:w="6397"/>
      </w:tblGrid>
      <w:tr w:rsidR="0021418A" w:rsidRPr="006856B4" w14:paraId="2D4C9C72" w14:textId="77777777" w:rsidTr="0021418A">
        <w:trPr>
          <w:trHeight w:val="295"/>
          <w:jc w:val="center"/>
        </w:trPr>
        <w:tc>
          <w:tcPr>
            <w:tcW w:w="923" w:type="dxa"/>
            <w:tcBorders>
              <w:top w:val="nil"/>
              <w:left w:val="nil"/>
              <w:bottom w:val="nil"/>
              <w:right w:val="nil"/>
            </w:tcBorders>
            <w:shd w:val="clear" w:color="auto" w:fill="auto"/>
          </w:tcPr>
          <w:p w14:paraId="3F1805D7" w14:textId="77777777" w:rsidR="0021418A" w:rsidRPr="006856B4" w:rsidRDefault="0021418A" w:rsidP="006856B4">
            <w:pPr>
              <w:spacing w:before="120" w:after="120" w:line="240" w:lineRule="exact"/>
              <w:jc w:val="both"/>
              <w:rPr>
                <w:rFonts w:ascii="David" w:hAnsi="David"/>
                <w:b/>
                <w:bCs/>
                <w:sz w:val="26"/>
                <w:szCs w:val="26"/>
              </w:rPr>
            </w:pPr>
            <w:r w:rsidRPr="006856B4">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7A4EE09" w14:textId="77777777" w:rsidR="0021418A" w:rsidRPr="006856B4" w:rsidRDefault="0021418A" w:rsidP="006856B4">
            <w:pPr>
              <w:spacing w:before="120" w:after="120" w:line="240" w:lineRule="exact"/>
              <w:rPr>
                <w:rFonts w:ascii="David" w:hAnsi="David" w:hint="cs"/>
                <w:b/>
                <w:bCs/>
                <w:sz w:val="26"/>
                <w:szCs w:val="26"/>
              </w:rPr>
            </w:pPr>
            <w:r w:rsidRPr="006856B4">
              <w:rPr>
                <w:rFonts w:ascii="David" w:hAnsi="David"/>
                <w:b/>
                <w:bCs/>
                <w:sz w:val="26"/>
                <w:szCs w:val="26"/>
                <w:rtl/>
              </w:rPr>
              <w:t>כבוד השופט  דוד שאול גבאי ריכטר</w:t>
            </w:r>
          </w:p>
        </w:tc>
      </w:tr>
      <w:tr w:rsidR="006856B4" w:rsidRPr="006856B4" w14:paraId="5B0DC89B" w14:textId="77777777" w:rsidTr="006856B4">
        <w:trPr>
          <w:trHeight w:val="355"/>
          <w:jc w:val="center"/>
        </w:trPr>
        <w:tc>
          <w:tcPr>
            <w:tcW w:w="2423" w:type="dxa"/>
            <w:gridSpan w:val="2"/>
            <w:tcBorders>
              <w:top w:val="nil"/>
              <w:left w:val="nil"/>
              <w:bottom w:val="nil"/>
              <w:right w:val="nil"/>
            </w:tcBorders>
            <w:shd w:val="clear" w:color="auto" w:fill="auto"/>
          </w:tcPr>
          <w:p w14:paraId="6F1A9EB2" w14:textId="77777777" w:rsidR="006856B4" w:rsidRPr="006856B4" w:rsidRDefault="006856B4" w:rsidP="006856B4">
            <w:pPr>
              <w:spacing w:before="120" w:after="120" w:line="240" w:lineRule="exact"/>
              <w:jc w:val="both"/>
              <w:rPr>
                <w:rFonts w:ascii="David" w:hAnsi="David"/>
                <w:b/>
                <w:bCs/>
                <w:sz w:val="26"/>
                <w:szCs w:val="26"/>
              </w:rPr>
            </w:pPr>
            <w:bookmarkStart w:id="2" w:name="FirstAppellant"/>
            <w:r w:rsidRPr="006856B4">
              <w:rPr>
                <w:rFonts w:ascii="David" w:hAnsi="David"/>
                <w:b/>
                <w:bCs/>
                <w:sz w:val="26"/>
                <w:szCs w:val="26"/>
                <w:rtl/>
              </w:rPr>
              <w:t>בעניין:</w:t>
            </w:r>
          </w:p>
          <w:p w14:paraId="6B471855" w14:textId="77777777" w:rsidR="006856B4" w:rsidRPr="006856B4" w:rsidRDefault="006856B4" w:rsidP="006856B4">
            <w:pPr>
              <w:suppressLineNumbers/>
              <w:spacing w:before="120" w:after="120" w:line="240" w:lineRule="exact"/>
              <w:rPr>
                <w:rFonts w:ascii="David" w:hAnsi="David"/>
                <w:b/>
                <w:bCs/>
                <w:sz w:val="26"/>
                <w:szCs w:val="26"/>
              </w:rPr>
            </w:pPr>
            <w:r w:rsidRPr="006856B4">
              <w:rPr>
                <w:rFonts w:ascii="David" w:hAnsi="David"/>
                <w:b/>
                <w:bCs/>
                <w:sz w:val="26"/>
                <w:szCs w:val="26"/>
                <w:rtl/>
              </w:rPr>
              <w:t>המאשימה</w:t>
            </w:r>
          </w:p>
          <w:p w14:paraId="217D76E2" w14:textId="77777777" w:rsidR="006856B4" w:rsidRPr="006856B4" w:rsidRDefault="006856B4" w:rsidP="006856B4">
            <w:pPr>
              <w:spacing w:before="120" w:after="120" w:line="240" w:lineRule="exact"/>
              <w:rPr>
                <w:rFonts w:ascii="David" w:hAnsi="David"/>
                <w:b/>
                <w:bCs/>
                <w:sz w:val="26"/>
                <w:szCs w:val="26"/>
              </w:rPr>
            </w:pPr>
          </w:p>
        </w:tc>
        <w:tc>
          <w:tcPr>
            <w:tcW w:w="6397" w:type="dxa"/>
            <w:tcBorders>
              <w:top w:val="nil"/>
              <w:left w:val="nil"/>
              <w:bottom w:val="nil"/>
              <w:right w:val="nil"/>
            </w:tcBorders>
            <w:shd w:val="clear" w:color="auto" w:fill="auto"/>
            <w:vAlign w:val="center"/>
          </w:tcPr>
          <w:p w14:paraId="65467545" w14:textId="77777777" w:rsidR="006856B4" w:rsidRPr="006856B4" w:rsidRDefault="006856B4" w:rsidP="006856B4">
            <w:pPr>
              <w:spacing w:before="120" w:after="120" w:line="240" w:lineRule="exact"/>
              <w:rPr>
                <w:rFonts w:ascii="David" w:hAnsi="David"/>
                <w:b/>
                <w:bCs/>
                <w:sz w:val="26"/>
                <w:szCs w:val="26"/>
              </w:rPr>
            </w:pPr>
            <w:r w:rsidRPr="006856B4">
              <w:rPr>
                <w:rFonts w:ascii="David" w:hAnsi="David"/>
                <w:b/>
                <w:bCs/>
                <w:sz w:val="26"/>
                <w:szCs w:val="26"/>
                <w:rtl/>
              </w:rPr>
              <w:t>מדינת ישראל</w:t>
            </w:r>
            <w:r w:rsidRPr="006856B4">
              <w:rPr>
                <w:rFonts w:ascii="David" w:hAnsi="David"/>
                <w:b/>
                <w:bCs/>
                <w:sz w:val="26"/>
                <w:szCs w:val="26"/>
                <w:rtl/>
              </w:rPr>
              <w:br/>
              <w:t xml:space="preserve">ע"י ב"כ עו"ד מאיר </w:t>
            </w:r>
            <w:proofErr w:type="spellStart"/>
            <w:r w:rsidRPr="006856B4">
              <w:rPr>
                <w:rFonts w:ascii="David" w:hAnsi="David"/>
                <w:b/>
                <w:bCs/>
                <w:sz w:val="26"/>
                <w:szCs w:val="26"/>
                <w:rtl/>
              </w:rPr>
              <w:t>לוברבאום</w:t>
            </w:r>
            <w:proofErr w:type="spellEnd"/>
            <w:r w:rsidRPr="006856B4">
              <w:rPr>
                <w:rFonts w:ascii="David" w:hAnsi="David"/>
                <w:b/>
                <w:bCs/>
                <w:sz w:val="26"/>
                <w:szCs w:val="26"/>
                <w:rtl/>
              </w:rPr>
              <w:t xml:space="preserve"> </w:t>
            </w:r>
            <w:r w:rsidRPr="006856B4">
              <w:rPr>
                <w:rFonts w:ascii="David" w:hAnsi="David"/>
                <w:b/>
                <w:bCs/>
                <w:sz w:val="26"/>
                <w:szCs w:val="26"/>
                <w:rtl/>
              </w:rPr>
              <w:br/>
              <w:t>מתביעות ירושלים</w:t>
            </w:r>
          </w:p>
        </w:tc>
      </w:tr>
      <w:bookmarkEnd w:id="2"/>
      <w:tr w:rsidR="006856B4" w:rsidRPr="006856B4" w14:paraId="395CD8E7" w14:textId="77777777" w:rsidTr="00AE1D68">
        <w:trPr>
          <w:trHeight w:val="355"/>
          <w:jc w:val="center"/>
        </w:trPr>
        <w:tc>
          <w:tcPr>
            <w:tcW w:w="8820" w:type="dxa"/>
            <w:gridSpan w:val="3"/>
            <w:tcBorders>
              <w:top w:val="nil"/>
              <w:left w:val="nil"/>
              <w:bottom w:val="nil"/>
              <w:right w:val="nil"/>
            </w:tcBorders>
            <w:shd w:val="clear" w:color="auto" w:fill="auto"/>
          </w:tcPr>
          <w:p w14:paraId="3AD5DBC5" w14:textId="77777777" w:rsidR="006856B4" w:rsidRPr="006856B4" w:rsidRDefault="006856B4" w:rsidP="006856B4">
            <w:pPr>
              <w:spacing w:before="240" w:after="240" w:line="240" w:lineRule="exact"/>
              <w:jc w:val="center"/>
              <w:rPr>
                <w:rFonts w:ascii="David" w:hAnsi="David" w:hint="cs"/>
                <w:b/>
                <w:bCs/>
                <w:sz w:val="26"/>
                <w:szCs w:val="26"/>
              </w:rPr>
            </w:pPr>
            <w:r w:rsidRPr="006856B4">
              <w:rPr>
                <w:rFonts w:ascii="David" w:hAnsi="David"/>
                <w:b/>
                <w:bCs/>
                <w:sz w:val="26"/>
                <w:szCs w:val="26"/>
                <w:rtl/>
              </w:rPr>
              <w:t>נגד</w:t>
            </w:r>
          </w:p>
        </w:tc>
      </w:tr>
      <w:tr w:rsidR="006856B4" w:rsidRPr="006856B4" w14:paraId="3C693970" w14:textId="77777777" w:rsidTr="006856B4">
        <w:trPr>
          <w:trHeight w:val="355"/>
          <w:jc w:val="center"/>
        </w:trPr>
        <w:tc>
          <w:tcPr>
            <w:tcW w:w="2423" w:type="dxa"/>
            <w:gridSpan w:val="2"/>
            <w:tcBorders>
              <w:top w:val="nil"/>
              <w:left w:val="nil"/>
              <w:bottom w:val="nil"/>
              <w:right w:val="nil"/>
            </w:tcBorders>
            <w:shd w:val="clear" w:color="auto" w:fill="auto"/>
          </w:tcPr>
          <w:p w14:paraId="39F9E292" w14:textId="77777777" w:rsidR="006856B4" w:rsidRPr="006856B4" w:rsidRDefault="006856B4" w:rsidP="006856B4">
            <w:pPr>
              <w:spacing w:before="120" w:after="120" w:line="240" w:lineRule="exact"/>
              <w:rPr>
                <w:rFonts w:ascii="David" w:hAnsi="David"/>
                <w:b/>
                <w:bCs/>
                <w:sz w:val="26"/>
                <w:szCs w:val="26"/>
                <w:rtl/>
              </w:rPr>
            </w:pPr>
            <w:r w:rsidRPr="006856B4">
              <w:rPr>
                <w:rFonts w:ascii="David" w:hAnsi="David"/>
                <w:b/>
                <w:bCs/>
                <w:sz w:val="26"/>
                <w:szCs w:val="26"/>
                <w:rtl/>
              </w:rPr>
              <w:t>הנאשמת</w:t>
            </w:r>
          </w:p>
        </w:tc>
        <w:tc>
          <w:tcPr>
            <w:tcW w:w="6397" w:type="dxa"/>
            <w:tcBorders>
              <w:top w:val="nil"/>
              <w:left w:val="nil"/>
              <w:bottom w:val="nil"/>
              <w:right w:val="nil"/>
            </w:tcBorders>
            <w:shd w:val="clear" w:color="auto" w:fill="auto"/>
            <w:vAlign w:val="center"/>
          </w:tcPr>
          <w:p w14:paraId="4275CDE9" w14:textId="77777777" w:rsidR="006856B4" w:rsidRPr="006856B4" w:rsidRDefault="006856B4" w:rsidP="006856B4">
            <w:pPr>
              <w:spacing w:before="120" w:after="120" w:line="240" w:lineRule="exact"/>
              <w:rPr>
                <w:rFonts w:ascii="David" w:hAnsi="David"/>
                <w:b/>
                <w:bCs/>
                <w:sz w:val="26"/>
                <w:szCs w:val="26"/>
              </w:rPr>
            </w:pPr>
            <w:r w:rsidRPr="006856B4">
              <w:rPr>
                <w:rFonts w:ascii="David" w:hAnsi="David"/>
                <w:b/>
                <w:bCs/>
                <w:sz w:val="26"/>
                <w:szCs w:val="26"/>
                <w:rtl/>
              </w:rPr>
              <w:t>תאי ברכה</w:t>
            </w:r>
            <w:r w:rsidRPr="006856B4">
              <w:rPr>
                <w:rFonts w:ascii="David" w:hAnsi="David"/>
                <w:b/>
                <w:bCs/>
                <w:sz w:val="26"/>
                <w:szCs w:val="26"/>
                <w:rtl/>
              </w:rPr>
              <w:br/>
              <w:t xml:space="preserve">ע"י ב"כ עוה"ד עידן </w:t>
            </w:r>
            <w:proofErr w:type="spellStart"/>
            <w:r w:rsidRPr="006856B4">
              <w:rPr>
                <w:rFonts w:ascii="David" w:hAnsi="David"/>
                <w:b/>
                <w:bCs/>
                <w:sz w:val="26"/>
                <w:szCs w:val="26"/>
                <w:rtl/>
              </w:rPr>
              <w:t>גמליאלי</w:t>
            </w:r>
            <w:proofErr w:type="spellEnd"/>
            <w:r w:rsidRPr="006856B4">
              <w:rPr>
                <w:rFonts w:ascii="David" w:hAnsi="David"/>
                <w:b/>
                <w:bCs/>
                <w:sz w:val="26"/>
                <w:szCs w:val="26"/>
                <w:rtl/>
              </w:rPr>
              <w:t xml:space="preserve"> </w:t>
            </w:r>
            <w:r w:rsidRPr="006856B4">
              <w:rPr>
                <w:rFonts w:ascii="David" w:hAnsi="David"/>
                <w:b/>
                <w:bCs/>
                <w:sz w:val="26"/>
                <w:szCs w:val="26"/>
                <w:rtl/>
              </w:rPr>
              <w:br/>
              <w:t xml:space="preserve">מטעם </w:t>
            </w:r>
            <w:proofErr w:type="spellStart"/>
            <w:r w:rsidRPr="006856B4">
              <w:rPr>
                <w:rFonts w:ascii="David" w:hAnsi="David"/>
                <w:b/>
                <w:bCs/>
                <w:sz w:val="26"/>
                <w:szCs w:val="26"/>
                <w:rtl/>
              </w:rPr>
              <w:t>הסניגוריה</w:t>
            </w:r>
            <w:proofErr w:type="spellEnd"/>
            <w:r w:rsidRPr="006856B4">
              <w:rPr>
                <w:rFonts w:ascii="David" w:hAnsi="David"/>
                <w:b/>
                <w:bCs/>
                <w:sz w:val="26"/>
                <w:szCs w:val="26"/>
                <w:rtl/>
              </w:rPr>
              <w:t xml:space="preserve"> הציבורית</w:t>
            </w:r>
          </w:p>
        </w:tc>
      </w:tr>
      <w:bookmarkEnd w:id="0"/>
      <w:bookmarkEnd w:id="1"/>
    </w:tbl>
    <w:p w14:paraId="2BCD56B4" w14:textId="77777777" w:rsidR="00A86A21" w:rsidRDefault="00A86A21" w:rsidP="0021418A">
      <w:pPr>
        <w:spacing w:line="360" w:lineRule="auto"/>
        <w:rPr>
          <w:rFonts w:ascii="Arial" w:hAnsi="Arial" w:hint="cs"/>
          <w:b/>
          <w:bCs/>
          <w:sz w:val="26"/>
          <w:szCs w:val="26"/>
          <w:rtl/>
        </w:rPr>
      </w:pPr>
    </w:p>
    <w:p w14:paraId="7F840922" w14:textId="77777777" w:rsidR="006856B4" w:rsidRPr="006856B4" w:rsidRDefault="006856B4" w:rsidP="006856B4">
      <w:pPr>
        <w:spacing w:before="120" w:after="120" w:line="240" w:lineRule="exact"/>
        <w:ind w:left="283" w:hanging="283"/>
        <w:jc w:val="both"/>
        <w:rPr>
          <w:rFonts w:ascii="FrankRuehl" w:hAnsi="FrankRuehl" w:cs="FrankRuehl"/>
          <w:rtl/>
        </w:rPr>
      </w:pPr>
      <w:bookmarkStart w:id="3" w:name="LawTable"/>
      <w:bookmarkEnd w:id="3"/>
      <w:r w:rsidRPr="006856B4">
        <w:rPr>
          <w:rFonts w:ascii="FrankRuehl" w:hAnsi="FrankRuehl" w:cs="FrankRuehl"/>
          <w:rtl/>
        </w:rPr>
        <w:t xml:space="preserve">חקיקה שאוזכרה: </w:t>
      </w:r>
    </w:p>
    <w:p w14:paraId="075F6414" w14:textId="77777777" w:rsidR="006856B4" w:rsidRPr="006856B4" w:rsidRDefault="006856B4" w:rsidP="006856B4">
      <w:pPr>
        <w:spacing w:before="120" w:after="120" w:line="240" w:lineRule="exact"/>
        <w:ind w:left="283" w:hanging="283"/>
        <w:jc w:val="both"/>
        <w:rPr>
          <w:rFonts w:ascii="FrankRuehl" w:hAnsi="FrankRuehl" w:cs="FrankRuehl"/>
          <w:color w:val="0000FF"/>
          <w:rtl/>
        </w:rPr>
      </w:pPr>
      <w:hyperlink r:id="rId7" w:history="1">
        <w:r w:rsidRPr="006856B4">
          <w:rPr>
            <w:rStyle w:val="Hyperlink"/>
            <w:rFonts w:ascii="FrankRuehl" w:hAnsi="FrankRuehl" w:cs="FrankRuehl"/>
            <w:u w:val="none"/>
            <w:rtl/>
          </w:rPr>
          <w:t>פקודת הסמים המסוכנים [נוסח חדש], תשל"ג-1973</w:t>
        </w:r>
      </w:hyperlink>
      <w:r w:rsidRPr="006856B4">
        <w:rPr>
          <w:rFonts w:ascii="FrankRuehl" w:hAnsi="FrankRuehl" w:cs="FrankRuehl"/>
          <w:color w:val="0000FF"/>
          <w:rtl/>
        </w:rPr>
        <w:t xml:space="preserve">: סע'  </w:t>
      </w:r>
      <w:hyperlink r:id="rId8" w:history="1">
        <w:r w:rsidRPr="006856B4">
          <w:rPr>
            <w:rStyle w:val="Hyperlink"/>
            <w:rFonts w:ascii="FrankRuehl" w:hAnsi="FrankRuehl" w:cs="FrankRuehl"/>
            <w:u w:val="none"/>
          </w:rPr>
          <w:t>13</w:t>
        </w:r>
      </w:hyperlink>
      <w:r w:rsidRPr="006856B4">
        <w:rPr>
          <w:rFonts w:ascii="FrankRuehl" w:hAnsi="FrankRuehl" w:cs="FrankRuehl"/>
          <w:color w:val="0000FF"/>
          <w:rtl/>
        </w:rPr>
        <w:t xml:space="preserve">, </w:t>
      </w:r>
      <w:hyperlink r:id="rId9" w:history="1">
        <w:r w:rsidRPr="006856B4">
          <w:rPr>
            <w:rStyle w:val="Hyperlink"/>
            <w:rFonts w:ascii="FrankRuehl" w:hAnsi="FrankRuehl" w:cs="FrankRuehl"/>
            <w:u w:val="none"/>
          </w:rPr>
          <w:t>19</w:t>
        </w:r>
        <w:r w:rsidRPr="006856B4">
          <w:rPr>
            <w:rStyle w:val="Hyperlink"/>
            <w:rFonts w:ascii="FrankRuehl" w:hAnsi="FrankRuehl" w:cs="FrankRuehl"/>
            <w:u w:val="none"/>
            <w:rtl/>
          </w:rPr>
          <w:t>א</w:t>
        </w:r>
      </w:hyperlink>
    </w:p>
    <w:p w14:paraId="718EF727" w14:textId="77777777" w:rsidR="006856B4" w:rsidRPr="006856B4" w:rsidRDefault="006856B4" w:rsidP="006856B4">
      <w:pPr>
        <w:spacing w:before="120" w:after="120" w:line="240" w:lineRule="exact"/>
        <w:ind w:left="283" w:hanging="283"/>
        <w:jc w:val="both"/>
        <w:rPr>
          <w:rFonts w:ascii="FrankRuehl" w:hAnsi="FrankRuehl" w:cs="FrankRuehl"/>
          <w:color w:val="0000FF"/>
          <w:rtl/>
        </w:rPr>
      </w:pPr>
      <w:hyperlink r:id="rId10" w:history="1">
        <w:r w:rsidRPr="006856B4">
          <w:rPr>
            <w:rStyle w:val="Hyperlink"/>
            <w:rFonts w:ascii="FrankRuehl" w:hAnsi="FrankRuehl" w:cs="FrankRuehl"/>
            <w:u w:val="none"/>
            <w:rtl/>
          </w:rPr>
          <w:t>חוק העונשין, תשל"ז-1977</w:t>
        </w:r>
      </w:hyperlink>
      <w:r w:rsidRPr="006856B4">
        <w:rPr>
          <w:rFonts w:ascii="FrankRuehl" w:hAnsi="FrankRuehl" w:cs="FrankRuehl"/>
          <w:color w:val="0000FF"/>
          <w:rtl/>
        </w:rPr>
        <w:t xml:space="preserve">: סע'  </w:t>
      </w:r>
      <w:hyperlink r:id="rId11" w:history="1">
        <w:r w:rsidRPr="006856B4">
          <w:rPr>
            <w:rStyle w:val="Hyperlink"/>
            <w:rFonts w:ascii="FrankRuehl" w:hAnsi="FrankRuehl" w:cs="FrankRuehl"/>
            <w:u w:val="none"/>
          </w:rPr>
          <w:t>40</w:t>
        </w:r>
        <w:r w:rsidRPr="006856B4">
          <w:rPr>
            <w:rStyle w:val="Hyperlink"/>
            <w:rFonts w:ascii="FrankRuehl" w:hAnsi="FrankRuehl" w:cs="FrankRuehl"/>
            <w:u w:val="none"/>
            <w:rtl/>
          </w:rPr>
          <w:t>ט</w:t>
        </w:r>
        <w:r w:rsidRPr="006856B4">
          <w:rPr>
            <w:rStyle w:val="Hyperlink"/>
            <w:rFonts w:ascii="FrankRuehl" w:hAnsi="FrankRuehl" w:cs="FrankRuehl"/>
            <w:u w:val="none"/>
          </w:rPr>
          <w:t>'</w:t>
        </w:r>
      </w:hyperlink>
      <w:r w:rsidRPr="006856B4">
        <w:rPr>
          <w:rFonts w:ascii="FrankRuehl" w:hAnsi="FrankRuehl" w:cs="FrankRuehl"/>
          <w:color w:val="0000FF"/>
          <w:rtl/>
        </w:rPr>
        <w:t xml:space="preserve">, </w:t>
      </w:r>
      <w:hyperlink r:id="rId12" w:history="1">
        <w:r w:rsidRPr="006856B4">
          <w:rPr>
            <w:rStyle w:val="Hyperlink"/>
            <w:rFonts w:ascii="FrankRuehl" w:hAnsi="FrankRuehl" w:cs="FrankRuehl"/>
            <w:u w:val="none"/>
          </w:rPr>
          <w:t>40</w:t>
        </w:r>
        <w:r w:rsidRPr="006856B4">
          <w:rPr>
            <w:rStyle w:val="Hyperlink"/>
            <w:rFonts w:ascii="FrankRuehl" w:hAnsi="FrankRuehl" w:cs="FrankRuehl"/>
            <w:u w:val="none"/>
            <w:rtl/>
          </w:rPr>
          <w:t>יא</w:t>
        </w:r>
      </w:hyperlink>
    </w:p>
    <w:p w14:paraId="14AC9399" w14:textId="77777777" w:rsidR="00A86A21" w:rsidRDefault="00A86A21" w:rsidP="006856B4">
      <w:pPr>
        <w:spacing w:before="120" w:after="120" w:line="240" w:lineRule="exact"/>
        <w:ind w:left="283" w:hanging="283"/>
        <w:jc w:val="both"/>
        <w:rPr>
          <w:rFonts w:ascii="FrankRuehl" w:hAnsi="FrankRuehl" w:cs="FrankRuehl" w:hint="cs"/>
          <w:rtl/>
        </w:rPr>
      </w:pPr>
      <w:bookmarkStart w:id="4" w:name="LawTable_End"/>
      <w:bookmarkEnd w:id="4"/>
    </w:p>
    <w:p w14:paraId="3BA714F2"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362F94">
        <w:rPr>
          <w:rFonts w:cs="FrankRuehl" w:hint="cs"/>
          <w:szCs w:val="26"/>
          <w:rtl/>
        </w:rPr>
        <w:t>מיני-רציו:</w:t>
      </w:r>
    </w:p>
    <w:p w14:paraId="13DB62E1"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r w:rsidRPr="00362F94">
        <w:rPr>
          <w:rFonts w:cs="FrankRuehl" w:hint="cs"/>
          <w:szCs w:val="26"/>
          <w:rtl/>
        </w:rPr>
        <w:t xml:space="preserve">* ביהמ"ש הורה </w:t>
      </w:r>
      <w:r w:rsidRPr="00362F94">
        <w:rPr>
          <w:rFonts w:cs="FrankRuehl"/>
          <w:szCs w:val="26"/>
          <w:rtl/>
        </w:rPr>
        <w:t>על ביטול הרשע</w:t>
      </w:r>
      <w:r w:rsidRPr="00362F94">
        <w:rPr>
          <w:rFonts w:cs="FrankRuehl" w:hint="cs"/>
          <w:szCs w:val="26"/>
          <w:rtl/>
        </w:rPr>
        <w:t>ת הנאשמת.</w:t>
      </w:r>
      <w:r w:rsidRPr="00362F94">
        <w:rPr>
          <w:rFonts w:cs="FrankRuehl"/>
          <w:szCs w:val="26"/>
          <w:rtl/>
        </w:rPr>
        <w:t xml:space="preserve"> ישנם שפע של פסקי דין בנסיבות של ריבוי מקרים של סחר בסמים, בהם בוטלה הרשעתו של נאשם</w:t>
      </w:r>
      <w:r w:rsidRPr="00362F94">
        <w:rPr>
          <w:rFonts w:cs="FrankRuehl" w:hint="cs"/>
          <w:szCs w:val="26"/>
          <w:rtl/>
        </w:rPr>
        <w:t xml:space="preserve">. מקרה של </w:t>
      </w:r>
      <w:r w:rsidRPr="00362F94">
        <w:rPr>
          <w:rFonts w:cs="FrankRuehl"/>
          <w:szCs w:val="26"/>
          <w:rtl/>
        </w:rPr>
        <w:t>אירוע סחר בודד</w:t>
      </w:r>
      <w:r w:rsidRPr="00362F94">
        <w:rPr>
          <w:rFonts w:cs="FrankRuehl" w:hint="cs"/>
          <w:szCs w:val="26"/>
          <w:rtl/>
        </w:rPr>
        <w:t>,</w:t>
      </w:r>
      <w:r w:rsidRPr="00362F94">
        <w:rPr>
          <w:rFonts w:cs="FrankRuehl"/>
          <w:szCs w:val="26"/>
          <w:rtl/>
        </w:rPr>
        <w:t xml:space="preserve"> בנסיבות שתוארו בין היתר בתסקיר, מאפשר ביטול הרשעה.</w:t>
      </w:r>
    </w:p>
    <w:p w14:paraId="626D18D8"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r w:rsidRPr="00362F94">
        <w:rPr>
          <w:rFonts w:cs="FrankRuehl" w:hint="cs"/>
          <w:szCs w:val="26"/>
          <w:rtl/>
        </w:rPr>
        <w:t xml:space="preserve">* </w:t>
      </w:r>
      <w:r w:rsidRPr="00362F94">
        <w:rPr>
          <w:rFonts w:cs="FrankRuehl"/>
          <w:szCs w:val="26"/>
          <w:rtl/>
        </w:rPr>
        <w:t>עונשין – ענישה – הימנעות מהרשעה</w:t>
      </w:r>
    </w:p>
    <w:p w14:paraId="0E5EFEC6"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r w:rsidRPr="00362F94">
        <w:rPr>
          <w:rFonts w:cs="FrankRuehl" w:hint="cs"/>
          <w:szCs w:val="26"/>
          <w:rtl/>
        </w:rPr>
        <w:t xml:space="preserve">* </w:t>
      </w:r>
      <w:r w:rsidRPr="00362F94">
        <w:rPr>
          <w:rFonts w:cs="FrankRuehl"/>
          <w:szCs w:val="26"/>
          <w:rtl/>
        </w:rPr>
        <w:t>עונשין – ענישה – מדיניות ענישה: אי הרשעה</w:t>
      </w:r>
    </w:p>
    <w:p w14:paraId="6D609F69"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ED062CD" w14:textId="77777777" w:rsidR="005C75AC" w:rsidRPr="00362F94" w:rsidRDefault="005C75AC" w:rsidP="005C75AC">
      <w:pPr>
        <w:pBdr>
          <w:top w:val="single" w:sz="4" w:space="1" w:color="auto"/>
          <w:bottom w:val="single" w:sz="4" w:space="1" w:color="auto"/>
        </w:pBdr>
        <w:spacing w:after="120" w:line="320" w:lineRule="exact"/>
        <w:jc w:val="both"/>
        <w:rPr>
          <w:rFonts w:cs="FrankRuehl"/>
          <w:szCs w:val="26"/>
        </w:rPr>
      </w:pPr>
      <w:r w:rsidRPr="00362F94">
        <w:rPr>
          <w:rFonts w:cs="FrankRuehl"/>
          <w:szCs w:val="26"/>
          <w:rtl/>
        </w:rPr>
        <w:t xml:space="preserve">הנאשמת הודתה והורשעה בעבירה של סחר </w:t>
      </w:r>
      <w:r w:rsidRPr="00362F94">
        <w:rPr>
          <w:rFonts w:cs="FrankRuehl" w:hint="cs"/>
          <w:szCs w:val="26"/>
          <w:rtl/>
        </w:rPr>
        <w:t>ב</w:t>
      </w:r>
      <w:r w:rsidRPr="00362F94">
        <w:rPr>
          <w:rFonts w:cs="FrankRuehl"/>
          <w:szCs w:val="26"/>
          <w:rtl/>
        </w:rPr>
        <w:t xml:space="preserve">סם מסוכן, לפי </w:t>
      </w:r>
      <w:hyperlink r:id="rId13" w:history="1">
        <w:r w:rsidRPr="00362F94">
          <w:rPr>
            <w:rStyle w:val="Hyperlink"/>
            <w:rFonts w:cs="FrankRuehl"/>
            <w:color w:val="auto"/>
            <w:szCs w:val="26"/>
            <w:u w:val="none"/>
            <w:rtl/>
          </w:rPr>
          <w:t>סעיפים 13</w:t>
        </w:r>
      </w:hyperlink>
      <w:r w:rsidRPr="00362F94">
        <w:rPr>
          <w:rFonts w:cs="FrankRuehl"/>
          <w:szCs w:val="26"/>
          <w:rtl/>
        </w:rPr>
        <w:t xml:space="preserve"> ו-</w:t>
      </w:r>
      <w:hyperlink r:id="rId14" w:history="1">
        <w:r w:rsidRPr="00362F94">
          <w:rPr>
            <w:rStyle w:val="Hyperlink"/>
            <w:rFonts w:cs="FrankRuehl"/>
            <w:color w:val="auto"/>
            <w:szCs w:val="26"/>
            <w:u w:val="none"/>
            <w:rtl/>
          </w:rPr>
          <w:t>19א</w:t>
        </w:r>
      </w:hyperlink>
      <w:r w:rsidRPr="00362F94">
        <w:rPr>
          <w:rFonts w:cs="FrankRuehl"/>
          <w:szCs w:val="26"/>
          <w:rtl/>
        </w:rPr>
        <w:t xml:space="preserve"> ל</w:t>
      </w:r>
      <w:hyperlink r:id="rId15" w:history="1">
        <w:r w:rsidRPr="00362F94">
          <w:rPr>
            <w:rFonts w:cs="FrankRuehl"/>
            <w:szCs w:val="26"/>
            <w:rtl/>
          </w:rPr>
          <w:t>פקודת הסמים המסוכנים</w:t>
        </w:r>
      </w:hyperlink>
      <w:r w:rsidRPr="00362F94">
        <w:rPr>
          <w:rFonts w:cs="FrankRuehl"/>
          <w:szCs w:val="26"/>
          <w:rtl/>
        </w:rPr>
        <w:t xml:space="preserve">. הצדדים </w:t>
      </w:r>
      <w:r w:rsidRPr="00362F94">
        <w:rPr>
          <w:rFonts w:cs="FrankRuehl" w:hint="cs"/>
          <w:szCs w:val="26"/>
          <w:rtl/>
        </w:rPr>
        <w:t xml:space="preserve">הגיעו להסכמה </w:t>
      </w:r>
      <w:proofErr w:type="spellStart"/>
      <w:r w:rsidRPr="00362F94">
        <w:rPr>
          <w:rFonts w:cs="FrankRuehl" w:hint="cs"/>
          <w:szCs w:val="26"/>
          <w:rtl/>
        </w:rPr>
        <w:t>עונשית</w:t>
      </w:r>
      <w:proofErr w:type="spellEnd"/>
      <w:r w:rsidRPr="00362F94">
        <w:rPr>
          <w:rFonts w:cs="FrankRuehl" w:hint="cs"/>
          <w:szCs w:val="26"/>
          <w:rtl/>
        </w:rPr>
        <w:t xml:space="preserve"> ביחס להטלת </w:t>
      </w:r>
      <w:proofErr w:type="spellStart"/>
      <w:r w:rsidRPr="00362F94">
        <w:rPr>
          <w:rFonts w:cs="FrankRuehl" w:hint="cs"/>
          <w:szCs w:val="26"/>
          <w:rtl/>
        </w:rPr>
        <w:t>של"ץ</w:t>
      </w:r>
      <w:proofErr w:type="spellEnd"/>
      <w:r w:rsidRPr="00362F94">
        <w:rPr>
          <w:rFonts w:cs="FrankRuehl" w:hint="cs"/>
          <w:szCs w:val="26"/>
          <w:rtl/>
        </w:rPr>
        <w:t xml:space="preserve"> נוכח הנסיבות המיוחדות של הנאשמת ושל התיק, אולם נותרו חלוקים בשאלת ההרשעה.</w:t>
      </w:r>
    </w:p>
    <w:p w14:paraId="0B6B1C6E"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72E6627"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r w:rsidRPr="00362F94">
        <w:rPr>
          <w:rFonts w:cs="FrankRuehl" w:hint="cs"/>
          <w:szCs w:val="26"/>
          <w:rtl/>
        </w:rPr>
        <w:t>בית המשפט פסק להלן:</w:t>
      </w:r>
    </w:p>
    <w:p w14:paraId="3A11B6DE"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r w:rsidRPr="00362F94">
        <w:rPr>
          <w:rFonts w:cs="FrankRuehl"/>
          <w:szCs w:val="26"/>
          <w:rtl/>
        </w:rPr>
        <w:t xml:space="preserve">בידוע, כי הרשעה </w:t>
      </w:r>
      <w:r w:rsidRPr="00362F94">
        <w:rPr>
          <w:rFonts w:cs="FrankRuehl" w:hint="cs"/>
          <w:szCs w:val="26"/>
          <w:rtl/>
        </w:rPr>
        <w:t xml:space="preserve">היא </w:t>
      </w:r>
      <w:r w:rsidRPr="00362F94">
        <w:rPr>
          <w:rFonts w:cs="FrankRuehl"/>
          <w:szCs w:val="26"/>
          <w:rtl/>
        </w:rPr>
        <w:t xml:space="preserve">הכלל, וביטול הרשעה או הימנעות ממנה הם החריגים לכלל בהינתן שני תנאים מצטברים: הראשון, טיב העבירה המאפשר בנסיבותיה לוותר על אינטרסים ציבוריים אחרים, והשני, הוכחת נזק קונקרטי וחמור שייגרם לנאשם מעצם ההרשעה. </w:t>
      </w:r>
    </w:p>
    <w:p w14:paraId="54A12E2D"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r w:rsidRPr="00362F94">
        <w:rPr>
          <w:rFonts w:cs="FrankRuehl"/>
          <w:szCs w:val="26"/>
          <w:rtl/>
        </w:rPr>
        <w:lastRenderedPageBreak/>
        <w:t>אשר לתנאי הראשון, ישנם שפע של פסקי דין בנסיבות של ריבוי מקרים של סחר בסמים, בהם בוטלה הרשעתו של נאשם</w:t>
      </w:r>
      <w:r w:rsidRPr="00362F94">
        <w:rPr>
          <w:rFonts w:cs="FrankRuehl" w:hint="cs"/>
          <w:szCs w:val="26"/>
          <w:rtl/>
        </w:rPr>
        <w:t>. מקרה</w:t>
      </w:r>
      <w:r w:rsidRPr="00362F94">
        <w:rPr>
          <w:rFonts w:cs="FrankRuehl"/>
          <w:szCs w:val="26"/>
          <w:rtl/>
        </w:rPr>
        <w:t xml:space="preserve"> של אירוע סחר בודד</w:t>
      </w:r>
      <w:r w:rsidRPr="00362F94">
        <w:rPr>
          <w:rFonts w:cs="FrankRuehl" w:hint="cs"/>
          <w:szCs w:val="26"/>
          <w:rtl/>
        </w:rPr>
        <w:t>,</w:t>
      </w:r>
      <w:r w:rsidRPr="00362F94">
        <w:rPr>
          <w:rFonts w:cs="FrankRuehl"/>
          <w:szCs w:val="26"/>
          <w:rtl/>
        </w:rPr>
        <w:t xml:space="preserve"> בנסיבות שתוארו בין היתר בתסקיר, מאפשר ביטול הרשעה. </w:t>
      </w:r>
    </w:p>
    <w:p w14:paraId="467551C8"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r w:rsidRPr="00362F94">
        <w:rPr>
          <w:rFonts w:cs="FrankRuehl"/>
          <w:szCs w:val="26"/>
          <w:rtl/>
        </w:rPr>
        <w:t xml:space="preserve">אשר לתנאי השני, מדובר באירוע חד פעמי שאינו מאפיין את אורחות חייה של הנאשמת, שהיא בתחילת שנות העשרים </w:t>
      </w:r>
      <w:r w:rsidRPr="00362F94">
        <w:rPr>
          <w:rFonts w:cs="FrankRuehl" w:hint="cs"/>
          <w:szCs w:val="26"/>
          <w:rtl/>
        </w:rPr>
        <w:t>ו</w:t>
      </w:r>
      <w:r w:rsidRPr="00362F94">
        <w:rPr>
          <w:rFonts w:cs="FrankRuehl"/>
          <w:szCs w:val="26"/>
          <w:rtl/>
        </w:rPr>
        <w:t>אם צעירה. בהתחשב ברקע של הנאשמת והקשיים ע</w:t>
      </w:r>
      <w:r w:rsidRPr="00362F94">
        <w:rPr>
          <w:rFonts w:cs="FrankRuehl" w:hint="cs"/>
          <w:szCs w:val="26"/>
          <w:rtl/>
        </w:rPr>
        <w:t>י</w:t>
      </w:r>
      <w:r w:rsidRPr="00362F94">
        <w:rPr>
          <w:rFonts w:cs="FrankRuehl"/>
          <w:szCs w:val="26"/>
          <w:rtl/>
        </w:rPr>
        <w:t>מם התמודדה, ובהינתן היות האירוע כשל חד</w:t>
      </w:r>
      <w:r w:rsidRPr="00362F94">
        <w:rPr>
          <w:rFonts w:cs="FrankRuehl" w:hint="cs"/>
          <w:szCs w:val="26"/>
          <w:rtl/>
        </w:rPr>
        <w:t xml:space="preserve"> </w:t>
      </w:r>
      <w:r w:rsidRPr="00362F94">
        <w:rPr>
          <w:rFonts w:cs="FrankRuehl"/>
          <w:szCs w:val="26"/>
          <w:rtl/>
        </w:rPr>
        <w:t xml:space="preserve">פעמי, יש מקום לבטל את ההרשעה מחשש כי הותרתה תפגע בה לאורך חייה, בוודאי בשנים הקרובות, שנים קריטיות להשתלבות בשוק העבודה. </w:t>
      </w:r>
      <w:r w:rsidRPr="00362F94">
        <w:rPr>
          <w:rFonts w:cs="FrankRuehl" w:hint="cs"/>
          <w:szCs w:val="26"/>
          <w:rtl/>
        </w:rPr>
        <w:t xml:space="preserve">מכאן שהותרת ההרשעה על כנה תהיה בלתי צודקת. </w:t>
      </w:r>
    </w:p>
    <w:p w14:paraId="1DCF52E7" w14:textId="77777777" w:rsidR="005C75AC" w:rsidRPr="00362F94" w:rsidRDefault="005C75AC" w:rsidP="005C75AC">
      <w:pPr>
        <w:pBdr>
          <w:top w:val="single" w:sz="4" w:space="1" w:color="auto"/>
          <w:bottom w:val="single" w:sz="4" w:space="1" w:color="auto"/>
        </w:pBdr>
        <w:spacing w:after="120" w:line="320" w:lineRule="exact"/>
        <w:jc w:val="both"/>
        <w:rPr>
          <w:rFonts w:cs="FrankRuehl" w:hint="cs"/>
          <w:szCs w:val="26"/>
          <w:rtl/>
        </w:rPr>
      </w:pPr>
      <w:r w:rsidRPr="00362F94">
        <w:rPr>
          <w:rFonts w:cs="FrankRuehl" w:hint="cs"/>
          <w:szCs w:val="26"/>
          <w:rtl/>
        </w:rPr>
        <w:t xml:space="preserve">לפיכך, יש להורות </w:t>
      </w:r>
      <w:r w:rsidRPr="00362F94">
        <w:rPr>
          <w:rFonts w:cs="FrankRuehl"/>
          <w:szCs w:val="26"/>
          <w:rtl/>
        </w:rPr>
        <w:t>על ביטול ההרשעה</w:t>
      </w:r>
      <w:r w:rsidRPr="00362F94">
        <w:rPr>
          <w:rFonts w:cs="FrankRuehl" w:hint="cs"/>
          <w:szCs w:val="26"/>
          <w:rtl/>
        </w:rPr>
        <w:t xml:space="preserve">. יש להטיל על הנאשמת </w:t>
      </w:r>
      <w:proofErr w:type="spellStart"/>
      <w:r w:rsidRPr="00362F94">
        <w:rPr>
          <w:rFonts w:cs="FrankRuehl" w:hint="cs"/>
          <w:szCs w:val="26"/>
          <w:rtl/>
        </w:rPr>
        <w:t>של"ץ</w:t>
      </w:r>
      <w:proofErr w:type="spellEnd"/>
      <w:r w:rsidRPr="00362F94">
        <w:rPr>
          <w:rFonts w:cs="FrankRuehl" w:hint="cs"/>
          <w:szCs w:val="26"/>
          <w:rtl/>
        </w:rPr>
        <w:t xml:space="preserve"> בהיקף 150 שעות, תרומה בסך 2,000 ₪ לעמותת אל-סם, התחייבות כספית וצו מבחן למשך שנה.</w:t>
      </w:r>
    </w:p>
    <w:p w14:paraId="35AC3B50" w14:textId="77777777" w:rsidR="005C75AC" w:rsidRPr="006856B4" w:rsidRDefault="005C75AC" w:rsidP="006856B4">
      <w:pPr>
        <w:spacing w:before="120" w:after="120" w:line="240" w:lineRule="exact"/>
        <w:ind w:left="283" w:hanging="283"/>
        <w:jc w:val="both"/>
        <w:rPr>
          <w:rFonts w:ascii="FrankRuehl" w:hAnsi="FrankRuehl" w:cs="FrankRuehl" w:hint="cs"/>
          <w:rtl/>
        </w:rPr>
      </w:pPr>
      <w:bookmarkStart w:id="6" w:name="ABSTRACT_END"/>
      <w:bookmarkEnd w:id="6"/>
    </w:p>
    <w:p w14:paraId="2B6C4C46" w14:textId="77777777" w:rsidR="00A86A21" w:rsidRPr="00C858FD" w:rsidRDefault="00A86A21" w:rsidP="00A86A21">
      <w:pPr>
        <w:jc w:val="center"/>
        <w:rPr>
          <w:rFonts w:ascii="David" w:hAnsi="David"/>
          <w:b/>
          <w:bCs/>
          <w:sz w:val="32"/>
          <w:szCs w:val="32"/>
          <w:rtl/>
        </w:rPr>
      </w:pPr>
      <w:bookmarkStart w:id="7" w:name="PsakDin"/>
      <w:r w:rsidRPr="00C858FD">
        <w:rPr>
          <w:rFonts w:ascii="David" w:hAnsi="David"/>
          <w:b/>
          <w:bCs/>
          <w:sz w:val="32"/>
          <w:szCs w:val="32"/>
          <w:rtl/>
        </w:rPr>
        <w:t>גזר דין   תוך ביטול הרשעה</w:t>
      </w:r>
    </w:p>
    <w:bookmarkEnd w:id="7"/>
    <w:p w14:paraId="74B6D598" w14:textId="77777777" w:rsidR="0021418A" w:rsidRDefault="0021418A" w:rsidP="0021418A">
      <w:pPr>
        <w:spacing w:line="360" w:lineRule="auto"/>
        <w:rPr>
          <w:rFonts w:ascii="David" w:hAnsi="David"/>
          <w:b/>
          <w:bCs/>
          <w:sz w:val="26"/>
          <w:szCs w:val="26"/>
          <w:u w:val="single"/>
        </w:rPr>
      </w:pPr>
      <w:r>
        <w:rPr>
          <w:rFonts w:ascii="David" w:hAnsi="David"/>
          <w:b/>
          <w:bCs/>
          <w:sz w:val="26"/>
          <w:szCs w:val="26"/>
          <w:u w:val="single"/>
          <w:rtl/>
        </w:rPr>
        <w:t>כתב האישום</w:t>
      </w:r>
    </w:p>
    <w:p w14:paraId="252D22F4" w14:textId="77777777" w:rsidR="0021418A" w:rsidRDefault="0021418A" w:rsidP="0021418A">
      <w:pPr>
        <w:spacing w:after="160" w:line="360" w:lineRule="auto"/>
        <w:jc w:val="both"/>
        <w:rPr>
          <w:rFonts w:ascii="David" w:hAnsi="David"/>
          <w:sz w:val="26"/>
          <w:szCs w:val="26"/>
        </w:rPr>
      </w:pPr>
      <w:r>
        <w:rPr>
          <w:rFonts w:ascii="David" w:hAnsi="David"/>
          <w:sz w:val="26"/>
          <w:szCs w:val="26"/>
          <w:rtl/>
        </w:rPr>
        <w:t>הנאשמת הודתה והורשעה בכתב האישום</w:t>
      </w:r>
      <w:r>
        <w:rPr>
          <w:rFonts w:ascii="David" w:hAnsi="David" w:hint="cs"/>
          <w:sz w:val="26"/>
          <w:szCs w:val="26"/>
          <w:rtl/>
        </w:rPr>
        <w:t xml:space="preserve"> </w:t>
      </w:r>
      <w:r>
        <w:rPr>
          <w:rFonts w:ascii="David" w:hAnsi="David"/>
          <w:sz w:val="26"/>
          <w:szCs w:val="26"/>
          <w:rtl/>
        </w:rPr>
        <w:t xml:space="preserve">בעבירה של </w:t>
      </w:r>
      <w:r>
        <w:rPr>
          <w:rFonts w:ascii="David" w:hAnsi="David"/>
          <w:b/>
          <w:bCs/>
          <w:sz w:val="26"/>
          <w:szCs w:val="26"/>
          <w:rtl/>
        </w:rPr>
        <w:t xml:space="preserve">סחר </w:t>
      </w:r>
      <w:r>
        <w:rPr>
          <w:rFonts w:ascii="David" w:hAnsi="David" w:hint="cs"/>
          <w:b/>
          <w:bCs/>
          <w:sz w:val="26"/>
          <w:szCs w:val="26"/>
          <w:rtl/>
        </w:rPr>
        <w:t>ב</w:t>
      </w:r>
      <w:r>
        <w:rPr>
          <w:rFonts w:ascii="David" w:hAnsi="David"/>
          <w:b/>
          <w:bCs/>
          <w:sz w:val="26"/>
          <w:szCs w:val="26"/>
          <w:rtl/>
        </w:rPr>
        <w:t>סם מסוכן</w:t>
      </w:r>
      <w:r>
        <w:rPr>
          <w:rFonts w:ascii="David" w:hAnsi="David"/>
          <w:sz w:val="26"/>
          <w:szCs w:val="26"/>
          <w:rtl/>
        </w:rPr>
        <w:t xml:space="preserve">, לפי </w:t>
      </w:r>
      <w:hyperlink r:id="rId16" w:history="1">
        <w:r w:rsidR="00A86A21" w:rsidRPr="00A86A21">
          <w:rPr>
            <w:rStyle w:val="Hyperlink"/>
            <w:rFonts w:ascii="David" w:hAnsi="David"/>
            <w:sz w:val="26"/>
            <w:szCs w:val="26"/>
            <w:rtl/>
          </w:rPr>
          <w:t>סעיפים 13</w:t>
        </w:r>
      </w:hyperlink>
      <w:r>
        <w:rPr>
          <w:rFonts w:ascii="David" w:hAnsi="David"/>
          <w:sz w:val="26"/>
          <w:szCs w:val="26"/>
          <w:rtl/>
        </w:rPr>
        <w:t xml:space="preserve"> ו-</w:t>
      </w:r>
      <w:hyperlink r:id="rId17" w:history="1">
        <w:r w:rsidR="00A86A21" w:rsidRPr="00A86A21">
          <w:rPr>
            <w:rStyle w:val="Hyperlink"/>
            <w:rFonts w:ascii="David" w:hAnsi="David"/>
            <w:sz w:val="26"/>
            <w:szCs w:val="26"/>
            <w:rtl/>
          </w:rPr>
          <w:t>19א</w:t>
        </w:r>
      </w:hyperlink>
      <w:r>
        <w:rPr>
          <w:rFonts w:ascii="David" w:hAnsi="David"/>
          <w:sz w:val="26"/>
          <w:szCs w:val="26"/>
          <w:rtl/>
        </w:rPr>
        <w:t xml:space="preserve"> ל</w:t>
      </w:r>
      <w:hyperlink r:id="rId18" w:history="1">
        <w:r w:rsidR="00C858FD" w:rsidRPr="00C858FD">
          <w:rPr>
            <w:rFonts w:ascii="David" w:hAnsi="David"/>
            <w:color w:val="0000FF"/>
            <w:sz w:val="26"/>
            <w:szCs w:val="26"/>
            <w:u w:val="single"/>
            <w:rtl/>
          </w:rPr>
          <w:t>פקודת הסמים המסוכנים</w:t>
        </w:r>
      </w:hyperlink>
      <w:r>
        <w:rPr>
          <w:rFonts w:ascii="David" w:hAnsi="David"/>
          <w:sz w:val="26"/>
          <w:szCs w:val="26"/>
          <w:rtl/>
        </w:rPr>
        <w:t xml:space="preserve"> (נוסח חדש), תשל"ג – 1973.</w:t>
      </w:r>
    </w:p>
    <w:p w14:paraId="4FA2B27F" w14:textId="77777777" w:rsidR="0021418A" w:rsidRDefault="0021418A" w:rsidP="0021418A">
      <w:pPr>
        <w:spacing w:after="160" w:line="360" w:lineRule="auto"/>
        <w:jc w:val="both"/>
        <w:rPr>
          <w:rFonts w:ascii="David" w:hAnsi="David"/>
          <w:sz w:val="26"/>
          <w:szCs w:val="26"/>
          <w:rtl/>
        </w:rPr>
      </w:pPr>
      <w:r>
        <w:rPr>
          <w:rFonts w:ascii="David" w:hAnsi="David"/>
          <w:sz w:val="26"/>
          <w:szCs w:val="26"/>
          <w:rtl/>
        </w:rPr>
        <w:t xml:space="preserve">על פי עובדות כתב האישום, ביום 19.6.2018 נכנס השוטר א"ק לאפליקציית </w:t>
      </w:r>
      <w:proofErr w:type="spellStart"/>
      <w:r>
        <w:rPr>
          <w:rFonts w:ascii="David" w:hAnsi="David"/>
          <w:sz w:val="26"/>
          <w:szCs w:val="26"/>
          <w:rtl/>
        </w:rPr>
        <w:t>ה"טלגראס</w:t>
      </w:r>
      <w:proofErr w:type="spellEnd"/>
      <w:r>
        <w:rPr>
          <w:rFonts w:ascii="David" w:hAnsi="David"/>
          <w:sz w:val="26"/>
          <w:szCs w:val="26"/>
          <w:rtl/>
        </w:rPr>
        <w:t>" והבחין כי משתמש בשם "</w:t>
      </w:r>
      <w:r>
        <w:rPr>
          <w:rFonts w:ascii="David" w:hAnsi="David"/>
          <w:sz w:val="26"/>
          <w:szCs w:val="26"/>
        </w:rPr>
        <w:t>crazy girl</w:t>
      </w:r>
      <w:r>
        <w:rPr>
          <w:rFonts w:ascii="David" w:hAnsi="David"/>
          <w:sz w:val="26"/>
          <w:szCs w:val="26"/>
          <w:rtl/>
        </w:rPr>
        <w:t xml:space="preserve">" פרסם הודעה לפיה מוצעים למכירה 10 גרם </w:t>
      </w:r>
      <w:proofErr w:type="spellStart"/>
      <w:r>
        <w:rPr>
          <w:rFonts w:ascii="David" w:hAnsi="David"/>
          <w:sz w:val="26"/>
          <w:szCs w:val="26"/>
          <w:rtl/>
        </w:rPr>
        <w:t>קנביס</w:t>
      </w:r>
      <w:proofErr w:type="spellEnd"/>
      <w:r>
        <w:rPr>
          <w:rFonts w:ascii="David" w:hAnsi="David"/>
          <w:sz w:val="26"/>
          <w:szCs w:val="26"/>
          <w:rtl/>
        </w:rPr>
        <w:t xml:space="preserve"> במחיר של 650 ₪. השוטר שוחח עם המשתמש והשניים קבעו להיפגש על מנת לבצע את הרכישה. באותן נסיבות, הגיע השוטר למקום המפגש, מסר את הכסף לנאשמת וזו העבירה לשוטר שקית ניילון ובתוכה 9.79 גרם </w:t>
      </w:r>
      <w:proofErr w:type="spellStart"/>
      <w:r>
        <w:rPr>
          <w:rFonts w:ascii="David" w:hAnsi="David"/>
          <w:sz w:val="26"/>
          <w:szCs w:val="26"/>
          <w:rtl/>
        </w:rPr>
        <w:t>קנביס</w:t>
      </w:r>
      <w:proofErr w:type="spellEnd"/>
      <w:r>
        <w:rPr>
          <w:rFonts w:ascii="David" w:hAnsi="David"/>
          <w:sz w:val="26"/>
          <w:szCs w:val="26"/>
          <w:rtl/>
        </w:rPr>
        <w:t>.</w:t>
      </w:r>
    </w:p>
    <w:p w14:paraId="2FA69365" w14:textId="77777777" w:rsidR="0021418A" w:rsidRDefault="0021418A" w:rsidP="0021418A">
      <w:pPr>
        <w:spacing w:after="160"/>
        <w:jc w:val="both"/>
        <w:rPr>
          <w:rFonts w:ascii="David" w:hAnsi="David"/>
          <w:b/>
          <w:bCs/>
          <w:sz w:val="26"/>
          <w:szCs w:val="26"/>
          <w:u w:val="single"/>
          <w:rtl/>
        </w:rPr>
      </w:pPr>
    </w:p>
    <w:p w14:paraId="24715AB1" w14:textId="77777777" w:rsidR="0021418A" w:rsidRDefault="0021418A" w:rsidP="0021418A">
      <w:pPr>
        <w:spacing w:after="160"/>
        <w:jc w:val="both"/>
        <w:rPr>
          <w:rFonts w:ascii="David" w:hAnsi="David"/>
          <w:b/>
          <w:bCs/>
          <w:sz w:val="26"/>
          <w:szCs w:val="26"/>
          <w:u w:val="single"/>
          <w:rtl/>
        </w:rPr>
      </w:pPr>
      <w:r>
        <w:rPr>
          <w:rFonts w:ascii="David" w:hAnsi="David"/>
          <w:b/>
          <w:bCs/>
          <w:sz w:val="26"/>
          <w:szCs w:val="26"/>
          <w:u w:val="single"/>
          <w:rtl/>
        </w:rPr>
        <w:t>מהלך הדיון</w:t>
      </w:r>
    </w:p>
    <w:p w14:paraId="2BB0F957" w14:textId="77777777" w:rsidR="0021418A" w:rsidRDefault="0021418A" w:rsidP="0021418A">
      <w:pPr>
        <w:spacing w:after="160" w:line="360" w:lineRule="auto"/>
        <w:jc w:val="both"/>
        <w:rPr>
          <w:rFonts w:ascii="David" w:hAnsi="David"/>
          <w:sz w:val="26"/>
          <w:szCs w:val="26"/>
          <w:rtl/>
        </w:rPr>
      </w:pPr>
      <w:r>
        <w:rPr>
          <w:rFonts w:ascii="David" w:hAnsi="David"/>
          <w:sz w:val="26"/>
          <w:szCs w:val="26"/>
          <w:rtl/>
        </w:rPr>
        <w:t xml:space="preserve">כאמור הנאשמת הודתה והורשעה בכתב האישום, במסגר הסדר טיעון שלא כלל הסכמה </w:t>
      </w:r>
      <w:proofErr w:type="spellStart"/>
      <w:r>
        <w:rPr>
          <w:rFonts w:ascii="David" w:hAnsi="David"/>
          <w:sz w:val="26"/>
          <w:szCs w:val="26"/>
          <w:rtl/>
        </w:rPr>
        <w:t>עונשית</w:t>
      </w:r>
      <w:proofErr w:type="spellEnd"/>
      <w:r>
        <w:rPr>
          <w:rFonts w:ascii="David" w:hAnsi="David"/>
          <w:sz w:val="26"/>
          <w:szCs w:val="26"/>
          <w:rtl/>
        </w:rPr>
        <w:t xml:space="preserve"> ונשלחה לשירות מבחן, שנתבקש, בין היתר, לבחון גם את שאלת ההרשעה.</w:t>
      </w:r>
    </w:p>
    <w:p w14:paraId="3F5A4B8F" w14:textId="77777777" w:rsidR="0021418A" w:rsidRDefault="0021418A" w:rsidP="0021418A">
      <w:pPr>
        <w:spacing w:after="160"/>
        <w:jc w:val="both"/>
        <w:rPr>
          <w:rFonts w:ascii="David" w:hAnsi="David"/>
          <w:b/>
          <w:bCs/>
          <w:sz w:val="26"/>
          <w:szCs w:val="26"/>
          <w:u w:val="single"/>
          <w:rtl/>
        </w:rPr>
      </w:pPr>
    </w:p>
    <w:p w14:paraId="06117555" w14:textId="77777777" w:rsidR="0021418A" w:rsidRDefault="0021418A" w:rsidP="0021418A">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66CF032F" w14:textId="77777777" w:rsidR="0021418A" w:rsidRDefault="0021418A" w:rsidP="0021418A">
      <w:pPr>
        <w:spacing w:after="160" w:line="360" w:lineRule="auto"/>
        <w:jc w:val="both"/>
        <w:rPr>
          <w:rFonts w:ascii="David" w:hAnsi="David"/>
          <w:sz w:val="26"/>
          <w:szCs w:val="26"/>
        </w:rPr>
      </w:pPr>
      <w:r>
        <w:rPr>
          <w:rFonts w:ascii="David" w:hAnsi="David"/>
          <w:sz w:val="26"/>
          <w:szCs w:val="26"/>
          <w:rtl/>
        </w:rPr>
        <w:t xml:space="preserve">הצדדים </w:t>
      </w:r>
      <w:r>
        <w:rPr>
          <w:rFonts w:ascii="David" w:hAnsi="David" w:hint="cs"/>
          <w:sz w:val="26"/>
          <w:szCs w:val="26"/>
          <w:rtl/>
        </w:rPr>
        <w:t xml:space="preserve">הגיעו להסכמה </w:t>
      </w:r>
      <w:proofErr w:type="spellStart"/>
      <w:r>
        <w:rPr>
          <w:rFonts w:ascii="David" w:hAnsi="David" w:hint="cs"/>
          <w:sz w:val="26"/>
          <w:szCs w:val="26"/>
          <w:rtl/>
        </w:rPr>
        <w:t>עונשית</w:t>
      </w:r>
      <w:proofErr w:type="spellEnd"/>
      <w:r>
        <w:rPr>
          <w:rFonts w:ascii="David" w:hAnsi="David" w:hint="cs"/>
          <w:sz w:val="26"/>
          <w:szCs w:val="26"/>
          <w:rtl/>
        </w:rPr>
        <w:t xml:space="preserve"> ביחס להטלת </w:t>
      </w:r>
      <w:proofErr w:type="spellStart"/>
      <w:r>
        <w:rPr>
          <w:rFonts w:ascii="David" w:hAnsi="David" w:hint="cs"/>
          <w:sz w:val="26"/>
          <w:szCs w:val="26"/>
          <w:rtl/>
        </w:rPr>
        <w:t>של"ץ</w:t>
      </w:r>
      <w:proofErr w:type="spellEnd"/>
      <w:r>
        <w:rPr>
          <w:rFonts w:ascii="David" w:hAnsi="David" w:hint="cs"/>
          <w:sz w:val="26"/>
          <w:szCs w:val="26"/>
          <w:rtl/>
        </w:rPr>
        <w:t xml:space="preserve"> נוכח הנסיבות המיוחדות של הנאשמת ושל התיק, אולם נותרו חלוקים בשאלת ההרשעה. המאשימה עומדת על הותרת ההרשעה על כנה, בעוד </w:t>
      </w:r>
      <w:proofErr w:type="spellStart"/>
      <w:r>
        <w:rPr>
          <w:rFonts w:ascii="David" w:hAnsi="David" w:hint="cs"/>
          <w:sz w:val="26"/>
          <w:szCs w:val="26"/>
          <w:rtl/>
        </w:rPr>
        <w:t>הסניגור</w:t>
      </w:r>
      <w:proofErr w:type="spellEnd"/>
      <w:r>
        <w:rPr>
          <w:rFonts w:ascii="David" w:hAnsi="David" w:hint="cs"/>
          <w:sz w:val="26"/>
          <w:szCs w:val="26"/>
          <w:rtl/>
        </w:rPr>
        <w:t xml:space="preserve"> ביקש לאמץ את המלצת שירות המבחן בהקשר זה. </w:t>
      </w:r>
    </w:p>
    <w:p w14:paraId="2EBA22F4" w14:textId="77777777" w:rsidR="0021418A" w:rsidRDefault="0021418A" w:rsidP="0021418A">
      <w:pPr>
        <w:spacing w:after="160" w:line="360" w:lineRule="auto"/>
        <w:jc w:val="both"/>
        <w:rPr>
          <w:rFonts w:ascii="David" w:hAnsi="David"/>
          <w:b/>
          <w:bCs/>
          <w:sz w:val="26"/>
          <w:szCs w:val="26"/>
          <w:u w:val="single"/>
          <w:rtl/>
        </w:rPr>
      </w:pPr>
    </w:p>
    <w:p w14:paraId="35DBAE4D" w14:textId="77777777" w:rsidR="0021418A" w:rsidRDefault="0021418A" w:rsidP="0021418A">
      <w:pPr>
        <w:spacing w:after="160"/>
        <w:jc w:val="both"/>
        <w:rPr>
          <w:rFonts w:ascii="David" w:hAnsi="David"/>
          <w:b/>
          <w:bCs/>
          <w:sz w:val="26"/>
          <w:szCs w:val="26"/>
          <w:u w:val="single"/>
          <w:rtl/>
        </w:rPr>
      </w:pPr>
      <w:r>
        <w:rPr>
          <w:rFonts w:ascii="David" w:hAnsi="David"/>
          <w:b/>
          <w:bCs/>
          <w:sz w:val="26"/>
          <w:szCs w:val="26"/>
          <w:u w:val="single"/>
          <w:rtl/>
        </w:rPr>
        <w:t>תסקיר</w:t>
      </w:r>
    </w:p>
    <w:p w14:paraId="47BA9AA3" w14:textId="77777777" w:rsidR="0021418A" w:rsidRDefault="0021418A" w:rsidP="0021418A">
      <w:pPr>
        <w:spacing w:after="160" w:line="360" w:lineRule="auto"/>
        <w:jc w:val="both"/>
        <w:rPr>
          <w:rFonts w:ascii="David" w:hAnsi="David"/>
          <w:sz w:val="26"/>
          <w:szCs w:val="26"/>
          <w:rtl/>
        </w:rPr>
      </w:pPr>
      <w:r>
        <w:rPr>
          <w:rFonts w:ascii="David" w:hAnsi="David"/>
          <w:sz w:val="26"/>
          <w:szCs w:val="26"/>
          <w:rtl/>
        </w:rPr>
        <w:lastRenderedPageBreak/>
        <w:t>בעניינה של הנאשמת הוגשו שלושה תסקירים</w:t>
      </w:r>
      <w:r>
        <w:rPr>
          <w:rFonts w:ascii="David" w:hAnsi="David" w:hint="cs"/>
          <w:sz w:val="26"/>
          <w:szCs w:val="26"/>
          <w:rtl/>
        </w:rPr>
        <w:t xml:space="preserve">. </w:t>
      </w:r>
      <w:r>
        <w:rPr>
          <w:rFonts w:ascii="David" w:hAnsi="David"/>
          <w:sz w:val="26"/>
          <w:szCs w:val="26"/>
          <w:rtl/>
        </w:rPr>
        <w:t>מהתסקירים שהוגשו עולה</w:t>
      </w:r>
      <w:r>
        <w:rPr>
          <w:rFonts w:ascii="David" w:hAnsi="David" w:hint="cs"/>
          <w:sz w:val="26"/>
          <w:szCs w:val="26"/>
          <w:rtl/>
        </w:rPr>
        <w:t>,</w:t>
      </w:r>
      <w:r>
        <w:rPr>
          <w:rFonts w:ascii="David" w:hAnsi="David"/>
          <w:sz w:val="26"/>
          <w:szCs w:val="26"/>
          <w:rtl/>
        </w:rPr>
        <w:t xml:space="preserve"> כי היא בת 22, רווקה </w:t>
      </w:r>
      <w:r>
        <w:rPr>
          <w:rFonts w:ascii="David" w:hAnsi="David" w:hint="cs"/>
          <w:sz w:val="26"/>
          <w:szCs w:val="26"/>
          <w:rtl/>
        </w:rPr>
        <w:t xml:space="preserve">ונמצאת בזוגיות, ואם לפעוט שנולד בחודשים האחרונים. היא מתגוררת עם משפחתה בבאר שבע. </w:t>
      </w:r>
      <w:r>
        <w:rPr>
          <w:rFonts w:ascii="David" w:hAnsi="David"/>
          <w:sz w:val="26"/>
          <w:szCs w:val="26"/>
          <w:rtl/>
        </w:rPr>
        <w:t>מקורות חייה, כפי שפורטו על ידי שירות מבחן, עולה כי הנאשמת סיימה 12 שנות לימוד עם תעודת בגרות חלקית ולא התגייסה לשירות צבאי, זאת בשל התיק הנוכחי. הנאשמת שללה בפני שירות המבחן שימוש בסמים ובדיקות לגילוי שרידי סם שמסרה נמצאו נקיות. אשר לעבירה בה הורשעה, סיפרה כי שכרה דירה יחד עם חברה למשך מספר ימים בירושלים. כשהגיעה לדירה, הבינה כי חברתה מוכרת סמים וביקשה לא להתערב, אולם כשביקשה לחזור הביתה, לא היה לה כסף וחברתה הציעה לה למכור את הסם תמורת כסף על מנת שתוכל לשוב לביתה. שירות המבחן התרשם כי הנאשמת הודתה בעבירה וקיבלה אחריות מלאה כאשר המניעים לביצוע העבירה נובעים מחוסר בשלות וקושי בהפעלת שיקול דעת האופייניים לגילה הצעיר. השירות התרשם כי מדובר באירוע חריג שאינו מאפיין את הנאשמת. בתחילה השתלבה הנאשמת בטיפול קבוצתי, אך עד מהרה התברר כי טיפול פרטני מתאים לה יותר, ואכן במסגרת זו חל שיפור בשיתוף הפעולה ובהירתמות הנאשמת למהלך זה. ניכר כי היא מצליחה לבחון את דפוסי התנהגותה וכי השיחות הפרטניות מהוות עבורה מקור תמיכה ועידוד. הנאשמת נעדרת עבר פלילי. לאור האמור, ההישגים אליהם הגיעה ברמה הטיפולית, השיקומית, המשפחתית ומקצועית, וכן</w:t>
      </w:r>
      <w:r w:rsidR="005C75AC">
        <w:rPr>
          <w:rFonts w:ascii="David" w:hAnsi="David"/>
          <w:sz w:val="26"/>
          <w:szCs w:val="26"/>
          <w:rtl/>
        </w:rPr>
        <w:t xml:space="preserve"> </w:t>
      </w:r>
      <w:r>
        <w:rPr>
          <w:rFonts w:ascii="David" w:hAnsi="David"/>
          <w:sz w:val="26"/>
          <w:szCs w:val="26"/>
          <w:rtl/>
        </w:rPr>
        <w:t xml:space="preserve">נוכח גילה הצעיר, המליץ שירות המבחן על הטלת צו מבחן למשך שנה, לצד 150 שעות </w:t>
      </w:r>
      <w:proofErr w:type="spellStart"/>
      <w:r>
        <w:rPr>
          <w:rFonts w:ascii="David" w:hAnsi="David"/>
          <w:sz w:val="26"/>
          <w:szCs w:val="26"/>
          <w:rtl/>
        </w:rPr>
        <w:t>של"ץ</w:t>
      </w:r>
      <w:proofErr w:type="spellEnd"/>
      <w:r>
        <w:rPr>
          <w:rFonts w:ascii="David" w:hAnsi="David"/>
          <w:sz w:val="26"/>
          <w:szCs w:val="26"/>
          <w:rtl/>
        </w:rPr>
        <w:t xml:space="preserve"> וביטול ההרשעה בשל חשש מפגיעה בדימויה העצמי של הנאשמת.</w:t>
      </w:r>
    </w:p>
    <w:p w14:paraId="5CCB30CF" w14:textId="77777777" w:rsidR="0021418A" w:rsidRDefault="0021418A" w:rsidP="0021418A">
      <w:pPr>
        <w:spacing w:after="160" w:line="360" w:lineRule="auto"/>
        <w:jc w:val="both"/>
        <w:rPr>
          <w:rFonts w:ascii="David" w:hAnsi="David"/>
          <w:b/>
          <w:bCs/>
          <w:sz w:val="26"/>
          <w:szCs w:val="26"/>
          <w:u w:val="single"/>
          <w:rtl/>
        </w:rPr>
      </w:pPr>
    </w:p>
    <w:p w14:paraId="7A1C6DFB" w14:textId="77777777" w:rsidR="0021418A" w:rsidRDefault="0021418A" w:rsidP="0021418A">
      <w:pPr>
        <w:spacing w:after="160" w:line="360" w:lineRule="auto"/>
        <w:jc w:val="both"/>
        <w:rPr>
          <w:rFonts w:ascii="David" w:hAnsi="David"/>
          <w:b/>
          <w:bCs/>
          <w:sz w:val="26"/>
          <w:szCs w:val="26"/>
          <w:u w:val="single"/>
          <w:rtl/>
        </w:rPr>
      </w:pPr>
      <w:r>
        <w:rPr>
          <w:rFonts w:ascii="David" w:hAnsi="David"/>
          <w:b/>
          <w:bCs/>
          <w:sz w:val="26"/>
          <w:szCs w:val="26"/>
          <w:u w:val="single"/>
          <w:rtl/>
        </w:rPr>
        <w:t xml:space="preserve">קביעת מתחם הענישה </w:t>
      </w:r>
      <w:r>
        <w:rPr>
          <w:rFonts w:ascii="David" w:hAnsi="David"/>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FB42EE5" w14:textId="77777777" w:rsidR="0021418A" w:rsidRDefault="0021418A" w:rsidP="0021418A">
      <w:pPr>
        <w:spacing w:after="160" w:line="360" w:lineRule="auto"/>
        <w:jc w:val="both"/>
        <w:rPr>
          <w:rFonts w:ascii="David" w:hAnsi="David"/>
          <w:b/>
          <w:bCs/>
          <w:sz w:val="26"/>
          <w:szCs w:val="26"/>
          <w:u w:val="single"/>
          <w:rtl/>
        </w:rPr>
      </w:pPr>
    </w:p>
    <w:p w14:paraId="2E77D2A5" w14:textId="77777777" w:rsidR="0021418A" w:rsidRDefault="0021418A" w:rsidP="0021418A">
      <w:pPr>
        <w:spacing w:after="160" w:line="360" w:lineRule="auto"/>
        <w:jc w:val="both"/>
        <w:rPr>
          <w:rFonts w:ascii="David" w:hAnsi="David"/>
          <w:sz w:val="26"/>
          <w:szCs w:val="26"/>
          <w:rtl/>
        </w:rPr>
      </w:pPr>
      <w:r>
        <w:rPr>
          <w:rFonts w:ascii="David" w:hAnsi="David"/>
          <w:b/>
          <w:bCs/>
          <w:sz w:val="26"/>
          <w:szCs w:val="26"/>
          <w:u w:val="single"/>
          <w:rtl/>
        </w:rPr>
        <w:t xml:space="preserve">אשר לערך המוגן </w:t>
      </w:r>
      <w:r>
        <w:rPr>
          <w:rFonts w:ascii="David" w:hAnsi="David"/>
          <w:sz w:val="26"/>
          <w:szCs w:val="26"/>
          <w:rtl/>
        </w:rPr>
        <w:t xml:space="preserve">– העבירה אותה עברה הנאשמת פוגעת בערך המוגן של שמירה על שלום הציבור ובריאותו מפני נגע הסמים, שתוצאות השימוש בהם וההתמכרות אליהם קשות, ארוכות טווח ורחבות היקף וחורגות מעניינו של אדם אחד, ונוגעות לכלל החברה. בהקשר לסחר בסמים, בתי המשפט נוטים להחמיר בענישה, ולעתים קרובות, מדובר בענישה של מאסר בפועל ואף לתקופות לא קצרות גם בסחר בסמים "קלים". </w:t>
      </w:r>
    </w:p>
    <w:p w14:paraId="45D8DA69" w14:textId="77777777" w:rsidR="0021418A" w:rsidRDefault="0021418A" w:rsidP="0021418A">
      <w:pPr>
        <w:spacing w:after="160" w:line="360" w:lineRule="auto"/>
        <w:jc w:val="both"/>
        <w:rPr>
          <w:rFonts w:ascii="David" w:hAnsi="David"/>
          <w:b/>
          <w:bCs/>
          <w:sz w:val="26"/>
          <w:szCs w:val="26"/>
          <w:u w:val="single"/>
          <w:rtl/>
        </w:rPr>
      </w:pPr>
    </w:p>
    <w:p w14:paraId="2B3FB926" w14:textId="77777777" w:rsidR="0021418A" w:rsidRDefault="0021418A" w:rsidP="0021418A">
      <w:pPr>
        <w:spacing w:after="160" w:line="360" w:lineRule="auto"/>
        <w:jc w:val="both"/>
        <w:rPr>
          <w:rFonts w:ascii="David" w:hAnsi="David"/>
          <w:sz w:val="26"/>
          <w:szCs w:val="26"/>
          <w:rtl/>
        </w:rPr>
      </w:pPr>
      <w:r>
        <w:rPr>
          <w:rFonts w:ascii="David" w:hAnsi="David"/>
          <w:b/>
          <w:bCs/>
          <w:sz w:val="26"/>
          <w:szCs w:val="26"/>
          <w:u w:val="single"/>
          <w:rtl/>
        </w:rPr>
        <w:t xml:space="preserve">נסיבות הקשורות בביצוע העבירה, לפי </w:t>
      </w:r>
      <w:hyperlink r:id="rId19" w:history="1">
        <w:r w:rsidR="00A86A21" w:rsidRPr="00A86A21">
          <w:rPr>
            <w:rStyle w:val="Hyperlink"/>
            <w:rFonts w:ascii="David" w:hAnsi="David"/>
            <w:b/>
            <w:bCs/>
            <w:sz w:val="26"/>
            <w:szCs w:val="26"/>
            <w:rtl/>
          </w:rPr>
          <w:t xml:space="preserve">סעיף </w:t>
        </w:r>
        <w:proofErr w:type="spellStart"/>
        <w:r w:rsidR="00A86A21" w:rsidRPr="00A86A21">
          <w:rPr>
            <w:rStyle w:val="Hyperlink"/>
            <w:rFonts w:ascii="David" w:hAnsi="David"/>
            <w:b/>
            <w:bCs/>
            <w:sz w:val="26"/>
            <w:szCs w:val="26"/>
            <w:rtl/>
          </w:rPr>
          <w:t>40ט</w:t>
        </w:r>
        <w:proofErr w:type="spellEnd"/>
        <w:r w:rsidR="00A86A21" w:rsidRPr="00A86A21">
          <w:rPr>
            <w:rStyle w:val="Hyperlink"/>
            <w:rFonts w:ascii="David" w:hAnsi="David"/>
            <w:b/>
            <w:bCs/>
            <w:sz w:val="26"/>
            <w:szCs w:val="26"/>
            <w:rtl/>
          </w:rPr>
          <w:t>'</w:t>
        </w:r>
      </w:hyperlink>
      <w:r>
        <w:rPr>
          <w:rFonts w:ascii="David" w:hAnsi="David"/>
          <w:b/>
          <w:bCs/>
          <w:sz w:val="26"/>
          <w:szCs w:val="26"/>
          <w:u w:val="single"/>
          <w:rtl/>
        </w:rPr>
        <w:t xml:space="preserve"> ל</w:t>
      </w:r>
      <w:hyperlink r:id="rId20" w:history="1">
        <w:r w:rsidR="00C858FD" w:rsidRPr="00C858FD">
          <w:rPr>
            <w:rFonts w:ascii="David" w:hAnsi="David"/>
            <w:b/>
            <w:bCs/>
            <w:color w:val="0000FF"/>
            <w:sz w:val="26"/>
            <w:szCs w:val="26"/>
            <w:u w:val="single"/>
            <w:rtl/>
          </w:rPr>
          <w:t>חוק העונשין</w:t>
        </w:r>
      </w:hyperlink>
      <w:r>
        <w:rPr>
          <w:rFonts w:ascii="David" w:hAnsi="David"/>
          <w:b/>
          <w:bCs/>
          <w:sz w:val="26"/>
          <w:szCs w:val="26"/>
          <w:rtl/>
        </w:rPr>
        <w:t xml:space="preserve"> – </w:t>
      </w:r>
      <w:r>
        <w:rPr>
          <w:rFonts w:ascii="David" w:hAnsi="David"/>
          <w:sz w:val="26"/>
          <w:szCs w:val="26"/>
          <w:rtl/>
        </w:rPr>
        <w:t xml:space="preserve">בין הנסיבות הקשורות בביצוע העבירה יש לשקול את אלה, לעניין קביעת המתחם: מדובר בעבירה שבוצעה בתכנון ובאמצעות תיאום מוקדם מתוך מניע כספי, כאשר לנאשמת אין היכרות מוקדמת עם הסוכן, אלו הן נסיבות לחומרה; הנאשמת אחראית באופן בלעדי לביצוע העבירה ויכולה </w:t>
      </w:r>
      <w:proofErr w:type="spellStart"/>
      <w:r>
        <w:rPr>
          <w:rFonts w:ascii="David" w:hAnsi="David"/>
          <w:sz w:val="26"/>
          <w:szCs w:val="26"/>
          <w:rtl/>
        </w:rPr>
        <w:t>היתה</w:t>
      </w:r>
      <w:proofErr w:type="spellEnd"/>
      <w:r>
        <w:rPr>
          <w:rFonts w:ascii="David" w:hAnsi="David"/>
          <w:sz w:val="26"/>
          <w:szCs w:val="26"/>
          <w:rtl/>
        </w:rPr>
        <w:t xml:space="preserve"> להימנע מביצועה; על הנזק שבעבירות סמים עמדתי בסוקרי את הערך המוגן – במקרנו לא נגרם נזק ממשי לנוכח זהות הקונה, שוטר סמוי.</w:t>
      </w:r>
    </w:p>
    <w:p w14:paraId="46AEB9D3" w14:textId="77777777" w:rsidR="0021418A" w:rsidRDefault="0021418A" w:rsidP="0021418A">
      <w:pPr>
        <w:spacing w:after="160" w:line="360" w:lineRule="auto"/>
        <w:jc w:val="both"/>
        <w:rPr>
          <w:rFonts w:ascii="David" w:hAnsi="David"/>
          <w:sz w:val="26"/>
          <w:szCs w:val="26"/>
          <w:rtl/>
        </w:rPr>
      </w:pPr>
    </w:p>
    <w:p w14:paraId="381BB762" w14:textId="77777777" w:rsidR="0021418A" w:rsidRDefault="0021418A" w:rsidP="0021418A">
      <w:pPr>
        <w:spacing w:after="160" w:line="360" w:lineRule="auto"/>
        <w:jc w:val="both"/>
        <w:rPr>
          <w:rFonts w:ascii="David" w:hAnsi="David"/>
          <w:sz w:val="26"/>
          <w:szCs w:val="26"/>
          <w:rtl/>
        </w:rPr>
      </w:pPr>
      <w:r>
        <w:rPr>
          <w:rFonts w:ascii="David" w:hAnsi="David"/>
          <w:b/>
          <w:bCs/>
          <w:sz w:val="26"/>
          <w:szCs w:val="26"/>
          <w:u w:val="single"/>
          <w:rtl/>
        </w:rPr>
        <w:t>מדיניות הענישה הנוהגת</w:t>
      </w:r>
      <w:r>
        <w:rPr>
          <w:rFonts w:ascii="David" w:hAnsi="David"/>
          <w:b/>
          <w:bCs/>
          <w:sz w:val="26"/>
          <w:szCs w:val="26"/>
          <w:rtl/>
        </w:rPr>
        <w:t xml:space="preserve"> – </w:t>
      </w:r>
      <w:r>
        <w:rPr>
          <w:rFonts w:ascii="David" w:hAnsi="David"/>
          <w:sz w:val="26"/>
          <w:szCs w:val="26"/>
          <w:rtl/>
        </w:rPr>
        <w:t xml:space="preserve">הכלל בסחר בסמים הוא מאסר בפועל כפי שניתן להתרשם מהפסיקה. עם זאת, בנסיבות של סחר בחשיש או </w:t>
      </w:r>
      <w:proofErr w:type="spellStart"/>
      <w:r>
        <w:rPr>
          <w:rFonts w:ascii="David" w:hAnsi="David"/>
          <w:sz w:val="26"/>
          <w:szCs w:val="26"/>
          <w:rtl/>
        </w:rPr>
        <w:t>קנביס</w:t>
      </w:r>
      <w:proofErr w:type="spellEnd"/>
      <w:r>
        <w:rPr>
          <w:rFonts w:ascii="David" w:hAnsi="David"/>
          <w:sz w:val="26"/>
          <w:szCs w:val="26"/>
          <w:rtl/>
        </w:rPr>
        <w:t xml:space="preserve"> בכמויות קטנות ייתכן גם סיום הליכים בדרך של עבודות שירות ואף </w:t>
      </w:r>
      <w:proofErr w:type="spellStart"/>
      <w:r>
        <w:rPr>
          <w:rFonts w:ascii="David" w:hAnsi="David"/>
          <w:sz w:val="26"/>
          <w:szCs w:val="26"/>
          <w:rtl/>
        </w:rPr>
        <w:t>של"ץ</w:t>
      </w:r>
      <w:proofErr w:type="spellEnd"/>
      <w:r>
        <w:rPr>
          <w:rFonts w:ascii="David" w:hAnsi="David"/>
          <w:sz w:val="26"/>
          <w:szCs w:val="26"/>
          <w:rtl/>
        </w:rPr>
        <w:t xml:space="preserve">. </w:t>
      </w:r>
    </w:p>
    <w:p w14:paraId="1A56FB60" w14:textId="77777777" w:rsidR="0021418A" w:rsidRDefault="0021418A" w:rsidP="0021418A">
      <w:pPr>
        <w:pStyle w:val="ListParagraph"/>
        <w:numPr>
          <w:ilvl w:val="0"/>
          <w:numId w:val="1"/>
        </w:numPr>
        <w:spacing w:after="160" w:line="360" w:lineRule="auto"/>
        <w:jc w:val="both"/>
        <w:rPr>
          <w:rFonts w:ascii="David" w:hAnsi="David"/>
          <w:sz w:val="26"/>
          <w:szCs w:val="26"/>
          <w:rtl/>
        </w:rPr>
      </w:pPr>
      <w:proofErr w:type="spellStart"/>
      <w:r>
        <w:rPr>
          <w:rFonts w:ascii="David" w:hAnsi="David"/>
          <w:sz w:val="26"/>
          <w:szCs w:val="26"/>
          <w:rtl/>
        </w:rPr>
        <w:t>ב</w:t>
      </w:r>
      <w:hyperlink r:id="rId21" w:history="1">
        <w:r w:rsidR="00C858FD" w:rsidRPr="00C858FD">
          <w:rPr>
            <w:rFonts w:ascii="David" w:hAnsi="David"/>
            <w:color w:val="0000FF"/>
            <w:sz w:val="26"/>
            <w:szCs w:val="26"/>
            <w:u w:val="single"/>
            <w:rtl/>
          </w:rPr>
          <w:t>רע"פ</w:t>
        </w:r>
        <w:proofErr w:type="spellEnd"/>
        <w:r w:rsidR="00C858FD" w:rsidRPr="00C858FD">
          <w:rPr>
            <w:rFonts w:ascii="David" w:hAnsi="David"/>
            <w:color w:val="0000FF"/>
            <w:sz w:val="26"/>
            <w:szCs w:val="26"/>
            <w:u w:val="single"/>
            <w:rtl/>
          </w:rPr>
          <w:t xml:space="preserve"> 2139/16</w:t>
        </w:r>
      </w:hyperlink>
      <w:r>
        <w:rPr>
          <w:rFonts w:ascii="David" w:hAnsi="David"/>
          <w:sz w:val="26"/>
          <w:szCs w:val="26"/>
          <w:rtl/>
        </w:rPr>
        <w:t xml:space="preserve"> </w:t>
      </w:r>
      <w:proofErr w:type="spellStart"/>
      <w:r>
        <w:rPr>
          <w:rFonts w:ascii="David" w:hAnsi="David"/>
          <w:b/>
          <w:bCs/>
          <w:sz w:val="26"/>
          <w:szCs w:val="26"/>
          <w:u w:val="single"/>
          <w:rtl/>
        </w:rPr>
        <w:t>אברמס</w:t>
      </w:r>
      <w:proofErr w:type="spellEnd"/>
      <w:r>
        <w:rPr>
          <w:rFonts w:ascii="David" w:hAnsi="David"/>
          <w:sz w:val="26"/>
          <w:szCs w:val="26"/>
          <w:rtl/>
        </w:rPr>
        <w:t xml:space="preserve"> נ' </w:t>
      </w:r>
      <w:r>
        <w:rPr>
          <w:rFonts w:ascii="David" w:hAnsi="David"/>
          <w:b/>
          <w:bCs/>
          <w:sz w:val="26"/>
          <w:szCs w:val="26"/>
          <w:u w:val="single"/>
          <w:rtl/>
        </w:rPr>
        <w:t>מ"י</w:t>
      </w:r>
      <w:r>
        <w:rPr>
          <w:rFonts w:ascii="David" w:hAnsi="David"/>
          <w:sz w:val="26"/>
          <w:szCs w:val="26"/>
          <w:rtl/>
        </w:rPr>
        <w:t xml:space="preserve"> </w:t>
      </w:r>
      <w:r w:rsidR="006856B4" w:rsidRPr="006856B4">
        <w:rPr>
          <w:sz w:val="22"/>
          <w:rtl/>
        </w:rPr>
        <w:t xml:space="preserve">[פורסם </w:t>
      </w:r>
      <w:proofErr w:type="spellStart"/>
      <w:r w:rsidR="006856B4" w:rsidRPr="006856B4">
        <w:rPr>
          <w:sz w:val="22"/>
          <w:rtl/>
        </w:rPr>
        <w:t>בנבו</w:t>
      </w:r>
      <w:proofErr w:type="spellEnd"/>
      <w:r w:rsidR="006856B4" w:rsidRPr="006856B4">
        <w:rPr>
          <w:sz w:val="22"/>
          <w:rtl/>
        </w:rPr>
        <w:t xml:space="preserve">] </w:t>
      </w:r>
      <w:r>
        <w:rPr>
          <w:rFonts w:ascii="David" w:hAnsi="David"/>
          <w:sz w:val="26"/>
          <w:szCs w:val="26"/>
          <w:rtl/>
        </w:rPr>
        <w:t xml:space="preserve">קבע ביהמ"ש העליון ביחס לנאשם שסחר בסמים ב-3 הזדמנויות תמורת אלפי שקלים, מתחם ענישה שבין 8 חודשים ל-27 חודשים. מכאן יש לגזור לקולא בהתחשב ברמת הענישה הנוהגת ובמתחמי הענישה שנקבעו.  </w:t>
      </w:r>
    </w:p>
    <w:p w14:paraId="15F66460" w14:textId="77777777" w:rsidR="0021418A" w:rsidRDefault="0021418A" w:rsidP="0021418A">
      <w:pPr>
        <w:pStyle w:val="ListParagraph"/>
        <w:numPr>
          <w:ilvl w:val="0"/>
          <w:numId w:val="1"/>
        </w:numPr>
        <w:spacing w:after="160" w:line="360" w:lineRule="auto"/>
        <w:jc w:val="both"/>
        <w:rPr>
          <w:rFonts w:ascii="David" w:hAnsi="David"/>
          <w:sz w:val="26"/>
          <w:szCs w:val="26"/>
        </w:rPr>
      </w:pPr>
      <w:r>
        <w:rPr>
          <w:rFonts w:ascii="David" w:hAnsi="David"/>
          <w:sz w:val="26"/>
          <w:szCs w:val="26"/>
          <w:rtl/>
        </w:rPr>
        <w:t>ב</w:t>
      </w:r>
      <w:hyperlink r:id="rId22" w:history="1">
        <w:r w:rsidR="00C858FD" w:rsidRPr="00C858FD">
          <w:rPr>
            <w:rFonts w:ascii="David" w:hAnsi="David"/>
            <w:color w:val="0000FF"/>
            <w:sz w:val="26"/>
            <w:szCs w:val="26"/>
            <w:u w:val="single"/>
            <w:rtl/>
          </w:rPr>
          <w:t>ת"פ (ירושלים) 726-01-14</w:t>
        </w:r>
      </w:hyperlink>
      <w:r>
        <w:rPr>
          <w:rFonts w:ascii="David" w:hAnsi="David"/>
          <w:sz w:val="26"/>
          <w:szCs w:val="26"/>
          <w:rtl/>
        </w:rPr>
        <w:t xml:space="preserve"> </w:t>
      </w:r>
      <w:r>
        <w:rPr>
          <w:rFonts w:ascii="David" w:hAnsi="David"/>
          <w:b/>
          <w:bCs/>
          <w:sz w:val="26"/>
          <w:szCs w:val="26"/>
          <w:u w:val="single"/>
          <w:rtl/>
        </w:rPr>
        <w:t>מ"י</w:t>
      </w:r>
      <w:r>
        <w:rPr>
          <w:rFonts w:ascii="David" w:hAnsi="David"/>
          <w:b/>
          <w:bCs/>
          <w:sz w:val="26"/>
          <w:szCs w:val="26"/>
          <w:rtl/>
        </w:rPr>
        <w:t xml:space="preserve"> נ'</w:t>
      </w:r>
      <w:r>
        <w:rPr>
          <w:rFonts w:ascii="David" w:hAnsi="David"/>
          <w:sz w:val="26"/>
          <w:szCs w:val="26"/>
          <w:rtl/>
        </w:rPr>
        <w:t xml:space="preserve"> </w:t>
      </w:r>
      <w:proofErr w:type="spellStart"/>
      <w:r>
        <w:rPr>
          <w:rFonts w:ascii="David" w:hAnsi="David"/>
          <w:b/>
          <w:bCs/>
          <w:sz w:val="26"/>
          <w:szCs w:val="26"/>
          <w:u w:val="single"/>
          <w:rtl/>
        </w:rPr>
        <w:t>זייתון</w:t>
      </w:r>
      <w:proofErr w:type="spellEnd"/>
      <w:r>
        <w:rPr>
          <w:rFonts w:ascii="David" w:hAnsi="David"/>
          <w:sz w:val="26"/>
          <w:szCs w:val="26"/>
          <w:rtl/>
        </w:rPr>
        <w:t xml:space="preserve"> </w:t>
      </w:r>
      <w:r w:rsidR="006856B4" w:rsidRPr="006856B4">
        <w:rPr>
          <w:sz w:val="22"/>
          <w:rtl/>
        </w:rPr>
        <w:t xml:space="preserve">[פורסם </w:t>
      </w:r>
      <w:proofErr w:type="spellStart"/>
      <w:r w:rsidR="006856B4" w:rsidRPr="006856B4">
        <w:rPr>
          <w:sz w:val="22"/>
          <w:rtl/>
        </w:rPr>
        <w:t>בנבו</w:t>
      </w:r>
      <w:proofErr w:type="spellEnd"/>
      <w:r w:rsidR="006856B4" w:rsidRPr="006856B4">
        <w:rPr>
          <w:sz w:val="22"/>
          <w:rtl/>
        </w:rPr>
        <w:t xml:space="preserve">] </w:t>
      </w:r>
      <w:r>
        <w:rPr>
          <w:rFonts w:ascii="David" w:hAnsi="David"/>
          <w:sz w:val="26"/>
          <w:szCs w:val="26"/>
          <w:rtl/>
        </w:rPr>
        <w:t xml:space="preserve">(מיום 21.7.14) נקבע מתחם ענישה של בין 3 חודשים ל-10 חודשים בנסיבות חמורות יותר; </w:t>
      </w:r>
    </w:p>
    <w:p w14:paraId="287569D4" w14:textId="77777777" w:rsidR="0021418A" w:rsidRDefault="0021418A" w:rsidP="0021418A">
      <w:pPr>
        <w:pStyle w:val="ListParagraph"/>
        <w:numPr>
          <w:ilvl w:val="0"/>
          <w:numId w:val="1"/>
        </w:numPr>
        <w:spacing w:after="160" w:line="360" w:lineRule="auto"/>
        <w:jc w:val="both"/>
        <w:rPr>
          <w:rFonts w:ascii="David" w:hAnsi="David"/>
          <w:sz w:val="26"/>
          <w:szCs w:val="26"/>
        </w:rPr>
      </w:pPr>
      <w:r>
        <w:rPr>
          <w:rFonts w:ascii="David" w:hAnsi="David"/>
          <w:sz w:val="26"/>
          <w:szCs w:val="26"/>
          <w:rtl/>
        </w:rPr>
        <w:t>ב</w:t>
      </w:r>
      <w:hyperlink r:id="rId23" w:history="1">
        <w:r w:rsidR="00C858FD" w:rsidRPr="00C858FD">
          <w:rPr>
            <w:rFonts w:ascii="David" w:hAnsi="David"/>
            <w:color w:val="0000FF"/>
            <w:sz w:val="26"/>
            <w:szCs w:val="26"/>
            <w:u w:val="single"/>
            <w:rtl/>
          </w:rPr>
          <w:t>ת"פ (ירושלים) 17400-02-14</w:t>
        </w:r>
      </w:hyperlink>
      <w:r>
        <w:rPr>
          <w:rFonts w:ascii="David" w:hAnsi="David"/>
          <w:sz w:val="26"/>
          <w:szCs w:val="26"/>
          <w:rtl/>
        </w:rPr>
        <w:t xml:space="preserve"> </w:t>
      </w:r>
      <w:r>
        <w:rPr>
          <w:rFonts w:ascii="David" w:hAnsi="David"/>
          <w:b/>
          <w:bCs/>
          <w:sz w:val="26"/>
          <w:szCs w:val="26"/>
          <w:u w:val="single"/>
          <w:rtl/>
        </w:rPr>
        <w:t>מ"י</w:t>
      </w:r>
      <w:r>
        <w:rPr>
          <w:rFonts w:ascii="David" w:hAnsi="David"/>
          <w:b/>
          <w:bCs/>
          <w:sz w:val="26"/>
          <w:szCs w:val="26"/>
          <w:rtl/>
        </w:rPr>
        <w:t xml:space="preserve"> נ'</w:t>
      </w:r>
      <w:r>
        <w:rPr>
          <w:rFonts w:ascii="David" w:hAnsi="David"/>
          <w:sz w:val="26"/>
          <w:szCs w:val="26"/>
          <w:rtl/>
        </w:rPr>
        <w:t xml:space="preserve"> </w:t>
      </w:r>
      <w:proofErr w:type="spellStart"/>
      <w:r>
        <w:rPr>
          <w:rFonts w:ascii="David" w:hAnsi="David"/>
          <w:b/>
          <w:bCs/>
          <w:sz w:val="26"/>
          <w:szCs w:val="26"/>
          <w:u w:val="single"/>
          <w:rtl/>
        </w:rPr>
        <w:t>גובראן</w:t>
      </w:r>
      <w:proofErr w:type="spellEnd"/>
      <w:r>
        <w:rPr>
          <w:rFonts w:ascii="David" w:hAnsi="David"/>
          <w:sz w:val="26"/>
          <w:szCs w:val="26"/>
          <w:rtl/>
        </w:rPr>
        <w:t xml:space="preserve"> </w:t>
      </w:r>
      <w:r w:rsidR="006856B4" w:rsidRPr="006856B4">
        <w:rPr>
          <w:sz w:val="22"/>
          <w:rtl/>
        </w:rPr>
        <w:t xml:space="preserve">[פורסם </w:t>
      </w:r>
      <w:proofErr w:type="spellStart"/>
      <w:r w:rsidR="006856B4" w:rsidRPr="006856B4">
        <w:rPr>
          <w:sz w:val="22"/>
          <w:rtl/>
        </w:rPr>
        <w:t>בנבו</w:t>
      </w:r>
      <w:proofErr w:type="spellEnd"/>
      <w:r w:rsidR="006856B4" w:rsidRPr="006856B4">
        <w:rPr>
          <w:sz w:val="22"/>
          <w:rtl/>
        </w:rPr>
        <w:t xml:space="preserve">] </w:t>
      </w:r>
      <w:r>
        <w:rPr>
          <w:rFonts w:ascii="David" w:hAnsi="David"/>
          <w:sz w:val="26"/>
          <w:szCs w:val="26"/>
          <w:rtl/>
        </w:rPr>
        <w:t xml:space="preserve">(מיום 2.7.14) נקבע מתחם ענישה שבין חודש לשישה חודשים. </w:t>
      </w:r>
    </w:p>
    <w:p w14:paraId="3B69B146" w14:textId="77777777" w:rsidR="0021418A" w:rsidRDefault="0021418A" w:rsidP="0021418A">
      <w:pPr>
        <w:jc w:val="both"/>
        <w:rPr>
          <w:rFonts w:ascii="David" w:hAnsi="David"/>
          <w:sz w:val="26"/>
          <w:szCs w:val="26"/>
        </w:rPr>
      </w:pPr>
    </w:p>
    <w:p w14:paraId="60C29A4D" w14:textId="77777777" w:rsidR="0021418A" w:rsidRDefault="0021418A" w:rsidP="0021418A">
      <w:pPr>
        <w:spacing w:after="160" w:line="360" w:lineRule="auto"/>
        <w:jc w:val="both"/>
        <w:rPr>
          <w:rFonts w:ascii="David" w:hAnsi="David"/>
          <w:sz w:val="26"/>
          <w:szCs w:val="26"/>
          <w:rtl/>
        </w:rPr>
      </w:pPr>
      <w:r>
        <w:rPr>
          <w:rFonts w:ascii="David" w:hAnsi="David"/>
          <w:b/>
          <w:bCs/>
          <w:sz w:val="26"/>
          <w:szCs w:val="26"/>
          <w:u w:val="single"/>
          <w:rtl/>
        </w:rPr>
        <w:t>מתחם הענישה</w:t>
      </w:r>
      <w:r>
        <w:rPr>
          <w:rFonts w:ascii="David" w:hAnsi="David"/>
          <w:sz w:val="26"/>
          <w:szCs w:val="26"/>
          <w:rtl/>
        </w:rPr>
        <w:t xml:space="preserve"> – לפיכך, מתחם הכולל צריך לעמוד על מאסר על-תנאי ו/או </w:t>
      </w:r>
      <w:proofErr w:type="spellStart"/>
      <w:r>
        <w:rPr>
          <w:rFonts w:ascii="David" w:hAnsi="David"/>
          <w:sz w:val="26"/>
          <w:szCs w:val="26"/>
          <w:rtl/>
        </w:rPr>
        <w:t>של"ץ</w:t>
      </w:r>
      <w:proofErr w:type="spellEnd"/>
      <w:r>
        <w:rPr>
          <w:rFonts w:ascii="David" w:hAnsi="David"/>
          <w:sz w:val="26"/>
          <w:szCs w:val="26"/>
          <w:rtl/>
        </w:rPr>
        <w:t xml:space="preserve"> או שניהם לבין 6 חודשי מאסר בפועל שכן מדובר בעבירה בודדת.</w:t>
      </w:r>
    </w:p>
    <w:p w14:paraId="24A66DF1" w14:textId="77777777" w:rsidR="0021418A" w:rsidRDefault="0021418A" w:rsidP="0021418A">
      <w:pPr>
        <w:spacing w:after="160"/>
        <w:jc w:val="both"/>
        <w:rPr>
          <w:rFonts w:ascii="David" w:hAnsi="David"/>
          <w:b/>
          <w:bCs/>
          <w:sz w:val="26"/>
          <w:szCs w:val="26"/>
          <w:u w:val="single"/>
          <w:rtl/>
        </w:rPr>
      </w:pPr>
    </w:p>
    <w:p w14:paraId="1FD47498" w14:textId="77777777" w:rsidR="0021418A" w:rsidRDefault="0021418A" w:rsidP="0021418A">
      <w:pPr>
        <w:spacing w:after="160" w:line="360" w:lineRule="auto"/>
        <w:jc w:val="both"/>
        <w:rPr>
          <w:rFonts w:ascii="David" w:hAnsi="David"/>
          <w:sz w:val="26"/>
          <w:szCs w:val="26"/>
          <w:rtl/>
        </w:rPr>
      </w:pPr>
      <w:r>
        <w:rPr>
          <w:rFonts w:ascii="David" w:hAnsi="David"/>
          <w:b/>
          <w:bCs/>
          <w:sz w:val="26"/>
          <w:szCs w:val="26"/>
          <w:u w:val="single"/>
          <w:rtl/>
        </w:rPr>
        <w:t xml:space="preserve">נסיבות שאינן קשורות בביצוע העבירה לפי </w:t>
      </w:r>
      <w:hyperlink r:id="rId24" w:history="1">
        <w:r w:rsidR="00A86A21" w:rsidRPr="00A86A21">
          <w:rPr>
            <w:rStyle w:val="Hyperlink"/>
            <w:rFonts w:ascii="David" w:hAnsi="David"/>
            <w:b/>
            <w:bCs/>
            <w:sz w:val="26"/>
            <w:szCs w:val="26"/>
            <w:rtl/>
          </w:rPr>
          <w:t xml:space="preserve">סעיף </w:t>
        </w:r>
        <w:proofErr w:type="spellStart"/>
        <w:r w:rsidR="00A86A21" w:rsidRPr="00A86A21">
          <w:rPr>
            <w:rStyle w:val="Hyperlink"/>
            <w:rFonts w:ascii="David" w:hAnsi="David"/>
            <w:b/>
            <w:bCs/>
            <w:sz w:val="26"/>
            <w:szCs w:val="26"/>
            <w:rtl/>
          </w:rPr>
          <w:t>40י"א</w:t>
        </w:r>
        <w:proofErr w:type="spellEnd"/>
      </w:hyperlink>
      <w:r>
        <w:rPr>
          <w:rFonts w:ascii="David" w:hAnsi="David"/>
          <w:b/>
          <w:bCs/>
          <w:sz w:val="26"/>
          <w:szCs w:val="26"/>
          <w:u w:val="single"/>
          <w:rtl/>
        </w:rPr>
        <w:t xml:space="preserve"> ל</w:t>
      </w:r>
      <w:hyperlink r:id="rId25" w:history="1">
        <w:r w:rsidR="00C858FD" w:rsidRPr="00C858FD">
          <w:rPr>
            <w:rFonts w:ascii="David" w:hAnsi="David"/>
            <w:b/>
            <w:bCs/>
            <w:color w:val="0000FF"/>
            <w:sz w:val="26"/>
            <w:szCs w:val="26"/>
            <w:u w:val="single"/>
            <w:rtl/>
          </w:rPr>
          <w:t>חוק העונשין</w:t>
        </w:r>
      </w:hyperlink>
      <w:r>
        <w:rPr>
          <w:rFonts w:ascii="David" w:hAnsi="David"/>
          <w:b/>
          <w:bCs/>
          <w:sz w:val="26"/>
          <w:szCs w:val="26"/>
          <w:rtl/>
        </w:rPr>
        <w:t xml:space="preserve"> – </w:t>
      </w:r>
      <w:r>
        <w:rPr>
          <w:rFonts w:ascii="David" w:hAnsi="David"/>
          <w:sz w:val="26"/>
          <w:szCs w:val="26"/>
          <w:rtl/>
        </w:rPr>
        <w:t xml:space="preserve">ניתן  לתת משקל לנסיבות הבאות שאינן קשורות בביצוע העבירה, במסגרת גזירת העונש בתוך המתחם: מדובר בנאשמת צעירה לימים, כיום </w:t>
      </w:r>
      <w:r>
        <w:rPr>
          <w:rFonts w:ascii="David" w:hAnsi="David" w:hint="cs"/>
          <w:sz w:val="26"/>
          <w:szCs w:val="26"/>
          <w:rtl/>
        </w:rPr>
        <w:t xml:space="preserve">אם </w:t>
      </w:r>
      <w:proofErr w:type="spellStart"/>
      <w:r>
        <w:rPr>
          <w:rFonts w:ascii="David" w:hAnsi="David" w:hint="cs"/>
          <w:sz w:val="26"/>
          <w:szCs w:val="26"/>
          <w:rtl/>
        </w:rPr>
        <w:t>טריה</w:t>
      </w:r>
      <w:proofErr w:type="spellEnd"/>
      <w:r>
        <w:rPr>
          <w:rFonts w:ascii="David" w:hAnsi="David"/>
          <w:sz w:val="26"/>
          <w:szCs w:val="26"/>
          <w:rtl/>
        </w:rPr>
        <w:t xml:space="preserve">, שהתמודדה עם קשיים במהלך ילדותה ונעוריה ונדרשה לתפקוד בוגר כבר בשלב מוקדם בחייה. למרות זאת סיימה 12 שנות לימוד והשתלבה בשוק העבודה, ניסתה להתגייס לצה"ל אך בשל תיק זה ובשל חוסר התאמה לא נמצאה מתאימה. הנאשמת קיבלה אחריות מלאה למעשים והסבירה אותם, נרתמה לטיפול ממנו היא שואבת כוח, ויש לה שאיפות לנהל אורח חיים נורמטיבי. לפיכך, ובהינתן העובדה שמדובר בעבירה בודדת ובכשל חד פעמי, המלצת שירות המבחן מקובלת עלי. </w:t>
      </w:r>
    </w:p>
    <w:p w14:paraId="3489ADFB" w14:textId="77777777" w:rsidR="0021418A" w:rsidRDefault="0021418A" w:rsidP="0021418A">
      <w:pPr>
        <w:spacing w:after="160"/>
        <w:jc w:val="both"/>
        <w:rPr>
          <w:rFonts w:ascii="David" w:hAnsi="David"/>
          <w:b/>
          <w:bCs/>
          <w:sz w:val="26"/>
          <w:szCs w:val="26"/>
          <w:u w:val="single"/>
          <w:rtl/>
        </w:rPr>
      </w:pPr>
    </w:p>
    <w:p w14:paraId="20E449F5" w14:textId="77777777" w:rsidR="0021418A" w:rsidRDefault="0021418A" w:rsidP="0021418A">
      <w:pPr>
        <w:spacing w:after="160" w:line="360" w:lineRule="auto"/>
        <w:jc w:val="both"/>
        <w:rPr>
          <w:rFonts w:ascii="David" w:hAnsi="David"/>
          <w:sz w:val="26"/>
          <w:szCs w:val="26"/>
          <w:rtl/>
        </w:rPr>
      </w:pPr>
      <w:r>
        <w:rPr>
          <w:rFonts w:ascii="David" w:hAnsi="David"/>
          <w:b/>
          <w:bCs/>
          <w:sz w:val="26"/>
          <w:szCs w:val="26"/>
          <w:u w:val="single"/>
          <w:rtl/>
        </w:rPr>
        <w:t>המיקום במתחם</w:t>
      </w:r>
      <w:r>
        <w:rPr>
          <w:rFonts w:ascii="David" w:hAnsi="David"/>
          <w:sz w:val="26"/>
          <w:szCs w:val="26"/>
          <w:rtl/>
        </w:rPr>
        <w:t xml:space="preserve"> – על כן יש למקם את הנאשמת בתחילת המתחם שקבעתי. </w:t>
      </w:r>
    </w:p>
    <w:p w14:paraId="70F5F253" w14:textId="77777777" w:rsidR="0021418A" w:rsidRDefault="0021418A" w:rsidP="0021418A">
      <w:pPr>
        <w:spacing w:after="160"/>
        <w:jc w:val="both"/>
        <w:rPr>
          <w:rFonts w:ascii="David" w:hAnsi="David"/>
          <w:b/>
          <w:bCs/>
          <w:sz w:val="26"/>
          <w:szCs w:val="26"/>
          <w:u w:val="single"/>
          <w:rtl/>
        </w:rPr>
      </w:pPr>
    </w:p>
    <w:p w14:paraId="265E4E71" w14:textId="77777777" w:rsidR="0021418A" w:rsidRDefault="0021418A" w:rsidP="0021418A">
      <w:pPr>
        <w:spacing w:after="160"/>
        <w:jc w:val="both"/>
        <w:rPr>
          <w:rFonts w:ascii="David" w:hAnsi="David"/>
          <w:b/>
          <w:bCs/>
          <w:sz w:val="26"/>
          <w:szCs w:val="26"/>
          <w:u w:val="single"/>
          <w:rtl/>
        </w:rPr>
      </w:pPr>
      <w:r>
        <w:rPr>
          <w:rFonts w:ascii="David" w:hAnsi="David" w:hint="cs"/>
          <w:b/>
          <w:bCs/>
          <w:sz w:val="26"/>
          <w:szCs w:val="26"/>
          <w:u w:val="single"/>
          <w:rtl/>
        </w:rPr>
        <w:t>ביטול</w:t>
      </w:r>
      <w:r>
        <w:rPr>
          <w:rFonts w:ascii="David" w:hAnsi="David"/>
          <w:b/>
          <w:bCs/>
          <w:sz w:val="26"/>
          <w:szCs w:val="26"/>
          <w:u w:val="single"/>
          <w:rtl/>
        </w:rPr>
        <w:t xml:space="preserve"> הרשעה</w:t>
      </w:r>
    </w:p>
    <w:p w14:paraId="0AF41B4C" w14:textId="77777777" w:rsidR="0021418A" w:rsidRDefault="0021418A" w:rsidP="0021418A">
      <w:pPr>
        <w:spacing w:after="160" w:line="360" w:lineRule="auto"/>
        <w:jc w:val="both"/>
        <w:rPr>
          <w:rFonts w:ascii="David" w:hAnsi="David"/>
          <w:sz w:val="26"/>
          <w:szCs w:val="26"/>
          <w:rtl/>
        </w:rPr>
      </w:pPr>
      <w:r>
        <w:rPr>
          <w:rFonts w:ascii="David" w:hAnsi="David"/>
          <w:sz w:val="26"/>
          <w:szCs w:val="26"/>
          <w:rtl/>
        </w:rPr>
        <w:t xml:space="preserve">בידוע, כי הרשעה </w:t>
      </w:r>
      <w:r>
        <w:rPr>
          <w:rFonts w:ascii="David" w:hAnsi="David" w:hint="cs"/>
          <w:sz w:val="26"/>
          <w:szCs w:val="26"/>
          <w:rtl/>
        </w:rPr>
        <w:t xml:space="preserve">היא </w:t>
      </w:r>
      <w:r>
        <w:rPr>
          <w:rFonts w:ascii="David" w:hAnsi="David"/>
          <w:sz w:val="26"/>
          <w:szCs w:val="26"/>
          <w:rtl/>
        </w:rPr>
        <w:t>הכלל, וביטול הרשעה או הימנעות ממנה הם החריגים לכלל בהינתן שני תנאים מצטברים: הראשון, טיב העבירה המאפשר בנסיבותיה לוותר על אינטרסים ציבוריים אחרים, והשני, הוכחת נזק קונקרטי וחמור שייגרם לנאשם מעצם ההרשעה [</w:t>
      </w:r>
      <w:hyperlink r:id="rId26" w:history="1">
        <w:r w:rsidR="00C858FD" w:rsidRPr="00C858FD">
          <w:rPr>
            <w:rFonts w:ascii="David" w:hAnsi="David"/>
            <w:color w:val="0000FF"/>
            <w:sz w:val="26"/>
            <w:szCs w:val="26"/>
            <w:u w:val="single"/>
            <w:rtl/>
          </w:rPr>
          <w:t>ע"פ 2083/96</w:t>
        </w:r>
      </w:hyperlink>
      <w:r>
        <w:rPr>
          <w:rFonts w:ascii="David" w:hAnsi="David"/>
          <w:sz w:val="26"/>
          <w:szCs w:val="26"/>
          <w:rtl/>
        </w:rPr>
        <w:t xml:space="preserve"> </w:t>
      </w:r>
      <w:r w:rsidRPr="0056662F">
        <w:rPr>
          <w:rFonts w:ascii="David" w:hAnsi="David"/>
          <w:b/>
          <w:bCs/>
          <w:sz w:val="26"/>
          <w:szCs w:val="26"/>
          <w:u w:val="single"/>
          <w:rtl/>
        </w:rPr>
        <w:t>כתב</w:t>
      </w:r>
      <w:r>
        <w:rPr>
          <w:rFonts w:ascii="David" w:hAnsi="David"/>
          <w:sz w:val="26"/>
          <w:szCs w:val="26"/>
          <w:rtl/>
        </w:rPr>
        <w:t xml:space="preserve"> נ' </w:t>
      </w:r>
      <w:r w:rsidRPr="0056662F">
        <w:rPr>
          <w:rFonts w:ascii="David" w:hAnsi="David"/>
          <w:b/>
          <w:bCs/>
          <w:sz w:val="26"/>
          <w:szCs w:val="26"/>
          <w:u w:val="single"/>
          <w:rtl/>
        </w:rPr>
        <w:t>מ"י</w:t>
      </w:r>
      <w:r>
        <w:rPr>
          <w:rFonts w:ascii="David" w:hAnsi="David"/>
          <w:sz w:val="26"/>
          <w:szCs w:val="26"/>
          <w:rtl/>
        </w:rPr>
        <w:t xml:space="preserve"> </w:t>
      </w:r>
      <w:r w:rsidR="006856B4" w:rsidRPr="006856B4">
        <w:rPr>
          <w:sz w:val="22"/>
          <w:rtl/>
        </w:rPr>
        <w:t xml:space="preserve">[פורסם </w:t>
      </w:r>
      <w:proofErr w:type="spellStart"/>
      <w:r w:rsidR="006856B4" w:rsidRPr="006856B4">
        <w:rPr>
          <w:sz w:val="22"/>
          <w:rtl/>
        </w:rPr>
        <w:t>בנבו</w:t>
      </w:r>
      <w:proofErr w:type="spellEnd"/>
      <w:r w:rsidR="006856B4" w:rsidRPr="006856B4">
        <w:rPr>
          <w:sz w:val="22"/>
          <w:rtl/>
        </w:rPr>
        <w:t xml:space="preserve">] </w:t>
      </w:r>
      <w:r>
        <w:rPr>
          <w:rFonts w:ascii="David" w:hAnsi="David"/>
          <w:sz w:val="26"/>
          <w:szCs w:val="26"/>
          <w:rtl/>
        </w:rPr>
        <w:t xml:space="preserve">(מיום 21.8.1997)]. </w:t>
      </w:r>
      <w:r w:rsidRPr="007919E2">
        <w:rPr>
          <w:rFonts w:ascii="David" w:hAnsi="David"/>
          <w:b/>
          <w:bCs/>
          <w:sz w:val="26"/>
          <w:szCs w:val="26"/>
          <w:rtl/>
        </w:rPr>
        <w:t>אשר לתנאי הראשון</w:t>
      </w:r>
      <w:r>
        <w:rPr>
          <w:rFonts w:ascii="David" w:hAnsi="David"/>
          <w:sz w:val="26"/>
          <w:szCs w:val="26"/>
          <w:rtl/>
        </w:rPr>
        <w:t>, ישנם שפע של פסקי דין בנסיבות של ריבוי מקרים של סחר בסמים, בהם בוטלה הרשעתו של נאשם</w:t>
      </w:r>
      <w:r>
        <w:rPr>
          <w:rFonts w:ascii="David" w:hAnsi="David" w:hint="cs"/>
          <w:sz w:val="26"/>
          <w:szCs w:val="26"/>
          <w:rtl/>
        </w:rPr>
        <w:t xml:space="preserve">. ראו למשל: </w:t>
      </w:r>
      <w:hyperlink r:id="rId27" w:history="1">
        <w:proofErr w:type="spellStart"/>
        <w:r w:rsidR="00C858FD" w:rsidRPr="00C858FD">
          <w:rPr>
            <w:rFonts w:ascii="David" w:hAnsi="David"/>
            <w:color w:val="0000FF"/>
            <w:sz w:val="26"/>
            <w:szCs w:val="26"/>
            <w:u w:val="single"/>
            <w:rtl/>
          </w:rPr>
          <w:t>עפ"ג</w:t>
        </w:r>
        <w:proofErr w:type="spellEnd"/>
        <w:r w:rsidR="00C858FD" w:rsidRPr="00C858FD">
          <w:rPr>
            <w:rFonts w:ascii="David" w:hAnsi="David"/>
            <w:color w:val="0000FF"/>
            <w:sz w:val="26"/>
            <w:szCs w:val="26"/>
            <w:u w:val="single"/>
            <w:rtl/>
          </w:rPr>
          <w:t xml:space="preserve"> (י-ם)</w:t>
        </w:r>
        <w:r w:rsidR="00C858FD" w:rsidRPr="00C858FD">
          <w:rPr>
            <w:rFonts w:ascii="David" w:hAnsi="David"/>
            <w:color w:val="0000FF"/>
            <w:sz w:val="26"/>
            <w:szCs w:val="26"/>
            <w:u w:val="single"/>
            <w:rtl/>
          </w:rPr>
          <w:br/>
          <w:t>20164-11-19</w:t>
        </w:r>
      </w:hyperlink>
      <w:r>
        <w:rPr>
          <w:rFonts w:ascii="David" w:hAnsi="David" w:hint="cs"/>
          <w:sz w:val="26"/>
          <w:szCs w:val="26"/>
          <w:rtl/>
        </w:rPr>
        <w:t xml:space="preserve"> </w:t>
      </w:r>
      <w:r w:rsidRPr="007919E2">
        <w:rPr>
          <w:rFonts w:ascii="David" w:hAnsi="David" w:hint="cs"/>
          <w:b/>
          <w:bCs/>
          <w:sz w:val="26"/>
          <w:szCs w:val="26"/>
          <w:u w:val="single"/>
          <w:rtl/>
        </w:rPr>
        <w:t>מ"י</w:t>
      </w:r>
      <w:r>
        <w:rPr>
          <w:rFonts w:ascii="David" w:hAnsi="David" w:hint="cs"/>
          <w:sz w:val="26"/>
          <w:szCs w:val="26"/>
          <w:rtl/>
        </w:rPr>
        <w:t xml:space="preserve"> נ' </w:t>
      </w:r>
      <w:r w:rsidRPr="007919E2">
        <w:rPr>
          <w:rFonts w:ascii="David" w:hAnsi="David" w:hint="cs"/>
          <w:b/>
          <w:bCs/>
          <w:sz w:val="26"/>
          <w:szCs w:val="26"/>
          <w:u w:val="single"/>
          <w:rtl/>
        </w:rPr>
        <w:t>כהן ואח'</w:t>
      </w:r>
      <w:r>
        <w:rPr>
          <w:rFonts w:ascii="David" w:hAnsi="David" w:hint="cs"/>
          <w:sz w:val="26"/>
          <w:szCs w:val="26"/>
          <w:rtl/>
        </w:rPr>
        <w:t xml:space="preserve"> </w:t>
      </w:r>
      <w:r w:rsidR="006856B4" w:rsidRPr="006856B4">
        <w:rPr>
          <w:sz w:val="22"/>
          <w:rtl/>
        </w:rPr>
        <w:t xml:space="preserve">[פורסם </w:t>
      </w:r>
      <w:proofErr w:type="spellStart"/>
      <w:r w:rsidR="006856B4" w:rsidRPr="006856B4">
        <w:rPr>
          <w:sz w:val="22"/>
          <w:rtl/>
        </w:rPr>
        <w:t>בנבו</w:t>
      </w:r>
      <w:proofErr w:type="spellEnd"/>
      <w:r w:rsidR="006856B4" w:rsidRPr="006856B4">
        <w:rPr>
          <w:sz w:val="22"/>
          <w:rtl/>
        </w:rPr>
        <w:t xml:space="preserve">] </w:t>
      </w:r>
      <w:r>
        <w:rPr>
          <w:rFonts w:ascii="David" w:hAnsi="David" w:hint="cs"/>
          <w:sz w:val="26"/>
          <w:szCs w:val="26"/>
          <w:rtl/>
        </w:rPr>
        <w:t xml:space="preserve">(מיום 8.7.2020) שם הותרה אי הרשעת הנאשם 2 על כנה  בנסיבות של סחר בהזדמנות אחת והחזקת סם לצריכה עצמית וכן גידול שני עציצי </w:t>
      </w:r>
      <w:proofErr w:type="spellStart"/>
      <w:r>
        <w:rPr>
          <w:rFonts w:ascii="David" w:hAnsi="David" w:hint="cs"/>
          <w:sz w:val="26"/>
          <w:szCs w:val="26"/>
          <w:rtl/>
        </w:rPr>
        <w:t>קנביס</w:t>
      </w:r>
      <w:proofErr w:type="spellEnd"/>
      <w:r>
        <w:rPr>
          <w:rFonts w:ascii="David" w:hAnsi="David" w:hint="cs"/>
          <w:sz w:val="26"/>
          <w:szCs w:val="26"/>
          <w:rtl/>
        </w:rPr>
        <w:t xml:space="preserve">. </w:t>
      </w:r>
      <w:r>
        <w:rPr>
          <w:rFonts w:ascii="David" w:hAnsi="David"/>
          <w:sz w:val="26"/>
          <w:szCs w:val="26"/>
          <w:rtl/>
        </w:rPr>
        <w:t>על-כן</w:t>
      </w:r>
      <w:r>
        <w:rPr>
          <w:rFonts w:ascii="David" w:hAnsi="David" w:hint="cs"/>
          <w:sz w:val="26"/>
          <w:szCs w:val="26"/>
          <w:rtl/>
        </w:rPr>
        <w:t>,</w:t>
      </w:r>
      <w:r>
        <w:rPr>
          <w:rFonts w:ascii="David" w:hAnsi="David"/>
          <w:sz w:val="26"/>
          <w:szCs w:val="26"/>
          <w:rtl/>
        </w:rPr>
        <w:t xml:space="preserve"> בנסיבות של אירוע סחר בודד בנסיבות שתוארו בין היתר בתסקיר, המקרה מאפשר ביטול הרשעה. </w:t>
      </w:r>
      <w:r w:rsidRPr="007919E2">
        <w:rPr>
          <w:rFonts w:ascii="David" w:hAnsi="David"/>
          <w:b/>
          <w:bCs/>
          <w:sz w:val="26"/>
          <w:szCs w:val="26"/>
          <w:rtl/>
        </w:rPr>
        <w:t>אשר לתנאי השני</w:t>
      </w:r>
      <w:r>
        <w:rPr>
          <w:rFonts w:ascii="David" w:hAnsi="David"/>
          <w:sz w:val="26"/>
          <w:szCs w:val="26"/>
          <w:rtl/>
        </w:rPr>
        <w:t xml:space="preserve">, מדובר באירוע חד פעמי שאינו מאפיין את אורחות חייה של הנאשמת, שהיא בתחילת שנות העשרים </w:t>
      </w:r>
      <w:r>
        <w:rPr>
          <w:rFonts w:ascii="David" w:hAnsi="David" w:hint="cs"/>
          <w:sz w:val="26"/>
          <w:szCs w:val="26"/>
          <w:rtl/>
        </w:rPr>
        <w:t>ו</w:t>
      </w:r>
      <w:r>
        <w:rPr>
          <w:rFonts w:ascii="David" w:hAnsi="David"/>
          <w:sz w:val="26"/>
          <w:szCs w:val="26"/>
          <w:rtl/>
        </w:rPr>
        <w:t xml:space="preserve">אם צעירה. לטעמי, בהתחשב ברקע של הנאשמת והקשיים עמם התמודדה, ובהינתן היות האירוע כשל חד-פעמי, יש מקום לבטל את ההרשעה מחשש כי הותרתה תפגע בה לאורך חייה, בוודאי בשנים הקרובות, שנים קריטיות להשתלבות בשוק העבודה. </w:t>
      </w:r>
      <w:r>
        <w:rPr>
          <w:rFonts w:ascii="David" w:hAnsi="David" w:hint="cs"/>
          <w:sz w:val="26"/>
          <w:szCs w:val="26"/>
          <w:rtl/>
        </w:rPr>
        <w:t xml:space="preserve">מכאן שהותרת ההרשעה על כנה תהיה בלתי צודקת. </w:t>
      </w:r>
      <w:r>
        <w:rPr>
          <w:rFonts w:ascii="David" w:hAnsi="David"/>
          <w:sz w:val="26"/>
          <w:szCs w:val="26"/>
          <w:rtl/>
        </w:rPr>
        <w:t xml:space="preserve">מפנה בהקשר זה </w:t>
      </w:r>
      <w:proofErr w:type="spellStart"/>
      <w:r>
        <w:rPr>
          <w:rFonts w:ascii="David" w:hAnsi="David"/>
          <w:sz w:val="26"/>
          <w:szCs w:val="26"/>
          <w:rtl/>
        </w:rPr>
        <w:t>ל</w:t>
      </w:r>
      <w:hyperlink r:id="rId28" w:history="1">
        <w:r w:rsidR="00C858FD" w:rsidRPr="00C858FD">
          <w:rPr>
            <w:rFonts w:ascii="David" w:hAnsi="David"/>
            <w:color w:val="0000FF"/>
            <w:sz w:val="26"/>
            <w:szCs w:val="26"/>
            <w:u w:val="single"/>
            <w:rtl/>
          </w:rPr>
          <w:t>רע"פ</w:t>
        </w:r>
        <w:proofErr w:type="spellEnd"/>
        <w:r w:rsidR="00C858FD" w:rsidRPr="00C858FD">
          <w:rPr>
            <w:rFonts w:ascii="David" w:hAnsi="David"/>
            <w:color w:val="0000FF"/>
            <w:sz w:val="26"/>
            <w:szCs w:val="26"/>
            <w:u w:val="single"/>
            <w:rtl/>
          </w:rPr>
          <w:t xml:space="preserve"> 2777/11</w:t>
        </w:r>
      </w:hyperlink>
      <w:r>
        <w:rPr>
          <w:rFonts w:ascii="David" w:hAnsi="David"/>
          <w:sz w:val="26"/>
          <w:szCs w:val="26"/>
          <w:rtl/>
        </w:rPr>
        <w:t xml:space="preserve"> </w:t>
      </w:r>
      <w:r w:rsidRPr="0056662F">
        <w:rPr>
          <w:rFonts w:ascii="David" w:hAnsi="David"/>
          <w:b/>
          <w:bCs/>
          <w:sz w:val="26"/>
          <w:szCs w:val="26"/>
          <w:u w:val="single"/>
          <w:rtl/>
        </w:rPr>
        <w:t>פלונית</w:t>
      </w:r>
      <w:r>
        <w:rPr>
          <w:rFonts w:ascii="David" w:hAnsi="David"/>
          <w:sz w:val="26"/>
          <w:szCs w:val="26"/>
          <w:rtl/>
        </w:rPr>
        <w:t xml:space="preserve"> נ' </w:t>
      </w:r>
      <w:r w:rsidRPr="0056662F">
        <w:rPr>
          <w:rFonts w:ascii="David" w:hAnsi="David"/>
          <w:b/>
          <w:bCs/>
          <w:sz w:val="26"/>
          <w:szCs w:val="26"/>
          <w:u w:val="single"/>
          <w:rtl/>
        </w:rPr>
        <w:t>מ"י</w:t>
      </w:r>
      <w:r>
        <w:rPr>
          <w:rFonts w:ascii="David" w:hAnsi="David"/>
          <w:sz w:val="26"/>
          <w:szCs w:val="26"/>
          <w:rtl/>
        </w:rPr>
        <w:t xml:space="preserve"> </w:t>
      </w:r>
      <w:r w:rsidR="006856B4" w:rsidRPr="006856B4">
        <w:rPr>
          <w:sz w:val="22"/>
          <w:rtl/>
        </w:rPr>
        <w:t xml:space="preserve">[פורסם </w:t>
      </w:r>
      <w:proofErr w:type="spellStart"/>
      <w:r w:rsidR="006856B4" w:rsidRPr="006856B4">
        <w:rPr>
          <w:sz w:val="22"/>
          <w:rtl/>
        </w:rPr>
        <w:t>בנבו</w:t>
      </w:r>
      <w:proofErr w:type="spellEnd"/>
      <w:r w:rsidR="006856B4" w:rsidRPr="006856B4">
        <w:rPr>
          <w:sz w:val="22"/>
          <w:rtl/>
        </w:rPr>
        <w:t xml:space="preserve">] </w:t>
      </w:r>
      <w:r>
        <w:rPr>
          <w:rFonts w:ascii="David" w:hAnsi="David"/>
          <w:sz w:val="26"/>
          <w:szCs w:val="26"/>
          <w:rtl/>
        </w:rPr>
        <w:t xml:space="preserve">(מיום 16.10.2012) שם נמצא לבטל הרשעה </w:t>
      </w:r>
      <w:r w:rsidRPr="00280012">
        <w:rPr>
          <w:rFonts w:ascii="David" w:hAnsi="David"/>
          <w:b/>
          <w:bCs/>
          <w:sz w:val="26"/>
          <w:szCs w:val="26"/>
          <w:rtl/>
        </w:rPr>
        <w:t>משיקולי צדק</w:t>
      </w:r>
      <w:r>
        <w:rPr>
          <w:rFonts w:ascii="David" w:hAnsi="David"/>
          <w:sz w:val="26"/>
          <w:szCs w:val="26"/>
          <w:rtl/>
        </w:rPr>
        <w:t xml:space="preserve"> וחוסר </w:t>
      </w:r>
      <w:proofErr w:type="spellStart"/>
      <w:r>
        <w:rPr>
          <w:rFonts w:ascii="David" w:hAnsi="David"/>
          <w:sz w:val="26"/>
          <w:szCs w:val="26"/>
          <w:rtl/>
        </w:rPr>
        <w:t>מידתיות</w:t>
      </w:r>
      <w:proofErr w:type="spellEnd"/>
      <w:r>
        <w:rPr>
          <w:rFonts w:ascii="David" w:hAnsi="David"/>
          <w:sz w:val="26"/>
          <w:szCs w:val="26"/>
          <w:rtl/>
        </w:rPr>
        <w:t xml:space="preserve"> השפעת עצם ההרשעה </w:t>
      </w:r>
      <w:r>
        <w:rPr>
          <w:rFonts w:ascii="David" w:hAnsi="David" w:hint="cs"/>
          <w:sz w:val="26"/>
          <w:szCs w:val="26"/>
          <w:rtl/>
        </w:rPr>
        <w:t xml:space="preserve">על </w:t>
      </w:r>
      <w:r>
        <w:rPr>
          <w:rFonts w:ascii="David" w:hAnsi="David"/>
          <w:sz w:val="26"/>
          <w:szCs w:val="26"/>
          <w:rtl/>
        </w:rPr>
        <w:t>הנאשמת שם</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יצוין, כי מדובר בהחלטה במותב </w:t>
      </w:r>
      <w:proofErr w:type="spellStart"/>
      <w:r>
        <w:rPr>
          <w:rFonts w:ascii="David" w:hAnsi="David" w:hint="cs"/>
          <w:sz w:val="26"/>
          <w:szCs w:val="26"/>
          <w:rtl/>
        </w:rPr>
        <w:t>תלתא</w:t>
      </w:r>
      <w:proofErr w:type="spellEnd"/>
      <w:r>
        <w:rPr>
          <w:rFonts w:ascii="David" w:hAnsi="David" w:hint="cs"/>
          <w:sz w:val="26"/>
          <w:szCs w:val="26"/>
          <w:rtl/>
        </w:rPr>
        <w:t xml:space="preserve"> שהתקבלה פה אחד</w:t>
      </w:r>
      <w:r>
        <w:rPr>
          <w:rFonts w:ascii="David" w:hAnsi="David"/>
          <w:sz w:val="26"/>
          <w:szCs w:val="26"/>
          <w:rtl/>
        </w:rPr>
        <w:t>. לכן מורה על ביטול ההרשעה</w:t>
      </w:r>
      <w:r>
        <w:rPr>
          <w:rFonts w:ascii="David" w:hAnsi="David" w:hint="cs"/>
          <w:sz w:val="26"/>
          <w:szCs w:val="26"/>
          <w:rtl/>
        </w:rPr>
        <w:t>.</w:t>
      </w:r>
    </w:p>
    <w:p w14:paraId="51C7E8B5" w14:textId="77777777" w:rsidR="0021418A" w:rsidRDefault="0021418A" w:rsidP="0021418A">
      <w:pPr>
        <w:spacing w:after="160" w:line="360" w:lineRule="auto"/>
        <w:jc w:val="both"/>
        <w:rPr>
          <w:rFonts w:ascii="David" w:hAnsi="David"/>
          <w:b/>
          <w:bCs/>
          <w:sz w:val="26"/>
          <w:szCs w:val="26"/>
          <w:u w:val="single"/>
          <w:rtl/>
        </w:rPr>
      </w:pPr>
    </w:p>
    <w:p w14:paraId="7D374722" w14:textId="77777777" w:rsidR="0021418A" w:rsidRDefault="0021418A" w:rsidP="0021418A">
      <w:pPr>
        <w:spacing w:after="160"/>
        <w:jc w:val="both"/>
        <w:rPr>
          <w:rFonts w:ascii="David" w:hAnsi="David"/>
          <w:sz w:val="26"/>
          <w:szCs w:val="26"/>
          <w:rtl/>
        </w:rPr>
      </w:pPr>
      <w:r>
        <w:rPr>
          <w:rFonts w:ascii="David" w:hAnsi="David"/>
          <w:b/>
          <w:bCs/>
          <w:sz w:val="26"/>
          <w:szCs w:val="26"/>
          <w:u w:val="single"/>
          <w:rtl/>
        </w:rPr>
        <w:t>גזירת הדין</w:t>
      </w:r>
    </w:p>
    <w:p w14:paraId="4CB0EC52" w14:textId="77777777" w:rsidR="0021418A" w:rsidRDefault="0021418A" w:rsidP="0021418A">
      <w:pPr>
        <w:spacing w:after="160" w:line="360" w:lineRule="auto"/>
        <w:jc w:val="both"/>
        <w:rPr>
          <w:rFonts w:ascii="David" w:hAnsi="David"/>
          <w:sz w:val="26"/>
          <w:szCs w:val="26"/>
          <w:rtl/>
        </w:rPr>
      </w:pPr>
      <w:r>
        <w:rPr>
          <w:rFonts w:ascii="David" w:hAnsi="David"/>
          <w:sz w:val="26"/>
          <w:szCs w:val="26"/>
          <w:rtl/>
        </w:rPr>
        <w:t>לפיכך, אני מחליט לגזור על הנאשמת את העונשים הבאים:</w:t>
      </w:r>
    </w:p>
    <w:p w14:paraId="3A66E121" w14:textId="77777777" w:rsidR="0021418A" w:rsidRDefault="0021418A" w:rsidP="0021418A">
      <w:pPr>
        <w:pStyle w:val="ListParagraph"/>
        <w:numPr>
          <w:ilvl w:val="0"/>
          <w:numId w:val="3"/>
        </w:numPr>
        <w:spacing w:after="160" w:line="360" w:lineRule="auto"/>
        <w:jc w:val="both"/>
        <w:rPr>
          <w:rFonts w:ascii="David" w:hAnsi="David"/>
          <w:sz w:val="26"/>
          <w:szCs w:val="26"/>
        </w:rPr>
      </w:pPr>
      <w:proofErr w:type="spellStart"/>
      <w:r>
        <w:rPr>
          <w:rFonts w:ascii="David" w:hAnsi="David" w:hint="cs"/>
          <w:sz w:val="26"/>
          <w:szCs w:val="26"/>
          <w:rtl/>
        </w:rPr>
        <w:t>של"ץ</w:t>
      </w:r>
      <w:proofErr w:type="spellEnd"/>
      <w:r>
        <w:rPr>
          <w:rFonts w:ascii="David" w:hAnsi="David" w:hint="cs"/>
          <w:sz w:val="26"/>
          <w:szCs w:val="26"/>
          <w:rtl/>
        </w:rPr>
        <w:t xml:space="preserve"> בהיקף 150 שעות ע"פ תוכנית שיכין שירות המבחן ותוגש בתוך 3 חודשים. </w:t>
      </w:r>
      <w:proofErr w:type="spellStart"/>
      <w:r>
        <w:rPr>
          <w:rFonts w:ascii="David" w:hAnsi="David" w:hint="cs"/>
          <w:sz w:val="26"/>
          <w:szCs w:val="26"/>
          <w:rtl/>
        </w:rPr>
        <w:t>השל"ץ</w:t>
      </w:r>
      <w:proofErr w:type="spellEnd"/>
      <w:r>
        <w:rPr>
          <w:rFonts w:ascii="David" w:hAnsi="David" w:hint="cs"/>
          <w:sz w:val="26"/>
          <w:szCs w:val="26"/>
          <w:rtl/>
        </w:rPr>
        <w:t xml:space="preserve"> לא יחל לפני חודש ינואר 2023;</w:t>
      </w:r>
    </w:p>
    <w:p w14:paraId="17D77294" w14:textId="77777777" w:rsidR="0021418A" w:rsidRDefault="0021418A" w:rsidP="0021418A">
      <w:pPr>
        <w:pStyle w:val="ListParagraph"/>
        <w:numPr>
          <w:ilvl w:val="0"/>
          <w:numId w:val="3"/>
        </w:numPr>
        <w:spacing w:after="160" w:line="360" w:lineRule="auto"/>
        <w:jc w:val="both"/>
        <w:rPr>
          <w:rFonts w:ascii="David" w:hAnsi="David"/>
          <w:sz w:val="26"/>
          <w:szCs w:val="26"/>
        </w:rPr>
      </w:pPr>
      <w:r>
        <w:rPr>
          <w:rFonts w:ascii="David" w:hAnsi="David" w:hint="cs"/>
          <w:sz w:val="26"/>
          <w:szCs w:val="26"/>
          <w:rtl/>
        </w:rPr>
        <w:t>תרומה בסך 2,000 ₪ לעמותת אל-סם. התרומה תבוצע בתשלום אחד עד ליום 1.2.2023;</w:t>
      </w:r>
    </w:p>
    <w:p w14:paraId="3F534519" w14:textId="77777777" w:rsidR="0021418A" w:rsidRDefault="0021418A" w:rsidP="0021418A">
      <w:pPr>
        <w:pStyle w:val="ListParagraph"/>
        <w:numPr>
          <w:ilvl w:val="0"/>
          <w:numId w:val="3"/>
        </w:numPr>
        <w:spacing w:after="160" w:line="360" w:lineRule="auto"/>
        <w:jc w:val="both"/>
        <w:rPr>
          <w:rFonts w:ascii="David" w:hAnsi="David"/>
          <w:sz w:val="26"/>
          <w:szCs w:val="26"/>
        </w:rPr>
      </w:pPr>
      <w:r>
        <w:rPr>
          <w:rFonts w:ascii="David" w:hAnsi="David" w:hint="cs"/>
          <w:sz w:val="26"/>
          <w:szCs w:val="26"/>
          <w:rtl/>
        </w:rPr>
        <w:t>התחייבות בסך 5,000 ₪ שלא לעבור כל עבירה לפי פקודת הסמים בתוך שנה מהיום;</w:t>
      </w:r>
    </w:p>
    <w:p w14:paraId="788EA5CC" w14:textId="77777777" w:rsidR="0021418A" w:rsidRDefault="0021418A" w:rsidP="0021418A">
      <w:pPr>
        <w:pStyle w:val="ListParagraph"/>
        <w:numPr>
          <w:ilvl w:val="0"/>
          <w:numId w:val="3"/>
        </w:numPr>
        <w:spacing w:after="160" w:line="360" w:lineRule="auto"/>
        <w:jc w:val="both"/>
        <w:rPr>
          <w:rFonts w:ascii="David" w:hAnsi="David"/>
          <w:sz w:val="26"/>
          <w:szCs w:val="26"/>
        </w:rPr>
      </w:pPr>
      <w:r>
        <w:rPr>
          <w:rFonts w:ascii="David" w:hAnsi="David" w:hint="cs"/>
          <w:sz w:val="26"/>
          <w:szCs w:val="26"/>
          <w:rtl/>
        </w:rPr>
        <w:t>צו מבחן למשך 12 חודשים מהיום, שבמסגרתו תמשיך הנאשמת להיות  משולבת בטיפול פרטני ובכל טיפול ששירות המבחן יסבור לנכון.</w:t>
      </w:r>
    </w:p>
    <w:p w14:paraId="137B7B86" w14:textId="77777777" w:rsidR="0021418A" w:rsidRPr="006E55A8" w:rsidRDefault="0021418A" w:rsidP="0021418A">
      <w:pPr>
        <w:spacing w:after="160" w:line="360" w:lineRule="auto"/>
        <w:jc w:val="both"/>
        <w:rPr>
          <w:rFonts w:ascii="David" w:hAnsi="David"/>
          <w:sz w:val="26"/>
          <w:szCs w:val="26"/>
          <w:rtl/>
        </w:rPr>
      </w:pPr>
      <w:r>
        <w:rPr>
          <w:rFonts w:ascii="David" w:hAnsi="David" w:hint="cs"/>
          <w:sz w:val="26"/>
          <w:szCs w:val="26"/>
          <w:rtl/>
        </w:rPr>
        <w:t xml:space="preserve">ביחס </w:t>
      </w:r>
      <w:proofErr w:type="spellStart"/>
      <w:r>
        <w:rPr>
          <w:rFonts w:ascii="David" w:hAnsi="David" w:hint="cs"/>
          <w:sz w:val="26"/>
          <w:szCs w:val="26"/>
          <w:rtl/>
        </w:rPr>
        <w:t>לשל"ץ</w:t>
      </w:r>
      <w:proofErr w:type="spellEnd"/>
      <w:r>
        <w:rPr>
          <w:rFonts w:ascii="David" w:hAnsi="David" w:hint="cs"/>
          <w:sz w:val="26"/>
          <w:szCs w:val="26"/>
          <w:rtl/>
        </w:rPr>
        <w:t xml:space="preserve"> ולצו המבחן הבהרתי לנאשמת כי אם לא תקיימם כנדרש, ניתן יהיה לפתוח מחדש את שאלת ההרשעה והעונש, ולהטיל עליה כל עונש חליפי, לרבות מאסר.</w:t>
      </w:r>
    </w:p>
    <w:p w14:paraId="033E7343" w14:textId="77777777" w:rsidR="0021418A" w:rsidRDefault="0021418A" w:rsidP="0021418A">
      <w:pPr>
        <w:spacing w:line="360" w:lineRule="auto"/>
        <w:jc w:val="both"/>
        <w:rPr>
          <w:rFonts w:ascii="David" w:hAnsi="David"/>
          <w:b/>
          <w:bCs/>
          <w:sz w:val="26"/>
          <w:szCs w:val="26"/>
          <w:rtl/>
        </w:rPr>
      </w:pPr>
    </w:p>
    <w:p w14:paraId="0DD891EE" w14:textId="77777777" w:rsidR="0021418A" w:rsidRDefault="0021418A" w:rsidP="0021418A">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486320F8" w14:textId="77777777" w:rsidR="0021418A" w:rsidRDefault="0021418A" w:rsidP="0021418A">
      <w:pPr>
        <w:pStyle w:val="ListParagraph"/>
        <w:numPr>
          <w:ilvl w:val="0"/>
          <w:numId w:val="2"/>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29"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1DF49BD8" w14:textId="77777777" w:rsidR="0021418A" w:rsidRDefault="0021418A" w:rsidP="0021418A">
      <w:pPr>
        <w:pStyle w:val="ListParagraph"/>
        <w:numPr>
          <w:ilvl w:val="0"/>
          <w:numId w:val="2"/>
        </w:numPr>
        <w:spacing w:line="360" w:lineRule="auto"/>
        <w:jc w:val="both"/>
        <w:rPr>
          <w:rFonts w:ascii="David" w:hAnsi="David"/>
          <w:b/>
          <w:bCs/>
          <w:sz w:val="26"/>
          <w:szCs w:val="26"/>
        </w:rPr>
      </w:pPr>
      <w:r>
        <w:rPr>
          <w:rFonts w:ascii="David" w:hAnsi="David"/>
          <w:b/>
          <w:bCs/>
          <w:sz w:val="26"/>
          <w:szCs w:val="26"/>
          <w:rtl/>
        </w:rPr>
        <w:t>בטלפון: 35592* או 073-2055000</w:t>
      </w:r>
    </w:p>
    <w:p w14:paraId="4C0B6776" w14:textId="77777777" w:rsidR="0021418A" w:rsidRDefault="0021418A" w:rsidP="0021418A">
      <w:pPr>
        <w:pStyle w:val="ListParagraph"/>
        <w:numPr>
          <w:ilvl w:val="0"/>
          <w:numId w:val="2"/>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6C8D0A55" w14:textId="77777777" w:rsidR="0021418A" w:rsidRDefault="0021418A" w:rsidP="0021418A">
      <w:pPr>
        <w:spacing w:line="360" w:lineRule="auto"/>
        <w:jc w:val="both"/>
        <w:rPr>
          <w:rFonts w:ascii="David" w:hAnsi="David"/>
          <w:b/>
          <w:bCs/>
          <w:sz w:val="26"/>
          <w:szCs w:val="26"/>
        </w:rPr>
      </w:pPr>
      <w:r>
        <w:rPr>
          <w:rFonts w:ascii="David" w:hAnsi="David"/>
          <w:b/>
          <w:bCs/>
          <w:sz w:val="26"/>
          <w:szCs w:val="26"/>
          <w:rtl/>
        </w:rPr>
        <w:t>לא יונפקו שוברי תשלום.</w:t>
      </w:r>
    </w:p>
    <w:p w14:paraId="79D2515E" w14:textId="77777777" w:rsidR="0021418A" w:rsidRDefault="0021418A" w:rsidP="0021418A">
      <w:pPr>
        <w:spacing w:after="160" w:line="360" w:lineRule="auto"/>
        <w:jc w:val="both"/>
        <w:rPr>
          <w:rFonts w:ascii="David" w:hAnsi="David"/>
          <w:sz w:val="26"/>
          <w:szCs w:val="26"/>
          <w:rtl/>
        </w:rPr>
      </w:pPr>
    </w:p>
    <w:p w14:paraId="148871F8" w14:textId="77777777" w:rsidR="0021418A" w:rsidRDefault="0021418A" w:rsidP="0021418A">
      <w:pPr>
        <w:rPr>
          <w:rFonts w:ascii="David" w:hAnsi="David"/>
          <w:b/>
          <w:bCs/>
          <w:sz w:val="26"/>
          <w:szCs w:val="26"/>
          <w:rtl/>
        </w:rPr>
      </w:pPr>
      <w:r>
        <w:rPr>
          <w:rFonts w:ascii="David" w:hAnsi="David"/>
          <w:b/>
          <w:bCs/>
          <w:sz w:val="26"/>
          <w:szCs w:val="26"/>
          <w:rtl/>
        </w:rPr>
        <w:t>מורה על השמדת הסמים.</w:t>
      </w:r>
    </w:p>
    <w:p w14:paraId="51890372" w14:textId="77777777" w:rsidR="0021418A" w:rsidRDefault="0021418A" w:rsidP="0021418A">
      <w:pPr>
        <w:rPr>
          <w:rFonts w:ascii="David" w:hAnsi="David"/>
          <w:sz w:val="26"/>
          <w:szCs w:val="26"/>
          <w:rtl/>
        </w:rPr>
      </w:pPr>
    </w:p>
    <w:p w14:paraId="105609C7" w14:textId="77777777" w:rsidR="0021418A" w:rsidRDefault="0021418A" w:rsidP="0021418A">
      <w:pPr>
        <w:rPr>
          <w:rFonts w:ascii="David" w:hAnsi="David"/>
          <w:sz w:val="26"/>
          <w:szCs w:val="26"/>
          <w:rtl/>
        </w:rPr>
      </w:pPr>
      <w:r>
        <w:rPr>
          <w:rFonts w:ascii="David" w:hAnsi="David"/>
          <w:sz w:val="26"/>
          <w:szCs w:val="26"/>
          <w:rtl/>
        </w:rPr>
        <w:t>יש לשלוח לשירות המבחן ולממונה על עבודות השירות.</w:t>
      </w:r>
    </w:p>
    <w:p w14:paraId="4FC1D735" w14:textId="77777777" w:rsidR="0021418A" w:rsidRDefault="0021418A" w:rsidP="0021418A">
      <w:pPr>
        <w:rPr>
          <w:rFonts w:ascii="David" w:hAnsi="David"/>
          <w:sz w:val="26"/>
          <w:szCs w:val="26"/>
          <w:rtl/>
        </w:rPr>
      </w:pPr>
    </w:p>
    <w:p w14:paraId="5A69E3C5" w14:textId="77777777" w:rsidR="0021418A" w:rsidRDefault="0021418A" w:rsidP="0021418A">
      <w:pPr>
        <w:rPr>
          <w:rFonts w:ascii="David" w:hAnsi="David"/>
          <w:sz w:val="26"/>
          <w:szCs w:val="26"/>
          <w:rtl/>
        </w:rPr>
      </w:pPr>
    </w:p>
    <w:p w14:paraId="2B53DC67" w14:textId="77777777" w:rsidR="0021418A" w:rsidRDefault="0021418A" w:rsidP="0021418A">
      <w:pPr>
        <w:rPr>
          <w:rFonts w:ascii="David" w:hAnsi="David"/>
          <w:sz w:val="26"/>
          <w:szCs w:val="26"/>
          <w:rtl/>
        </w:rPr>
      </w:pPr>
      <w:r>
        <w:rPr>
          <w:rFonts w:ascii="David" w:hAnsi="David"/>
          <w:sz w:val="26"/>
          <w:szCs w:val="26"/>
          <w:rtl/>
        </w:rPr>
        <w:t>זכות ערעור לבית המשפט המחוזי בתוך 45 יום מהיום.</w:t>
      </w:r>
    </w:p>
    <w:p w14:paraId="4B3B1B1B" w14:textId="77777777" w:rsidR="0021418A" w:rsidRPr="00C858FD" w:rsidRDefault="00C858FD" w:rsidP="0021418A">
      <w:pPr>
        <w:rPr>
          <w:rFonts w:ascii="David" w:hAnsi="David"/>
          <w:color w:val="FFFFFF"/>
          <w:sz w:val="2"/>
          <w:szCs w:val="2"/>
          <w:rtl/>
        </w:rPr>
      </w:pPr>
      <w:r w:rsidRPr="00C858FD">
        <w:rPr>
          <w:rFonts w:ascii="David" w:hAnsi="David"/>
          <w:color w:val="FFFFFF"/>
          <w:sz w:val="2"/>
          <w:szCs w:val="2"/>
          <w:rtl/>
        </w:rPr>
        <w:t>5129371</w:t>
      </w:r>
    </w:p>
    <w:p w14:paraId="358BC3C9" w14:textId="77777777" w:rsidR="0021418A" w:rsidRPr="00C858FD" w:rsidRDefault="00C858FD" w:rsidP="0021418A">
      <w:pPr>
        <w:rPr>
          <w:rFonts w:ascii="David" w:hAnsi="David"/>
          <w:color w:val="FFFFFF"/>
          <w:sz w:val="2"/>
          <w:szCs w:val="2"/>
          <w:rtl/>
        </w:rPr>
      </w:pPr>
      <w:r w:rsidRPr="00C858FD">
        <w:rPr>
          <w:rFonts w:ascii="David" w:hAnsi="David"/>
          <w:color w:val="FFFFFF"/>
          <w:sz w:val="2"/>
          <w:szCs w:val="2"/>
          <w:rtl/>
        </w:rPr>
        <w:t>54678313</w:t>
      </w:r>
    </w:p>
    <w:p w14:paraId="4DE2BBDA" w14:textId="77777777" w:rsidR="0021418A" w:rsidRPr="000F2247" w:rsidRDefault="0021418A" w:rsidP="0021418A">
      <w:pPr>
        <w:rPr>
          <w:rFonts w:ascii="Arial" w:hAnsi="Arial"/>
          <w:b/>
          <w:bCs/>
          <w:sz w:val="26"/>
          <w:szCs w:val="26"/>
          <w:rtl/>
        </w:rPr>
      </w:pPr>
    </w:p>
    <w:p w14:paraId="0E4D7F21" w14:textId="77777777" w:rsidR="0021418A" w:rsidRPr="000F2247" w:rsidRDefault="00C858FD" w:rsidP="0021418A">
      <w:pPr>
        <w:rPr>
          <w:rFonts w:ascii="Arial" w:hAnsi="Arial"/>
          <w:b/>
          <w:bCs/>
          <w:sz w:val="26"/>
          <w:szCs w:val="26"/>
          <w:rtl/>
        </w:rPr>
      </w:pPr>
      <w:bookmarkStart w:id="8" w:name="Nitan"/>
      <w:r>
        <w:rPr>
          <w:rFonts w:ascii="Arial" w:hAnsi="Arial"/>
          <w:b/>
          <w:bCs/>
          <w:sz w:val="26"/>
          <w:szCs w:val="26"/>
          <w:rtl/>
        </w:rPr>
        <w:t xml:space="preserve">ניתן היום,  ו' אב, </w:t>
      </w:r>
      <w:proofErr w:type="spellStart"/>
      <w:r>
        <w:rPr>
          <w:rFonts w:ascii="Arial" w:hAnsi="Arial"/>
          <w:b/>
          <w:bCs/>
          <w:sz w:val="26"/>
          <w:szCs w:val="26"/>
          <w:rtl/>
        </w:rPr>
        <w:t>התשפ"ב</w:t>
      </w:r>
      <w:proofErr w:type="spellEnd"/>
      <w:r>
        <w:rPr>
          <w:rFonts w:ascii="Arial" w:hAnsi="Arial"/>
          <w:b/>
          <w:bCs/>
          <w:sz w:val="26"/>
          <w:szCs w:val="26"/>
          <w:rtl/>
        </w:rPr>
        <w:t xml:space="preserve">, 3 באוגוסט 2022, במעמד הצדדים. </w:t>
      </w:r>
      <w:bookmarkEnd w:id="8"/>
    </w:p>
    <w:p w14:paraId="4E12BBCD" w14:textId="77777777" w:rsidR="0021418A" w:rsidRPr="000F2247" w:rsidRDefault="0021418A" w:rsidP="00C858F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FBB84C2" w14:textId="77777777" w:rsidR="0021418A" w:rsidRPr="00A86A21" w:rsidRDefault="00A86A21" w:rsidP="0021418A">
      <w:pPr>
        <w:jc w:val="center"/>
        <w:rPr>
          <w:rFonts w:ascii="Arial" w:hAnsi="Arial"/>
          <w:b/>
          <w:bCs/>
          <w:color w:val="FFFFFF"/>
          <w:sz w:val="2"/>
          <w:szCs w:val="2"/>
          <w:rtl/>
        </w:rPr>
      </w:pPr>
      <w:r w:rsidRPr="00A86A21">
        <w:rPr>
          <w:rFonts w:ascii="Arial" w:hAnsi="Arial"/>
          <w:b/>
          <w:bCs/>
          <w:color w:val="FFFFFF"/>
          <w:sz w:val="2"/>
          <w:szCs w:val="2"/>
          <w:rtl/>
        </w:rPr>
        <w:t>5129371</w:t>
      </w:r>
    </w:p>
    <w:p w14:paraId="17E0E5CA" w14:textId="77777777" w:rsidR="007103F2" w:rsidRPr="00A86A21" w:rsidRDefault="00A86A21" w:rsidP="00C858FD">
      <w:pPr>
        <w:keepNext/>
        <w:rPr>
          <w:rFonts w:ascii="David" w:hAnsi="David"/>
          <w:color w:val="FFFFFF"/>
          <w:sz w:val="2"/>
          <w:szCs w:val="2"/>
          <w:rtl/>
        </w:rPr>
      </w:pPr>
      <w:r w:rsidRPr="00A86A21">
        <w:rPr>
          <w:rFonts w:ascii="David" w:hAnsi="David"/>
          <w:color w:val="FFFFFF"/>
          <w:sz w:val="2"/>
          <w:szCs w:val="2"/>
          <w:rtl/>
        </w:rPr>
        <w:t>54678313</w:t>
      </w:r>
    </w:p>
    <w:p w14:paraId="29DC2BA9" w14:textId="77777777" w:rsidR="00C858FD" w:rsidRDefault="00C858FD" w:rsidP="00C858FD">
      <w:pPr>
        <w:rPr>
          <w:rtl/>
        </w:rPr>
      </w:pPr>
    </w:p>
    <w:p w14:paraId="7E83AB7D" w14:textId="77777777" w:rsidR="00C858FD" w:rsidRDefault="00C858FD" w:rsidP="00C858FD">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C56C3FD" w14:textId="77777777" w:rsidR="00A86A21" w:rsidRPr="00A86A21" w:rsidRDefault="00A86A21" w:rsidP="00A86A21">
      <w:pPr>
        <w:keepNext/>
        <w:rPr>
          <w:rFonts w:ascii="David" w:hAnsi="David"/>
          <w:color w:val="000000"/>
          <w:sz w:val="22"/>
          <w:szCs w:val="22"/>
          <w:rtl/>
        </w:rPr>
      </w:pPr>
    </w:p>
    <w:p w14:paraId="47A971D7" w14:textId="77777777" w:rsidR="00A86A21" w:rsidRPr="00A86A21" w:rsidRDefault="00A86A21" w:rsidP="00A86A21">
      <w:pPr>
        <w:keepNext/>
        <w:rPr>
          <w:rFonts w:ascii="David" w:hAnsi="David"/>
          <w:color w:val="000000"/>
          <w:sz w:val="22"/>
          <w:szCs w:val="22"/>
          <w:rtl/>
        </w:rPr>
      </w:pPr>
      <w:r w:rsidRPr="00A86A21">
        <w:rPr>
          <w:rFonts w:ascii="David" w:hAnsi="David"/>
          <w:color w:val="000000"/>
          <w:sz w:val="22"/>
          <w:szCs w:val="22"/>
          <w:rtl/>
        </w:rPr>
        <w:t>דוד שאול גבאי ריכטר 54678313-/</w:t>
      </w:r>
    </w:p>
    <w:p w14:paraId="4A811009" w14:textId="77777777" w:rsidR="00C858FD" w:rsidRPr="00C858FD" w:rsidRDefault="00A86A21" w:rsidP="00A86A21">
      <w:pPr>
        <w:rPr>
          <w:color w:val="0000FF"/>
          <w:u w:val="single"/>
        </w:rPr>
      </w:pPr>
      <w:r w:rsidRPr="00A86A21">
        <w:rPr>
          <w:color w:val="000000"/>
          <w:u w:val="single"/>
          <w:rtl/>
        </w:rPr>
        <w:t>נוסח מסמך זה כפוף לשינויי ניסוח ועריכה</w:t>
      </w:r>
    </w:p>
    <w:sectPr w:rsidR="00C858FD" w:rsidRPr="00C858FD" w:rsidSect="00A86A21">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C4F25" w14:textId="77777777" w:rsidR="000B2B3F" w:rsidRDefault="000B2B3F" w:rsidP="006101BE">
      <w:r>
        <w:separator/>
      </w:r>
    </w:p>
  </w:endnote>
  <w:endnote w:type="continuationSeparator" w:id="0">
    <w:p w14:paraId="5B46C8DA" w14:textId="77777777" w:rsidR="000B2B3F" w:rsidRDefault="000B2B3F" w:rsidP="0061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E70D8" w14:textId="77777777" w:rsidR="00A86A21" w:rsidRDefault="00A86A21" w:rsidP="00A86A2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DBC0BF" w14:textId="77777777" w:rsidR="00133175" w:rsidRPr="00A86A21" w:rsidRDefault="00A86A21" w:rsidP="00A86A21">
    <w:pPr>
      <w:pStyle w:val="a5"/>
      <w:pBdr>
        <w:top w:val="single" w:sz="4" w:space="1" w:color="auto"/>
        <w:between w:val="single" w:sz="4" w:space="0" w:color="auto"/>
      </w:pBdr>
      <w:spacing w:after="60"/>
      <w:jc w:val="center"/>
      <w:rPr>
        <w:rFonts w:ascii="FrankRuehl" w:hAnsi="FrankRuehl" w:cs="FrankRuehl"/>
        <w:color w:val="000000"/>
      </w:rPr>
    </w:pPr>
    <w:r w:rsidRPr="00A86A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DFA1" w14:textId="77777777" w:rsidR="00A86A21" w:rsidRDefault="00A86A21" w:rsidP="00A86A2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608A">
      <w:rPr>
        <w:rFonts w:ascii="FrankRuehl" w:hAnsi="FrankRuehl" w:cs="FrankRuehl"/>
        <w:noProof/>
        <w:rtl/>
      </w:rPr>
      <w:t>1</w:t>
    </w:r>
    <w:r>
      <w:rPr>
        <w:rFonts w:ascii="FrankRuehl" w:hAnsi="FrankRuehl" w:cs="FrankRuehl"/>
        <w:rtl/>
      </w:rPr>
      <w:fldChar w:fldCharType="end"/>
    </w:r>
  </w:p>
  <w:p w14:paraId="1DAE1229" w14:textId="77777777" w:rsidR="00133175" w:rsidRPr="00A86A21" w:rsidRDefault="00A86A21" w:rsidP="00A86A21">
    <w:pPr>
      <w:pStyle w:val="a5"/>
      <w:pBdr>
        <w:top w:val="single" w:sz="4" w:space="1" w:color="auto"/>
        <w:between w:val="single" w:sz="4" w:space="0" w:color="auto"/>
      </w:pBdr>
      <w:spacing w:after="60"/>
      <w:jc w:val="center"/>
      <w:rPr>
        <w:rFonts w:ascii="FrankRuehl" w:hAnsi="FrankRuehl" w:cs="FrankRuehl"/>
        <w:color w:val="000000"/>
      </w:rPr>
    </w:pPr>
    <w:r w:rsidRPr="00A86A21">
      <w:rPr>
        <w:rFonts w:ascii="FrankRuehl" w:hAnsi="FrankRuehl" w:cs="FrankRuehl"/>
        <w:color w:val="000000"/>
      </w:rPr>
      <w:pict w14:anchorId="2997E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032A4" w14:textId="77777777" w:rsidR="000B2B3F" w:rsidRDefault="000B2B3F" w:rsidP="006101BE">
      <w:r>
        <w:separator/>
      </w:r>
    </w:p>
  </w:footnote>
  <w:footnote w:type="continuationSeparator" w:id="0">
    <w:p w14:paraId="476A85D6" w14:textId="77777777" w:rsidR="000B2B3F" w:rsidRDefault="000B2B3F" w:rsidP="00610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E81DF" w14:textId="77777777" w:rsidR="00C858FD" w:rsidRPr="00A86A21" w:rsidRDefault="00A86A21" w:rsidP="00A86A2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(י-ם) 25852-02-20</w:t>
    </w:r>
    <w:r>
      <w:rPr>
        <w:rFonts w:ascii="David" w:hAnsi="David"/>
        <w:color w:val="000000"/>
        <w:sz w:val="22"/>
        <w:szCs w:val="22"/>
        <w:rtl/>
      </w:rPr>
      <w:tab/>
      <w:t xml:space="preserve"> מדינת ישראל נ' תאי ברכה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12805" w14:textId="77777777" w:rsidR="00C858FD" w:rsidRPr="00A86A21" w:rsidRDefault="00A86A21" w:rsidP="00A86A2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(י-ם) 25852-02-20</w:t>
    </w:r>
    <w:r>
      <w:rPr>
        <w:rFonts w:ascii="David" w:hAnsi="David"/>
        <w:color w:val="000000"/>
        <w:sz w:val="22"/>
        <w:szCs w:val="22"/>
        <w:rtl/>
      </w:rPr>
      <w:tab/>
      <w:t xml:space="preserve"> מדינת ישראל נ' תאי ברכה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39203D"/>
    <w:multiLevelType w:val="hybridMultilevel"/>
    <w:tmpl w:val="A6CED708"/>
    <w:lvl w:ilvl="0" w:tplc="40DA5E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E1C53"/>
    <w:multiLevelType w:val="hybridMultilevel"/>
    <w:tmpl w:val="C8F60996"/>
    <w:lvl w:ilvl="0" w:tplc="0FC4365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77232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1461979">
    <w:abstractNumId w:val="0"/>
  </w:num>
  <w:num w:numId="3" w16cid:durableId="147327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418A"/>
    <w:rsid w:val="0002608A"/>
    <w:rsid w:val="000B2B3F"/>
    <w:rsid w:val="001027C1"/>
    <w:rsid w:val="00133175"/>
    <w:rsid w:val="001B5A3B"/>
    <w:rsid w:val="0021418A"/>
    <w:rsid w:val="00566B4B"/>
    <w:rsid w:val="00567B0F"/>
    <w:rsid w:val="005C75AC"/>
    <w:rsid w:val="006101BE"/>
    <w:rsid w:val="006856B4"/>
    <w:rsid w:val="007103F2"/>
    <w:rsid w:val="00930C25"/>
    <w:rsid w:val="00A86A21"/>
    <w:rsid w:val="00AE1D68"/>
    <w:rsid w:val="00C858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A39381"/>
  <w15:chartTrackingRefBased/>
  <w15:docId w15:val="{87CF6072-F7C5-4F0A-BCF3-E556127D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41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418A"/>
    <w:pPr>
      <w:tabs>
        <w:tab w:val="center" w:pos="4153"/>
        <w:tab w:val="right" w:pos="8306"/>
      </w:tabs>
    </w:pPr>
  </w:style>
  <w:style w:type="character" w:customStyle="1" w:styleId="a4">
    <w:name w:val="כותרת עליונה תו"/>
    <w:link w:val="a3"/>
    <w:rsid w:val="0021418A"/>
    <w:rPr>
      <w:rFonts w:ascii="Times New Roman" w:eastAsia="Times New Roman" w:hAnsi="Times New Roman" w:cs="David"/>
      <w:sz w:val="24"/>
      <w:szCs w:val="24"/>
    </w:rPr>
  </w:style>
  <w:style w:type="paragraph" w:styleId="a5">
    <w:name w:val="footer"/>
    <w:basedOn w:val="a"/>
    <w:link w:val="a6"/>
    <w:rsid w:val="0021418A"/>
    <w:pPr>
      <w:tabs>
        <w:tab w:val="center" w:pos="4153"/>
        <w:tab w:val="right" w:pos="8306"/>
      </w:tabs>
    </w:pPr>
  </w:style>
  <w:style w:type="character" w:customStyle="1" w:styleId="a6">
    <w:name w:val="כותרת תחתונה תו"/>
    <w:link w:val="a5"/>
    <w:rsid w:val="0021418A"/>
    <w:rPr>
      <w:rFonts w:ascii="Times New Roman" w:eastAsia="Times New Roman" w:hAnsi="Times New Roman" w:cs="David"/>
      <w:sz w:val="24"/>
      <w:szCs w:val="24"/>
    </w:rPr>
  </w:style>
  <w:style w:type="table" w:styleId="a7">
    <w:name w:val="Table Grid"/>
    <w:basedOn w:val="a1"/>
    <w:rsid w:val="002141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418A"/>
  </w:style>
  <w:style w:type="character" w:styleId="Hyperlink">
    <w:name w:val="Hyperlink"/>
    <w:rsid w:val="0021418A"/>
    <w:rPr>
      <w:color w:val="0000FF"/>
      <w:u w:val="single"/>
    </w:rPr>
  </w:style>
  <w:style w:type="paragraph" w:customStyle="1" w:styleId="ListParagraph">
    <w:name w:val="List Paragraph"/>
    <w:basedOn w:val="a"/>
    <w:qFormat/>
    <w:rsid w:val="00214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810781" TargetMode="External"/><Relationship Id="rId3" Type="http://schemas.openxmlformats.org/officeDocument/2006/relationships/settings" Target="settings.xml"/><Relationship Id="rId21" Type="http://schemas.openxmlformats.org/officeDocument/2006/relationships/hyperlink" Target="http://www.nevo.co.il/case/21035570"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70301" TargetMode="External"/><Relationship Id="rId29"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40ja"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1306079" TargetMode="External"/><Relationship Id="rId28" Type="http://schemas.openxmlformats.org/officeDocument/2006/relationships/hyperlink" Target="http://www.nevo.co.il/case/6244482"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1213700" TargetMode="External"/><Relationship Id="rId27" Type="http://schemas.openxmlformats.org/officeDocument/2006/relationships/hyperlink" Target="http://www.nevo.co.il/case/2617064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1669</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9996</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7864368</vt:i4>
      </vt:variant>
      <vt:variant>
        <vt:i4>66</vt:i4>
      </vt:variant>
      <vt:variant>
        <vt:i4>0</vt:i4>
      </vt:variant>
      <vt:variant>
        <vt:i4>5</vt:i4>
      </vt:variant>
      <vt:variant>
        <vt:lpwstr>http://www.eca.gov.il/</vt:lpwstr>
      </vt:variant>
      <vt:variant>
        <vt:lpwstr/>
      </vt:variant>
      <vt:variant>
        <vt:i4>3407994</vt:i4>
      </vt:variant>
      <vt:variant>
        <vt:i4>63</vt:i4>
      </vt:variant>
      <vt:variant>
        <vt:i4>0</vt:i4>
      </vt:variant>
      <vt:variant>
        <vt:i4>5</vt:i4>
      </vt:variant>
      <vt:variant>
        <vt:lpwstr>http://www.nevo.co.il/case/6244482</vt:lpwstr>
      </vt:variant>
      <vt:variant>
        <vt:lpwstr/>
      </vt:variant>
      <vt:variant>
        <vt:i4>3604595</vt:i4>
      </vt:variant>
      <vt:variant>
        <vt:i4>60</vt:i4>
      </vt:variant>
      <vt:variant>
        <vt:i4>0</vt:i4>
      </vt:variant>
      <vt:variant>
        <vt:i4>5</vt:i4>
      </vt:variant>
      <vt:variant>
        <vt:lpwstr>http://www.nevo.co.il/case/26170646</vt:lpwstr>
      </vt:variant>
      <vt:variant>
        <vt:lpwstr/>
      </vt:variant>
      <vt:variant>
        <vt:i4>3276916</vt:i4>
      </vt:variant>
      <vt:variant>
        <vt:i4>57</vt:i4>
      </vt:variant>
      <vt:variant>
        <vt:i4>0</vt:i4>
      </vt:variant>
      <vt:variant>
        <vt:i4>5</vt:i4>
      </vt:variant>
      <vt:variant>
        <vt:lpwstr>http://www.nevo.co.il/case/5810781</vt:lpwstr>
      </vt:variant>
      <vt:variant>
        <vt:lpwstr/>
      </vt:variant>
      <vt:variant>
        <vt:i4>7995492</vt:i4>
      </vt:variant>
      <vt:variant>
        <vt:i4>54</vt:i4>
      </vt:variant>
      <vt:variant>
        <vt:i4>0</vt:i4>
      </vt:variant>
      <vt:variant>
        <vt:i4>5</vt:i4>
      </vt:variant>
      <vt:variant>
        <vt:lpwstr>http://www.nevo.co.il/law/70301</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3342453</vt:i4>
      </vt:variant>
      <vt:variant>
        <vt:i4>48</vt:i4>
      </vt:variant>
      <vt:variant>
        <vt:i4>0</vt:i4>
      </vt:variant>
      <vt:variant>
        <vt:i4>5</vt:i4>
      </vt:variant>
      <vt:variant>
        <vt:lpwstr>http://www.nevo.co.il/case/11306079</vt:lpwstr>
      </vt:variant>
      <vt:variant>
        <vt:lpwstr/>
      </vt:variant>
      <vt:variant>
        <vt:i4>3145843</vt:i4>
      </vt:variant>
      <vt:variant>
        <vt:i4>45</vt:i4>
      </vt:variant>
      <vt:variant>
        <vt:i4>0</vt:i4>
      </vt:variant>
      <vt:variant>
        <vt:i4>5</vt:i4>
      </vt:variant>
      <vt:variant>
        <vt:lpwstr>http://www.nevo.co.il/case/11213700</vt:lpwstr>
      </vt:variant>
      <vt:variant>
        <vt:lpwstr/>
      </vt:variant>
      <vt:variant>
        <vt:i4>3145843</vt:i4>
      </vt:variant>
      <vt:variant>
        <vt:i4>42</vt:i4>
      </vt:variant>
      <vt:variant>
        <vt:i4>0</vt:i4>
      </vt:variant>
      <vt:variant>
        <vt:i4>5</vt:i4>
      </vt:variant>
      <vt:variant>
        <vt:lpwstr>http://www.nevo.co.il/case/21035570</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25852</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תאי ברכה</vt:lpwstr>
  </property>
  <property fmtid="{D5CDD505-2E9C-101B-9397-08002B2CF9AE}" pid="10" name="LAWYER">
    <vt:lpwstr>מאיר לוברבאום ;עידן גמליאלי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20220803</vt:lpwstr>
  </property>
  <property fmtid="{D5CDD505-2E9C-101B-9397-08002B2CF9AE}" pid="14" name="TYPE_N_DATE">
    <vt:lpwstr>38020220803</vt:lpwstr>
  </property>
  <property fmtid="{D5CDD505-2E9C-101B-9397-08002B2CF9AE}" pid="15" name="WORDNUMPAGES">
    <vt:lpwstr>6</vt:lpwstr>
  </property>
  <property fmtid="{D5CDD505-2E9C-101B-9397-08002B2CF9AE}" pid="16" name="TYPE_ABS_DATE">
    <vt:lpwstr>380120220803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21035570;11213700;11306079;5810781;26170646;6244482</vt:lpwstr>
  </property>
  <property fmtid="{D5CDD505-2E9C-101B-9397-08002B2CF9AE}" pid="36" name="LAWLISTTMP1">
    <vt:lpwstr>4216/013;019a</vt:lpwstr>
  </property>
  <property fmtid="{D5CDD505-2E9C-101B-9397-08002B2CF9AE}" pid="37" name="LAWLISTTMP2">
    <vt:lpwstr>70301/040i;40ja</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11695;11690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הימנעות מהרשעה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אי-הרשעה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20220830</vt:lpwstr>
  </property>
  <property fmtid="{D5CDD505-2E9C-101B-9397-08002B2CF9AE}" pid="72" name="METAKZER">
    <vt:lpwstr>שירי</vt:lpwstr>
  </property>
</Properties>
</file>