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70CBD" w:rsidRPr="00320FB5" w14:paraId="01E5F33E" w14:textId="77777777" w:rsidTr="00783567">
        <w:trPr>
          <w:trHeight w:hRule="exact" w:val="418"/>
          <w:jc w:val="center"/>
        </w:trPr>
        <w:tc>
          <w:tcPr>
            <w:tcW w:w="8721" w:type="dxa"/>
            <w:gridSpan w:val="2"/>
          </w:tcPr>
          <w:p w14:paraId="28488A14" w14:textId="77777777" w:rsidR="00870CBD" w:rsidRPr="00320FB5" w:rsidRDefault="00870CBD" w:rsidP="00F63EC9">
            <w:pPr>
              <w:pStyle w:val="a3"/>
              <w:jc w:val="center"/>
              <w:rPr>
                <w:rFonts w:ascii="FrankRuehl" w:hAnsi="FrankRuehl" w:cs="FrankRuehl"/>
                <w:b/>
                <w:bCs/>
                <w:color w:val="000080"/>
                <w:sz w:val="28"/>
                <w:szCs w:val="28"/>
                <w:rtl/>
              </w:rPr>
            </w:pPr>
            <w:bookmarkStart w:id="0" w:name="LastJudge"/>
            <w:r w:rsidRPr="00320FB5">
              <w:rPr>
                <w:rFonts w:ascii="FrankRuehl" w:hAnsi="FrankRuehl" w:cs="FrankRuehl"/>
                <w:b/>
                <w:bCs/>
                <w:color w:val="000080"/>
                <w:sz w:val="28"/>
                <w:szCs w:val="28"/>
                <w:rtl/>
              </w:rPr>
              <w:t>בית משפט השלום בירושלים</w:t>
            </w:r>
          </w:p>
        </w:tc>
      </w:tr>
      <w:tr w:rsidR="00870CBD" w:rsidRPr="00320FB5" w14:paraId="797B2F29" w14:textId="77777777" w:rsidTr="00783567">
        <w:trPr>
          <w:trHeight w:val="337"/>
          <w:jc w:val="center"/>
        </w:trPr>
        <w:tc>
          <w:tcPr>
            <w:tcW w:w="5054" w:type="dxa"/>
          </w:tcPr>
          <w:p w14:paraId="6DB13A0F" w14:textId="77777777" w:rsidR="00870CBD" w:rsidRPr="00320FB5" w:rsidRDefault="00870CBD" w:rsidP="00F63EC9">
            <w:pPr>
              <w:rPr>
                <w:rFonts w:ascii="FrankRuehl" w:hAnsi="FrankRuehl" w:cs="FrankRuehl"/>
                <w:b/>
                <w:bCs/>
                <w:sz w:val="28"/>
                <w:szCs w:val="28"/>
                <w:rtl/>
              </w:rPr>
            </w:pPr>
            <w:r w:rsidRPr="00320FB5">
              <w:rPr>
                <w:rFonts w:ascii="FrankRuehl" w:hAnsi="FrankRuehl" w:cs="FrankRuehl"/>
                <w:b/>
                <w:bCs/>
                <w:sz w:val="28"/>
                <w:szCs w:val="28"/>
                <w:rtl/>
              </w:rPr>
              <w:t>ת"פ 31306-02-20 מדינת ישראל נ' אבו סנד</w:t>
            </w:r>
          </w:p>
          <w:p w14:paraId="430D358E" w14:textId="77777777" w:rsidR="00870CBD" w:rsidRPr="00320FB5" w:rsidRDefault="00870CBD" w:rsidP="00F63EC9">
            <w:pPr>
              <w:pStyle w:val="a3"/>
              <w:rPr>
                <w:rFonts w:ascii="FrankRuehl" w:hAnsi="FrankRuehl" w:cs="FrankRuehl"/>
                <w:b/>
                <w:bCs/>
                <w:sz w:val="28"/>
                <w:szCs w:val="28"/>
                <w:rtl/>
              </w:rPr>
            </w:pPr>
          </w:p>
        </w:tc>
        <w:tc>
          <w:tcPr>
            <w:tcW w:w="3667" w:type="dxa"/>
          </w:tcPr>
          <w:p w14:paraId="6CCC6CEA" w14:textId="77777777" w:rsidR="00870CBD" w:rsidRPr="00320FB5" w:rsidRDefault="00870CBD" w:rsidP="00F63EC9">
            <w:pPr>
              <w:pStyle w:val="a3"/>
              <w:jc w:val="right"/>
              <w:rPr>
                <w:rFonts w:cs="FrankRuehl"/>
                <w:sz w:val="28"/>
                <w:szCs w:val="28"/>
                <w:rtl/>
              </w:rPr>
            </w:pPr>
          </w:p>
        </w:tc>
      </w:tr>
    </w:tbl>
    <w:p w14:paraId="05CD364D" w14:textId="77777777" w:rsidR="00870CBD" w:rsidRPr="00320FB5" w:rsidRDefault="00870CBD" w:rsidP="00870CBD">
      <w:pPr>
        <w:pStyle w:val="a3"/>
        <w:rPr>
          <w:rtl/>
        </w:rPr>
      </w:pPr>
      <w:r w:rsidRPr="00320FB5">
        <w:rPr>
          <w:rFonts w:hint="cs"/>
          <w:rtl/>
        </w:rPr>
        <w:t xml:space="preserve"> </w:t>
      </w:r>
    </w:p>
    <w:p w14:paraId="2CA8EBEF" w14:textId="77777777" w:rsidR="00870CBD" w:rsidRPr="00320FB5" w:rsidRDefault="00870CBD" w:rsidP="00870CBD">
      <w:pPr>
        <w:rPr>
          <w:rtl/>
        </w:rPr>
      </w:pPr>
    </w:p>
    <w:p w14:paraId="676FFFFF" w14:textId="77777777" w:rsidR="00870CBD" w:rsidRPr="00320FB5" w:rsidRDefault="00870CBD" w:rsidP="00870CB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70CBD" w:rsidRPr="00320FB5" w14:paraId="27320875" w14:textId="77777777" w:rsidTr="00870CBD">
        <w:trPr>
          <w:trHeight w:val="295"/>
          <w:jc w:val="center"/>
        </w:trPr>
        <w:tc>
          <w:tcPr>
            <w:tcW w:w="923" w:type="dxa"/>
            <w:tcBorders>
              <w:top w:val="nil"/>
              <w:left w:val="nil"/>
              <w:bottom w:val="nil"/>
              <w:right w:val="nil"/>
            </w:tcBorders>
            <w:shd w:val="clear" w:color="auto" w:fill="auto"/>
          </w:tcPr>
          <w:p w14:paraId="4EBCC11D" w14:textId="77777777" w:rsidR="00870CBD" w:rsidRPr="00320FB5" w:rsidRDefault="00870CBD" w:rsidP="00870CBD">
            <w:pPr>
              <w:jc w:val="both"/>
              <w:rPr>
                <w:rFonts w:ascii="FrankRuehl" w:hAnsi="FrankRuehl" w:cs="FrankRuehl"/>
                <w:b/>
                <w:bCs/>
                <w:sz w:val="28"/>
                <w:szCs w:val="28"/>
              </w:rPr>
            </w:pPr>
            <w:r w:rsidRPr="00320FB5">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3A494975" w14:textId="77777777" w:rsidR="00870CBD" w:rsidRPr="00320FB5" w:rsidRDefault="00870CBD" w:rsidP="00F63EC9">
            <w:pPr>
              <w:rPr>
                <w:rFonts w:ascii="FrankRuehl" w:hAnsi="FrankRuehl" w:cs="FrankRuehl"/>
                <w:b/>
                <w:bCs/>
                <w:sz w:val="28"/>
                <w:szCs w:val="28"/>
                <w:rtl/>
              </w:rPr>
            </w:pPr>
            <w:r w:rsidRPr="00320FB5">
              <w:rPr>
                <w:rFonts w:ascii="FrankRuehl" w:hAnsi="FrankRuehl" w:cs="FrankRuehl"/>
                <w:b/>
                <w:bCs/>
                <w:sz w:val="28"/>
                <w:szCs w:val="28"/>
                <w:rtl/>
              </w:rPr>
              <w:t>כבוד השופט  דוד שאול גבאי ריכטר</w:t>
            </w:r>
          </w:p>
          <w:p w14:paraId="2893D1C4" w14:textId="77777777" w:rsidR="00870CBD" w:rsidRPr="00320FB5" w:rsidRDefault="00870CBD" w:rsidP="00F63EC9">
            <w:pPr>
              <w:rPr>
                <w:rFonts w:ascii="FrankRuehl" w:hAnsi="FrankRuehl" w:cs="FrankRuehl"/>
                <w:b/>
                <w:bCs/>
                <w:sz w:val="28"/>
                <w:szCs w:val="28"/>
                <w:rtl/>
              </w:rPr>
            </w:pPr>
          </w:p>
          <w:p w14:paraId="49E311E3" w14:textId="77777777" w:rsidR="00870CBD" w:rsidRPr="00320FB5" w:rsidRDefault="00870CBD" w:rsidP="00870CBD">
            <w:pPr>
              <w:jc w:val="both"/>
              <w:rPr>
                <w:rFonts w:ascii="FrankRuehl" w:hAnsi="FrankRuehl" w:cs="FrankRuehl"/>
                <w:b/>
                <w:bCs/>
                <w:sz w:val="28"/>
                <w:szCs w:val="28"/>
              </w:rPr>
            </w:pPr>
          </w:p>
        </w:tc>
      </w:tr>
      <w:tr w:rsidR="00870CBD" w:rsidRPr="00320FB5" w14:paraId="279BF35C" w14:textId="77777777" w:rsidTr="00870CBD">
        <w:trPr>
          <w:trHeight w:val="355"/>
          <w:jc w:val="center"/>
        </w:trPr>
        <w:tc>
          <w:tcPr>
            <w:tcW w:w="923" w:type="dxa"/>
            <w:tcBorders>
              <w:top w:val="nil"/>
              <w:left w:val="nil"/>
              <w:bottom w:val="nil"/>
              <w:right w:val="nil"/>
            </w:tcBorders>
            <w:shd w:val="clear" w:color="auto" w:fill="auto"/>
          </w:tcPr>
          <w:p w14:paraId="457B45EC" w14:textId="77777777" w:rsidR="00870CBD" w:rsidRPr="00320FB5" w:rsidRDefault="00870CBD" w:rsidP="00870CBD">
            <w:pPr>
              <w:jc w:val="both"/>
              <w:rPr>
                <w:rFonts w:ascii="FrankRuehl" w:hAnsi="FrankRuehl" w:cs="FrankRuehl"/>
                <w:b/>
                <w:bCs/>
                <w:sz w:val="28"/>
                <w:szCs w:val="28"/>
              </w:rPr>
            </w:pPr>
            <w:bookmarkStart w:id="1" w:name="FirstAppellant"/>
            <w:r w:rsidRPr="00320FB5">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25364B46" w14:textId="77777777" w:rsidR="00870CBD" w:rsidRPr="00320FB5" w:rsidRDefault="00870CBD" w:rsidP="00F63EC9">
            <w:pPr>
              <w:rPr>
                <w:rFonts w:ascii="FrankRuehl" w:hAnsi="FrankRuehl" w:cs="FrankRuehl"/>
                <w:b/>
                <w:bCs/>
                <w:sz w:val="28"/>
                <w:szCs w:val="28"/>
              </w:rPr>
            </w:pPr>
            <w:r w:rsidRPr="00320FB5">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2EF27C6B" w14:textId="77777777" w:rsidR="00870CBD" w:rsidRPr="00320FB5" w:rsidRDefault="00870CBD" w:rsidP="00870CBD">
            <w:pPr>
              <w:jc w:val="both"/>
              <w:rPr>
                <w:rFonts w:ascii="FrankRuehl" w:hAnsi="FrankRuehl" w:cs="FrankRuehl"/>
                <w:b/>
                <w:bCs/>
                <w:sz w:val="28"/>
                <w:szCs w:val="28"/>
              </w:rPr>
            </w:pPr>
          </w:p>
        </w:tc>
      </w:tr>
      <w:tr w:rsidR="00870CBD" w:rsidRPr="00320FB5" w14:paraId="0A838F72" w14:textId="77777777" w:rsidTr="00870CBD">
        <w:trPr>
          <w:trHeight w:val="355"/>
          <w:jc w:val="center"/>
        </w:trPr>
        <w:tc>
          <w:tcPr>
            <w:tcW w:w="923" w:type="dxa"/>
            <w:tcBorders>
              <w:top w:val="nil"/>
              <w:left w:val="nil"/>
              <w:bottom w:val="nil"/>
              <w:right w:val="nil"/>
            </w:tcBorders>
            <w:shd w:val="clear" w:color="auto" w:fill="auto"/>
          </w:tcPr>
          <w:p w14:paraId="24D3C5C6" w14:textId="77777777" w:rsidR="00870CBD" w:rsidRPr="00320FB5" w:rsidRDefault="00870CBD" w:rsidP="00870CBD">
            <w:pPr>
              <w:jc w:val="both"/>
              <w:rPr>
                <w:rFonts w:ascii="FrankRuehl" w:hAnsi="FrankRuehl" w:cs="FrankRuehl"/>
                <w:b/>
                <w:bCs/>
                <w:sz w:val="28"/>
                <w:szCs w:val="28"/>
                <w:rtl/>
              </w:rPr>
            </w:pPr>
            <w:bookmarkStart w:id="2" w:name="FirstLawyer"/>
            <w:bookmarkEnd w:id="1"/>
          </w:p>
        </w:tc>
        <w:tc>
          <w:tcPr>
            <w:tcW w:w="4126" w:type="dxa"/>
            <w:tcBorders>
              <w:top w:val="nil"/>
              <w:left w:val="nil"/>
              <w:bottom w:val="nil"/>
              <w:right w:val="nil"/>
            </w:tcBorders>
            <w:shd w:val="clear" w:color="auto" w:fill="auto"/>
          </w:tcPr>
          <w:p w14:paraId="6B56FCFE" w14:textId="77777777" w:rsidR="00870CBD" w:rsidRPr="00320FB5" w:rsidRDefault="00870CBD" w:rsidP="00870CBD">
            <w:pPr>
              <w:jc w:val="both"/>
              <w:rPr>
                <w:rFonts w:ascii="FrankRuehl" w:hAnsi="FrankRuehl" w:cs="FrankRuehl"/>
                <w:b/>
                <w:bCs/>
                <w:sz w:val="28"/>
                <w:szCs w:val="28"/>
                <w:rtl/>
              </w:rPr>
            </w:pPr>
            <w:r w:rsidRPr="00320FB5">
              <w:rPr>
                <w:rFonts w:ascii="FrankRuehl" w:hAnsi="FrankRuehl" w:cs="FrankRuehl" w:hint="cs"/>
                <w:b/>
                <w:bCs/>
                <w:sz w:val="28"/>
                <w:szCs w:val="28"/>
                <w:rtl/>
              </w:rPr>
              <w:t xml:space="preserve">ע"י ב"כ הגב' אביה בניסטי, </w:t>
            </w:r>
          </w:p>
          <w:p w14:paraId="033481BB" w14:textId="77777777" w:rsidR="00870CBD" w:rsidRPr="00320FB5" w:rsidRDefault="00870CBD" w:rsidP="00870CBD">
            <w:pPr>
              <w:jc w:val="both"/>
              <w:rPr>
                <w:rFonts w:ascii="FrankRuehl" w:hAnsi="FrankRuehl" w:cs="FrankRuehl"/>
                <w:b/>
                <w:bCs/>
                <w:sz w:val="28"/>
                <w:szCs w:val="28"/>
                <w:rtl/>
              </w:rPr>
            </w:pPr>
            <w:r w:rsidRPr="00320FB5">
              <w:rPr>
                <w:rFonts w:ascii="FrankRuehl" w:hAnsi="FrankRuehl" w:cs="FrankRuehl" w:hint="cs"/>
                <w:b/>
                <w:bCs/>
                <w:sz w:val="28"/>
                <w:szCs w:val="28"/>
                <w:rtl/>
              </w:rPr>
              <w:t>ועו"ד כרמית כהן מתביעות ירושלים</w:t>
            </w:r>
          </w:p>
        </w:tc>
        <w:tc>
          <w:tcPr>
            <w:tcW w:w="3771" w:type="dxa"/>
            <w:tcBorders>
              <w:top w:val="nil"/>
              <w:left w:val="nil"/>
              <w:bottom w:val="nil"/>
              <w:right w:val="nil"/>
            </w:tcBorders>
            <w:shd w:val="clear" w:color="auto" w:fill="auto"/>
          </w:tcPr>
          <w:p w14:paraId="10619451" w14:textId="77777777" w:rsidR="00870CBD" w:rsidRPr="00320FB5" w:rsidRDefault="00870CBD" w:rsidP="00870CBD">
            <w:pPr>
              <w:jc w:val="right"/>
              <w:rPr>
                <w:rFonts w:ascii="FrankRuehl" w:hAnsi="FrankRuehl" w:cs="FrankRuehl"/>
                <w:b/>
                <w:bCs/>
                <w:sz w:val="28"/>
                <w:szCs w:val="28"/>
                <w:rtl/>
              </w:rPr>
            </w:pPr>
            <w:r w:rsidRPr="00320FB5">
              <w:rPr>
                <w:rFonts w:ascii="FrankRuehl" w:hAnsi="FrankRuehl" w:cs="FrankRuehl"/>
                <w:b/>
                <w:bCs/>
                <w:sz w:val="28"/>
                <w:szCs w:val="28"/>
                <w:rtl/>
              </w:rPr>
              <w:t>המאשימה</w:t>
            </w:r>
          </w:p>
        </w:tc>
      </w:tr>
      <w:bookmarkEnd w:id="2"/>
      <w:tr w:rsidR="00870CBD" w:rsidRPr="00320FB5" w14:paraId="4B039438" w14:textId="77777777" w:rsidTr="00870CBD">
        <w:trPr>
          <w:trHeight w:val="355"/>
          <w:jc w:val="center"/>
        </w:trPr>
        <w:tc>
          <w:tcPr>
            <w:tcW w:w="923" w:type="dxa"/>
            <w:tcBorders>
              <w:top w:val="nil"/>
              <w:left w:val="nil"/>
              <w:bottom w:val="nil"/>
              <w:right w:val="nil"/>
            </w:tcBorders>
            <w:shd w:val="clear" w:color="auto" w:fill="auto"/>
          </w:tcPr>
          <w:p w14:paraId="7422AC60" w14:textId="77777777" w:rsidR="00870CBD" w:rsidRPr="00320FB5" w:rsidRDefault="00870CBD" w:rsidP="00870CBD">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713BE645" w14:textId="77777777" w:rsidR="00870CBD" w:rsidRPr="00320FB5" w:rsidRDefault="00870CBD" w:rsidP="00870CBD">
            <w:pPr>
              <w:jc w:val="center"/>
              <w:rPr>
                <w:rFonts w:ascii="FrankRuehl" w:hAnsi="FrankRuehl" w:cs="FrankRuehl"/>
                <w:b/>
                <w:bCs/>
                <w:sz w:val="28"/>
                <w:szCs w:val="28"/>
                <w:rtl/>
              </w:rPr>
            </w:pPr>
          </w:p>
          <w:p w14:paraId="21FDC799" w14:textId="77777777" w:rsidR="00870CBD" w:rsidRPr="00320FB5" w:rsidRDefault="00870CBD" w:rsidP="00870CBD">
            <w:pPr>
              <w:jc w:val="center"/>
              <w:rPr>
                <w:rFonts w:ascii="FrankRuehl" w:hAnsi="FrankRuehl" w:cs="FrankRuehl"/>
                <w:b/>
                <w:bCs/>
                <w:sz w:val="28"/>
                <w:szCs w:val="28"/>
                <w:rtl/>
              </w:rPr>
            </w:pPr>
            <w:r w:rsidRPr="00320FB5">
              <w:rPr>
                <w:rFonts w:ascii="FrankRuehl" w:hAnsi="FrankRuehl" w:cs="FrankRuehl"/>
                <w:b/>
                <w:bCs/>
                <w:sz w:val="28"/>
                <w:szCs w:val="28"/>
                <w:rtl/>
              </w:rPr>
              <w:t>נגד</w:t>
            </w:r>
          </w:p>
          <w:p w14:paraId="1FDF0D07" w14:textId="77777777" w:rsidR="00870CBD" w:rsidRPr="00320FB5" w:rsidRDefault="00870CBD" w:rsidP="00870CBD">
            <w:pPr>
              <w:jc w:val="both"/>
              <w:rPr>
                <w:rFonts w:ascii="FrankRuehl" w:hAnsi="FrankRuehl" w:cs="FrankRuehl"/>
                <w:b/>
                <w:bCs/>
                <w:sz w:val="28"/>
                <w:szCs w:val="28"/>
              </w:rPr>
            </w:pPr>
          </w:p>
        </w:tc>
      </w:tr>
      <w:tr w:rsidR="00870CBD" w:rsidRPr="00320FB5" w14:paraId="450C81BA" w14:textId="77777777" w:rsidTr="00870CBD">
        <w:trPr>
          <w:trHeight w:val="355"/>
          <w:jc w:val="center"/>
        </w:trPr>
        <w:tc>
          <w:tcPr>
            <w:tcW w:w="923" w:type="dxa"/>
            <w:tcBorders>
              <w:top w:val="nil"/>
              <w:left w:val="nil"/>
              <w:bottom w:val="nil"/>
              <w:right w:val="nil"/>
            </w:tcBorders>
            <w:shd w:val="clear" w:color="auto" w:fill="auto"/>
          </w:tcPr>
          <w:p w14:paraId="6359F78B" w14:textId="77777777" w:rsidR="00870CBD" w:rsidRPr="00320FB5" w:rsidRDefault="00870CBD" w:rsidP="00F63EC9">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0D7A691D" w14:textId="77777777" w:rsidR="00870CBD" w:rsidRPr="00320FB5" w:rsidRDefault="00870CBD" w:rsidP="00F63EC9">
            <w:pPr>
              <w:rPr>
                <w:rFonts w:ascii="FrankRuehl" w:hAnsi="FrankRuehl" w:cs="FrankRuehl"/>
                <w:b/>
                <w:bCs/>
                <w:sz w:val="28"/>
                <w:szCs w:val="28"/>
                <w:rtl/>
              </w:rPr>
            </w:pPr>
            <w:r w:rsidRPr="00320FB5">
              <w:rPr>
                <w:rFonts w:ascii="FrankRuehl" w:hAnsi="FrankRuehl" w:cs="FrankRuehl"/>
                <w:b/>
                <w:bCs/>
                <w:sz w:val="28"/>
                <w:szCs w:val="28"/>
                <w:rtl/>
              </w:rPr>
              <w:t>מוחמד אבו סנד</w:t>
            </w:r>
          </w:p>
        </w:tc>
        <w:tc>
          <w:tcPr>
            <w:tcW w:w="3771" w:type="dxa"/>
            <w:tcBorders>
              <w:top w:val="nil"/>
              <w:left w:val="nil"/>
              <w:bottom w:val="nil"/>
              <w:right w:val="nil"/>
            </w:tcBorders>
            <w:shd w:val="clear" w:color="auto" w:fill="auto"/>
          </w:tcPr>
          <w:p w14:paraId="2C1F3A4E" w14:textId="77777777" w:rsidR="00870CBD" w:rsidRPr="00320FB5" w:rsidRDefault="00870CBD" w:rsidP="00870CBD">
            <w:pPr>
              <w:jc w:val="right"/>
              <w:rPr>
                <w:rFonts w:ascii="FrankRuehl" w:hAnsi="FrankRuehl" w:cs="FrankRuehl"/>
                <w:b/>
                <w:bCs/>
                <w:sz w:val="28"/>
                <w:szCs w:val="28"/>
              </w:rPr>
            </w:pPr>
          </w:p>
        </w:tc>
      </w:tr>
      <w:tr w:rsidR="00870CBD" w:rsidRPr="00320FB5" w14:paraId="42CCF12E" w14:textId="77777777" w:rsidTr="00870CBD">
        <w:trPr>
          <w:trHeight w:val="355"/>
          <w:jc w:val="center"/>
        </w:trPr>
        <w:tc>
          <w:tcPr>
            <w:tcW w:w="923" w:type="dxa"/>
            <w:tcBorders>
              <w:top w:val="nil"/>
              <w:left w:val="nil"/>
              <w:bottom w:val="nil"/>
              <w:right w:val="nil"/>
            </w:tcBorders>
            <w:shd w:val="clear" w:color="auto" w:fill="auto"/>
          </w:tcPr>
          <w:p w14:paraId="0BD989AD" w14:textId="77777777" w:rsidR="00870CBD" w:rsidRPr="00320FB5" w:rsidRDefault="00870CBD" w:rsidP="00870CBD">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338361CE" w14:textId="77777777" w:rsidR="00870CBD" w:rsidRPr="00320FB5" w:rsidRDefault="00870CBD" w:rsidP="00870CBD">
            <w:pPr>
              <w:jc w:val="both"/>
              <w:rPr>
                <w:rFonts w:ascii="FrankRuehl" w:hAnsi="FrankRuehl" w:cs="FrankRuehl"/>
                <w:b/>
                <w:bCs/>
                <w:sz w:val="28"/>
                <w:szCs w:val="28"/>
                <w:rtl/>
              </w:rPr>
            </w:pPr>
            <w:r w:rsidRPr="00320FB5">
              <w:rPr>
                <w:rFonts w:ascii="FrankRuehl" w:hAnsi="FrankRuehl" w:cs="FrankRuehl" w:hint="cs"/>
                <w:b/>
                <w:bCs/>
                <w:sz w:val="28"/>
                <w:szCs w:val="28"/>
                <w:rtl/>
              </w:rPr>
              <w:t>ע"י ב"כ עו"ד מחמד ח'לאילה</w:t>
            </w:r>
          </w:p>
        </w:tc>
        <w:tc>
          <w:tcPr>
            <w:tcW w:w="3771" w:type="dxa"/>
            <w:tcBorders>
              <w:top w:val="nil"/>
              <w:left w:val="nil"/>
              <w:bottom w:val="nil"/>
              <w:right w:val="nil"/>
            </w:tcBorders>
            <w:shd w:val="clear" w:color="auto" w:fill="auto"/>
          </w:tcPr>
          <w:p w14:paraId="524BD8E7" w14:textId="77777777" w:rsidR="00870CBD" w:rsidRPr="00320FB5" w:rsidRDefault="00870CBD" w:rsidP="00870CBD">
            <w:pPr>
              <w:jc w:val="right"/>
              <w:rPr>
                <w:rFonts w:ascii="FrankRuehl" w:hAnsi="FrankRuehl" w:cs="FrankRuehl"/>
                <w:b/>
                <w:bCs/>
                <w:sz w:val="28"/>
                <w:szCs w:val="28"/>
              </w:rPr>
            </w:pPr>
            <w:r w:rsidRPr="00320FB5">
              <w:rPr>
                <w:rFonts w:ascii="FrankRuehl" w:hAnsi="FrankRuehl" w:cs="FrankRuehl"/>
                <w:b/>
                <w:bCs/>
                <w:sz w:val="28"/>
                <w:szCs w:val="28"/>
                <w:rtl/>
              </w:rPr>
              <w:t>הנאשם</w:t>
            </w:r>
          </w:p>
        </w:tc>
      </w:tr>
    </w:tbl>
    <w:p w14:paraId="4B4D54B1" w14:textId="77777777" w:rsidR="00320FB5" w:rsidRPr="00320FB5" w:rsidRDefault="00320FB5" w:rsidP="00320FB5">
      <w:pPr>
        <w:spacing w:before="120" w:after="120" w:line="240" w:lineRule="exact"/>
        <w:ind w:left="283" w:hanging="283"/>
        <w:jc w:val="both"/>
        <w:rPr>
          <w:rFonts w:ascii="FrankRuehl" w:hAnsi="FrankRuehl" w:cs="FrankRuehl"/>
          <w:rtl/>
        </w:rPr>
      </w:pPr>
    </w:p>
    <w:p w14:paraId="70B6E21D" w14:textId="77777777" w:rsidR="00783567" w:rsidRPr="00783567" w:rsidRDefault="00783567" w:rsidP="00783567">
      <w:pPr>
        <w:spacing w:before="120" w:after="120" w:line="240" w:lineRule="exact"/>
        <w:ind w:left="283" w:hanging="283"/>
        <w:jc w:val="both"/>
        <w:rPr>
          <w:rFonts w:ascii="FrankRuehl" w:hAnsi="FrankRuehl" w:cs="FrankRuehl"/>
          <w:rtl/>
        </w:rPr>
      </w:pPr>
    </w:p>
    <w:p w14:paraId="330D6E3E" w14:textId="77777777" w:rsidR="00C92687" w:rsidRPr="00C92687" w:rsidRDefault="00C92687" w:rsidP="00C92687">
      <w:pPr>
        <w:spacing w:before="120" w:after="120" w:line="240" w:lineRule="exact"/>
        <w:ind w:left="283" w:hanging="283"/>
        <w:jc w:val="both"/>
        <w:rPr>
          <w:rFonts w:ascii="FrankRuehl" w:hAnsi="FrankRuehl" w:cs="FrankRuehl"/>
          <w:rtl/>
        </w:rPr>
      </w:pPr>
    </w:p>
    <w:p w14:paraId="254B162B" w14:textId="77777777" w:rsidR="00E715E2" w:rsidRDefault="00E715E2" w:rsidP="00E715E2">
      <w:pPr>
        <w:rPr>
          <w:sz w:val="26"/>
          <w:szCs w:val="26"/>
          <w:rtl/>
        </w:rPr>
      </w:pPr>
      <w:bookmarkStart w:id="3" w:name="LawTable"/>
      <w:bookmarkEnd w:id="3"/>
    </w:p>
    <w:p w14:paraId="4C9E3AB3" w14:textId="77777777" w:rsidR="00E715E2" w:rsidRPr="00E715E2" w:rsidRDefault="00E715E2" w:rsidP="00E715E2">
      <w:pPr>
        <w:spacing w:before="120" w:after="120" w:line="240" w:lineRule="exact"/>
        <w:ind w:left="283" w:hanging="283"/>
        <w:jc w:val="both"/>
        <w:rPr>
          <w:rFonts w:ascii="FrankRuehl" w:hAnsi="FrankRuehl" w:cs="FrankRuehl"/>
          <w:rtl/>
        </w:rPr>
      </w:pPr>
    </w:p>
    <w:p w14:paraId="6D3EBF04" w14:textId="77777777" w:rsidR="00E715E2" w:rsidRPr="00E715E2" w:rsidRDefault="00E715E2" w:rsidP="00E715E2">
      <w:pPr>
        <w:spacing w:before="120" w:after="120" w:line="240" w:lineRule="exact"/>
        <w:ind w:left="283" w:hanging="283"/>
        <w:jc w:val="both"/>
        <w:rPr>
          <w:rFonts w:ascii="FrankRuehl" w:hAnsi="FrankRuehl" w:cs="FrankRuehl"/>
          <w:rtl/>
        </w:rPr>
      </w:pPr>
    </w:p>
    <w:p w14:paraId="1B32DC10" w14:textId="77777777" w:rsidR="00E715E2" w:rsidRPr="00E715E2" w:rsidRDefault="00E715E2" w:rsidP="00E715E2">
      <w:pPr>
        <w:spacing w:before="120" w:after="120" w:line="240" w:lineRule="exact"/>
        <w:ind w:left="283" w:hanging="283"/>
        <w:jc w:val="both"/>
        <w:rPr>
          <w:rFonts w:ascii="FrankRuehl" w:hAnsi="FrankRuehl" w:cs="FrankRuehl"/>
          <w:rtl/>
        </w:rPr>
      </w:pPr>
      <w:r w:rsidRPr="00E715E2">
        <w:rPr>
          <w:rFonts w:ascii="FrankRuehl" w:hAnsi="FrankRuehl" w:cs="FrankRuehl"/>
          <w:rtl/>
        </w:rPr>
        <w:t xml:space="preserve">חקיקה שאוזכרה: </w:t>
      </w:r>
    </w:p>
    <w:p w14:paraId="093122F7" w14:textId="77777777" w:rsidR="00E715E2" w:rsidRPr="00E715E2" w:rsidRDefault="00E715E2" w:rsidP="00E715E2">
      <w:pPr>
        <w:spacing w:before="120" w:after="120" w:line="240" w:lineRule="exact"/>
        <w:ind w:left="283" w:hanging="283"/>
        <w:jc w:val="both"/>
        <w:rPr>
          <w:rFonts w:ascii="FrankRuehl" w:hAnsi="FrankRuehl" w:cs="FrankRuehl"/>
          <w:rtl/>
        </w:rPr>
      </w:pPr>
      <w:hyperlink r:id="rId7" w:history="1">
        <w:r w:rsidRPr="00E715E2">
          <w:rPr>
            <w:rFonts w:ascii="FrankRuehl" w:hAnsi="FrankRuehl" w:cs="FrankRuehl"/>
            <w:color w:val="0000FF"/>
            <w:rtl/>
          </w:rPr>
          <w:t>פקודת הסמים המסוכנים [נוסח חדש], תשל"ג-1973</w:t>
        </w:r>
      </w:hyperlink>
      <w:r w:rsidRPr="00E715E2">
        <w:rPr>
          <w:rFonts w:ascii="FrankRuehl" w:hAnsi="FrankRuehl" w:cs="FrankRuehl"/>
          <w:rtl/>
        </w:rPr>
        <w:t xml:space="preserve">: סע'  </w:t>
      </w:r>
      <w:hyperlink r:id="rId8" w:history="1">
        <w:r w:rsidRPr="00E715E2">
          <w:rPr>
            <w:rFonts w:ascii="FrankRuehl" w:hAnsi="FrankRuehl" w:cs="FrankRuehl"/>
            <w:color w:val="0000FF"/>
            <w:rtl/>
          </w:rPr>
          <w:t>14</w:t>
        </w:r>
      </w:hyperlink>
    </w:p>
    <w:p w14:paraId="3D170658" w14:textId="77777777" w:rsidR="00E715E2" w:rsidRPr="00E715E2" w:rsidRDefault="00E715E2" w:rsidP="00E715E2">
      <w:pPr>
        <w:spacing w:before="120" w:after="120" w:line="240" w:lineRule="exact"/>
        <w:ind w:left="283" w:hanging="283"/>
        <w:jc w:val="both"/>
        <w:rPr>
          <w:rFonts w:ascii="FrankRuehl" w:hAnsi="FrankRuehl" w:cs="FrankRuehl"/>
          <w:rtl/>
        </w:rPr>
      </w:pPr>
      <w:hyperlink r:id="rId9" w:history="1">
        <w:r w:rsidRPr="00E715E2">
          <w:rPr>
            <w:rFonts w:ascii="FrankRuehl" w:hAnsi="FrankRuehl" w:cs="FrankRuehl"/>
            <w:color w:val="0000FF"/>
            <w:rtl/>
          </w:rPr>
          <w:t>חוק העונשין, תשל"ז-1977</w:t>
        </w:r>
      </w:hyperlink>
      <w:r w:rsidRPr="00E715E2">
        <w:rPr>
          <w:rFonts w:ascii="FrankRuehl" w:hAnsi="FrankRuehl" w:cs="FrankRuehl"/>
          <w:rtl/>
        </w:rPr>
        <w:t xml:space="preserve">: סע'  </w:t>
      </w:r>
      <w:hyperlink r:id="rId10" w:history="1">
        <w:r w:rsidRPr="00E715E2">
          <w:rPr>
            <w:rFonts w:ascii="FrankRuehl" w:hAnsi="FrankRuehl" w:cs="FrankRuehl"/>
            <w:color w:val="0000FF"/>
            <w:rtl/>
          </w:rPr>
          <w:t>40ט'</w:t>
        </w:r>
      </w:hyperlink>
      <w:r w:rsidRPr="00E715E2">
        <w:rPr>
          <w:rFonts w:ascii="FrankRuehl" w:hAnsi="FrankRuehl" w:cs="FrankRuehl"/>
          <w:rtl/>
        </w:rPr>
        <w:t xml:space="preserve">, </w:t>
      </w:r>
      <w:hyperlink r:id="rId11" w:history="1">
        <w:r w:rsidRPr="00E715E2">
          <w:rPr>
            <w:rFonts w:ascii="FrankRuehl" w:hAnsi="FrankRuehl" w:cs="FrankRuehl"/>
            <w:color w:val="0000FF"/>
            <w:rtl/>
          </w:rPr>
          <w:t>40יא</w:t>
        </w:r>
      </w:hyperlink>
    </w:p>
    <w:p w14:paraId="375B22AE" w14:textId="77777777" w:rsidR="00E715E2" w:rsidRPr="00E715E2" w:rsidRDefault="00E715E2" w:rsidP="00E715E2">
      <w:pPr>
        <w:rPr>
          <w:sz w:val="26"/>
          <w:szCs w:val="26"/>
          <w:rtl/>
        </w:rPr>
      </w:pPr>
      <w:bookmarkStart w:id="4" w:name="LawTable_End"/>
      <w:bookmarkEnd w:id="4"/>
    </w:p>
    <w:p w14:paraId="3E4E3657" w14:textId="77777777" w:rsidR="00870CBD" w:rsidRPr="00C92687" w:rsidRDefault="00870CBD" w:rsidP="00C9268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70CBD" w14:paraId="0173E9A4" w14:textId="77777777" w:rsidTr="00870CBD">
        <w:trPr>
          <w:trHeight w:val="355"/>
          <w:jc w:val="center"/>
        </w:trPr>
        <w:tc>
          <w:tcPr>
            <w:tcW w:w="8820" w:type="dxa"/>
            <w:tcBorders>
              <w:top w:val="nil"/>
              <w:left w:val="nil"/>
              <w:bottom w:val="nil"/>
              <w:right w:val="nil"/>
            </w:tcBorders>
            <w:shd w:val="clear" w:color="auto" w:fill="auto"/>
          </w:tcPr>
          <w:p w14:paraId="59878C3C" w14:textId="77777777" w:rsidR="00320FB5" w:rsidRPr="00320FB5" w:rsidRDefault="00320FB5" w:rsidP="00320FB5">
            <w:pPr>
              <w:jc w:val="center"/>
              <w:rPr>
                <w:rFonts w:ascii="FrankRuehl" w:hAnsi="FrankRuehl" w:cs="FrankRuehl"/>
                <w:b/>
                <w:bCs/>
                <w:sz w:val="32"/>
                <w:szCs w:val="32"/>
                <w:u w:val="single"/>
                <w:rtl/>
              </w:rPr>
            </w:pPr>
            <w:bookmarkStart w:id="5" w:name="PsakDin" w:colFirst="0" w:colLast="0"/>
            <w:bookmarkEnd w:id="0"/>
            <w:r w:rsidRPr="00320FB5">
              <w:rPr>
                <w:rFonts w:ascii="FrankRuehl" w:hAnsi="FrankRuehl" w:cs="FrankRuehl"/>
                <w:b/>
                <w:bCs/>
                <w:sz w:val="32"/>
                <w:szCs w:val="32"/>
                <w:u w:val="single"/>
                <w:rtl/>
              </w:rPr>
              <w:t>גזר דין</w:t>
            </w:r>
          </w:p>
          <w:p w14:paraId="401BB177" w14:textId="77777777" w:rsidR="00870CBD" w:rsidRPr="00320FB5" w:rsidRDefault="00870CBD" w:rsidP="00320FB5">
            <w:pPr>
              <w:jc w:val="center"/>
              <w:rPr>
                <w:rFonts w:ascii="FrankRuehl" w:hAnsi="FrankRuehl" w:cs="FrankRuehl"/>
                <w:bCs/>
                <w:sz w:val="32"/>
                <w:szCs w:val="32"/>
                <w:u w:val="single"/>
                <w:rtl/>
              </w:rPr>
            </w:pPr>
          </w:p>
        </w:tc>
      </w:tr>
      <w:bookmarkEnd w:id="5"/>
    </w:tbl>
    <w:p w14:paraId="56D6F006" w14:textId="77777777" w:rsidR="00870CBD" w:rsidRDefault="00870CBD" w:rsidP="00870CBD">
      <w:pPr>
        <w:jc w:val="center"/>
        <w:rPr>
          <w:rFonts w:ascii="David" w:hAnsi="David"/>
          <w:sz w:val="30"/>
          <w:szCs w:val="30"/>
          <w:rtl/>
        </w:rPr>
      </w:pPr>
    </w:p>
    <w:p w14:paraId="0EC2FFE8" w14:textId="77777777" w:rsidR="00870CBD" w:rsidRPr="004D7BA0" w:rsidRDefault="00870CBD" w:rsidP="00870CBD">
      <w:pPr>
        <w:jc w:val="center"/>
        <w:rPr>
          <w:rFonts w:ascii="David" w:hAnsi="David"/>
          <w:sz w:val="30"/>
          <w:szCs w:val="30"/>
          <w:rtl/>
        </w:rPr>
      </w:pPr>
    </w:p>
    <w:p w14:paraId="69E03188" w14:textId="77777777" w:rsidR="00870CBD" w:rsidRPr="00AB55A9" w:rsidRDefault="00870CBD" w:rsidP="00870CBD">
      <w:pPr>
        <w:spacing w:line="360" w:lineRule="auto"/>
        <w:jc w:val="both"/>
        <w:rPr>
          <w:rFonts w:ascii="FrankRuehl" w:hAnsi="FrankRuehl" w:cs="FrankRuehl"/>
          <w:b/>
          <w:bCs/>
          <w:sz w:val="28"/>
          <w:szCs w:val="28"/>
          <w:u w:val="single"/>
          <w:rtl/>
        </w:rPr>
      </w:pPr>
      <w:r w:rsidRPr="00AB55A9">
        <w:rPr>
          <w:rFonts w:ascii="FrankRuehl" w:hAnsi="FrankRuehl" w:cs="FrankRuehl"/>
          <w:b/>
          <w:bCs/>
          <w:sz w:val="28"/>
          <w:szCs w:val="28"/>
          <w:u w:val="single"/>
          <w:rtl/>
        </w:rPr>
        <w:t>כתב האישום המתוקן</w:t>
      </w:r>
    </w:p>
    <w:p w14:paraId="58D92ED5" w14:textId="77777777" w:rsidR="00870CBD" w:rsidRPr="00AB55A9" w:rsidRDefault="00870CBD" w:rsidP="00870CBD">
      <w:pPr>
        <w:spacing w:line="360" w:lineRule="auto"/>
        <w:jc w:val="both"/>
        <w:rPr>
          <w:rFonts w:ascii="FrankRuehl" w:hAnsi="FrankRuehl" w:cs="FrankRuehl"/>
          <w:sz w:val="28"/>
          <w:szCs w:val="28"/>
          <w:rtl/>
        </w:rPr>
      </w:pPr>
      <w:bookmarkStart w:id="6" w:name="ABSTRACT_START"/>
      <w:bookmarkEnd w:id="6"/>
      <w:r>
        <w:rPr>
          <w:rFonts w:ascii="FrankRuehl" w:hAnsi="FrankRuehl" w:cs="FrankRuehl" w:hint="cs"/>
          <w:sz w:val="28"/>
          <w:szCs w:val="28"/>
          <w:rtl/>
        </w:rPr>
        <w:t xml:space="preserve">הנאשם הורשע על-פי הודאתו בכתב אישום מתוקן בביצוע ארבע עבירות </w:t>
      </w:r>
      <w:r w:rsidRPr="000E34AC">
        <w:rPr>
          <w:rFonts w:ascii="FrankRuehl" w:hAnsi="FrankRuehl" w:cs="FrankRuehl" w:hint="cs"/>
          <w:b/>
          <w:bCs/>
          <w:sz w:val="28"/>
          <w:szCs w:val="28"/>
          <w:rtl/>
        </w:rPr>
        <w:t>תיווך בסמים</w:t>
      </w:r>
      <w:r>
        <w:rPr>
          <w:rFonts w:ascii="FrankRuehl" w:hAnsi="FrankRuehl" w:cs="FrankRuehl" w:hint="cs"/>
          <w:sz w:val="28"/>
          <w:szCs w:val="28"/>
          <w:rtl/>
        </w:rPr>
        <w:t xml:space="preserve">, לפי </w:t>
      </w:r>
      <w:hyperlink r:id="rId12" w:history="1">
        <w:r w:rsidR="00783567" w:rsidRPr="00783567">
          <w:rPr>
            <w:rStyle w:val="Hyperlink"/>
            <w:rFonts w:ascii="FrankRuehl" w:hAnsi="FrankRuehl" w:cs="FrankRuehl" w:hint="eastAsia"/>
            <w:sz w:val="28"/>
            <w:szCs w:val="28"/>
            <w:rtl/>
          </w:rPr>
          <w:t>סעיף</w:t>
        </w:r>
        <w:r w:rsidR="00783567" w:rsidRPr="00783567">
          <w:rPr>
            <w:rStyle w:val="Hyperlink"/>
            <w:rFonts w:ascii="FrankRuehl" w:hAnsi="FrankRuehl" w:cs="FrankRuehl"/>
            <w:sz w:val="28"/>
            <w:szCs w:val="28"/>
            <w:rtl/>
          </w:rPr>
          <w:t xml:space="preserve"> 14</w:t>
        </w:r>
      </w:hyperlink>
      <w:r>
        <w:rPr>
          <w:rFonts w:ascii="FrankRuehl" w:hAnsi="FrankRuehl" w:cs="FrankRuehl" w:hint="cs"/>
          <w:sz w:val="28"/>
          <w:szCs w:val="28"/>
          <w:rtl/>
        </w:rPr>
        <w:t xml:space="preserve"> ל</w:t>
      </w:r>
      <w:hyperlink r:id="rId13" w:history="1">
        <w:r w:rsidR="00320FB5" w:rsidRPr="00320FB5">
          <w:rPr>
            <w:rFonts w:ascii="FrankRuehl" w:hAnsi="FrankRuehl" w:cs="FrankRuehl"/>
            <w:color w:val="0000FF"/>
            <w:sz w:val="28"/>
            <w:szCs w:val="28"/>
            <w:u w:val="single"/>
            <w:rtl/>
          </w:rPr>
          <w:t>פקודת הסמים המסוכנים</w:t>
        </w:r>
      </w:hyperlink>
      <w:r>
        <w:rPr>
          <w:rFonts w:ascii="FrankRuehl" w:hAnsi="FrankRuehl" w:cs="FrankRuehl" w:hint="cs"/>
          <w:sz w:val="28"/>
          <w:szCs w:val="28"/>
          <w:rtl/>
        </w:rPr>
        <w:t xml:space="preserve">. לפי חלקו הכללי של כתב האישום, המשטרה הפעילה את נ"פ 4-18 (הסוכן), כאשר בינו לבין הנאשם התקיים קשר שבו תיווך הנאשם תמורת תשלום, עסקאות סמים, כשהסוכן הציג מצג, לפיו הסמים עבורו ועבור אחרים. באישום הראשון מתואר, כי בוצעה עסקת סמים בין הסוכן לבין אדם בשם רווידי, שהנאשם קישר ביניהם לצורך ביצוע העסקה, </w:t>
      </w:r>
      <w:r>
        <w:rPr>
          <w:rFonts w:ascii="FrankRuehl" w:hAnsi="FrankRuehl" w:cs="FrankRuehl" w:hint="cs"/>
          <w:sz w:val="28"/>
          <w:szCs w:val="28"/>
          <w:rtl/>
        </w:rPr>
        <w:lastRenderedPageBreak/>
        <w:t xml:space="preserve">והדבר היה כרוך בהתקשרויות ותיאום רבים כמתואר באישום זה. ביום 6.2.2019 מכר רווידי לסוכן פלטת חשיש במשקל 94.17 גרם וכן 50 טבליות </w:t>
      </w:r>
      <w:r>
        <w:rPr>
          <w:rFonts w:ascii="FrankRuehl" w:hAnsi="FrankRuehl" w:cs="FrankRuehl" w:hint="cs"/>
          <w:sz w:val="28"/>
          <w:szCs w:val="28"/>
        </w:rPr>
        <w:t>MDMA</w:t>
      </w:r>
      <w:r>
        <w:rPr>
          <w:rFonts w:ascii="FrankRuehl" w:hAnsi="FrankRuehl" w:cs="FrankRuehl" w:hint="cs"/>
          <w:sz w:val="28"/>
          <w:szCs w:val="28"/>
          <w:rtl/>
        </w:rPr>
        <w:t xml:space="preserve"> בסכום של 4,150 ₪. באישום השני ובנסיבות דומות, מתואר כי בוצעה עסקת סמים ביום 20.2.2019 בין הסוכן לרווידי, במסגרתה מכר רווידי לסוכן 100 טבליות </w:t>
      </w:r>
      <w:r>
        <w:rPr>
          <w:rFonts w:ascii="FrankRuehl" w:hAnsi="FrankRuehl" w:cs="FrankRuehl" w:hint="cs"/>
          <w:sz w:val="28"/>
          <w:szCs w:val="28"/>
        </w:rPr>
        <w:t>MDMA</w:t>
      </w:r>
      <w:r>
        <w:rPr>
          <w:rFonts w:ascii="FrankRuehl" w:hAnsi="FrankRuehl" w:cs="FrankRuehl" w:hint="cs"/>
          <w:sz w:val="28"/>
          <w:szCs w:val="28"/>
          <w:rtl/>
        </w:rPr>
        <w:t xml:space="preserve"> ופלטת חשיש במשקל 94.01 גרם תמורת 6,200 ₪. באישום השלישי ובנסיבות דומות, מתואר כי ביום 4.3.2019 בוצעה עסקת סמים שבה מכר רווידי לסוכן 100 טבליות </w:t>
      </w:r>
      <w:r>
        <w:rPr>
          <w:rFonts w:ascii="FrankRuehl" w:hAnsi="FrankRuehl" w:cs="FrankRuehl" w:hint="cs"/>
          <w:sz w:val="28"/>
          <w:szCs w:val="28"/>
        </w:rPr>
        <w:t>MDMA</w:t>
      </w:r>
      <w:r>
        <w:rPr>
          <w:rFonts w:ascii="FrankRuehl" w:hAnsi="FrankRuehl" w:cs="FrankRuehl" w:hint="cs"/>
          <w:sz w:val="28"/>
          <w:szCs w:val="28"/>
          <w:rtl/>
        </w:rPr>
        <w:t xml:space="preserve"> ופלטת חשיש במשקל 93.66 גרם, תמורת 7,000 ₪.  יצוין, כי לאחר ביצוע העסקה הלין הסוכן באוזני הנאשם, כי בניגוד למוסכם, הועברו לחזקתו 100 טבליות </w:t>
      </w:r>
      <w:r>
        <w:rPr>
          <w:rFonts w:ascii="FrankRuehl" w:hAnsi="FrankRuehl" w:cs="FrankRuehl" w:hint="cs"/>
          <w:sz w:val="28"/>
          <w:szCs w:val="28"/>
        </w:rPr>
        <w:t>MDMA</w:t>
      </w:r>
      <w:r>
        <w:rPr>
          <w:rFonts w:ascii="FrankRuehl" w:hAnsi="FrankRuehl" w:cs="FrankRuehl" w:hint="cs"/>
          <w:sz w:val="28"/>
          <w:szCs w:val="28"/>
          <w:rtl/>
        </w:rPr>
        <w:t xml:space="preserve">, כמות קטנה מזו שעליה הוסכם בתיאומים ביניהם. באישום הרביעי ובנסיבות דומות, מתואר כי ביום 18.3.2019 מכר רווידי לסוכן 99 טבליות </w:t>
      </w:r>
      <w:r>
        <w:rPr>
          <w:rFonts w:ascii="FrankRuehl" w:hAnsi="FrankRuehl" w:cs="FrankRuehl" w:hint="cs"/>
          <w:sz w:val="28"/>
          <w:szCs w:val="28"/>
        </w:rPr>
        <w:t>MDMA</w:t>
      </w:r>
      <w:r>
        <w:rPr>
          <w:rFonts w:ascii="FrankRuehl" w:hAnsi="FrankRuehl" w:cs="FrankRuehl" w:hint="cs"/>
          <w:sz w:val="28"/>
          <w:szCs w:val="28"/>
          <w:rtl/>
        </w:rPr>
        <w:t xml:space="preserve"> ופלטת חשיש במשקל 100.73 גרם תמורת 5,100 ₪ לאחר שהעסקה תואמה עם הנאשם.</w:t>
      </w:r>
    </w:p>
    <w:p w14:paraId="1EE687F5" w14:textId="77777777" w:rsidR="00870CBD" w:rsidRDefault="00870CBD" w:rsidP="00870CBD">
      <w:pPr>
        <w:spacing w:line="360" w:lineRule="auto"/>
        <w:jc w:val="both"/>
        <w:rPr>
          <w:rFonts w:ascii="FrankRuehl" w:hAnsi="FrankRuehl" w:cs="FrankRuehl"/>
          <w:sz w:val="28"/>
          <w:szCs w:val="28"/>
          <w:rtl/>
        </w:rPr>
      </w:pPr>
      <w:bookmarkStart w:id="7" w:name="ABSTRACT_END"/>
      <w:bookmarkEnd w:id="7"/>
    </w:p>
    <w:p w14:paraId="0CFA8F09" w14:textId="77777777" w:rsidR="00870CBD" w:rsidRPr="00ED23FF" w:rsidRDefault="00870CBD" w:rsidP="00870CBD">
      <w:pPr>
        <w:spacing w:line="360" w:lineRule="auto"/>
        <w:jc w:val="both"/>
        <w:rPr>
          <w:rFonts w:ascii="FrankRuehl" w:hAnsi="FrankRuehl" w:cs="FrankRuehl"/>
          <w:b/>
          <w:bCs/>
          <w:sz w:val="28"/>
          <w:szCs w:val="28"/>
          <w:u w:val="single"/>
          <w:rtl/>
        </w:rPr>
      </w:pPr>
      <w:r w:rsidRPr="00ED23FF">
        <w:rPr>
          <w:rFonts w:ascii="FrankRuehl" w:hAnsi="FrankRuehl" w:cs="FrankRuehl" w:hint="cs"/>
          <w:b/>
          <w:bCs/>
          <w:sz w:val="28"/>
          <w:szCs w:val="28"/>
          <w:u w:val="single"/>
          <w:rtl/>
        </w:rPr>
        <w:t>מהלך הדיון</w:t>
      </w:r>
    </w:p>
    <w:p w14:paraId="034DF542" w14:textId="77777777" w:rsidR="00870CBD" w:rsidRDefault="00870CBD" w:rsidP="00870CBD">
      <w:pPr>
        <w:spacing w:line="360" w:lineRule="auto"/>
        <w:jc w:val="both"/>
        <w:rPr>
          <w:rFonts w:ascii="FrankRuehl" w:hAnsi="FrankRuehl" w:cs="FrankRuehl"/>
          <w:sz w:val="28"/>
          <w:szCs w:val="28"/>
          <w:rtl/>
        </w:rPr>
      </w:pPr>
      <w:r>
        <w:rPr>
          <w:rFonts w:ascii="FrankRuehl" w:hAnsi="FrankRuehl" w:cs="FrankRuehl" w:hint="cs"/>
          <w:sz w:val="28"/>
          <w:szCs w:val="28"/>
          <w:rtl/>
        </w:rPr>
        <w:t>הנאשם נעצר לצרכי חקירה ביום 9.2.2020 ומעצרו הוארך לצרכי הגשת כתב אישום, שהוגש יחד עם בקשה למעצר תום הליכים ביום 12.2.2020. ביום 30.4.2020 שוחרר הנאשם  למעצר בית מלא (לאחר שכבר הוחלט לעצרו עד תום ההליכים בהיעדר חלופה הולמת, החלטה שאושרה בבית המשפט המחוזי). תנאי מעצר הבית הוקלו מעט בחודש אוגוסט ובחודש נובמבר 2020. ביום 31.1.2021 הכרעתי את דינו של הנאשם ותנאי מעצר הבית הוקלו למעצר בית משעות הערב המוקדמות ועד למחרת בבוקר. שלחתי את הנאשם לשירות המבחן לעריכת תסקיר ולממונה על עבודות השירות לקבלת חוות דעת. ביום 28.2.2021 הקלתי בתנאי מעצרו כך שישהה במעצר בית לילי תחת צו פיקוח מעצרים, לאחר שלא נרשמו לחובתו הפרות. יצוין, כי תוך כדי ההליך, נדון הנאשם בגין עבירות מסים משנת 2014 לעונש של שנתיים מאסר שהוא צפוי להתחיל לרצות.</w:t>
      </w:r>
    </w:p>
    <w:p w14:paraId="60C6A62A" w14:textId="77777777" w:rsidR="00870CBD" w:rsidRDefault="00870CBD" w:rsidP="00870CBD">
      <w:pPr>
        <w:spacing w:line="360" w:lineRule="auto"/>
        <w:jc w:val="both"/>
        <w:rPr>
          <w:rFonts w:ascii="FrankRuehl" w:hAnsi="FrankRuehl" w:cs="FrankRuehl"/>
          <w:sz w:val="28"/>
          <w:szCs w:val="28"/>
          <w:rtl/>
        </w:rPr>
      </w:pPr>
    </w:p>
    <w:p w14:paraId="3FE17426" w14:textId="77777777" w:rsidR="00870CBD" w:rsidRDefault="00870CBD" w:rsidP="00870CBD">
      <w:pPr>
        <w:spacing w:line="360" w:lineRule="auto"/>
        <w:jc w:val="both"/>
        <w:rPr>
          <w:rFonts w:ascii="FrankRuehl" w:hAnsi="FrankRuehl" w:cs="FrankRuehl"/>
          <w:b/>
          <w:bCs/>
          <w:sz w:val="28"/>
          <w:szCs w:val="28"/>
          <w:u w:val="single"/>
          <w:rtl/>
        </w:rPr>
      </w:pPr>
      <w:r>
        <w:rPr>
          <w:rFonts w:ascii="FrankRuehl" w:hAnsi="FrankRuehl" w:cs="FrankRuehl" w:hint="cs"/>
          <w:b/>
          <w:bCs/>
          <w:sz w:val="28"/>
          <w:szCs w:val="28"/>
          <w:u w:val="single"/>
          <w:rtl/>
        </w:rPr>
        <w:t>תסקיר שירות המבחן</w:t>
      </w:r>
    </w:p>
    <w:p w14:paraId="4731ACF2" w14:textId="77777777" w:rsidR="00870CBD" w:rsidRPr="00AE1328" w:rsidRDefault="00870CBD" w:rsidP="00870CBD">
      <w:pPr>
        <w:spacing w:line="360" w:lineRule="auto"/>
        <w:jc w:val="both"/>
        <w:rPr>
          <w:rFonts w:ascii="FrankRuehl" w:hAnsi="FrankRuehl" w:cs="FrankRuehl"/>
          <w:sz w:val="28"/>
          <w:szCs w:val="28"/>
          <w:rtl/>
        </w:rPr>
      </w:pPr>
      <w:r w:rsidRPr="00AE1328">
        <w:rPr>
          <w:rFonts w:ascii="FrankRuehl" w:hAnsi="FrankRuehl" w:cs="FrankRuehl" w:hint="cs"/>
          <w:sz w:val="28"/>
          <w:szCs w:val="28"/>
          <w:rtl/>
        </w:rPr>
        <w:t>בחודש יולי הוגש תסקיר בעניינו של הנאשם, ממנו ניתן ללמוד כי הנאשם כבן 40, נשוי ואב לארבעה ילדים, הבכור מבין שבעה אחים ואחיות. הנאשם סיים לימודי בית הספר בגיל 15 ומאז עבד בעבודות שונות. הוא הסתבך בפלילים ובתיקי תעבורה מספר פעמים. שירות המבחן התרשם כי הנאשם קיבל אחריות חלקית למעשיו, תוך שציין שעזר לחבר שלחץ עליו ולא עשה זאת ממניע כספי ולא היה שותף לרווחים. שירות המבחן העריך, כי העבירות בוצעו עקב אימוץ דפוסי חשיבה עברייניים ורצון לעשיית רווח מהיר לפתרון בעיות, בהיות הנאשם נתון בחובות כלכליים עמם הוא מנסה ל</w:t>
      </w:r>
      <w:r>
        <w:rPr>
          <w:rFonts w:ascii="FrankRuehl" w:hAnsi="FrankRuehl" w:cs="FrankRuehl" w:hint="cs"/>
          <w:sz w:val="28"/>
          <w:szCs w:val="28"/>
          <w:rtl/>
        </w:rPr>
        <w:t xml:space="preserve">התמודד. הנאשם לא מסר על נזקקות </w:t>
      </w:r>
      <w:r w:rsidRPr="00AE1328">
        <w:rPr>
          <w:rFonts w:ascii="FrankRuehl" w:hAnsi="FrankRuehl" w:cs="FrankRuehl" w:hint="cs"/>
          <w:sz w:val="28"/>
          <w:szCs w:val="28"/>
          <w:rtl/>
        </w:rPr>
        <w:t xml:space="preserve">טיפולית בתחום ההתמכרות לסמים ומסר בדיקת שתן </w:t>
      </w:r>
      <w:r w:rsidRPr="00AE1328">
        <w:rPr>
          <w:rFonts w:ascii="FrankRuehl" w:hAnsi="FrankRuehl" w:cs="FrankRuehl" w:hint="cs"/>
          <w:sz w:val="28"/>
          <w:szCs w:val="28"/>
          <w:rtl/>
        </w:rPr>
        <w:lastRenderedPageBreak/>
        <w:t>נקיה. שירות המבחן לא השתכנע בנקודה זו, מהיעדר נזקקות טיפולית. הנאשם הביע נכונות לקבל טיפול כוללני למכלול צרכיו, ושירות המבחן המליץ על שילוב הנאשם בבית משפט קהילתי, אופציה שהתבררה כלא ריאלית, בדיון שהתקיים ביום 14.7.2021.</w:t>
      </w:r>
    </w:p>
    <w:p w14:paraId="57C4A345" w14:textId="77777777" w:rsidR="00870CBD" w:rsidRDefault="00870CBD" w:rsidP="00870CBD">
      <w:pPr>
        <w:spacing w:line="360" w:lineRule="auto"/>
        <w:jc w:val="both"/>
        <w:rPr>
          <w:rFonts w:ascii="FrankRuehl" w:hAnsi="FrankRuehl" w:cs="FrankRuehl"/>
          <w:b/>
          <w:bCs/>
          <w:sz w:val="28"/>
          <w:szCs w:val="28"/>
          <w:u w:val="single"/>
          <w:rtl/>
        </w:rPr>
      </w:pPr>
    </w:p>
    <w:p w14:paraId="2DB8625D" w14:textId="77777777" w:rsidR="00870CBD" w:rsidRPr="000113F6" w:rsidRDefault="00870CBD" w:rsidP="00870CBD">
      <w:pPr>
        <w:spacing w:line="360" w:lineRule="auto"/>
        <w:jc w:val="both"/>
        <w:rPr>
          <w:rFonts w:ascii="FrankRuehl" w:hAnsi="FrankRuehl" w:cs="FrankRuehl"/>
          <w:b/>
          <w:bCs/>
          <w:sz w:val="28"/>
          <w:szCs w:val="28"/>
          <w:u w:val="single"/>
          <w:rtl/>
        </w:rPr>
      </w:pPr>
      <w:r w:rsidRPr="000113F6">
        <w:rPr>
          <w:rFonts w:ascii="FrankRuehl" w:hAnsi="FrankRuehl" w:cs="FrankRuehl" w:hint="cs"/>
          <w:b/>
          <w:bCs/>
          <w:sz w:val="28"/>
          <w:szCs w:val="28"/>
          <w:u w:val="single"/>
          <w:rtl/>
        </w:rPr>
        <w:t>חוות דעת ממונה על עבודות השירות</w:t>
      </w:r>
    </w:p>
    <w:p w14:paraId="15A24A87" w14:textId="77777777" w:rsidR="00870CBD" w:rsidRDefault="00870CBD" w:rsidP="00870CBD">
      <w:pPr>
        <w:spacing w:line="360" w:lineRule="auto"/>
        <w:jc w:val="both"/>
        <w:rPr>
          <w:rFonts w:ascii="FrankRuehl" w:hAnsi="FrankRuehl" w:cs="FrankRuehl"/>
          <w:sz w:val="28"/>
          <w:szCs w:val="28"/>
          <w:rtl/>
        </w:rPr>
      </w:pPr>
      <w:r>
        <w:rPr>
          <w:rFonts w:ascii="FrankRuehl" w:hAnsi="FrankRuehl" w:cs="FrankRuehl" w:hint="cs"/>
          <w:sz w:val="28"/>
          <w:szCs w:val="28"/>
          <w:rtl/>
        </w:rPr>
        <w:t xml:space="preserve">הנאשם נמצא כשיר לעבודות שירות. </w:t>
      </w:r>
    </w:p>
    <w:p w14:paraId="0E11CE20" w14:textId="77777777" w:rsidR="00870CBD" w:rsidRDefault="00870CBD" w:rsidP="00870CBD">
      <w:pPr>
        <w:spacing w:line="360" w:lineRule="auto"/>
        <w:jc w:val="both"/>
        <w:rPr>
          <w:rFonts w:ascii="FrankRuehl" w:hAnsi="FrankRuehl" w:cs="FrankRuehl"/>
          <w:sz w:val="28"/>
          <w:szCs w:val="28"/>
          <w:rtl/>
        </w:rPr>
      </w:pPr>
    </w:p>
    <w:p w14:paraId="5C1D5420" w14:textId="77777777" w:rsidR="00870CBD" w:rsidRPr="009F54CD" w:rsidRDefault="00870CBD" w:rsidP="00870CBD">
      <w:pPr>
        <w:spacing w:line="360" w:lineRule="auto"/>
        <w:jc w:val="both"/>
        <w:rPr>
          <w:rFonts w:ascii="FrankRuehl" w:hAnsi="FrankRuehl" w:cs="FrankRuehl"/>
          <w:b/>
          <w:bCs/>
          <w:sz w:val="28"/>
          <w:szCs w:val="28"/>
          <w:u w:val="single"/>
          <w:rtl/>
        </w:rPr>
      </w:pPr>
      <w:r w:rsidRPr="009F54CD">
        <w:rPr>
          <w:rFonts w:ascii="FrankRuehl" w:hAnsi="FrankRuehl" w:cs="FrankRuehl" w:hint="cs"/>
          <w:b/>
          <w:bCs/>
          <w:sz w:val="28"/>
          <w:szCs w:val="28"/>
          <w:u w:val="single"/>
          <w:rtl/>
        </w:rPr>
        <w:t>ראיות וטיעונים לעונש</w:t>
      </w:r>
    </w:p>
    <w:p w14:paraId="6C3139CC" w14:textId="77777777" w:rsidR="00870CBD" w:rsidRDefault="00870CBD" w:rsidP="00870CBD">
      <w:pPr>
        <w:spacing w:line="360" w:lineRule="auto"/>
        <w:jc w:val="both"/>
        <w:rPr>
          <w:rFonts w:ascii="FrankRuehl" w:hAnsi="FrankRuehl" w:cs="FrankRuehl"/>
          <w:sz w:val="28"/>
          <w:szCs w:val="28"/>
          <w:rtl/>
        </w:rPr>
      </w:pPr>
      <w:r>
        <w:rPr>
          <w:rFonts w:ascii="FrankRuehl" w:hAnsi="FrankRuehl" w:cs="FrankRuehl" w:hint="cs"/>
          <w:sz w:val="28"/>
          <w:szCs w:val="28"/>
          <w:rtl/>
        </w:rPr>
        <w:t xml:space="preserve">לנאשם רישום פלילי הכולל עבירות מרמה, מסים, סמים נשק ורכוש. הנאשם ריצה מספר תקופות מאסר בפועל. </w:t>
      </w:r>
    </w:p>
    <w:p w14:paraId="37832FB6" w14:textId="77777777" w:rsidR="00870CBD" w:rsidRDefault="00870CBD" w:rsidP="00870CBD">
      <w:pPr>
        <w:spacing w:line="360" w:lineRule="auto"/>
        <w:jc w:val="both"/>
        <w:rPr>
          <w:rFonts w:ascii="FrankRuehl" w:hAnsi="FrankRuehl" w:cs="FrankRuehl"/>
          <w:sz w:val="28"/>
          <w:szCs w:val="28"/>
          <w:rtl/>
        </w:rPr>
      </w:pPr>
    </w:p>
    <w:p w14:paraId="3ECA2279" w14:textId="77777777" w:rsidR="00870CBD" w:rsidRDefault="00870CBD" w:rsidP="00870CBD">
      <w:pPr>
        <w:spacing w:line="360" w:lineRule="auto"/>
        <w:jc w:val="both"/>
        <w:rPr>
          <w:rFonts w:ascii="FrankRuehl" w:hAnsi="FrankRuehl" w:cs="FrankRuehl"/>
          <w:sz w:val="28"/>
          <w:szCs w:val="28"/>
          <w:rtl/>
        </w:rPr>
      </w:pPr>
      <w:r>
        <w:rPr>
          <w:rFonts w:ascii="FrankRuehl" w:hAnsi="FrankRuehl" w:cs="FrankRuehl" w:hint="cs"/>
          <w:sz w:val="28"/>
          <w:szCs w:val="28"/>
          <w:rtl/>
        </w:rPr>
        <w:t>אשר לעונש, מחד, עתרה המאשימה להטיל על הנאשם 52 חודשי מאסר בפועל וענישה נלווית.</w:t>
      </w:r>
    </w:p>
    <w:p w14:paraId="6B994F20" w14:textId="77777777" w:rsidR="00870CBD" w:rsidRDefault="00870CBD" w:rsidP="00870CBD">
      <w:pPr>
        <w:spacing w:line="360" w:lineRule="auto"/>
        <w:jc w:val="both"/>
        <w:rPr>
          <w:rFonts w:ascii="FrankRuehl" w:hAnsi="FrankRuehl" w:cs="FrankRuehl"/>
          <w:sz w:val="28"/>
          <w:szCs w:val="28"/>
          <w:rtl/>
        </w:rPr>
      </w:pPr>
      <w:r>
        <w:rPr>
          <w:rFonts w:ascii="FrankRuehl" w:hAnsi="FrankRuehl" w:cs="FrankRuehl" w:hint="cs"/>
          <w:sz w:val="28"/>
          <w:szCs w:val="28"/>
          <w:rtl/>
        </w:rPr>
        <w:t xml:space="preserve">מאידך, טען הסניגור, כי הנאשם אינו המבצע העיקרי לעומת רווידי שעניינו טרם הסתיים ונשלח לריצוי עבודות שירות. הסניגור ביקש להסתפק בתקופת מעצרו של הנאשם כחודשיים וחצי. </w:t>
      </w:r>
    </w:p>
    <w:p w14:paraId="737D704A" w14:textId="77777777" w:rsidR="00870CBD" w:rsidRDefault="00870CBD" w:rsidP="00870CBD">
      <w:pPr>
        <w:spacing w:line="360" w:lineRule="auto"/>
        <w:jc w:val="both"/>
        <w:rPr>
          <w:rFonts w:ascii="FrankRuehl" w:hAnsi="FrankRuehl" w:cs="FrankRuehl"/>
          <w:sz w:val="28"/>
          <w:szCs w:val="28"/>
          <w:rtl/>
        </w:rPr>
      </w:pPr>
    </w:p>
    <w:p w14:paraId="2E49B5DA" w14:textId="77777777" w:rsidR="00870CBD" w:rsidRPr="009F54CD" w:rsidRDefault="00870CBD" w:rsidP="00870CBD">
      <w:pPr>
        <w:spacing w:line="360" w:lineRule="auto"/>
        <w:jc w:val="both"/>
        <w:rPr>
          <w:rFonts w:ascii="FrankRuehl" w:hAnsi="FrankRuehl" w:cs="FrankRuehl"/>
          <w:b/>
          <w:bCs/>
          <w:sz w:val="28"/>
          <w:szCs w:val="28"/>
          <w:u w:val="single"/>
          <w:rtl/>
        </w:rPr>
      </w:pPr>
      <w:r w:rsidRPr="009F54CD">
        <w:rPr>
          <w:rFonts w:ascii="FrankRuehl" w:hAnsi="FrankRuehl" w:cs="FrankRuehl" w:hint="cs"/>
          <w:b/>
          <w:bCs/>
          <w:sz w:val="28"/>
          <w:szCs w:val="28"/>
          <w:u w:val="single"/>
          <w:rtl/>
        </w:rPr>
        <w:t>קביעת מתחם הענישה ההולם</w:t>
      </w:r>
    </w:p>
    <w:p w14:paraId="5CD2467C" w14:textId="77777777" w:rsidR="00870CBD" w:rsidRDefault="00870CBD" w:rsidP="00870CBD">
      <w:pPr>
        <w:spacing w:line="360" w:lineRule="auto"/>
        <w:jc w:val="both"/>
        <w:rPr>
          <w:rFonts w:ascii="FrankRuehl" w:hAnsi="FrankRuehl" w:cs="FrankRuehl"/>
          <w:sz w:val="28"/>
          <w:szCs w:val="28"/>
          <w:rtl/>
        </w:rPr>
      </w:pPr>
      <w:r>
        <w:rPr>
          <w:rFonts w:ascii="FrankRuehl" w:hAnsi="FrankRuehl" w:cs="FrankRuehl" w:hint="cs"/>
          <w:sz w:val="28"/>
          <w:szCs w:val="28"/>
          <w:rtl/>
        </w:rPr>
        <w:t>בבואו של בית המשפט לגזור את הדין, עליו לקבוע את מתחם הענישה ההולם בהתאם לעקרון ההלימה, שהוא נגזרת של הערכים המוגנים, מידת הפגיעה בהם, נסיבות ביצוע העבירה ומידת אשמו של הנאשם, ומדיניות הענישה הנוהגת.</w:t>
      </w:r>
    </w:p>
    <w:p w14:paraId="09E6D82B" w14:textId="77777777" w:rsidR="00870CBD" w:rsidRDefault="00870CBD" w:rsidP="00870CBD">
      <w:pPr>
        <w:spacing w:line="360" w:lineRule="auto"/>
        <w:jc w:val="both"/>
        <w:rPr>
          <w:rFonts w:ascii="FrankRuehl" w:hAnsi="FrankRuehl" w:cs="FrankRuehl"/>
          <w:sz w:val="28"/>
          <w:szCs w:val="28"/>
          <w:rtl/>
        </w:rPr>
      </w:pPr>
    </w:p>
    <w:p w14:paraId="77FFAA48" w14:textId="77777777" w:rsidR="00870CBD" w:rsidRDefault="00870CBD" w:rsidP="00870CBD">
      <w:pPr>
        <w:spacing w:line="360" w:lineRule="auto"/>
        <w:jc w:val="both"/>
        <w:rPr>
          <w:rFonts w:cs="FrankRuehl"/>
          <w:sz w:val="28"/>
          <w:szCs w:val="28"/>
          <w:rtl/>
        </w:rPr>
      </w:pPr>
    </w:p>
    <w:p w14:paraId="263482FF" w14:textId="77777777" w:rsidR="00870CBD" w:rsidRDefault="00870CBD" w:rsidP="00870CBD">
      <w:pPr>
        <w:spacing w:line="360" w:lineRule="auto"/>
        <w:jc w:val="both"/>
        <w:rPr>
          <w:rFonts w:cs="FrankRuehl"/>
          <w:sz w:val="28"/>
          <w:szCs w:val="28"/>
          <w:rtl/>
        </w:rPr>
      </w:pPr>
      <w:r>
        <w:rPr>
          <w:rFonts w:cs="FrankRuehl"/>
          <w:b/>
          <w:bCs/>
          <w:sz w:val="28"/>
          <w:szCs w:val="28"/>
          <w:u w:val="single"/>
          <w:rtl/>
        </w:rPr>
        <w:t xml:space="preserve">אשר לערך המוגן </w:t>
      </w:r>
      <w:r>
        <w:rPr>
          <w:rFonts w:cs="FrankRuehl"/>
          <w:sz w:val="28"/>
          <w:szCs w:val="28"/>
          <w:rtl/>
        </w:rPr>
        <w:t xml:space="preserve">– </w:t>
      </w:r>
      <w:r>
        <w:rPr>
          <w:rFonts w:cs="FrankRuehl" w:hint="cs"/>
          <w:sz w:val="28"/>
          <w:szCs w:val="28"/>
          <w:rtl/>
        </w:rPr>
        <w:t xml:space="preserve">עבירות סחר בסמים פוגעות בשלום הציבור, בבריאותו בביטחונו, ומהוות כר פורה לביצוע עבירות נוספות וחמורות על-מנת לממן את צריכת הסמים. </w:t>
      </w:r>
      <w:r>
        <w:rPr>
          <w:rFonts w:cs="FrankRuehl"/>
          <w:sz w:val="28"/>
          <w:szCs w:val="28"/>
          <w:rtl/>
        </w:rPr>
        <w:t xml:space="preserve">ברע"פ </w:t>
      </w:r>
      <w:hyperlink r:id="rId14" w:history="1">
        <w:r w:rsidR="00C92687" w:rsidRPr="00C92687">
          <w:rPr>
            <w:rFonts w:cs="FrankRuehl"/>
            <w:color w:val="0000FF"/>
            <w:sz w:val="28"/>
            <w:szCs w:val="28"/>
            <w:u w:val="single"/>
            <w:rtl/>
          </w:rPr>
          <w:t xml:space="preserve">3343/07 </w:t>
        </w:r>
      </w:hyperlink>
      <w:r>
        <w:rPr>
          <w:rFonts w:cs="FrankRuehl"/>
          <w:sz w:val="28"/>
          <w:szCs w:val="28"/>
          <w:rtl/>
        </w:rPr>
        <w:t xml:space="preserve"> </w:t>
      </w:r>
      <w:r>
        <w:rPr>
          <w:rFonts w:cs="FrankRuehl"/>
          <w:b/>
          <w:bCs/>
          <w:sz w:val="28"/>
          <w:szCs w:val="28"/>
          <w:u w:val="single"/>
          <w:rtl/>
        </w:rPr>
        <w:t>מכאוי</w:t>
      </w:r>
      <w:r>
        <w:rPr>
          <w:rFonts w:cs="FrankRuehl"/>
          <w:sz w:val="28"/>
          <w:szCs w:val="28"/>
          <w:rtl/>
        </w:rPr>
        <w:t xml:space="preserve"> נ' </w:t>
      </w:r>
      <w:r>
        <w:rPr>
          <w:rFonts w:cs="FrankRuehl"/>
          <w:b/>
          <w:bCs/>
          <w:sz w:val="28"/>
          <w:szCs w:val="28"/>
          <w:u w:val="single"/>
          <w:rtl/>
        </w:rPr>
        <w:t>מ"</w:t>
      </w:r>
      <w:r>
        <w:rPr>
          <w:rFonts w:cs="FrankRuehl"/>
          <w:sz w:val="28"/>
          <w:szCs w:val="28"/>
          <w:rtl/>
        </w:rPr>
        <w:t>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w:t>
      </w:r>
      <w:r>
        <w:rPr>
          <w:rFonts w:cs="FrankRuehl" w:hint="cs"/>
          <w:sz w:val="28"/>
          <w:szCs w:val="28"/>
          <w:rtl/>
        </w:rPr>
        <w:t xml:space="preserve"> בענייננו, מידת הפגיעה בערכים המוגנת ניכרת. אשר לסחר ב-</w:t>
      </w:r>
      <w:r>
        <w:rPr>
          <w:rFonts w:cs="FrankRuehl" w:hint="cs"/>
          <w:sz w:val="28"/>
          <w:szCs w:val="28"/>
        </w:rPr>
        <w:t>MDMA</w:t>
      </w:r>
      <w:r>
        <w:rPr>
          <w:rFonts w:cs="FrankRuehl" w:hint="cs"/>
          <w:sz w:val="28"/>
          <w:szCs w:val="28"/>
          <w:rtl/>
        </w:rPr>
        <w:t xml:space="preserve"> הידוע כ"אקסטזי" - </w:t>
      </w:r>
      <w:r>
        <w:rPr>
          <w:rFonts w:cs="FrankRuehl"/>
          <w:sz w:val="28"/>
          <w:szCs w:val="28"/>
          <w:rtl/>
        </w:rPr>
        <w:t>ב-</w:t>
      </w:r>
      <w:hyperlink r:id="rId15" w:history="1">
        <w:r w:rsidR="00320FB5" w:rsidRPr="00320FB5">
          <w:rPr>
            <w:rFonts w:cs="FrankRuehl"/>
            <w:color w:val="0000FF"/>
            <w:sz w:val="28"/>
            <w:szCs w:val="28"/>
            <w:u w:val="single"/>
            <w:rtl/>
          </w:rPr>
          <w:t>עפ"ג (י-ם) 29138-07-17</w:t>
        </w:r>
      </w:hyperlink>
      <w:r>
        <w:rPr>
          <w:rFonts w:cs="FrankRuehl"/>
          <w:sz w:val="28"/>
          <w:szCs w:val="28"/>
          <w:rtl/>
        </w:rPr>
        <w:t xml:space="preserve"> </w:t>
      </w:r>
      <w:r>
        <w:rPr>
          <w:rFonts w:cs="FrankRuehl"/>
          <w:b/>
          <w:bCs/>
          <w:sz w:val="28"/>
          <w:szCs w:val="28"/>
          <w:u w:val="single"/>
          <w:rtl/>
        </w:rPr>
        <w:t>מ"י</w:t>
      </w:r>
      <w:r>
        <w:rPr>
          <w:rFonts w:cs="FrankRuehl"/>
          <w:sz w:val="28"/>
          <w:szCs w:val="28"/>
          <w:rtl/>
        </w:rPr>
        <w:t xml:space="preserve"> נ' </w:t>
      </w:r>
      <w:r>
        <w:rPr>
          <w:rFonts w:cs="FrankRuehl"/>
          <w:b/>
          <w:bCs/>
          <w:sz w:val="28"/>
          <w:szCs w:val="28"/>
          <w:u w:val="single"/>
          <w:rtl/>
        </w:rPr>
        <w:t>גית</w:t>
      </w:r>
      <w:r>
        <w:rPr>
          <w:rFonts w:cs="FrankRuehl"/>
          <w:sz w:val="28"/>
          <w:szCs w:val="28"/>
          <w:rtl/>
        </w:rPr>
        <w:t xml:space="preserve"> (מיום 17.8.2017) </w:t>
      </w:r>
      <w:r>
        <w:rPr>
          <w:rFonts w:cs="FrankRuehl" w:hint="cs"/>
          <w:sz w:val="28"/>
          <w:szCs w:val="28"/>
          <w:rtl/>
        </w:rPr>
        <w:t>(</w:t>
      </w:r>
      <w:r w:rsidRPr="00373DD3">
        <w:rPr>
          <w:rFonts w:cs="FrankRuehl" w:hint="cs"/>
          <w:b/>
          <w:bCs/>
          <w:sz w:val="28"/>
          <w:szCs w:val="28"/>
          <w:rtl/>
        </w:rPr>
        <w:t>עניין גית</w:t>
      </w:r>
      <w:r>
        <w:rPr>
          <w:rFonts w:cs="FrankRuehl" w:hint="cs"/>
          <w:sz w:val="28"/>
          <w:szCs w:val="28"/>
          <w:rtl/>
        </w:rPr>
        <w:t xml:space="preserve">) </w:t>
      </w:r>
      <w:r>
        <w:rPr>
          <w:rFonts w:cs="FrankRuehl"/>
          <w:sz w:val="28"/>
          <w:szCs w:val="28"/>
          <w:rtl/>
        </w:rPr>
        <w:t>עמד בית המשפט המחוזי על חומרת הנזקים הנגרמת מסמים אלה, כפי שעולה, בין היתר מאתר הרשות הלאומית למלחמה בסמים ואלכוהול: " 'השימוש באקסטזי גורם למוח נזק, וזה יכול להיות בלתי הפיך... שימוש באקסטזי יכול לגרום גם לפגיעה בכבד, במערכת הכליות ובשרירים'. באתר אגודת 'אל סם', מוגדר האקסטזי כסם הלא חוקי המאיים ביותר על הנוער כיום" (ס' 9 לפסק הדין).</w:t>
      </w:r>
    </w:p>
    <w:p w14:paraId="47922769" w14:textId="77777777" w:rsidR="00870CBD" w:rsidRDefault="00870CBD" w:rsidP="00870CBD">
      <w:pPr>
        <w:spacing w:line="360" w:lineRule="auto"/>
        <w:jc w:val="both"/>
        <w:rPr>
          <w:rFonts w:cs="FrankRuehl"/>
          <w:b/>
          <w:bCs/>
          <w:sz w:val="28"/>
          <w:szCs w:val="28"/>
          <w:rtl/>
        </w:rPr>
      </w:pPr>
    </w:p>
    <w:p w14:paraId="4CFEB884" w14:textId="77777777" w:rsidR="00870CBD" w:rsidRDefault="00870CBD" w:rsidP="00870CBD">
      <w:pPr>
        <w:spacing w:line="360" w:lineRule="auto"/>
        <w:jc w:val="both"/>
        <w:rPr>
          <w:rFonts w:cs="FrankRuehl"/>
          <w:sz w:val="28"/>
          <w:szCs w:val="28"/>
          <w:rtl/>
        </w:rPr>
      </w:pPr>
      <w:r>
        <w:rPr>
          <w:rFonts w:cs="FrankRuehl"/>
          <w:b/>
          <w:bCs/>
          <w:sz w:val="28"/>
          <w:szCs w:val="28"/>
          <w:u w:val="single"/>
          <w:rtl/>
        </w:rPr>
        <w:t xml:space="preserve">נסיבות הקשורות בביצוע העבירה, לפי </w:t>
      </w:r>
      <w:hyperlink r:id="rId16" w:history="1">
        <w:r w:rsidR="00783567" w:rsidRPr="00783567">
          <w:rPr>
            <w:rStyle w:val="Hyperlink"/>
            <w:rFonts w:cs="FrankRuehl"/>
            <w:b/>
            <w:bCs/>
            <w:sz w:val="28"/>
            <w:szCs w:val="28"/>
            <w:rtl/>
          </w:rPr>
          <w:t>סעיף 40ט'</w:t>
        </w:r>
      </w:hyperlink>
      <w:r>
        <w:rPr>
          <w:rFonts w:cs="FrankRuehl"/>
          <w:b/>
          <w:bCs/>
          <w:sz w:val="28"/>
          <w:szCs w:val="28"/>
          <w:u w:val="single"/>
          <w:rtl/>
        </w:rPr>
        <w:t xml:space="preserve"> ל</w:t>
      </w:r>
      <w:hyperlink r:id="rId17" w:history="1">
        <w:r w:rsidR="00320FB5" w:rsidRPr="00320FB5">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בין הנסיבות הקשורות בביצוע העבירה יש לשקול את אלה, לעניין קביעת המתחם:</w:t>
      </w:r>
      <w:r>
        <w:rPr>
          <w:rFonts w:cs="FrankRuehl" w:hint="cs"/>
          <w:sz w:val="28"/>
          <w:szCs w:val="28"/>
          <w:rtl/>
        </w:rPr>
        <w:t xml:space="preserve"> מדובר בעבירות מתוכננות שבוצעו בשיטתיות ובמקצועיות, תוך חלוקת עבודה בין הנאשם לרווידי, כאשר הנאשם הוא שהיה דומיננטי בתיאום העסקאות ועשה כן למען בצע כסף, כעולה מהחלק המקדמי של כתב האישום בו הודה הנאשם. כל זאת נאמר, הגם שמדובר בעבירת תיווך, שהעונש המרבי עליה זהה לעבירת הסחר </w:t>
      </w:r>
      <w:r>
        <w:rPr>
          <w:rFonts w:cs="FrankRuehl"/>
          <w:sz w:val="28"/>
          <w:szCs w:val="28"/>
          <w:rtl/>
        </w:rPr>
        <w:t>–</w:t>
      </w:r>
      <w:r>
        <w:rPr>
          <w:rFonts w:cs="FrankRuehl" w:hint="cs"/>
          <w:sz w:val="28"/>
          <w:szCs w:val="28"/>
          <w:rtl/>
        </w:rPr>
        <w:t xml:space="preserve"> 20 שנות מאסר. מדובר בריבוי עסקאות, ובכל עסקה מדובר בכמויות גדולות ומסחריות של </w:t>
      </w:r>
      <w:r>
        <w:rPr>
          <w:rFonts w:cs="FrankRuehl" w:hint="cs"/>
          <w:sz w:val="28"/>
          <w:szCs w:val="28"/>
        </w:rPr>
        <w:t xml:space="preserve">MDMA </w:t>
      </w:r>
      <w:r>
        <w:rPr>
          <w:rFonts w:cs="FrankRuehl" w:hint="cs"/>
          <w:sz w:val="28"/>
          <w:szCs w:val="28"/>
          <w:rtl/>
        </w:rPr>
        <w:t xml:space="preserve"> וחשיש, כך שהנזק הצפוי ממכירות בהיקף כזה הוא עצום. בפועל המכירות בוצעו לסוכן ולכן הנזק מצומצם לעצם ביצוע העבירה. הנאשם צריך היה להימנע מביצוע המעשים והוא אחראי להם בלעדית. </w:t>
      </w:r>
    </w:p>
    <w:p w14:paraId="62F983D5" w14:textId="77777777" w:rsidR="00870CBD" w:rsidRDefault="00870CBD" w:rsidP="00870CBD">
      <w:pPr>
        <w:spacing w:line="360" w:lineRule="auto"/>
        <w:jc w:val="both"/>
        <w:rPr>
          <w:rFonts w:cs="FrankRuehl"/>
          <w:sz w:val="28"/>
          <w:szCs w:val="28"/>
          <w:rtl/>
        </w:rPr>
      </w:pPr>
    </w:p>
    <w:p w14:paraId="19436117" w14:textId="77777777" w:rsidR="00870CBD" w:rsidRDefault="00870CBD" w:rsidP="00870CBD">
      <w:pPr>
        <w:spacing w:line="360" w:lineRule="auto"/>
        <w:jc w:val="both"/>
        <w:rPr>
          <w:rFonts w:cs="FrankRuehl"/>
          <w:sz w:val="28"/>
          <w:szCs w:val="28"/>
          <w:rtl/>
        </w:rPr>
      </w:pPr>
      <w:r>
        <w:rPr>
          <w:rFonts w:cs="FrankRuehl"/>
          <w:b/>
          <w:bCs/>
          <w:sz w:val="28"/>
          <w:szCs w:val="28"/>
          <w:u w:val="single"/>
          <w:rtl/>
        </w:rPr>
        <w:t>מדיניות הענישה הנוהגת</w:t>
      </w:r>
      <w:r>
        <w:rPr>
          <w:rFonts w:cs="FrankRuehl"/>
          <w:b/>
          <w:bCs/>
          <w:sz w:val="28"/>
          <w:szCs w:val="28"/>
          <w:rtl/>
        </w:rPr>
        <w:t xml:space="preserve"> – </w:t>
      </w:r>
      <w:r>
        <w:rPr>
          <w:rFonts w:cs="FrankRuehl" w:hint="cs"/>
          <w:sz w:val="28"/>
          <w:szCs w:val="28"/>
          <w:rtl/>
        </w:rPr>
        <w:t>לרוב, כאמור, מדיניות הענישה כוללת מאסרים בפועל ממושכים בעבירות מסוג זה. ב</w:t>
      </w:r>
      <w:r w:rsidRPr="00373DD3">
        <w:rPr>
          <w:rFonts w:cs="FrankRuehl" w:hint="cs"/>
          <w:b/>
          <w:bCs/>
          <w:sz w:val="28"/>
          <w:szCs w:val="28"/>
          <w:rtl/>
        </w:rPr>
        <w:t>עניין גית</w:t>
      </w:r>
      <w:r>
        <w:rPr>
          <w:rFonts w:cs="FrankRuehl" w:hint="cs"/>
          <w:sz w:val="28"/>
          <w:szCs w:val="28"/>
          <w:rtl/>
        </w:rPr>
        <w:t xml:space="preserve">, אישר בית המשפט המחוזי בירושלים מתחם בין 10 ל-32 חודשי מאסר ועונש של 15 חודשי מאסר וענישה נלווית בנסיבות של החזקת סם שלא לצריכה עצמית </w:t>
      </w:r>
      <w:r>
        <w:rPr>
          <w:rFonts w:cs="FrankRuehl"/>
          <w:sz w:val="28"/>
          <w:szCs w:val="28"/>
          <w:rtl/>
        </w:rPr>
        <w:t>–</w:t>
      </w:r>
      <w:r>
        <w:rPr>
          <w:rFonts w:cs="FrankRuehl" w:hint="cs"/>
          <w:sz w:val="28"/>
          <w:szCs w:val="28"/>
          <w:rtl/>
        </w:rPr>
        <w:t xml:space="preserve"> 1.12 ק"ג חשיש מחולק ל-12 פלטות ו-408 כדורי </w:t>
      </w:r>
      <w:r>
        <w:rPr>
          <w:rFonts w:cs="FrankRuehl" w:hint="cs"/>
          <w:sz w:val="28"/>
          <w:szCs w:val="28"/>
        </w:rPr>
        <w:t>MDMA</w:t>
      </w:r>
      <w:r>
        <w:rPr>
          <w:rFonts w:cs="FrankRuehl" w:hint="cs"/>
          <w:sz w:val="28"/>
          <w:szCs w:val="28"/>
          <w:rtl/>
        </w:rPr>
        <w:t>. ב</w:t>
      </w:r>
      <w:hyperlink r:id="rId18" w:history="1">
        <w:r w:rsidR="00320FB5" w:rsidRPr="00320FB5">
          <w:rPr>
            <w:rFonts w:cs="FrankRuehl"/>
            <w:color w:val="0000FF"/>
            <w:sz w:val="28"/>
            <w:szCs w:val="28"/>
            <w:u w:val="single"/>
            <w:rtl/>
          </w:rPr>
          <w:t>רע"פ 5353/17</w:t>
        </w:r>
      </w:hyperlink>
      <w:r>
        <w:rPr>
          <w:rFonts w:cs="FrankRuehl" w:hint="cs"/>
          <w:sz w:val="28"/>
          <w:szCs w:val="28"/>
          <w:rtl/>
        </w:rPr>
        <w:t xml:space="preserve"> </w:t>
      </w:r>
      <w:r w:rsidRPr="009337D5">
        <w:rPr>
          <w:rFonts w:cs="FrankRuehl" w:hint="cs"/>
          <w:b/>
          <w:bCs/>
          <w:sz w:val="28"/>
          <w:szCs w:val="28"/>
          <w:u w:val="single"/>
          <w:rtl/>
        </w:rPr>
        <w:t>טפרה</w:t>
      </w:r>
      <w:r>
        <w:rPr>
          <w:rFonts w:cs="FrankRuehl" w:hint="cs"/>
          <w:sz w:val="28"/>
          <w:szCs w:val="28"/>
          <w:rtl/>
        </w:rPr>
        <w:t xml:space="preserve"> נ' </w:t>
      </w:r>
      <w:r w:rsidRPr="009337D5">
        <w:rPr>
          <w:rFonts w:cs="FrankRuehl" w:hint="cs"/>
          <w:b/>
          <w:bCs/>
          <w:sz w:val="28"/>
          <w:szCs w:val="28"/>
          <w:u w:val="single"/>
          <w:rtl/>
        </w:rPr>
        <w:t>מ"י</w:t>
      </w:r>
      <w:r>
        <w:rPr>
          <w:rFonts w:cs="FrankRuehl" w:hint="cs"/>
          <w:sz w:val="28"/>
          <w:szCs w:val="28"/>
          <w:rtl/>
        </w:rPr>
        <w:t xml:space="preserve"> (מיום 18.9.2017) אישר בית המשפט העליון מתחמים עד 18 חודשי מאסר בעבירות של תיווך וסחר בקוקאין במשקל גרמים בודדים, וכן עונש של 7 חודשי מאסר בפועל. ב</w:t>
      </w:r>
      <w:hyperlink r:id="rId19" w:history="1">
        <w:r w:rsidR="00320FB5" w:rsidRPr="00320FB5">
          <w:rPr>
            <w:rFonts w:cs="FrankRuehl"/>
            <w:color w:val="0000FF"/>
            <w:sz w:val="28"/>
            <w:szCs w:val="28"/>
            <w:u w:val="single"/>
            <w:rtl/>
          </w:rPr>
          <w:t>רע"פ 2139/16</w:t>
        </w:r>
      </w:hyperlink>
      <w:r>
        <w:rPr>
          <w:rFonts w:cs="FrankRuehl" w:hint="cs"/>
          <w:sz w:val="28"/>
          <w:szCs w:val="28"/>
          <w:rtl/>
        </w:rPr>
        <w:t xml:space="preserve"> אברמס נ' מ"י (מיום 18.5.2016) אישר בין המשפט העליון מתחם שבין 8 ל-27 חודשי מאסר ועונש של 8 חודשי מאסר בפועל בגין עבירות סחר ותיווך בנסיבות של שלוש עסקאות סמים עם סוכן בפלטת חשיש בכל פעם תמורת כ-2,000 ₪. ב</w:t>
      </w:r>
      <w:hyperlink r:id="rId20" w:history="1">
        <w:r w:rsidR="00320FB5" w:rsidRPr="00320FB5">
          <w:rPr>
            <w:rFonts w:cs="FrankRuehl"/>
            <w:color w:val="0000FF"/>
            <w:sz w:val="28"/>
            <w:szCs w:val="28"/>
            <w:u w:val="single"/>
            <w:rtl/>
          </w:rPr>
          <w:t>רע"פ 7810/20</w:t>
        </w:r>
      </w:hyperlink>
      <w:r>
        <w:rPr>
          <w:rFonts w:cs="FrankRuehl" w:hint="cs"/>
          <w:sz w:val="28"/>
          <w:szCs w:val="28"/>
          <w:rtl/>
        </w:rPr>
        <w:t xml:space="preserve"> </w:t>
      </w:r>
      <w:r w:rsidRPr="007450BC">
        <w:rPr>
          <w:rFonts w:cs="FrankRuehl" w:hint="cs"/>
          <w:b/>
          <w:bCs/>
          <w:sz w:val="28"/>
          <w:szCs w:val="28"/>
          <w:u w:val="single"/>
          <w:rtl/>
        </w:rPr>
        <w:t>אלדרוב</w:t>
      </w:r>
      <w:r>
        <w:rPr>
          <w:rFonts w:cs="FrankRuehl" w:hint="cs"/>
          <w:sz w:val="28"/>
          <w:szCs w:val="28"/>
          <w:rtl/>
        </w:rPr>
        <w:t xml:space="preserve"> נ' </w:t>
      </w:r>
      <w:r w:rsidRPr="007450BC">
        <w:rPr>
          <w:rFonts w:cs="FrankRuehl" w:hint="cs"/>
          <w:b/>
          <w:bCs/>
          <w:sz w:val="28"/>
          <w:szCs w:val="28"/>
          <w:u w:val="single"/>
          <w:rtl/>
        </w:rPr>
        <w:t xml:space="preserve">מ"י </w:t>
      </w:r>
      <w:r>
        <w:rPr>
          <w:rFonts w:cs="FrankRuehl" w:hint="cs"/>
          <w:sz w:val="28"/>
          <w:szCs w:val="28"/>
          <w:rtl/>
        </w:rPr>
        <w:t xml:space="preserve">(מיום 31.12.2020) אישר בית המשפט העליון מתחם שבין 6 ל-24 חודשים בגין עבירות של החזקת שם שלא לצריכה עצמית, בין היתר מאות גרמים של קנביס וחשיש, 2.4 גרם קוקאין, 49 ריבועי </w:t>
      </w:r>
      <w:r>
        <w:rPr>
          <w:rFonts w:cs="FrankRuehl" w:hint="cs"/>
          <w:sz w:val="28"/>
          <w:szCs w:val="28"/>
        </w:rPr>
        <w:t>LSD</w:t>
      </w:r>
      <w:r>
        <w:rPr>
          <w:rFonts w:cs="FrankRuehl" w:hint="cs"/>
          <w:sz w:val="28"/>
          <w:szCs w:val="28"/>
          <w:rtl/>
        </w:rPr>
        <w:t xml:space="preserve"> ו-25 טבליות </w:t>
      </w:r>
      <w:r>
        <w:rPr>
          <w:rFonts w:cs="FrankRuehl" w:hint="cs"/>
          <w:sz w:val="28"/>
          <w:szCs w:val="28"/>
        </w:rPr>
        <w:t>MDMA</w:t>
      </w:r>
      <w:r>
        <w:rPr>
          <w:rFonts w:cs="FrankRuehl" w:hint="cs"/>
          <w:sz w:val="28"/>
          <w:szCs w:val="28"/>
          <w:rtl/>
        </w:rPr>
        <w:t>. בסופו של יום נגזרו על אותו נאשם 20 חודשי מאסר בגין מגוון עבירות סמים נוסף לאלו שצוינו כאן. ב</w:t>
      </w:r>
      <w:hyperlink r:id="rId21" w:history="1">
        <w:r w:rsidR="00320FB5" w:rsidRPr="00320FB5">
          <w:rPr>
            <w:rFonts w:cs="FrankRuehl"/>
            <w:color w:val="0000FF"/>
            <w:sz w:val="28"/>
            <w:szCs w:val="28"/>
            <w:u w:val="single"/>
            <w:rtl/>
          </w:rPr>
          <w:t>עפ"ג (י-ם) 33330-10-20</w:t>
        </w:r>
      </w:hyperlink>
      <w:r>
        <w:rPr>
          <w:rFonts w:cs="FrankRuehl" w:hint="cs"/>
          <w:sz w:val="28"/>
          <w:szCs w:val="28"/>
          <w:rtl/>
        </w:rPr>
        <w:t xml:space="preserve"> </w:t>
      </w:r>
      <w:r w:rsidRPr="00E547B4">
        <w:rPr>
          <w:rFonts w:cs="FrankRuehl" w:hint="cs"/>
          <w:b/>
          <w:bCs/>
          <w:sz w:val="28"/>
          <w:szCs w:val="28"/>
          <w:u w:val="single"/>
          <w:rtl/>
        </w:rPr>
        <w:t>סלימאן</w:t>
      </w:r>
      <w:r>
        <w:rPr>
          <w:rFonts w:cs="FrankRuehl" w:hint="cs"/>
          <w:sz w:val="28"/>
          <w:szCs w:val="28"/>
          <w:rtl/>
        </w:rPr>
        <w:t xml:space="preserve"> נ' </w:t>
      </w:r>
      <w:r w:rsidRPr="00E547B4">
        <w:rPr>
          <w:rFonts w:cs="FrankRuehl" w:hint="cs"/>
          <w:b/>
          <w:bCs/>
          <w:sz w:val="28"/>
          <w:szCs w:val="28"/>
          <w:u w:val="single"/>
          <w:rtl/>
        </w:rPr>
        <w:t>מ"י</w:t>
      </w:r>
      <w:r>
        <w:rPr>
          <w:rFonts w:cs="FrankRuehl" w:hint="cs"/>
          <w:sz w:val="28"/>
          <w:szCs w:val="28"/>
          <w:rtl/>
        </w:rPr>
        <w:t xml:space="preserve"> (מיום 7.4.2021) אישור בית המשפט המחוזי עונש של 39 חודשי מאסר בנסיבות של מכירות סמים לסוכן </w:t>
      </w:r>
      <w:r>
        <w:rPr>
          <w:rFonts w:cs="FrankRuehl"/>
          <w:sz w:val="28"/>
          <w:szCs w:val="28"/>
          <w:rtl/>
        </w:rPr>
        <w:t>–</w:t>
      </w:r>
      <w:r>
        <w:rPr>
          <w:rFonts w:cs="FrankRuehl" w:hint="cs"/>
          <w:sz w:val="28"/>
          <w:szCs w:val="28"/>
          <w:rtl/>
        </w:rPr>
        <w:t xml:space="preserve"> למעלה מ-530 כדורי </w:t>
      </w:r>
      <w:r>
        <w:rPr>
          <w:rFonts w:cs="FrankRuehl" w:hint="cs"/>
          <w:sz w:val="28"/>
          <w:szCs w:val="28"/>
        </w:rPr>
        <w:t>MDMA</w:t>
      </w:r>
      <w:r>
        <w:rPr>
          <w:rFonts w:cs="FrankRuehl" w:hint="cs"/>
          <w:sz w:val="28"/>
          <w:szCs w:val="28"/>
          <w:rtl/>
        </w:rPr>
        <w:t xml:space="preserve"> וכ-4 גרם קוקאין. בית משפט השלום קבע מתחם שבין 28 ל-40 חודשי מאסר בגין תיק זה ובית המשפט המחוזי לא מצא מקום להתערב במתחם. ברע"פ </w:t>
      </w:r>
      <w:hyperlink r:id="rId22" w:history="1">
        <w:r w:rsidR="00C92687" w:rsidRPr="00C92687">
          <w:rPr>
            <w:rFonts w:cs="FrankRuehl"/>
            <w:color w:val="0000FF"/>
            <w:sz w:val="28"/>
            <w:szCs w:val="28"/>
            <w:u w:val="single"/>
            <w:rtl/>
          </w:rPr>
          <w:t xml:space="preserve">8598/12 </w:t>
        </w:r>
      </w:hyperlink>
      <w:r>
        <w:rPr>
          <w:rFonts w:cs="FrankRuehl" w:hint="cs"/>
          <w:sz w:val="28"/>
          <w:szCs w:val="28"/>
          <w:rtl/>
        </w:rPr>
        <w:t xml:space="preserve"> ביאטרה נ' מ"י (מיום 28.1.2013) אושר מתחם ענישה שבין 12 ל-48 חודשי מאסר בנסיבות של סחר ב-350 כדורי </w:t>
      </w:r>
      <w:r>
        <w:rPr>
          <w:rFonts w:cs="FrankRuehl" w:hint="cs"/>
          <w:sz w:val="28"/>
          <w:szCs w:val="28"/>
        </w:rPr>
        <w:t xml:space="preserve">MDMA </w:t>
      </w:r>
      <w:r>
        <w:rPr>
          <w:rFonts w:cs="FrankRuehl" w:hint="cs"/>
          <w:sz w:val="28"/>
          <w:szCs w:val="28"/>
          <w:rtl/>
        </w:rPr>
        <w:t xml:space="preserve"> תמורת 12,000 ₪ אל מול סוכן משטרתי, והעונש הופחת ל-24 חודשי מאסר. </w:t>
      </w:r>
    </w:p>
    <w:p w14:paraId="48F0799C" w14:textId="77777777" w:rsidR="00870CBD" w:rsidRDefault="00870CBD" w:rsidP="00870CBD">
      <w:pPr>
        <w:spacing w:line="360" w:lineRule="auto"/>
        <w:jc w:val="both"/>
        <w:rPr>
          <w:rFonts w:cs="FrankRuehl"/>
          <w:b/>
          <w:bCs/>
          <w:sz w:val="28"/>
          <w:szCs w:val="28"/>
          <w:u w:val="single"/>
          <w:rtl/>
        </w:rPr>
      </w:pPr>
    </w:p>
    <w:p w14:paraId="4C762FBC" w14:textId="77777777" w:rsidR="00870CBD" w:rsidRDefault="00870CBD" w:rsidP="00870CBD">
      <w:pPr>
        <w:spacing w:line="360" w:lineRule="auto"/>
        <w:jc w:val="both"/>
        <w:rPr>
          <w:rFonts w:cs="FrankRuehl"/>
          <w:sz w:val="28"/>
          <w:szCs w:val="28"/>
          <w:rtl/>
        </w:rPr>
      </w:pPr>
      <w:r>
        <w:rPr>
          <w:rFonts w:cs="FrankRuehl"/>
          <w:b/>
          <w:bCs/>
          <w:sz w:val="28"/>
          <w:szCs w:val="28"/>
          <w:u w:val="single"/>
          <w:rtl/>
        </w:rPr>
        <w:t>מתחם הענישה</w:t>
      </w:r>
      <w:r>
        <w:rPr>
          <w:rFonts w:cs="FrankRuehl"/>
          <w:sz w:val="28"/>
          <w:szCs w:val="28"/>
          <w:rtl/>
        </w:rPr>
        <w:t xml:space="preserve"> – </w:t>
      </w:r>
      <w:r>
        <w:rPr>
          <w:rFonts w:cs="FrankRuehl" w:hint="cs"/>
          <w:sz w:val="28"/>
          <w:szCs w:val="28"/>
          <w:rtl/>
        </w:rPr>
        <w:t>נוכח האמור לעיל, מתחם הענישה יעמוד על 12 ועד 24 חודשי מאסר, כאשר מתחם זה מתייחס לכלל האישומים כאל "אירוע אחד", שכן העבירות בוצעו באותה שיטה, בפער זמנים קצר, עם אותם מעורבים ועל פי אותם מאפיינים. לכן מתקיים בהם מבחן "הקשר ההדוק".</w:t>
      </w:r>
    </w:p>
    <w:p w14:paraId="6D1225DF" w14:textId="77777777" w:rsidR="00870CBD" w:rsidRDefault="00870CBD" w:rsidP="00870CBD">
      <w:pPr>
        <w:spacing w:line="360" w:lineRule="auto"/>
        <w:jc w:val="both"/>
        <w:rPr>
          <w:rFonts w:cs="FrankRuehl"/>
          <w:b/>
          <w:bCs/>
          <w:sz w:val="28"/>
          <w:szCs w:val="28"/>
          <w:u w:val="single"/>
          <w:rtl/>
        </w:rPr>
      </w:pPr>
    </w:p>
    <w:p w14:paraId="6C43CF66" w14:textId="77777777" w:rsidR="00870CBD" w:rsidRDefault="00870CBD" w:rsidP="00870CBD">
      <w:pPr>
        <w:spacing w:line="360" w:lineRule="auto"/>
        <w:jc w:val="both"/>
        <w:rPr>
          <w:rFonts w:cs="FrankRuehl"/>
          <w:b/>
          <w:bCs/>
          <w:sz w:val="28"/>
          <w:szCs w:val="28"/>
          <w:u w:val="single"/>
          <w:rtl/>
        </w:rPr>
      </w:pPr>
    </w:p>
    <w:p w14:paraId="007871C5" w14:textId="77777777" w:rsidR="00870CBD" w:rsidRDefault="00870CBD" w:rsidP="00870CBD">
      <w:pPr>
        <w:spacing w:line="360" w:lineRule="auto"/>
        <w:jc w:val="both"/>
        <w:rPr>
          <w:rFonts w:cs="FrankRuehl"/>
          <w:sz w:val="28"/>
          <w:szCs w:val="28"/>
          <w:rtl/>
        </w:rPr>
      </w:pPr>
      <w:r>
        <w:rPr>
          <w:rFonts w:cs="FrankRuehl"/>
          <w:b/>
          <w:bCs/>
          <w:sz w:val="28"/>
          <w:szCs w:val="28"/>
          <w:u w:val="single"/>
          <w:rtl/>
        </w:rPr>
        <w:t xml:space="preserve">נסיבות שאינן קשורות בביצוע העבירה לפי </w:t>
      </w:r>
      <w:hyperlink r:id="rId23" w:history="1">
        <w:r w:rsidR="00783567" w:rsidRPr="00783567">
          <w:rPr>
            <w:rStyle w:val="Hyperlink"/>
            <w:rFonts w:cs="FrankRuehl"/>
            <w:b/>
            <w:bCs/>
            <w:sz w:val="28"/>
            <w:szCs w:val="28"/>
            <w:rtl/>
          </w:rPr>
          <w:t>סעיף 40י"א</w:t>
        </w:r>
      </w:hyperlink>
      <w:r>
        <w:rPr>
          <w:rFonts w:cs="FrankRuehl"/>
          <w:b/>
          <w:bCs/>
          <w:sz w:val="28"/>
          <w:szCs w:val="28"/>
          <w:u w:val="single"/>
          <w:rtl/>
        </w:rPr>
        <w:t xml:space="preserve"> ל</w:t>
      </w:r>
      <w:hyperlink r:id="rId24" w:history="1">
        <w:r w:rsidR="00320FB5" w:rsidRPr="00320FB5">
          <w:rPr>
            <w:rFonts w:cs="FrankRuehl"/>
            <w:b/>
            <w:bCs/>
            <w:color w:val="0000FF"/>
            <w:sz w:val="28"/>
            <w:szCs w:val="28"/>
            <w:u w:val="single"/>
            <w:rtl/>
          </w:rPr>
          <w:t>חוק העונשין</w:t>
        </w:r>
      </w:hyperlink>
      <w:r>
        <w:rPr>
          <w:rFonts w:cs="FrankRuehl"/>
          <w:b/>
          <w:bCs/>
          <w:sz w:val="28"/>
          <w:szCs w:val="28"/>
          <w:rtl/>
        </w:rPr>
        <w:t xml:space="preserve"> – </w:t>
      </w:r>
      <w:r>
        <w:rPr>
          <w:rFonts w:cs="FrankRuehl"/>
          <w:sz w:val="28"/>
          <w:szCs w:val="28"/>
          <w:rtl/>
        </w:rPr>
        <w:t>ניתן  לתת משקל לנסיבות הבאות שאינן קשורות בביצוע העבירה, במסגרת גזירת העונש בתוך המתחם:</w:t>
      </w:r>
      <w:r>
        <w:rPr>
          <w:rFonts w:cs="FrankRuehl" w:hint="cs"/>
          <w:sz w:val="28"/>
          <w:szCs w:val="28"/>
          <w:rtl/>
        </w:rPr>
        <w:t xml:space="preserve"> הנאשם קיבל אחריות חלקית למעשים, ובהודאתו חסך זמן שיפוטי; הוא לא הפר תנאים לאורך תקופה ממושכת והיה נכון לטיפול. לחובתו עברו הפלילי.</w:t>
      </w:r>
    </w:p>
    <w:p w14:paraId="27B153D5" w14:textId="77777777" w:rsidR="00870CBD" w:rsidRDefault="00870CBD" w:rsidP="00870CBD">
      <w:pPr>
        <w:spacing w:line="360" w:lineRule="auto"/>
        <w:jc w:val="both"/>
        <w:rPr>
          <w:rFonts w:cs="FrankRuehl"/>
          <w:sz w:val="28"/>
          <w:szCs w:val="28"/>
          <w:rtl/>
        </w:rPr>
      </w:pPr>
    </w:p>
    <w:p w14:paraId="58E9CDDF" w14:textId="77777777" w:rsidR="00870CBD" w:rsidRDefault="00870CBD" w:rsidP="00870CBD">
      <w:pPr>
        <w:spacing w:line="360" w:lineRule="auto"/>
        <w:jc w:val="both"/>
        <w:rPr>
          <w:rFonts w:cs="FrankRuehl"/>
          <w:sz w:val="28"/>
          <w:szCs w:val="28"/>
          <w:rtl/>
        </w:rPr>
      </w:pPr>
      <w:r>
        <w:rPr>
          <w:rFonts w:cs="FrankRuehl"/>
          <w:b/>
          <w:bCs/>
          <w:sz w:val="28"/>
          <w:szCs w:val="28"/>
          <w:u w:val="single"/>
          <w:rtl/>
        </w:rPr>
        <w:t>המיקום במתחם</w:t>
      </w:r>
      <w:r>
        <w:rPr>
          <w:rFonts w:cs="FrankRuehl"/>
          <w:sz w:val="28"/>
          <w:szCs w:val="28"/>
          <w:rtl/>
        </w:rPr>
        <w:t xml:space="preserve"> - </w:t>
      </w:r>
      <w:r>
        <w:rPr>
          <w:rFonts w:cs="FrankRuehl" w:hint="cs"/>
          <w:sz w:val="28"/>
          <w:szCs w:val="28"/>
          <w:rtl/>
        </w:rPr>
        <w:t xml:space="preserve"> במכלול הנסיבות, ומתוך התחשבות בעניינו של רווידי, שמצבו חמור יותר מאשר הנאשם, אך טרם נגזר דינו, יש מקום להטיל על הנאשם עונש מאסר בפועל בראשית המתחם. </w:t>
      </w:r>
    </w:p>
    <w:p w14:paraId="1C8BD1E6" w14:textId="77777777" w:rsidR="00870CBD" w:rsidRDefault="00870CBD" w:rsidP="00870CBD">
      <w:pPr>
        <w:spacing w:line="360" w:lineRule="auto"/>
        <w:jc w:val="both"/>
        <w:rPr>
          <w:rFonts w:cs="FrankRuehl"/>
          <w:b/>
          <w:bCs/>
          <w:sz w:val="28"/>
          <w:szCs w:val="28"/>
          <w:u w:val="single"/>
          <w:rtl/>
        </w:rPr>
      </w:pPr>
    </w:p>
    <w:p w14:paraId="3B001350" w14:textId="77777777" w:rsidR="00870CBD" w:rsidRDefault="00870CBD" w:rsidP="00870CBD">
      <w:pPr>
        <w:spacing w:line="360" w:lineRule="auto"/>
        <w:jc w:val="both"/>
        <w:rPr>
          <w:rFonts w:cs="FrankRuehl"/>
          <w:b/>
          <w:bCs/>
          <w:sz w:val="28"/>
          <w:szCs w:val="28"/>
          <w:u w:val="single"/>
          <w:rtl/>
        </w:rPr>
      </w:pPr>
      <w:r>
        <w:rPr>
          <w:rFonts w:cs="FrankRuehl"/>
          <w:b/>
          <w:bCs/>
          <w:sz w:val="28"/>
          <w:szCs w:val="28"/>
          <w:u w:val="single"/>
          <w:rtl/>
        </w:rPr>
        <w:t>גזירת הדין</w:t>
      </w:r>
    </w:p>
    <w:p w14:paraId="0CF1A4BB" w14:textId="77777777" w:rsidR="00870CBD" w:rsidRDefault="00870CBD" w:rsidP="00870CBD">
      <w:pPr>
        <w:spacing w:line="360" w:lineRule="auto"/>
        <w:jc w:val="both"/>
        <w:rPr>
          <w:rFonts w:cs="FrankRuehl"/>
          <w:sz w:val="28"/>
          <w:szCs w:val="28"/>
          <w:rtl/>
        </w:rPr>
      </w:pPr>
      <w:r>
        <w:rPr>
          <w:rFonts w:cs="FrankRuehl"/>
          <w:sz w:val="28"/>
          <w:szCs w:val="28"/>
          <w:rtl/>
        </w:rPr>
        <w:t>לפיכך, אני מחליט לגזור על הנאשם את העונשים הבאים:</w:t>
      </w:r>
    </w:p>
    <w:p w14:paraId="2D49440B" w14:textId="77777777" w:rsidR="00870CBD" w:rsidRDefault="00870CBD" w:rsidP="00870CBD">
      <w:pPr>
        <w:numPr>
          <w:ilvl w:val="0"/>
          <w:numId w:val="1"/>
        </w:numPr>
        <w:spacing w:after="160" w:line="360" w:lineRule="auto"/>
        <w:contextualSpacing/>
        <w:jc w:val="both"/>
        <w:rPr>
          <w:rFonts w:cs="FrankRuehl"/>
          <w:sz w:val="28"/>
          <w:szCs w:val="28"/>
          <w:rtl/>
        </w:rPr>
      </w:pPr>
      <w:r>
        <w:rPr>
          <w:rFonts w:cs="FrankRuehl" w:hint="cs"/>
          <w:sz w:val="28"/>
          <w:szCs w:val="28"/>
          <w:rtl/>
        </w:rPr>
        <w:t xml:space="preserve">12 </w:t>
      </w:r>
      <w:r>
        <w:rPr>
          <w:rFonts w:cs="FrankRuehl"/>
          <w:sz w:val="28"/>
          <w:szCs w:val="28"/>
          <w:rtl/>
        </w:rPr>
        <w:t xml:space="preserve">חודשי מאסר בפועל לריצוי </w:t>
      </w:r>
      <w:r>
        <w:rPr>
          <w:rFonts w:cs="FrankRuehl" w:hint="cs"/>
          <w:sz w:val="28"/>
          <w:szCs w:val="28"/>
          <w:rtl/>
        </w:rPr>
        <w:t>בניכוי ימי מעצרו בתיק זה ע"פ חישוב שב"ס שיכריע. מאסרו של הנאשם יתווסף לכל עונש הוא צפוי לרצות</w:t>
      </w:r>
      <w:r>
        <w:rPr>
          <w:rFonts w:cs="FrankRuehl"/>
          <w:sz w:val="28"/>
          <w:szCs w:val="28"/>
          <w:rtl/>
        </w:rPr>
        <w:t>;</w:t>
      </w:r>
    </w:p>
    <w:p w14:paraId="6EC436FB" w14:textId="77777777" w:rsidR="00870CBD" w:rsidRDefault="00870CBD" w:rsidP="00870CBD">
      <w:pPr>
        <w:numPr>
          <w:ilvl w:val="0"/>
          <w:numId w:val="1"/>
        </w:numPr>
        <w:spacing w:after="160" w:line="360" w:lineRule="auto"/>
        <w:contextualSpacing/>
        <w:jc w:val="both"/>
        <w:rPr>
          <w:rFonts w:cs="FrankRuehl"/>
          <w:sz w:val="28"/>
          <w:szCs w:val="28"/>
          <w:rtl/>
        </w:rPr>
      </w:pPr>
      <w:r>
        <w:rPr>
          <w:rFonts w:cs="FrankRuehl" w:hint="cs"/>
          <w:sz w:val="28"/>
          <w:szCs w:val="28"/>
          <w:rtl/>
        </w:rPr>
        <w:t xml:space="preserve">9 </w:t>
      </w:r>
      <w:r>
        <w:rPr>
          <w:rFonts w:cs="FrankRuehl"/>
          <w:sz w:val="28"/>
          <w:szCs w:val="28"/>
          <w:rtl/>
        </w:rPr>
        <w:t xml:space="preserve">חודשי מאסר שלא ירוצו, אלא אם יעבור הנאשם </w:t>
      </w:r>
      <w:r>
        <w:rPr>
          <w:rFonts w:cs="FrankRuehl" w:hint="cs"/>
          <w:sz w:val="28"/>
          <w:szCs w:val="28"/>
          <w:rtl/>
        </w:rPr>
        <w:t>כל עבירת פשע לפי פקודת הסמים בתוך 3 שנים משחרורו</w:t>
      </w:r>
      <w:r>
        <w:rPr>
          <w:rFonts w:cs="FrankRuehl"/>
          <w:sz w:val="28"/>
          <w:szCs w:val="28"/>
          <w:rtl/>
        </w:rPr>
        <w:t>;</w:t>
      </w:r>
    </w:p>
    <w:p w14:paraId="787E24FB" w14:textId="77777777" w:rsidR="00870CBD" w:rsidRDefault="00870CBD" w:rsidP="00870CBD">
      <w:pPr>
        <w:numPr>
          <w:ilvl w:val="0"/>
          <w:numId w:val="1"/>
        </w:numPr>
        <w:spacing w:after="160" w:line="360" w:lineRule="auto"/>
        <w:contextualSpacing/>
        <w:jc w:val="both"/>
        <w:rPr>
          <w:rFonts w:cs="FrankRuehl"/>
          <w:sz w:val="28"/>
          <w:szCs w:val="28"/>
          <w:rtl/>
        </w:rPr>
      </w:pPr>
      <w:r>
        <w:rPr>
          <w:rFonts w:cs="FrankRuehl"/>
          <w:sz w:val="28"/>
          <w:szCs w:val="28"/>
          <w:rtl/>
        </w:rPr>
        <w:t xml:space="preserve">קנס בסך </w:t>
      </w:r>
      <w:r>
        <w:rPr>
          <w:rFonts w:cs="FrankRuehl" w:hint="cs"/>
          <w:sz w:val="28"/>
          <w:szCs w:val="28"/>
          <w:rtl/>
        </w:rPr>
        <w:t>5,000</w:t>
      </w:r>
      <w:r>
        <w:rPr>
          <w:rFonts w:cs="FrankRuehl"/>
          <w:sz w:val="28"/>
          <w:szCs w:val="28"/>
          <w:rtl/>
        </w:rPr>
        <w:t xml:space="preserve">  ₪, או  </w:t>
      </w:r>
      <w:r>
        <w:rPr>
          <w:rFonts w:cs="FrankRuehl" w:hint="cs"/>
          <w:sz w:val="28"/>
          <w:szCs w:val="28"/>
          <w:rtl/>
        </w:rPr>
        <w:t xml:space="preserve">20 </w:t>
      </w:r>
      <w:r>
        <w:rPr>
          <w:rFonts w:cs="FrankRuehl"/>
          <w:sz w:val="28"/>
          <w:szCs w:val="28"/>
          <w:rtl/>
        </w:rPr>
        <w:t>ימי מאסר תמורתו אם לא ישולם. הקנס ב-</w:t>
      </w:r>
      <w:r>
        <w:rPr>
          <w:rFonts w:cs="FrankRuehl" w:hint="cs"/>
          <w:sz w:val="28"/>
          <w:szCs w:val="28"/>
          <w:rtl/>
        </w:rPr>
        <w:t xml:space="preserve">10 </w:t>
      </w:r>
      <w:r>
        <w:rPr>
          <w:rFonts w:cs="FrankRuehl"/>
          <w:sz w:val="28"/>
          <w:szCs w:val="28"/>
          <w:rtl/>
        </w:rPr>
        <w:t>תשלומים שווים ורצופים ב-</w:t>
      </w:r>
      <w:r>
        <w:rPr>
          <w:rFonts w:cs="FrankRuehl" w:hint="cs"/>
          <w:sz w:val="28"/>
          <w:szCs w:val="28"/>
          <w:rtl/>
        </w:rPr>
        <w:t>1</w:t>
      </w:r>
      <w:r>
        <w:rPr>
          <w:rFonts w:cs="FrankRuehl"/>
          <w:sz w:val="28"/>
          <w:szCs w:val="28"/>
          <w:rtl/>
        </w:rPr>
        <w:t xml:space="preserve"> בכל  חודש</w:t>
      </w:r>
      <w:r>
        <w:rPr>
          <w:rFonts w:cs="FrankRuehl" w:hint="cs"/>
          <w:sz w:val="28"/>
          <w:szCs w:val="28"/>
          <w:rtl/>
        </w:rPr>
        <w:t xml:space="preserve"> החל מיום 1.3.2022</w:t>
      </w:r>
      <w:r>
        <w:rPr>
          <w:rFonts w:cs="FrankRuehl"/>
          <w:sz w:val="28"/>
          <w:szCs w:val="28"/>
          <w:rtl/>
        </w:rPr>
        <w:t>. לא ישולם תשלום במועד או לא ישולם כלל, יעמוד הקנס לפירעון מיידי. מורה על קיזוז הקנס מההפקדה שבתיק, על אף כל הודעת עיקול. ככל שתיוותר יתרת חובה, תשולם כפי שקבעתי. ככל שתיוותר יתרת זכות תוחזר לנאשם בכפוף להיעדר כל הוראת עיקול;</w:t>
      </w:r>
    </w:p>
    <w:p w14:paraId="1A5D9D4F" w14:textId="77777777" w:rsidR="00870CBD" w:rsidRDefault="00870CBD" w:rsidP="00870CBD">
      <w:pPr>
        <w:numPr>
          <w:ilvl w:val="0"/>
          <w:numId w:val="1"/>
        </w:numPr>
        <w:spacing w:after="160" w:line="360" w:lineRule="auto"/>
        <w:contextualSpacing/>
        <w:jc w:val="both"/>
        <w:rPr>
          <w:rFonts w:cs="FrankRuehl"/>
          <w:sz w:val="28"/>
          <w:szCs w:val="28"/>
          <w:rtl/>
        </w:rPr>
      </w:pPr>
      <w:r>
        <w:rPr>
          <w:rFonts w:cs="FrankRuehl"/>
          <w:sz w:val="28"/>
          <w:szCs w:val="28"/>
          <w:rtl/>
        </w:rPr>
        <w:t xml:space="preserve">התחייבות בסך </w:t>
      </w:r>
      <w:r>
        <w:rPr>
          <w:rFonts w:cs="FrankRuehl" w:hint="cs"/>
          <w:sz w:val="28"/>
          <w:szCs w:val="28"/>
          <w:rtl/>
        </w:rPr>
        <w:t xml:space="preserve">5,000 </w:t>
      </w:r>
      <w:r>
        <w:rPr>
          <w:rFonts w:cs="FrankRuehl"/>
          <w:sz w:val="28"/>
          <w:szCs w:val="28"/>
          <w:rtl/>
        </w:rPr>
        <w:t>₪ שלא לעבור כל עביר</w:t>
      </w:r>
      <w:r>
        <w:rPr>
          <w:rFonts w:cs="FrankRuehl" w:hint="cs"/>
          <w:sz w:val="28"/>
          <w:szCs w:val="28"/>
          <w:rtl/>
        </w:rPr>
        <w:t xml:space="preserve">ת פשע לפי פקודת הסמים </w:t>
      </w:r>
      <w:r>
        <w:rPr>
          <w:rFonts w:cs="FrankRuehl"/>
          <w:sz w:val="28"/>
          <w:szCs w:val="28"/>
          <w:rtl/>
        </w:rPr>
        <w:t xml:space="preserve">במשך שנתיים </w:t>
      </w:r>
      <w:r>
        <w:rPr>
          <w:rFonts w:cs="FrankRuehl" w:hint="cs"/>
          <w:sz w:val="28"/>
          <w:szCs w:val="28"/>
          <w:rtl/>
        </w:rPr>
        <w:t>משחרורו</w:t>
      </w:r>
      <w:r>
        <w:rPr>
          <w:rFonts w:cs="FrankRuehl"/>
          <w:sz w:val="28"/>
          <w:szCs w:val="28"/>
          <w:rtl/>
        </w:rPr>
        <w:t>. הובהר לנאשם שמשמעות ההתחייבות היא, כי אם יעבור את העבירה בתוך התקופה שצוינה, בית המשפט שיגזור את הדין יהא חייב לחלט את ההתחייבות כקנס.</w:t>
      </w:r>
    </w:p>
    <w:p w14:paraId="14689760" w14:textId="77777777" w:rsidR="00870CBD" w:rsidRDefault="00870CBD" w:rsidP="00870CBD">
      <w:pPr>
        <w:spacing w:line="360" w:lineRule="auto"/>
        <w:rPr>
          <w:rFonts w:ascii="FrankRuehl" w:hAnsi="FrankRuehl" w:cs="FrankRuehl"/>
          <w:sz w:val="28"/>
          <w:szCs w:val="28"/>
        </w:rPr>
      </w:pPr>
    </w:p>
    <w:p w14:paraId="0B83EFC8" w14:textId="77777777" w:rsidR="00870CBD" w:rsidRDefault="00870CBD" w:rsidP="00870CBD">
      <w:pPr>
        <w:spacing w:line="360" w:lineRule="auto"/>
        <w:jc w:val="both"/>
        <w:rPr>
          <w:rFonts w:ascii="FrankRuehl" w:hAnsi="FrankRuehl" w:cs="FrankRuehl"/>
          <w:sz w:val="28"/>
          <w:szCs w:val="28"/>
        </w:rPr>
      </w:pPr>
      <w:r>
        <w:rPr>
          <w:rFonts w:ascii="FrankRuehl" w:hAnsi="FrankRuehl" w:cs="FrankRuehl" w:hint="cs"/>
          <w:sz w:val="28"/>
          <w:szCs w:val="28"/>
          <w:rtl/>
        </w:rPr>
        <w:t xml:space="preserve">מכריז על הנאשם סוחר סמים, ומורה </w:t>
      </w:r>
      <w:r>
        <w:rPr>
          <w:rFonts w:ascii="FrankRuehl" w:hAnsi="FrankRuehl" w:cs="FrankRuehl"/>
          <w:sz w:val="28"/>
          <w:szCs w:val="28"/>
          <w:rtl/>
        </w:rPr>
        <w:t>על השמדת הסמים</w:t>
      </w:r>
      <w:r>
        <w:rPr>
          <w:rFonts w:ascii="FrankRuehl" w:hAnsi="FrankRuehl" w:cs="FrankRuehl" w:hint="cs"/>
          <w:sz w:val="28"/>
          <w:szCs w:val="28"/>
          <w:rtl/>
        </w:rPr>
        <w:t xml:space="preserve"> והמוצגים ועל חילוט כספים ככל שנתפסו</w:t>
      </w:r>
      <w:r>
        <w:rPr>
          <w:rFonts w:ascii="FrankRuehl" w:hAnsi="FrankRuehl" w:cs="FrankRuehl"/>
          <w:sz w:val="28"/>
          <w:szCs w:val="28"/>
          <w:rtl/>
        </w:rPr>
        <w:t>.</w:t>
      </w:r>
      <w:r>
        <w:rPr>
          <w:rFonts w:ascii="FrankRuehl" w:hAnsi="FrankRuehl" w:cs="FrankRuehl" w:hint="cs"/>
          <w:sz w:val="28"/>
          <w:szCs w:val="28"/>
          <w:rtl/>
        </w:rPr>
        <w:t xml:space="preserve"> הוראת החילוט וההשמדה לא תבוצע, אלא בהסתיים עניינו של רווידי.</w:t>
      </w:r>
    </w:p>
    <w:p w14:paraId="5F927E15" w14:textId="77777777" w:rsidR="00870CBD" w:rsidRDefault="00870CBD" w:rsidP="00870CBD">
      <w:pPr>
        <w:spacing w:line="360" w:lineRule="auto"/>
        <w:rPr>
          <w:rFonts w:ascii="FrankRuehl" w:hAnsi="FrankRuehl" w:cs="FrankRuehl"/>
          <w:sz w:val="28"/>
          <w:szCs w:val="28"/>
          <w:rtl/>
        </w:rPr>
      </w:pPr>
    </w:p>
    <w:p w14:paraId="11FBCED6" w14:textId="77777777" w:rsidR="00870CBD" w:rsidRDefault="00870CBD" w:rsidP="00870CBD">
      <w:pPr>
        <w:spacing w:line="360" w:lineRule="auto"/>
        <w:rPr>
          <w:rFonts w:ascii="FrankRuehl" w:hAnsi="FrankRuehl" w:cs="FrankRuehl"/>
          <w:sz w:val="28"/>
          <w:szCs w:val="28"/>
          <w:rtl/>
        </w:rPr>
      </w:pPr>
      <w:r>
        <w:rPr>
          <w:rFonts w:ascii="FrankRuehl" w:hAnsi="FrankRuehl" w:cs="FrankRuehl"/>
          <w:sz w:val="28"/>
          <w:szCs w:val="28"/>
          <w:rtl/>
        </w:rPr>
        <w:t>יש לשלוח לשירות המבחן.</w:t>
      </w:r>
    </w:p>
    <w:p w14:paraId="043AAE1B" w14:textId="77777777" w:rsidR="00870CBD" w:rsidRDefault="00870CBD" w:rsidP="00870CBD">
      <w:pPr>
        <w:spacing w:line="360" w:lineRule="auto"/>
        <w:jc w:val="both"/>
        <w:rPr>
          <w:rFonts w:ascii="FrankRuehl" w:hAnsi="FrankRuehl" w:cs="FrankRuehl"/>
          <w:sz w:val="28"/>
          <w:szCs w:val="28"/>
          <w:rtl/>
        </w:rPr>
      </w:pPr>
      <w:r>
        <w:rPr>
          <w:rFonts w:ascii="FrankRuehl" w:hAnsi="FrankRuehl" w:cs="FrankRuehl" w:hint="cs"/>
          <w:sz w:val="28"/>
          <w:szCs w:val="28"/>
          <w:rtl/>
        </w:rPr>
        <w:t>ה</w:t>
      </w:r>
      <w:r>
        <w:rPr>
          <w:rFonts w:ascii="FrankRuehl" w:hAnsi="FrankRuehl" w:cs="FrankRuehl"/>
          <w:sz w:val="28"/>
          <w:szCs w:val="28"/>
          <w:rtl/>
        </w:rPr>
        <w:t xml:space="preserve">נאשם  יתייצב למאסרו בבית סוהר "ניצן", ביום </w:t>
      </w:r>
      <w:r>
        <w:rPr>
          <w:rFonts w:ascii="FrankRuehl" w:hAnsi="FrankRuehl" w:cs="FrankRuehl" w:hint="cs"/>
          <w:sz w:val="28"/>
          <w:szCs w:val="28"/>
          <w:rtl/>
        </w:rPr>
        <w:t xml:space="preserve">16.1.2022 </w:t>
      </w:r>
      <w:r>
        <w:rPr>
          <w:rFonts w:ascii="FrankRuehl" w:hAnsi="FrankRuehl" w:cs="FrankRuehl"/>
          <w:sz w:val="28"/>
          <w:szCs w:val="28"/>
          <w:rtl/>
        </w:rPr>
        <w:t xml:space="preserve"> עד השעה</w:t>
      </w:r>
      <w:r>
        <w:rPr>
          <w:rFonts w:ascii="FrankRuehl" w:hAnsi="FrankRuehl" w:cs="FrankRuehl" w:hint="cs"/>
          <w:sz w:val="28"/>
          <w:szCs w:val="28"/>
          <w:rtl/>
        </w:rPr>
        <w:t xml:space="preserve"> 10:00</w:t>
      </w:r>
      <w:r>
        <w:rPr>
          <w:rFonts w:ascii="FrankRuehl" w:hAnsi="FrankRuehl" w:cs="FrankRuehl"/>
          <w:sz w:val="28"/>
          <w:szCs w:val="28"/>
          <w:rtl/>
        </w:rPr>
        <w:t xml:space="preserve"> , כשברשותו תעודת זהות ופסק דין זה.</w:t>
      </w:r>
      <w:r w:rsidR="00320FB5">
        <w:rPr>
          <w:rFonts w:ascii="FrankRuehl" w:hAnsi="FrankRuehl" w:cs="FrankRuehl"/>
          <w:sz w:val="28"/>
          <w:szCs w:val="28"/>
          <w:rtl/>
        </w:rPr>
        <w:t xml:space="preserve">  </w:t>
      </w:r>
      <w:r>
        <w:rPr>
          <w:rFonts w:ascii="FrankRuehl" w:hAnsi="FrankRuehl" w:cs="FrankRuehl"/>
          <w:sz w:val="28"/>
          <w:szCs w:val="28"/>
          <w:rtl/>
        </w:rPr>
        <w:t xml:space="preserve"> </w:t>
      </w:r>
    </w:p>
    <w:p w14:paraId="5A35E46D" w14:textId="77777777" w:rsidR="00870CBD" w:rsidRDefault="00870CBD" w:rsidP="00870CBD">
      <w:pPr>
        <w:spacing w:line="360" w:lineRule="auto"/>
        <w:rPr>
          <w:rFonts w:ascii="FrankRuehl" w:hAnsi="FrankRuehl" w:cs="FrankRuehl"/>
          <w:sz w:val="28"/>
          <w:szCs w:val="28"/>
          <w:rtl/>
        </w:rPr>
      </w:pPr>
    </w:p>
    <w:p w14:paraId="6089004A" w14:textId="77777777" w:rsidR="00870CBD" w:rsidRDefault="00870CBD" w:rsidP="00870CBD">
      <w:pPr>
        <w:spacing w:line="360" w:lineRule="auto"/>
        <w:rPr>
          <w:rFonts w:ascii="FrankRuehl" w:hAnsi="FrankRuehl" w:cs="FrankRuehl"/>
          <w:sz w:val="28"/>
          <w:szCs w:val="28"/>
        </w:rPr>
      </w:pPr>
      <w:r>
        <w:rPr>
          <w:rFonts w:ascii="FrankRuehl" w:hAnsi="FrankRuehl" w:cs="FrankRuehl"/>
          <w:sz w:val="28"/>
          <w:szCs w:val="28"/>
          <w:rtl/>
        </w:rPr>
        <w:t xml:space="preserve">על ב"כ הנאשם לתאם את הכניסה למאסר, כולל האפשרות למיון מוקדם, עם ענף אבחון ומיון של שב"ס, טלפונים: 074-7831077/8. </w:t>
      </w:r>
    </w:p>
    <w:p w14:paraId="02DCF6CC" w14:textId="77777777" w:rsidR="00870CBD" w:rsidRDefault="00870CBD" w:rsidP="00870CBD">
      <w:pPr>
        <w:spacing w:line="360" w:lineRule="auto"/>
        <w:rPr>
          <w:rFonts w:ascii="FrankRuehl" w:hAnsi="FrankRuehl" w:cs="FrankRuehl"/>
          <w:sz w:val="28"/>
          <w:szCs w:val="28"/>
        </w:rPr>
      </w:pPr>
      <w:r>
        <w:rPr>
          <w:rFonts w:ascii="FrankRuehl" w:hAnsi="FrankRuehl" w:cs="FrankRuehl"/>
          <w:sz w:val="28"/>
          <w:szCs w:val="28"/>
          <w:rtl/>
        </w:rPr>
        <w:t xml:space="preserve">דוא"ל: </w:t>
      </w:r>
      <w:hyperlink r:id="rId25" w:history="1">
        <w:r>
          <w:rPr>
            <w:rStyle w:val="Hyperlink"/>
            <w:rFonts w:ascii="FrankRuehl" w:hAnsi="FrankRuehl" w:cs="FrankRuehl"/>
            <w:sz w:val="28"/>
            <w:szCs w:val="28"/>
          </w:rPr>
          <w:t>maasarn@ips.gov.il</w:t>
        </w:r>
      </w:hyperlink>
      <w:r>
        <w:rPr>
          <w:rFonts w:ascii="FrankRuehl" w:hAnsi="FrankRuehl" w:cs="FrankRuehl"/>
          <w:sz w:val="28"/>
          <w:szCs w:val="28"/>
          <w:rtl/>
        </w:rPr>
        <w:t xml:space="preserve">.  </w:t>
      </w:r>
    </w:p>
    <w:p w14:paraId="71F49067" w14:textId="77777777" w:rsidR="00870CBD" w:rsidRPr="00320FB5" w:rsidRDefault="00320FB5" w:rsidP="00870CBD">
      <w:pPr>
        <w:rPr>
          <w:rFonts w:ascii="FrankRuehl" w:hAnsi="FrankRuehl" w:cs="FrankRuehl"/>
          <w:color w:val="FFFFFF"/>
          <w:sz w:val="2"/>
          <w:szCs w:val="2"/>
        </w:rPr>
      </w:pPr>
      <w:r w:rsidRPr="00320FB5">
        <w:rPr>
          <w:rFonts w:ascii="FrankRuehl" w:hAnsi="FrankRuehl" w:cs="FrankRuehl"/>
          <w:color w:val="FFFFFF"/>
          <w:sz w:val="2"/>
          <w:szCs w:val="2"/>
          <w:rtl/>
        </w:rPr>
        <w:t>5129371</w:t>
      </w:r>
    </w:p>
    <w:p w14:paraId="4E54A446" w14:textId="77777777" w:rsidR="00870CBD" w:rsidRDefault="00320FB5" w:rsidP="00870CBD">
      <w:pPr>
        <w:rPr>
          <w:rtl/>
        </w:rPr>
      </w:pPr>
      <w:r w:rsidRPr="00320FB5">
        <w:rPr>
          <w:rFonts w:ascii="FrankRuehl" w:hAnsi="FrankRuehl" w:cs="FrankRuehl"/>
          <w:color w:val="FFFFFF"/>
          <w:sz w:val="2"/>
          <w:szCs w:val="2"/>
          <w:rtl/>
        </w:rPr>
        <w:t>54678313</w:t>
      </w:r>
      <w:r w:rsidR="00870CBD">
        <w:rPr>
          <w:rFonts w:ascii="FrankRuehl" w:hAnsi="FrankRuehl" w:cs="FrankRuehl"/>
          <w:sz w:val="28"/>
          <w:szCs w:val="28"/>
          <w:rtl/>
        </w:rPr>
        <w:t>זכות ערעור כחוק לבית המשפט המחוזי בירושלים בתוך 45 יום מהיום.</w:t>
      </w:r>
    </w:p>
    <w:p w14:paraId="202EEEB8" w14:textId="77777777" w:rsidR="00870CBD" w:rsidRPr="00750E2F" w:rsidRDefault="00870CBD" w:rsidP="00870CBD"/>
    <w:p w14:paraId="4388C1CA" w14:textId="77777777" w:rsidR="00870CBD" w:rsidRPr="00F21BDB" w:rsidRDefault="00320FB5" w:rsidP="00870CBD">
      <w:pPr>
        <w:rPr>
          <w:rFonts w:ascii="David" w:hAnsi="David"/>
          <w:sz w:val="26"/>
          <w:szCs w:val="26"/>
          <w:rtl/>
        </w:rPr>
      </w:pPr>
      <w:bookmarkStart w:id="8" w:name="Nitan"/>
      <w:r>
        <w:rPr>
          <w:rFonts w:ascii="FrankRuehl" w:hAnsi="FrankRuehl" w:cs="FrankRuehl"/>
          <w:sz w:val="28"/>
          <w:szCs w:val="28"/>
          <w:rtl/>
        </w:rPr>
        <w:t xml:space="preserve">ניתן היום,  כ"ה טבת תשפ"ב, 29 דצמבר 2021, במעמד הצדדים. </w:t>
      </w:r>
      <w:bookmarkEnd w:id="8"/>
    </w:p>
    <w:p w14:paraId="707F3E04" w14:textId="77777777" w:rsidR="00870CBD" w:rsidRPr="002B7D23" w:rsidRDefault="00870CBD" w:rsidP="00320FB5">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C7B2546" w14:textId="77777777" w:rsidR="00870CBD" w:rsidRPr="00783567" w:rsidRDefault="00783567" w:rsidP="00870CBD">
      <w:pPr>
        <w:jc w:val="center"/>
        <w:rPr>
          <w:rFonts w:ascii="David" w:hAnsi="David"/>
          <w:color w:val="FFFFFF"/>
          <w:sz w:val="2"/>
          <w:szCs w:val="2"/>
          <w:rtl/>
        </w:rPr>
      </w:pPr>
      <w:r w:rsidRPr="00783567">
        <w:rPr>
          <w:rFonts w:ascii="David" w:hAnsi="David"/>
          <w:color w:val="FFFFFF"/>
          <w:sz w:val="2"/>
          <w:szCs w:val="2"/>
          <w:rtl/>
        </w:rPr>
        <w:t>5129371</w:t>
      </w:r>
    </w:p>
    <w:p w14:paraId="7B51D826" w14:textId="77777777" w:rsidR="00945322" w:rsidRPr="00783567" w:rsidRDefault="00783567" w:rsidP="00320FB5">
      <w:pPr>
        <w:keepNext/>
        <w:rPr>
          <w:rFonts w:ascii="David" w:hAnsi="David"/>
          <w:color w:val="FFFFFF"/>
          <w:sz w:val="2"/>
          <w:szCs w:val="2"/>
          <w:rtl/>
        </w:rPr>
      </w:pPr>
      <w:r w:rsidRPr="00783567">
        <w:rPr>
          <w:rFonts w:ascii="David" w:hAnsi="David"/>
          <w:color w:val="FFFFFF"/>
          <w:sz w:val="2"/>
          <w:szCs w:val="2"/>
          <w:rtl/>
        </w:rPr>
        <w:t>54678313</w:t>
      </w:r>
    </w:p>
    <w:p w14:paraId="0DDE3553" w14:textId="77777777" w:rsidR="00320FB5" w:rsidRPr="00320FB5" w:rsidRDefault="00320FB5" w:rsidP="00320FB5">
      <w:pPr>
        <w:keepNext/>
        <w:rPr>
          <w:rFonts w:ascii="David" w:hAnsi="David"/>
          <w:color w:val="000000"/>
          <w:sz w:val="22"/>
          <w:szCs w:val="22"/>
          <w:rtl/>
        </w:rPr>
      </w:pPr>
      <w:r w:rsidRPr="00320FB5">
        <w:rPr>
          <w:rFonts w:ascii="David" w:hAnsi="David"/>
          <w:color w:val="000000"/>
          <w:sz w:val="22"/>
          <w:szCs w:val="22"/>
          <w:rtl/>
        </w:rPr>
        <w:t>דוד שאול גבאי ריכטר 54678313</w:t>
      </w:r>
    </w:p>
    <w:p w14:paraId="20B06D06" w14:textId="77777777" w:rsidR="00320FB5" w:rsidRDefault="00320FB5" w:rsidP="00320FB5">
      <w:r w:rsidRPr="00320FB5">
        <w:rPr>
          <w:color w:val="000000"/>
          <w:rtl/>
        </w:rPr>
        <w:t>נוסח מסמך זה כפוף לשינויי ניסוח ועריכה</w:t>
      </w:r>
    </w:p>
    <w:p w14:paraId="2B5337AD" w14:textId="77777777" w:rsidR="00320FB5" w:rsidRDefault="00320FB5" w:rsidP="00320FB5">
      <w:pPr>
        <w:rPr>
          <w:rtl/>
        </w:rPr>
      </w:pPr>
    </w:p>
    <w:p w14:paraId="328BC00A" w14:textId="77777777" w:rsidR="00320FB5" w:rsidRDefault="00320FB5" w:rsidP="00320FB5">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sectPr w:rsidR="00320FB5" w:rsidSect="00783567">
      <w:headerReference w:type="even" r:id="rId27"/>
      <w:headerReference w:type="default" r:id="rId28"/>
      <w:footerReference w:type="even" r:id="rId29"/>
      <w:footerReference w:type="default" r:id="rId3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7F6F08" w14:textId="77777777" w:rsidR="001B5744" w:rsidRDefault="001B5744" w:rsidP="00F33F09">
      <w:r>
        <w:separator/>
      </w:r>
    </w:p>
  </w:endnote>
  <w:endnote w:type="continuationSeparator" w:id="0">
    <w:p w14:paraId="319054B6" w14:textId="77777777" w:rsidR="001B5744" w:rsidRDefault="001B5744" w:rsidP="00F33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D22C7" w14:textId="77777777" w:rsidR="00783567" w:rsidRDefault="00783567" w:rsidP="0078356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A7BFBDE" w14:textId="77777777" w:rsidR="00F63EC9" w:rsidRPr="00783567" w:rsidRDefault="00783567" w:rsidP="00783567">
    <w:pPr>
      <w:pStyle w:val="a5"/>
      <w:pBdr>
        <w:top w:val="single" w:sz="4" w:space="1" w:color="auto"/>
        <w:between w:val="single" w:sz="4" w:space="0" w:color="auto"/>
      </w:pBdr>
      <w:spacing w:after="60"/>
      <w:jc w:val="center"/>
      <w:rPr>
        <w:rFonts w:ascii="FrankRuehl" w:hAnsi="FrankRuehl" w:cs="FrankRuehl"/>
        <w:color w:val="000000"/>
      </w:rPr>
    </w:pPr>
    <w:r w:rsidRPr="0078356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BCC8D" w14:textId="77777777" w:rsidR="00783567" w:rsidRDefault="00783567" w:rsidP="0078356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36BAD">
      <w:rPr>
        <w:rFonts w:ascii="FrankRuehl" w:hAnsi="FrankRuehl" w:cs="FrankRuehl"/>
        <w:noProof/>
        <w:rtl/>
      </w:rPr>
      <w:t>1</w:t>
    </w:r>
    <w:r>
      <w:rPr>
        <w:rFonts w:ascii="FrankRuehl" w:hAnsi="FrankRuehl" w:cs="FrankRuehl"/>
        <w:rtl/>
      </w:rPr>
      <w:fldChar w:fldCharType="end"/>
    </w:r>
  </w:p>
  <w:p w14:paraId="4192FE7C" w14:textId="77777777" w:rsidR="00F63EC9" w:rsidRPr="00783567" w:rsidRDefault="00783567" w:rsidP="00783567">
    <w:pPr>
      <w:pStyle w:val="a5"/>
      <w:pBdr>
        <w:top w:val="single" w:sz="4" w:space="1" w:color="auto"/>
        <w:between w:val="single" w:sz="4" w:space="0" w:color="auto"/>
      </w:pBdr>
      <w:spacing w:after="60"/>
      <w:jc w:val="center"/>
      <w:rPr>
        <w:rFonts w:ascii="FrankRuehl" w:hAnsi="FrankRuehl" w:cs="FrankRuehl"/>
        <w:color w:val="000000"/>
      </w:rPr>
    </w:pPr>
    <w:r w:rsidRPr="00783567">
      <w:rPr>
        <w:rFonts w:ascii="FrankRuehl" w:hAnsi="FrankRuehl" w:cs="FrankRuehl"/>
        <w:color w:val="000000"/>
      </w:rPr>
      <w:pict w14:anchorId="107A6C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17678" w14:textId="77777777" w:rsidR="001B5744" w:rsidRDefault="001B5744" w:rsidP="00F33F09">
      <w:r>
        <w:separator/>
      </w:r>
    </w:p>
  </w:footnote>
  <w:footnote w:type="continuationSeparator" w:id="0">
    <w:p w14:paraId="1B88BD45" w14:textId="77777777" w:rsidR="001B5744" w:rsidRDefault="001B5744" w:rsidP="00F33F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2F9AC" w14:textId="77777777" w:rsidR="00320FB5" w:rsidRPr="00783567" w:rsidRDefault="00783567" w:rsidP="007835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31306-02-20</w:t>
    </w:r>
    <w:r>
      <w:rPr>
        <w:rFonts w:ascii="David" w:hAnsi="David"/>
        <w:color w:val="000000"/>
        <w:sz w:val="22"/>
        <w:szCs w:val="22"/>
        <w:rtl/>
      </w:rPr>
      <w:tab/>
      <w:t xml:space="preserve"> מדינת ישראל נ' מוחמד אבו סנד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1DEA0" w14:textId="77777777" w:rsidR="00320FB5" w:rsidRPr="00783567" w:rsidRDefault="00783567" w:rsidP="0078356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31306-02-20</w:t>
    </w:r>
    <w:r>
      <w:rPr>
        <w:rFonts w:ascii="David" w:hAnsi="David"/>
        <w:color w:val="000000"/>
        <w:sz w:val="22"/>
        <w:szCs w:val="22"/>
        <w:rtl/>
      </w:rPr>
      <w:tab/>
      <w:t xml:space="preserve"> מדינת ישראל נ' מוחמד אבו סנד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3325607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0CBD"/>
    <w:rsid w:val="001B5744"/>
    <w:rsid w:val="001B5A3B"/>
    <w:rsid w:val="00320FB5"/>
    <w:rsid w:val="00783567"/>
    <w:rsid w:val="00870CBD"/>
    <w:rsid w:val="008879CA"/>
    <w:rsid w:val="008B2CF4"/>
    <w:rsid w:val="00945322"/>
    <w:rsid w:val="00A17722"/>
    <w:rsid w:val="00BD4E3A"/>
    <w:rsid w:val="00BF21AC"/>
    <w:rsid w:val="00C92687"/>
    <w:rsid w:val="00E500EC"/>
    <w:rsid w:val="00E715E2"/>
    <w:rsid w:val="00F33F09"/>
    <w:rsid w:val="00F36BAD"/>
    <w:rsid w:val="00F63E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525582"/>
  <w15:chartTrackingRefBased/>
  <w15:docId w15:val="{0BF9C9BB-8EC2-4C1C-8135-975CCDA1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0CB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0CBD"/>
    <w:pPr>
      <w:tabs>
        <w:tab w:val="center" w:pos="4153"/>
        <w:tab w:val="right" w:pos="8306"/>
      </w:tabs>
    </w:pPr>
  </w:style>
  <w:style w:type="character" w:customStyle="1" w:styleId="a4">
    <w:name w:val="כותרת עליונה תו"/>
    <w:link w:val="a3"/>
    <w:rsid w:val="00870CBD"/>
    <w:rPr>
      <w:rFonts w:ascii="Times New Roman" w:eastAsia="Times New Roman" w:hAnsi="Times New Roman" w:cs="David"/>
      <w:sz w:val="24"/>
      <w:szCs w:val="24"/>
    </w:rPr>
  </w:style>
  <w:style w:type="paragraph" w:styleId="a5">
    <w:name w:val="footer"/>
    <w:basedOn w:val="a"/>
    <w:link w:val="a6"/>
    <w:rsid w:val="00870CBD"/>
    <w:pPr>
      <w:tabs>
        <w:tab w:val="center" w:pos="4153"/>
        <w:tab w:val="right" w:pos="8306"/>
      </w:tabs>
    </w:pPr>
  </w:style>
  <w:style w:type="character" w:customStyle="1" w:styleId="a6">
    <w:name w:val="כותרת תחתונה תו"/>
    <w:link w:val="a5"/>
    <w:rsid w:val="00870CBD"/>
    <w:rPr>
      <w:rFonts w:ascii="Times New Roman" w:eastAsia="Times New Roman" w:hAnsi="Times New Roman" w:cs="David"/>
      <w:sz w:val="24"/>
      <w:szCs w:val="24"/>
    </w:rPr>
  </w:style>
  <w:style w:type="table" w:styleId="a7">
    <w:name w:val="Table Grid"/>
    <w:basedOn w:val="a1"/>
    <w:rsid w:val="00870CB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0CBD"/>
  </w:style>
  <w:style w:type="character" w:styleId="Hyperlink">
    <w:name w:val="Hyperlink"/>
    <w:rsid w:val="00870CBD"/>
    <w:rPr>
      <w:noProof w:val="0"/>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4" TargetMode="External"/><Relationship Id="rId13" Type="http://schemas.openxmlformats.org/officeDocument/2006/relationships/hyperlink" Target="http://www.nevo.co.il/law/4216" TargetMode="External"/><Relationship Id="rId18" Type="http://schemas.openxmlformats.org/officeDocument/2006/relationships/hyperlink" Target="http://www.nevo.co.il/case/22797714"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27079865" TargetMode="External"/><Relationship Id="rId7" Type="http://schemas.openxmlformats.org/officeDocument/2006/relationships/hyperlink" Target="http://www.nevo.co.il/law/4216" TargetMode="External"/><Relationship Id="rId12" Type="http://schemas.openxmlformats.org/officeDocument/2006/relationships/hyperlink" Target="http://www.nevo.co.il/law/4216/14" TargetMode="External"/><Relationship Id="rId17" Type="http://schemas.openxmlformats.org/officeDocument/2006/relationships/hyperlink" Target="http://www.nevo.co.il/law/70301" TargetMode="External"/><Relationship Id="rId25" Type="http://schemas.openxmlformats.org/officeDocument/2006/relationships/hyperlink" Target="mailto:maasarn@ips.gov.il" TargetMode="External"/><Relationship Id="rId2" Type="http://schemas.openxmlformats.org/officeDocument/2006/relationships/styles" Target="styles.xml"/><Relationship Id="rId16" Type="http://schemas.openxmlformats.org/officeDocument/2006/relationships/hyperlink" Target="http://www.nevo.co.il/law/70301/40i" TargetMode="External"/><Relationship Id="rId20" Type="http://schemas.openxmlformats.org/officeDocument/2006/relationships/hyperlink" Target="http://www.nevo.co.il/case/2715187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law/70301"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2828581" TargetMode="External"/><Relationship Id="rId23" Type="http://schemas.openxmlformats.org/officeDocument/2006/relationships/hyperlink" Target="http://www.nevo.co.il/law/70301/40ja" TargetMode="External"/><Relationship Id="rId28" Type="http://schemas.openxmlformats.org/officeDocument/2006/relationships/header" Target="header2.xml"/><Relationship Id="rId10" Type="http://schemas.openxmlformats.org/officeDocument/2006/relationships/hyperlink" Target="http://www.nevo.co.il/law/70301/40i" TargetMode="External"/><Relationship Id="rId19" Type="http://schemas.openxmlformats.org/officeDocument/2006/relationships/hyperlink" Target="http://www.nevo.co.il/case/2103557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5896323" TargetMode="External"/><Relationship Id="rId22" Type="http://schemas.openxmlformats.org/officeDocument/2006/relationships/hyperlink" Target="http://www.nevo.co.il/case/5608364"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1683</Words>
  <Characters>8415</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10078</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196725</vt:i4>
      </vt:variant>
      <vt:variant>
        <vt:i4>54</vt:i4>
      </vt:variant>
      <vt:variant>
        <vt:i4>0</vt:i4>
      </vt:variant>
      <vt:variant>
        <vt:i4>5</vt:i4>
      </vt:variant>
      <vt:variant>
        <vt:lpwstr>mailto:maasarn@ips.gov.il</vt:lpwstr>
      </vt:variant>
      <vt:variant>
        <vt:lpwstr/>
      </vt:variant>
      <vt:variant>
        <vt:i4>7995492</vt:i4>
      </vt:variant>
      <vt:variant>
        <vt:i4>51</vt:i4>
      </vt:variant>
      <vt:variant>
        <vt:i4>0</vt:i4>
      </vt:variant>
      <vt:variant>
        <vt:i4>5</vt:i4>
      </vt:variant>
      <vt:variant>
        <vt:lpwstr>http://www.nevo.co.il/law/70301</vt:lpwstr>
      </vt:variant>
      <vt:variant>
        <vt:lpwstr/>
      </vt:variant>
      <vt:variant>
        <vt:i4>262155</vt:i4>
      </vt:variant>
      <vt:variant>
        <vt:i4>48</vt:i4>
      </vt:variant>
      <vt:variant>
        <vt:i4>0</vt:i4>
      </vt:variant>
      <vt:variant>
        <vt:i4>5</vt:i4>
      </vt:variant>
      <vt:variant>
        <vt:lpwstr>http://www.nevo.co.il/law/70301/40ja</vt:lpwstr>
      </vt:variant>
      <vt:variant>
        <vt:lpwstr/>
      </vt:variant>
      <vt:variant>
        <vt:i4>3276924</vt:i4>
      </vt:variant>
      <vt:variant>
        <vt:i4>45</vt:i4>
      </vt:variant>
      <vt:variant>
        <vt:i4>0</vt:i4>
      </vt:variant>
      <vt:variant>
        <vt:i4>5</vt:i4>
      </vt:variant>
      <vt:variant>
        <vt:lpwstr>http://www.nevo.co.il/case/5608364</vt:lpwstr>
      </vt:variant>
      <vt:variant>
        <vt:lpwstr/>
      </vt:variant>
      <vt:variant>
        <vt:i4>3997820</vt:i4>
      </vt:variant>
      <vt:variant>
        <vt:i4>42</vt:i4>
      </vt:variant>
      <vt:variant>
        <vt:i4>0</vt:i4>
      </vt:variant>
      <vt:variant>
        <vt:i4>5</vt:i4>
      </vt:variant>
      <vt:variant>
        <vt:lpwstr>http://www.nevo.co.il/case/27079865</vt:lpwstr>
      </vt:variant>
      <vt:variant>
        <vt:lpwstr/>
      </vt:variant>
      <vt:variant>
        <vt:i4>3473534</vt:i4>
      </vt:variant>
      <vt:variant>
        <vt:i4>39</vt:i4>
      </vt:variant>
      <vt:variant>
        <vt:i4>0</vt:i4>
      </vt:variant>
      <vt:variant>
        <vt:i4>5</vt:i4>
      </vt:variant>
      <vt:variant>
        <vt:lpwstr>http://www.nevo.co.il/case/27151873</vt:lpwstr>
      </vt:variant>
      <vt:variant>
        <vt:lpwstr/>
      </vt:variant>
      <vt:variant>
        <vt:i4>3145843</vt:i4>
      </vt:variant>
      <vt:variant>
        <vt:i4>36</vt:i4>
      </vt:variant>
      <vt:variant>
        <vt:i4>0</vt:i4>
      </vt:variant>
      <vt:variant>
        <vt:i4>5</vt:i4>
      </vt:variant>
      <vt:variant>
        <vt:lpwstr>http://www.nevo.co.il/case/21035570</vt:lpwstr>
      </vt:variant>
      <vt:variant>
        <vt:lpwstr/>
      </vt:variant>
      <vt:variant>
        <vt:i4>3342456</vt:i4>
      </vt:variant>
      <vt:variant>
        <vt:i4>33</vt:i4>
      </vt:variant>
      <vt:variant>
        <vt:i4>0</vt:i4>
      </vt:variant>
      <vt:variant>
        <vt:i4>5</vt:i4>
      </vt:variant>
      <vt:variant>
        <vt:lpwstr>http://www.nevo.co.il/case/22797714</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http://www.nevo.co.il/law/70301/40i</vt:lpwstr>
      </vt:variant>
      <vt:variant>
        <vt:lpwstr/>
      </vt:variant>
      <vt:variant>
        <vt:i4>3801201</vt:i4>
      </vt:variant>
      <vt:variant>
        <vt:i4>24</vt:i4>
      </vt:variant>
      <vt:variant>
        <vt:i4>0</vt:i4>
      </vt:variant>
      <vt:variant>
        <vt:i4>5</vt:i4>
      </vt:variant>
      <vt:variant>
        <vt:lpwstr>http://www.nevo.co.il/case/22828581</vt:lpwstr>
      </vt:variant>
      <vt:variant>
        <vt:lpwstr/>
      </vt:variant>
      <vt:variant>
        <vt:i4>3932280</vt:i4>
      </vt:variant>
      <vt:variant>
        <vt:i4>21</vt:i4>
      </vt:variant>
      <vt:variant>
        <vt:i4>0</vt:i4>
      </vt:variant>
      <vt:variant>
        <vt:i4>5</vt:i4>
      </vt:variant>
      <vt:variant>
        <vt:lpwstr>http://www.nevo.co.il/case/5896323</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http://www.nevo.co.il/law/4216/14</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http://www.nevo.co.il/law/4216/14</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2025-04-23T00:28:00Z</dcterms:created>
  <dcterms:modified xsi:type="dcterms:W3CDTF">2025-04-23T00:28:00Z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31306</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מוחמד אבו סנד</vt:lpwstr>
  </property>
  <property fmtid="{D5CDD505-2E9C-101B-9397-08002B2CF9AE}" pid="10" name="LAWYER">
    <vt:lpwstr>אביה בניסטי;כרמית כהן ;מחמד ח'לאילה</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20211229</vt:lpwstr>
  </property>
  <property fmtid="{D5CDD505-2E9C-101B-9397-08002B2CF9AE}" pid="14" name="TYPE_N_DATE">
    <vt:lpwstr>38020211229</vt:lpwstr>
  </property>
  <property fmtid="{D5CDD505-2E9C-101B-9397-08002B2CF9AE}" pid="15" name="WORDNUMPAGES">
    <vt:lpwstr>6</vt:lpwstr>
  </property>
  <property fmtid="{D5CDD505-2E9C-101B-9397-08002B2CF9AE}" pid="16" name="TYPE_ABS_DATE">
    <vt:lpwstr>380020211229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5896323;22828581;22797714;21035570;27151873;27079865;5608364</vt:lpwstr>
  </property>
  <property fmtid="{D5CDD505-2E9C-101B-9397-08002B2CF9AE}" pid="36" name="LAWLISTTMP1">
    <vt:lpwstr>4216/014</vt:lpwstr>
  </property>
  <property fmtid="{D5CDD505-2E9C-101B-9397-08002B2CF9AE}" pid="37" name="LAWLISTTMP2">
    <vt:lpwstr>70301/040i;40ja</vt:lpwstr>
  </property>
</Properties>
</file>