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D873D3" w:rsidRPr="00F15DD7" w14:paraId="7DF28CE5" w14:textId="77777777" w:rsidTr="007F5C7F">
        <w:trPr>
          <w:trHeight w:hRule="exact" w:val="418"/>
          <w:jc w:val="center"/>
        </w:trPr>
        <w:tc>
          <w:tcPr>
            <w:tcW w:w="8721" w:type="dxa"/>
            <w:gridSpan w:val="2"/>
          </w:tcPr>
          <w:p w14:paraId="465D221D" w14:textId="77777777" w:rsidR="00D873D3" w:rsidRPr="00F15DD7" w:rsidRDefault="00D873D3" w:rsidP="00555113">
            <w:pPr>
              <w:pStyle w:val="a3"/>
              <w:jc w:val="center"/>
              <w:rPr>
                <w:rFonts w:ascii="Tahoma" w:hAnsi="Tahoma" w:cs="Tahoma"/>
                <w:color w:val="000080"/>
                <w:rtl/>
              </w:rPr>
            </w:pPr>
            <w:r w:rsidRPr="00F15DD7">
              <w:rPr>
                <w:rFonts w:ascii="Tahoma" w:hAnsi="Tahoma" w:cs="Tahoma"/>
                <w:b/>
                <w:bCs/>
                <w:color w:val="000080"/>
                <w:rtl/>
              </w:rPr>
              <w:t>בית משפט השלום בבאר שבע</w:t>
            </w:r>
          </w:p>
        </w:tc>
      </w:tr>
      <w:tr w:rsidR="00D873D3" w:rsidRPr="00F15DD7" w14:paraId="627FD68B" w14:textId="77777777" w:rsidTr="007F5C7F">
        <w:trPr>
          <w:trHeight w:val="337"/>
          <w:jc w:val="center"/>
        </w:trPr>
        <w:tc>
          <w:tcPr>
            <w:tcW w:w="5054" w:type="dxa"/>
          </w:tcPr>
          <w:p w14:paraId="5D142FA4" w14:textId="77777777" w:rsidR="00D873D3" w:rsidRPr="00F15DD7" w:rsidRDefault="00D873D3" w:rsidP="00555113">
            <w:pPr>
              <w:rPr>
                <w:rFonts w:cs="FrankRuehl"/>
                <w:sz w:val="28"/>
                <w:szCs w:val="28"/>
                <w:rtl/>
              </w:rPr>
            </w:pPr>
            <w:r w:rsidRPr="00F15DD7">
              <w:rPr>
                <w:rFonts w:cs="FrankRuehl"/>
                <w:sz w:val="28"/>
                <w:szCs w:val="28"/>
                <w:rtl/>
              </w:rPr>
              <w:t>ת"פ</w:t>
            </w:r>
            <w:r w:rsidRPr="00F15DD7">
              <w:rPr>
                <w:rFonts w:cs="FrankRuehl" w:hint="cs"/>
                <w:sz w:val="28"/>
                <w:szCs w:val="28"/>
                <w:rtl/>
              </w:rPr>
              <w:t xml:space="preserve"> </w:t>
            </w:r>
            <w:r w:rsidRPr="00F15DD7">
              <w:rPr>
                <w:rFonts w:cs="FrankRuehl"/>
                <w:sz w:val="28"/>
                <w:szCs w:val="28"/>
                <w:rtl/>
              </w:rPr>
              <w:t>43524-02-20</w:t>
            </w:r>
            <w:r w:rsidRPr="00F15DD7">
              <w:rPr>
                <w:rFonts w:cs="FrankRuehl" w:hint="cs"/>
                <w:sz w:val="28"/>
                <w:szCs w:val="28"/>
                <w:rtl/>
              </w:rPr>
              <w:t xml:space="preserve"> </w:t>
            </w:r>
            <w:r w:rsidRPr="00F15DD7">
              <w:rPr>
                <w:rFonts w:cs="FrankRuehl"/>
                <w:sz w:val="28"/>
                <w:szCs w:val="28"/>
                <w:rtl/>
              </w:rPr>
              <w:t>מדינת ישראל נ' יפרח</w:t>
            </w:r>
          </w:p>
          <w:p w14:paraId="6A74898E" w14:textId="77777777" w:rsidR="00D873D3" w:rsidRPr="00F15DD7" w:rsidRDefault="00D873D3" w:rsidP="00555113">
            <w:pPr>
              <w:pStyle w:val="a3"/>
              <w:rPr>
                <w:rFonts w:cs="FrankRuehl"/>
                <w:sz w:val="28"/>
                <w:szCs w:val="28"/>
                <w:rtl/>
              </w:rPr>
            </w:pPr>
          </w:p>
        </w:tc>
        <w:tc>
          <w:tcPr>
            <w:tcW w:w="3667" w:type="dxa"/>
          </w:tcPr>
          <w:p w14:paraId="13CE0AC5" w14:textId="77777777" w:rsidR="00D873D3" w:rsidRPr="00F15DD7" w:rsidRDefault="00D873D3" w:rsidP="00555113">
            <w:pPr>
              <w:pStyle w:val="a3"/>
              <w:jc w:val="right"/>
              <w:rPr>
                <w:rFonts w:cs="FrankRuehl"/>
                <w:sz w:val="28"/>
                <w:szCs w:val="28"/>
                <w:rtl/>
              </w:rPr>
            </w:pPr>
          </w:p>
        </w:tc>
      </w:tr>
    </w:tbl>
    <w:p w14:paraId="5D568E6D" w14:textId="77777777" w:rsidR="00D873D3" w:rsidRPr="00F15DD7" w:rsidRDefault="00D873D3" w:rsidP="00D873D3">
      <w:pPr>
        <w:pStyle w:val="a3"/>
        <w:rPr>
          <w:rtl/>
        </w:rPr>
      </w:pPr>
      <w:r w:rsidRPr="00F15DD7">
        <w:rPr>
          <w:rFonts w:hint="cs"/>
          <w:rtl/>
        </w:rPr>
        <w:t xml:space="preserve"> </w:t>
      </w:r>
    </w:p>
    <w:p w14:paraId="5CA2D612" w14:textId="77777777" w:rsidR="00D873D3" w:rsidRPr="00F15DD7" w:rsidRDefault="00D873D3" w:rsidP="00D873D3">
      <w:pPr>
        <w:rPr>
          <w:rtl/>
        </w:rPr>
      </w:pPr>
    </w:p>
    <w:p w14:paraId="6DFB4EA6" w14:textId="77777777" w:rsidR="00D873D3" w:rsidRPr="00F15DD7" w:rsidRDefault="00D873D3" w:rsidP="00D873D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D873D3" w:rsidRPr="00F15DD7" w14:paraId="0A9E42AE" w14:textId="77777777" w:rsidTr="00D873D3">
        <w:trPr>
          <w:trHeight w:val="295"/>
          <w:jc w:val="center"/>
        </w:trPr>
        <w:tc>
          <w:tcPr>
            <w:tcW w:w="923" w:type="dxa"/>
            <w:tcBorders>
              <w:top w:val="nil"/>
              <w:left w:val="nil"/>
              <w:bottom w:val="nil"/>
              <w:right w:val="nil"/>
            </w:tcBorders>
            <w:shd w:val="clear" w:color="auto" w:fill="auto"/>
          </w:tcPr>
          <w:p w14:paraId="5D051589" w14:textId="77777777" w:rsidR="00D873D3" w:rsidRPr="00F15DD7" w:rsidRDefault="00D873D3" w:rsidP="00D873D3">
            <w:pPr>
              <w:jc w:val="both"/>
              <w:rPr>
                <w:rFonts w:ascii="David" w:hAnsi="David"/>
                <w:sz w:val="26"/>
                <w:szCs w:val="26"/>
              </w:rPr>
            </w:pPr>
            <w:r w:rsidRPr="00F15DD7">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271823E1" w14:textId="77777777" w:rsidR="00D873D3" w:rsidRPr="00F15DD7" w:rsidRDefault="00D873D3" w:rsidP="00555113">
            <w:pPr>
              <w:rPr>
                <w:rFonts w:ascii="David" w:hAnsi="David"/>
                <w:b/>
                <w:bCs/>
                <w:sz w:val="26"/>
                <w:szCs w:val="26"/>
                <w:rtl/>
              </w:rPr>
            </w:pPr>
            <w:r w:rsidRPr="00F15DD7">
              <w:rPr>
                <w:rFonts w:ascii="David" w:hAnsi="David"/>
                <w:b/>
                <w:bCs/>
                <w:sz w:val="26"/>
                <w:szCs w:val="26"/>
                <w:rtl/>
              </w:rPr>
              <w:t>כבוד השופטת, סגנית הנשיא  ענת חולתא</w:t>
            </w:r>
          </w:p>
          <w:p w14:paraId="642532EC" w14:textId="77777777" w:rsidR="00D873D3" w:rsidRPr="00F15DD7" w:rsidRDefault="00D873D3" w:rsidP="00555113">
            <w:pPr>
              <w:rPr>
                <w:rFonts w:ascii="David" w:hAnsi="David"/>
                <w:sz w:val="26"/>
                <w:szCs w:val="26"/>
                <w:rtl/>
              </w:rPr>
            </w:pPr>
          </w:p>
          <w:p w14:paraId="021F6CD1" w14:textId="77777777" w:rsidR="00D873D3" w:rsidRPr="00F15DD7" w:rsidRDefault="00D873D3" w:rsidP="00D873D3">
            <w:pPr>
              <w:jc w:val="both"/>
              <w:rPr>
                <w:rFonts w:ascii="David" w:hAnsi="David"/>
                <w:sz w:val="26"/>
                <w:szCs w:val="26"/>
              </w:rPr>
            </w:pPr>
          </w:p>
        </w:tc>
      </w:tr>
      <w:tr w:rsidR="00D873D3" w:rsidRPr="00F15DD7" w14:paraId="296CBB6B" w14:textId="77777777" w:rsidTr="00D873D3">
        <w:trPr>
          <w:trHeight w:val="355"/>
          <w:jc w:val="center"/>
        </w:trPr>
        <w:tc>
          <w:tcPr>
            <w:tcW w:w="923" w:type="dxa"/>
            <w:tcBorders>
              <w:top w:val="nil"/>
              <w:left w:val="nil"/>
              <w:bottom w:val="nil"/>
              <w:right w:val="nil"/>
            </w:tcBorders>
            <w:shd w:val="clear" w:color="auto" w:fill="auto"/>
          </w:tcPr>
          <w:p w14:paraId="7470BBE4" w14:textId="77777777" w:rsidR="00D873D3" w:rsidRPr="00F15DD7" w:rsidRDefault="00D873D3" w:rsidP="00D873D3">
            <w:pPr>
              <w:jc w:val="both"/>
              <w:rPr>
                <w:rFonts w:ascii="David" w:hAnsi="David"/>
                <w:sz w:val="26"/>
                <w:szCs w:val="26"/>
              </w:rPr>
            </w:pPr>
            <w:bookmarkStart w:id="0" w:name="FirstAppellant"/>
            <w:bookmarkStart w:id="1" w:name="LastJudge"/>
            <w:bookmarkEnd w:id="1"/>
            <w:r w:rsidRPr="00F15DD7">
              <w:rPr>
                <w:rFonts w:ascii="David" w:hAnsi="David"/>
                <w:sz w:val="26"/>
                <w:szCs w:val="26"/>
                <w:rtl/>
              </w:rPr>
              <w:t>בעניין:</w:t>
            </w:r>
          </w:p>
        </w:tc>
        <w:tc>
          <w:tcPr>
            <w:tcW w:w="3219" w:type="dxa"/>
            <w:tcBorders>
              <w:top w:val="nil"/>
              <w:left w:val="nil"/>
              <w:bottom w:val="nil"/>
              <w:right w:val="nil"/>
            </w:tcBorders>
            <w:shd w:val="clear" w:color="auto" w:fill="auto"/>
          </w:tcPr>
          <w:p w14:paraId="23E510E2" w14:textId="77777777" w:rsidR="00D873D3" w:rsidRPr="00F15DD7" w:rsidRDefault="00D873D3" w:rsidP="00D873D3">
            <w:pPr>
              <w:suppressLineNumbers/>
            </w:pPr>
            <w:r w:rsidRPr="00F15DD7">
              <w:rPr>
                <w:rFonts w:ascii="Arial" w:hAnsi="Arial" w:hint="cs"/>
                <w:b/>
                <w:bCs/>
                <w:sz w:val="26"/>
                <w:szCs w:val="26"/>
                <w:rtl/>
              </w:rPr>
              <w:t>ה</w:t>
            </w:r>
            <w:r w:rsidRPr="00F15DD7">
              <w:rPr>
                <w:rFonts w:ascii="Arial" w:hAnsi="Arial"/>
                <w:b/>
                <w:bCs/>
                <w:sz w:val="26"/>
                <w:szCs w:val="26"/>
                <w:rtl/>
              </w:rPr>
              <w:t>מאשימה</w:t>
            </w:r>
          </w:p>
          <w:p w14:paraId="25C56A6C" w14:textId="77777777" w:rsidR="00D873D3" w:rsidRPr="00F15DD7" w:rsidRDefault="00D873D3" w:rsidP="00555113">
            <w:pPr>
              <w:rPr>
                <w:rFonts w:ascii="David" w:hAnsi="David"/>
                <w:sz w:val="26"/>
                <w:szCs w:val="26"/>
              </w:rPr>
            </w:pPr>
          </w:p>
        </w:tc>
        <w:tc>
          <w:tcPr>
            <w:tcW w:w="4678" w:type="dxa"/>
            <w:tcBorders>
              <w:top w:val="nil"/>
              <w:left w:val="nil"/>
              <w:bottom w:val="nil"/>
              <w:right w:val="nil"/>
            </w:tcBorders>
            <w:shd w:val="clear" w:color="auto" w:fill="auto"/>
            <w:vAlign w:val="center"/>
          </w:tcPr>
          <w:p w14:paraId="21906D2E" w14:textId="77777777" w:rsidR="00D873D3" w:rsidRPr="00F15DD7" w:rsidRDefault="00D873D3" w:rsidP="00D873D3">
            <w:pPr>
              <w:suppressLineNumbers/>
            </w:pPr>
            <w:r w:rsidRPr="00F15DD7">
              <w:rPr>
                <w:rFonts w:ascii="Arial" w:hAnsi="Arial"/>
                <w:b/>
                <w:bCs/>
                <w:sz w:val="26"/>
                <w:szCs w:val="26"/>
                <w:rtl/>
              </w:rPr>
              <w:t>מדינת ישראל</w:t>
            </w:r>
          </w:p>
          <w:p w14:paraId="3CB93D2D" w14:textId="77777777" w:rsidR="00D873D3" w:rsidRPr="00F15DD7" w:rsidRDefault="00D873D3" w:rsidP="00555113">
            <w:pPr>
              <w:rPr>
                <w:rFonts w:ascii="David" w:hAnsi="David"/>
                <w:sz w:val="26"/>
                <w:szCs w:val="26"/>
              </w:rPr>
            </w:pPr>
          </w:p>
        </w:tc>
      </w:tr>
      <w:bookmarkEnd w:id="0"/>
      <w:tr w:rsidR="00D873D3" w:rsidRPr="00F15DD7" w14:paraId="4CC7EEA5" w14:textId="77777777" w:rsidTr="00D873D3">
        <w:trPr>
          <w:trHeight w:val="355"/>
          <w:jc w:val="center"/>
        </w:trPr>
        <w:tc>
          <w:tcPr>
            <w:tcW w:w="923" w:type="dxa"/>
            <w:tcBorders>
              <w:top w:val="nil"/>
              <w:left w:val="nil"/>
              <w:bottom w:val="nil"/>
              <w:right w:val="nil"/>
            </w:tcBorders>
            <w:shd w:val="clear" w:color="auto" w:fill="auto"/>
          </w:tcPr>
          <w:p w14:paraId="4B5ECA11" w14:textId="77777777" w:rsidR="00D873D3" w:rsidRPr="00F15DD7" w:rsidRDefault="00D873D3" w:rsidP="00D873D3">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0E7AD1FC" w14:textId="77777777" w:rsidR="00D873D3" w:rsidRPr="00F15DD7" w:rsidRDefault="00D873D3" w:rsidP="00D873D3">
            <w:pPr>
              <w:jc w:val="center"/>
              <w:rPr>
                <w:rFonts w:ascii="David" w:hAnsi="David"/>
                <w:b/>
                <w:bCs/>
                <w:sz w:val="26"/>
                <w:szCs w:val="26"/>
                <w:rtl/>
              </w:rPr>
            </w:pPr>
          </w:p>
          <w:p w14:paraId="18D661ED" w14:textId="77777777" w:rsidR="00D873D3" w:rsidRPr="00F15DD7" w:rsidRDefault="00D873D3" w:rsidP="00D873D3">
            <w:pPr>
              <w:jc w:val="center"/>
              <w:rPr>
                <w:rFonts w:ascii="David" w:hAnsi="David"/>
                <w:b/>
                <w:bCs/>
                <w:sz w:val="26"/>
                <w:szCs w:val="26"/>
                <w:rtl/>
              </w:rPr>
            </w:pPr>
            <w:r w:rsidRPr="00F15DD7">
              <w:rPr>
                <w:rFonts w:ascii="David" w:hAnsi="David"/>
                <w:b/>
                <w:bCs/>
                <w:sz w:val="26"/>
                <w:szCs w:val="26"/>
                <w:rtl/>
              </w:rPr>
              <w:t>נגד</w:t>
            </w:r>
          </w:p>
          <w:p w14:paraId="73778F78" w14:textId="77777777" w:rsidR="00D873D3" w:rsidRPr="00F15DD7" w:rsidRDefault="00D873D3" w:rsidP="00D873D3">
            <w:pPr>
              <w:jc w:val="both"/>
              <w:rPr>
                <w:rFonts w:ascii="David" w:hAnsi="David"/>
                <w:sz w:val="26"/>
                <w:szCs w:val="26"/>
              </w:rPr>
            </w:pPr>
          </w:p>
        </w:tc>
      </w:tr>
      <w:tr w:rsidR="00D873D3" w:rsidRPr="00F15DD7" w14:paraId="564E296B" w14:textId="77777777" w:rsidTr="00D873D3">
        <w:trPr>
          <w:trHeight w:val="355"/>
          <w:jc w:val="center"/>
        </w:trPr>
        <w:tc>
          <w:tcPr>
            <w:tcW w:w="923" w:type="dxa"/>
            <w:tcBorders>
              <w:top w:val="nil"/>
              <w:left w:val="nil"/>
              <w:bottom w:val="nil"/>
              <w:right w:val="nil"/>
            </w:tcBorders>
            <w:shd w:val="clear" w:color="auto" w:fill="auto"/>
          </w:tcPr>
          <w:p w14:paraId="2D1B1A1E" w14:textId="77777777" w:rsidR="00D873D3" w:rsidRPr="00F15DD7" w:rsidRDefault="00D873D3" w:rsidP="00555113">
            <w:pPr>
              <w:rPr>
                <w:rFonts w:ascii="David" w:hAnsi="David"/>
                <w:sz w:val="26"/>
                <w:szCs w:val="26"/>
                <w:rtl/>
              </w:rPr>
            </w:pPr>
          </w:p>
        </w:tc>
        <w:tc>
          <w:tcPr>
            <w:tcW w:w="3219" w:type="dxa"/>
            <w:tcBorders>
              <w:top w:val="nil"/>
              <w:left w:val="nil"/>
              <w:bottom w:val="nil"/>
              <w:right w:val="nil"/>
            </w:tcBorders>
            <w:shd w:val="clear" w:color="auto" w:fill="auto"/>
          </w:tcPr>
          <w:p w14:paraId="03C5B324" w14:textId="77777777" w:rsidR="00D873D3" w:rsidRPr="00F15DD7" w:rsidRDefault="00D873D3" w:rsidP="00555113">
            <w:pPr>
              <w:rPr>
                <w:rFonts w:ascii="Arial" w:hAnsi="Arial"/>
                <w:b/>
                <w:bCs/>
                <w:sz w:val="26"/>
                <w:szCs w:val="26"/>
                <w:rtl/>
              </w:rPr>
            </w:pPr>
            <w:r w:rsidRPr="00F15DD7">
              <w:rPr>
                <w:rFonts w:ascii="Arial" w:hAnsi="Arial"/>
                <w:b/>
                <w:bCs/>
                <w:sz w:val="26"/>
                <w:szCs w:val="26"/>
                <w:rtl/>
              </w:rPr>
              <w:t>הנאשמים</w:t>
            </w:r>
          </w:p>
        </w:tc>
        <w:tc>
          <w:tcPr>
            <w:tcW w:w="4678" w:type="dxa"/>
            <w:tcBorders>
              <w:top w:val="nil"/>
              <w:left w:val="nil"/>
              <w:bottom w:val="nil"/>
              <w:right w:val="nil"/>
            </w:tcBorders>
            <w:shd w:val="clear" w:color="auto" w:fill="auto"/>
            <w:vAlign w:val="center"/>
          </w:tcPr>
          <w:p w14:paraId="52760F12" w14:textId="77777777" w:rsidR="00D873D3" w:rsidRPr="00F15DD7" w:rsidRDefault="00D873D3" w:rsidP="00D873D3">
            <w:pPr>
              <w:suppressLineNumbers/>
            </w:pPr>
            <w:r w:rsidRPr="00F15DD7">
              <w:rPr>
                <w:rFonts w:ascii="Arial" w:hAnsi="Arial"/>
                <w:b/>
                <w:bCs/>
                <w:sz w:val="26"/>
                <w:szCs w:val="26"/>
                <w:rtl/>
              </w:rPr>
              <w:t>ליאור יפרח</w:t>
            </w:r>
          </w:p>
          <w:p w14:paraId="162CF8B6" w14:textId="77777777" w:rsidR="00D873D3" w:rsidRPr="00F15DD7" w:rsidRDefault="00D873D3" w:rsidP="00555113">
            <w:pPr>
              <w:rPr>
                <w:rFonts w:ascii="David" w:hAnsi="David"/>
                <w:sz w:val="26"/>
                <w:szCs w:val="26"/>
              </w:rPr>
            </w:pPr>
          </w:p>
        </w:tc>
      </w:tr>
    </w:tbl>
    <w:p w14:paraId="0F97DCC5" w14:textId="77777777" w:rsidR="002735B3" w:rsidRPr="002735B3" w:rsidRDefault="002735B3" w:rsidP="002735B3">
      <w:pPr>
        <w:spacing w:before="120" w:after="120" w:line="240" w:lineRule="exact"/>
        <w:ind w:left="283" w:hanging="283"/>
        <w:jc w:val="both"/>
        <w:rPr>
          <w:rFonts w:ascii="FrankRuehl" w:hAnsi="FrankRuehl" w:cs="FrankRuehl"/>
          <w:rtl/>
        </w:rPr>
      </w:pPr>
    </w:p>
    <w:p w14:paraId="4FFD1E73" w14:textId="77777777" w:rsidR="00F21228" w:rsidRDefault="00F21228" w:rsidP="00F21228">
      <w:pPr>
        <w:rPr>
          <w:sz w:val="26"/>
          <w:szCs w:val="26"/>
          <w:rtl/>
        </w:rPr>
      </w:pPr>
      <w:bookmarkStart w:id="2" w:name="LawTable"/>
      <w:bookmarkEnd w:id="2"/>
    </w:p>
    <w:p w14:paraId="3C85F40D" w14:textId="77777777" w:rsidR="00F21228" w:rsidRPr="00F21228" w:rsidRDefault="00F21228" w:rsidP="00F21228">
      <w:pPr>
        <w:spacing w:before="120" w:after="120" w:line="240" w:lineRule="exact"/>
        <w:ind w:left="283" w:hanging="283"/>
        <w:jc w:val="both"/>
        <w:rPr>
          <w:rFonts w:ascii="FrankRuehl" w:hAnsi="FrankRuehl" w:cs="FrankRuehl"/>
          <w:rtl/>
        </w:rPr>
      </w:pPr>
    </w:p>
    <w:p w14:paraId="79F05B21" w14:textId="77777777" w:rsidR="00F21228" w:rsidRPr="00F21228" w:rsidRDefault="00F21228" w:rsidP="00F21228">
      <w:pPr>
        <w:spacing w:before="120" w:after="120" w:line="240" w:lineRule="exact"/>
        <w:ind w:left="283" w:hanging="283"/>
        <w:jc w:val="both"/>
        <w:rPr>
          <w:rFonts w:ascii="FrankRuehl" w:hAnsi="FrankRuehl" w:cs="FrankRuehl"/>
          <w:rtl/>
        </w:rPr>
      </w:pPr>
    </w:p>
    <w:p w14:paraId="14E4FAF9" w14:textId="77777777" w:rsidR="00F21228" w:rsidRPr="00F21228" w:rsidRDefault="00F21228" w:rsidP="00F21228">
      <w:pPr>
        <w:spacing w:before="120" w:after="120" w:line="240" w:lineRule="exact"/>
        <w:ind w:left="283" w:hanging="283"/>
        <w:jc w:val="both"/>
        <w:rPr>
          <w:rFonts w:ascii="FrankRuehl" w:hAnsi="FrankRuehl" w:cs="FrankRuehl"/>
          <w:rtl/>
        </w:rPr>
      </w:pPr>
      <w:r w:rsidRPr="00F21228">
        <w:rPr>
          <w:rFonts w:ascii="FrankRuehl" w:hAnsi="FrankRuehl" w:cs="FrankRuehl"/>
          <w:rtl/>
        </w:rPr>
        <w:t xml:space="preserve">חקיקה שאוזכרה: </w:t>
      </w:r>
    </w:p>
    <w:p w14:paraId="2F7CF135" w14:textId="77777777" w:rsidR="00F21228" w:rsidRPr="00F21228" w:rsidRDefault="00F21228" w:rsidP="00F21228">
      <w:pPr>
        <w:spacing w:before="120" w:after="120" w:line="240" w:lineRule="exact"/>
        <w:ind w:left="283" w:hanging="283"/>
        <w:jc w:val="both"/>
        <w:rPr>
          <w:rFonts w:ascii="FrankRuehl" w:hAnsi="FrankRuehl" w:cs="FrankRuehl"/>
          <w:rtl/>
        </w:rPr>
      </w:pPr>
      <w:hyperlink r:id="rId7" w:history="1">
        <w:r w:rsidRPr="00F21228">
          <w:rPr>
            <w:rFonts w:ascii="FrankRuehl" w:hAnsi="FrankRuehl" w:cs="FrankRuehl"/>
            <w:color w:val="0000FF"/>
            <w:rtl/>
          </w:rPr>
          <w:t>פקודת הסמים המסוכנים [נוסח חדש], תשל"ג-1973</w:t>
        </w:r>
      </w:hyperlink>
      <w:r w:rsidRPr="00F21228">
        <w:rPr>
          <w:rFonts w:ascii="FrankRuehl" w:hAnsi="FrankRuehl" w:cs="FrankRuehl"/>
          <w:rtl/>
        </w:rPr>
        <w:t xml:space="preserve">: סע'  </w:t>
      </w:r>
      <w:hyperlink r:id="rId8" w:history="1">
        <w:r w:rsidRPr="00F21228">
          <w:rPr>
            <w:rFonts w:ascii="FrankRuehl" w:hAnsi="FrankRuehl" w:cs="FrankRuehl"/>
            <w:color w:val="0000FF"/>
            <w:rtl/>
          </w:rPr>
          <w:t>7(א)</w:t>
        </w:r>
      </w:hyperlink>
      <w:r w:rsidRPr="00F21228">
        <w:rPr>
          <w:rFonts w:ascii="FrankRuehl" w:hAnsi="FrankRuehl" w:cs="FrankRuehl"/>
          <w:rtl/>
        </w:rPr>
        <w:t xml:space="preserve">, </w:t>
      </w:r>
      <w:hyperlink r:id="rId9" w:history="1">
        <w:r w:rsidRPr="00F21228">
          <w:rPr>
            <w:rFonts w:ascii="FrankRuehl" w:hAnsi="FrankRuehl" w:cs="FrankRuehl"/>
            <w:color w:val="0000FF"/>
            <w:rtl/>
          </w:rPr>
          <w:t>7(ג)</w:t>
        </w:r>
      </w:hyperlink>
    </w:p>
    <w:p w14:paraId="673E546B" w14:textId="77777777" w:rsidR="00F21228" w:rsidRPr="00F21228" w:rsidRDefault="00F21228" w:rsidP="00F21228">
      <w:pPr>
        <w:spacing w:before="120" w:after="120" w:line="240" w:lineRule="exact"/>
        <w:ind w:left="283" w:hanging="283"/>
        <w:jc w:val="both"/>
        <w:rPr>
          <w:rFonts w:ascii="FrankRuehl" w:hAnsi="FrankRuehl" w:cs="FrankRuehl"/>
          <w:rtl/>
        </w:rPr>
      </w:pPr>
      <w:hyperlink r:id="rId10" w:history="1">
        <w:r w:rsidRPr="00F21228">
          <w:rPr>
            <w:rFonts w:ascii="FrankRuehl" w:hAnsi="FrankRuehl" w:cs="FrankRuehl"/>
            <w:color w:val="0000FF"/>
            <w:rtl/>
          </w:rPr>
          <w:t>חוק העונשין, תשל"ז-1977</w:t>
        </w:r>
      </w:hyperlink>
      <w:r w:rsidRPr="00F21228">
        <w:rPr>
          <w:rFonts w:ascii="FrankRuehl" w:hAnsi="FrankRuehl" w:cs="FrankRuehl"/>
          <w:rtl/>
        </w:rPr>
        <w:t xml:space="preserve">: סע'  </w:t>
      </w:r>
      <w:hyperlink r:id="rId11" w:history="1">
        <w:r w:rsidRPr="00F21228">
          <w:rPr>
            <w:rFonts w:ascii="FrankRuehl" w:hAnsi="FrankRuehl" w:cs="FrankRuehl"/>
            <w:color w:val="0000FF"/>
            <w:rtl/>
          </w:rPr>
          <w:t>186(א)</w:t>
        </w:r>
      </w:hyperlink>
    </w:p>
    <w:p w14:paraId="5D3988BA" w14:textId="77777777" w:rsidR="00F21228" w:rsidRPr="00F21228" w:rsidRDefault="00F21228" w:rsidP="00F21228">
      <w:pPr>
        <w:rPr>
          <w:sz w:val="26"/>
          <w:szCs w:val="26"/>
          <w:rtl/>
        </w:rPr>
      </w:pPr>
      <w:bookmarkStart w:id="3" w:name="LawTable_End"/>
      <w:bookmarkEnd w:id="3"/>
    </w:p>
    <w:p w14:paraId="033F2B14" w14:textId="77777777" w:rsidR="00D873D3" w:rsidRPr="002735B3" w:rsidRDefault="00D873D3" w:rsidP="002735B3">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873D3" w14:paraId="57826BCF" w14:textId="77777777" w:rsidTr="00D873D3">
        <w:trPr>
          <w:trHeight w:val="355"/>
          <w:jc w:val="center"/>
        </w:trPr>
        <w:tc>
          <w:tcPr>
            <w:tcW w:w="8820" w:type="dxa"/>
            <w:tcBorders>
              <w:top w:val="nil"/>
              <w:left w:val="nil"/>
              <w:bottom w:val="nil"/>
              <w:right w:val="nil"/>
            </w:tcBorders>
            <w:shd w:val="clear" w:color="auto" w:fill="auto"/>
          </w:tcPr>
          <w:p w14:paraId="29645A23" w14:textId="77777777" w:rsidR="00F15DD7" w:rsidRPr="00F15DD7" w:rsidRDefault="00F15DD7" w:rsidP="00F15DD7">
            <w:pPr>
              <w:jc w:val="center"/>
              <w:rPr>
                <w:rFonts w:ascii="David" w:hAnsi="David"/>
                <w:b/>
                <w:bCs/>
                <w:sz w:val="32"/>
                <w:szCs w:val="32"/>
                <w:u w:val="single"/>
                <w:rtl/>
              </w:rPr>
            </w:pPr>
            <w:bookmarkStart w:id="4" w:name="PsakDin" w:colFirst="0" w:colLast="0"/>
            <w:r w:rsidRPr="00F15DD7">
              <w:rPr>
                <w:rFonts w:ascii="David" w:hAnsi="David"/>
                <w:b/>
                <w:bCs/>
                <w:sz w:val="32"/>
                <w:szCs w:val="32"/>
                <w:u w:val="single"/>
                <w:rtl/>
              </w:rPr>
              <w:t>גזר דין</w:t>
            </w:r>
          </w:p>
          <w:p w14:paraId="09E2A937" w14:textId="77777777" w:rsidR="00D873D3" w:rsidRPr="00F15DD7" w:rsidRDefault="00D873D3" w:rsidP="00F15DD7">
            <w:pPr>
              <w:jc w:val="center"/>
              <w:rPr>
                <w:rFonts w:ascii="David" w:hAnsi="David"/>
                <w:bCs/>
                <w:sz w:val="32"/>
                <w:szCs w:val="32"/>
                <w:u w:val="single"/>
                <w:rtl/>
              </w:rPr>
            </w:pPr>
          </w:p>
        </w:tc>
      </w:tr>
      <w:bookmarkEnd w:id="4"/>
    </w:tbl>
    <w:p w14:paraId="416ED351" w14:textId="77777777" w:rsidR="00D873D3" w:rsidRPr="000F2247" w:rsidRDefault="00D873D3" w:rsidP="00D873D3">
      <w:pPr>
        <w:rPr>
          <w:rFonts w:ascii="Arial" w:hAnsi="Arial"/>
          <w:b/>
          <w:bCs/>
          <w:sz w:val="26"/>
          <w:szCs w:val="26"/>
          <w:rtl/>
        </w:rPr>
      </w:pPr>
    </w:p>
    <w:p w14:paraId="53ADB293" w14:textId="77777777" w:rsidR="00D873D3" w:rsidRPr="000F2247" w:rsidRDefault="00D873D3" w:rsidP="00D873D3">
      <w:pPr>
        <w:rPr>
          <w:rFonts w:ascii="Arial" w:hAnsi="Arial"/>
          <w:b/>
          <w:bCs/>
          <w:sz w:val="26"/>
          <w:szCs w:val="26"/>
          <w:rtl/>
        </w:rPr>
      </w:pPr>
    </w:p>
    <w:p w14:paraId="49A89DAC" w14:textId="77777777" w:rsidR="00D873D3" w:rsidRDefault="00D873D3" w:rsidP="00D873D3">
      <w:pPr>
        <w:pStyle w:val="aa"/>
        <w:numPr>
          <w:ilvl w:val="0"/>
          <w:numId w:val="1"/>
        </w:numPr>
        <w:spacing w:line="360" w:lineRule="auto"/>
        <w:jc w:val="both"/>
        <w:rPr>
          <w:sz w:val="24"/>
        </w:rPr>
      </w:pPr>
      <w:r>
        <w:rPr>
          <w:sz w:val="24"/>
          <w:rtl/>
        </w:rPr>
        <w:t>בשל מחלת המותב, גזר הדין יוקרא באולם על ידי כב' השופט בן דוד.</w:t>
      </w:r>
    </w:p>
    <w:p w14:paraId="64B5BB61" w14:textId="77777777" w:rsidR="00D873D3" w:rsidRDefault="00D873D3" w:rsidP="00D873D3">
      <w:pPr>
        <w:pStyle w:val="aa"/>
        <w:spacing w:line="360" w:lineRule="auto"/>
        <w:ind w:left="360"/>
        <w:jc w:val="both"/>
        <w:rPr>
          <w:sz w:val="24"/>
          <w:rtl/>
        </w:rPr>
      </w:pPr>
    </w:p>
    <w:p w14:paraId="2AE267A9" w14:textId="77777777" w:rsidR="00D873D3" w:rsidRDefault="00D873D3" w:rsidP="00D873D3">
      <w:pPr>
        <w:spacing w:line="360" w:lineRule="auto"/>
        <w:jc w:val="both"/>
        <w:rPr>
          <w:rFonts w:ascii="David" w:hAnsi="David"/>
          <w:b/>
          <w:bCs/>
          <w:u w:val="single"/>
        </w:rPr>
      </w:pPr>
      <w:r>
        <w:rPr>
          <w:rFonts w:ascii="David" w:hAnsi="David"/>
          <w:b/>
          <w:bCs/>
          <w:u w:val="single"/>
          <w:rtl/>
        </w:rPr>
        <w:t>רקע</w:t>
      </w:r>
    </w:p>
    <w:p w14:paraId="4AAF75B1" w14:textId="77777777" w:rsidR="00D873D3" w:rsidRDefault="00D873D3" w:rsidP="00D873D3">
      <w:pPr>
        <w:pStyle w:val="aa"/>
        <w:numPr>
          <w:ilvl w:val="0"/>
          <w:numId w:val="1"/>
        </w:numPr>
        <w:spacing w:line="360" w:lineRule="auto"/>
        <w:jc w:val="both"/>
        <w:rPr>
          <w:sz w:val="24"/>
        </w:rPr>
      </w:pPr>
      <w:r>
        <w:rPr>
          <w:sz w:val="24"/>
          <w:rtl/>
        </w:rPr>
        <w:t>ביו</w:t>
      </w:r>
      <w:bookmarkStart w:id="5" w:name="ABSTRACT_START"/>
      <w:bookmarkEnd w:id="5"/>
      <w:r>
        <w:rPr>
          <w:sz w:val="24"/>
          <w:rtl/>
        </w:rPr>
        <w:t xml:space="preserve">ם 6.5.21 הורשע הנאשם על פי הודאתו בעובדות כתב האישום המתוקן בעבירה של </w:t>
      </w:r>
      <w:r>
        <w:rPr>
          <w:b/>
          <w:bCs/>
          <w:sz w:val="24"/>
          <w:rtl/>
        </w:rPr>
        <w:t xml:space="preserve">החזקת סם מסוכן שלא לצריכה עצמית, </w:t>
      </w:r>
      <w:r>
        <w:rPr>
          <w:sz w:val="24"/>
          <w:rtl/>
        </w:rPr>
        <w:t xml:space="preserve">עבירה לפי </w:t>
      </w:r>
      <w:hyperlink r:id="rId12" w:history="1">
        <w:r w:rsidR="007F5C7F" w:rsidRPr="007F5C7F">
          <w:rPr>
            <w:rStyle w:val="Hyperlink"/>
            <w:rFonts w:hint="cs"/>
            <w:sz w:val="24"/>
            <w:rtl/>
          </w:rPr>
          <w:t>סעיף</w:t>
        </w:r>
        <w:r w:rsidR="007F5C7F" w:rsidRPr="007F5C7F">
          <w:rPr>
            <w:rStyle w:val="Hyperlink"/>
            <w:sz w:val="24"/>
            <w:rtl/>
          </w:rPr>
          <w:t xml:space="preserve"> 7(</w:t>
        </w:r>
        <w:r w:rsidR="007F5C7F" w:rsidRPr="007F5C7F">
          <w:rPr>
            <w:rStyle w:val="Hyperlink"/>
            <w:rFonts w:hint="cs"/>
            <w:sz w:val="24"/>
            <w:rtl/>
          </w:rPr>
          <w:t>א</w:t>
        </w:r>
        <w:r w:rsidR="007F5C7F" w:rsidRPr="007F5C7F">
          <w:rPr>
            <w:rStyle w:val="Hyperlink"/>
            <w:sz w:val="24"/>
            <w:rtl/>
          </w:rPr>
          <w:t>)</w:t>
        </w:r>
      </w:hyperlink>
      <w:r>
        <w:rPr>
          <w:sz w:val="24"/>
          <w:rtl/>
        </w:rPr>
        <w:t xml:space="preserve"> + </w:t>
      </w:r>
      <w:hyperlink r:id="rId13" w:history="1">
        <w:r w:rsidR="007F5C7F" w:rsidRPr="007F5C7F">
          <w:rPr>
            <w:rStyle w:val="Hyperlink"/>
            <w:sz w:val="24"/>
            <w:rtl/>
          </w:rPr>
          <w:t>7(</w:t>
        </w:r>
        <w:r w:rsidR="007F5C7F" w:rsidRPr="007F5C7F">
          <w:rPr>
            <w:rStyle w:val="Hyperlink"/>
            <w:rFonts w:hint="cs"/>
            <w:sz w:val="24"/>
            <w:rtl/>
          </w:rPr>
          <w:t>ג</w:t>
        </w:r>
        <w:r w:rsidR="007F5C7F" w:rsidRPr="007F5C7F">
          <w:rPr>
            <w:rStyle w:val="Hyperlink"/>
            <w:sz w:val="24"/>
            <w:rtl/>
          </w:rPr>
          <w:t>)</w:t>
        </w:r>
      </w:hyperlink>
      <w:r>
        <w:rPr>
          <w:sz w:val="24"/>
          <w:rtl/>
        </w:rPr>
        <w:t xml:space="preserve"> רישא ל</w:t>
      </w:r>
      <w:hyperlink r:id="rId14" w:history="1">
        <w:r w:rsidR="00F15DD7" w:rsidRPr="00F15DD7">
          <w:rPr>
            <w:rFonts w:hint="cs"/>
            <w:color w:val="0000FF"/>
            <w:sz w:val="24"/>
            <w:u w:val="single"/>
            <w:rtl/>
          </w:rPr>
          <w:t>פקודת</w:t>
        </w:r>
        <w:r w:rsidR="00F15DD7" w:rsidRPr="00F15DD7">
          <w:rPr>
            <w:color w:val="0000FF"/>
            <w:sz w:val="24"/>
            <w:u w:val="single"/>
            <w:rtl/>
          </w:rPr>
          <w:t xml:space="preserve"> </w:t>
        </w:r>
        <w:r w:rsidR="00F15DD7" w:rsidRPr="00F15DD7">
          <w:rPr>
            <w:rFonts w:hint="cs"/>
            <w:color w:val="0000FF"/>
            <w:sz w:val="24"/>
            <w:u w:val="single"/>
            <w:rtl/>
          </w:rPr>
          <w:t>הסמים</w:t>
        </w:r>
        <w:r w:rsidR="00F15DD7" w:rsidRPr="00F15DD7">
          <w:rPr>
            <w:color w:val="0000FF"/>
            <w:sz w:val="24"/>
            <w:u w:val="single"/>
            <w:rtl/>
          </w:rPr>
          <w:t xml:space="preserve"> </w:t>
        </w:r>
        <w:r w:rsidR="00F15DD7" w:rsidRPr="00F15DD7">
          <w:rPr>
            <w:rFonts w:hint="cs"/>
            <w:color w:val="0000FF"/>
            <w:sz w:val="24"/>
            <w:u w:val="single"/>
            <w:rtl/>
          </w:rPr>
          <w:t>המסוכנים</w:t>
        </w:r>
      </w:hyperlink>
      <w:r>
        <w:rPr>
          <w:sz w:val="24"/>
          <w:rtl/>
        </w:rPr>
        <w:t xml:space="preserve"> (נוסח חדש) תשל"ג-1973 ו</w:t>
      </w:r>
      <w:r>
        <w:rPr>
          <w:b/>
          <w:bCs/>
          <w:sz w:val="24"/>
          <w:rtl/>
        </w:rPr>
        <w:t>עבירת החזקת אגרופן או סכין שלא כדין</w:t>
      </w:r>
      <w:r>
        <w:rPr>
          <w:sz w:val="24"/>
          <w:rtl/>
        </w:rPr>
        <w:t xml:space="preserve">, עבירה לפי </w:t>
      </w:r>
      <w:hyperlink r:id="rId15" w:history="1">
        <w:r w:rsidR="007F5C7F" w:rsidRPr="007F5C7F">
          <w:rPr>
            <w:rStyle w:val="Hyperlink"/>
            <w:rFonts w:hint="cs"/>
            <w:sz w:val="24"/>
            <w:rtl/>
          </w:rPr>
          <w:t>סעיף</w:t>
        </w:r>
        <w:r w:rsidR="007F5C7F" w:rsidRPr="007F5C7F">
          <w:rPr>
            <w:rStyle w:val="Hyperlink"/>
            <w:sz w:val="24"/>
            <w:rtl/>
          </w:rPr>
          <w:t xml:space="preserve"> 186(</w:t>
        </w:r>
        <w:r w:rsidR="007F5C7F" w:rsidRPr="007F5C7F">
          <w:rPr>
            <w:rStyle w:val="Hyperlink"/>
            <w:rFonts w:hint="cs"/>
            <w:sz w:val="24"/>
            <w:rtl/>
          </w:rPr>
          <w:t>א</w:t>
        </w:r>
        <w:r w:rsidR="007F5C7F" w:rsidRPr="007F5C7F">
          <w:rPr>
            <w:rStyle w:val="Hyperlink"/>
            <w:sz w:val="24"/>
            <w:rtl/>
          </w:rPr>
          <w:t>)</w:t>
        </w:r>
      </w:hyperlink>
      <w:r>
        <w:rPr>
          <w:sz w:val="24"/>
          <w:rtl/>
        </w:rPr>
        <w:t xml:space="preserve"> ל</w:t>
      </w:r>
      <w:hyperlink r:id="rId16" w:history="1">
        <w:r w:rsidR="00F15DD7" w:rsidRPr="00F15DD7">
          <w:rPr>
            <w:rFonts w:hint="cs"/>
            <w:color w:val="0000FF"/>
            <w:sz w:val="24"/>
            <w:u w:val="single"/>
            <w:rtl/>
          </w:rPr>
          <w:t>חוק</w:t>
        </w:r>
        <w:r w:rsidR="00F15DD7" w:rsidRPr="00F15DD7">
          <w:rPr>
            <w:color w:val="0000FF"/>
            <w:sz w:val="24"/>
            <w:u w:val="single"/>
            <w:rtl/>
          </w:rPr>
          <w:t xml:space="preserve"> </w:t>
        </w:r>
        <w:r w:rsidR="00F15DD7" w:rsidRPr="00F15DD7">
          <w:rPr>
            <w:rFonts w:hint="cs"/>
            <w:color w:val="0000FF"/>
            <w:sz w:val="24"/>
            <w:u w:val="single"/>
            <w:rtl/>
          </w:rPr>
          <w:t>העונשין</w:t>
        </w:r>
      </w:hyperlink>
      <w:r>
        <w:rPr>
          <w:sz w:val="24"/>
          <w:rtl/>
        </w:rPr>
        <w:t xml:space="preserve">, השתל"ז-1977 (להלן: "החוק"). </w:t>
      </w:r>
    </w:p>
    <w:p w14:paraId="4842E316" w14:textId="77777777" w:rsidR="00D873D3" w:rsidRDefault="00D873D3" w:rsidP="00D873D3">
      <w:pPr>
        <w:pStyle w:val="aa"/>
        <w:spacing w:line="360" w:lineRule="auto"/>
        <w:ind w:left="786"/>
        <w:jc w:val="both"/>
        <w:rPr>
          <w:sz w:val="24"/>
        </w:rPr>
      </w:pPr>
      <w:bookmarkStart w:id="6" w:name="ABSTRACT_END"/>
      <w:bookmarkEnd w:id="6"/>
    </w:p>
    <w:p w14:paraId="490EB063" w14:textId="77777777" w:rsidR="00D873D3" w:rsidRDefault="00D873D3" w:rsidP="00D873D3">
      <w:pPr>
        <w:pStyle w:val="aa"/>
        <w:numPr>
          <w:ilvl w:val="0"/>
          <w:numId w:val="1"/>
        </w:numPr>
        <w:spacing w:line="360" w:lineRule="auto"/>
        <w:jc w:val="both"/>
        <w:rPr>
          <w:sz w:val="24"/>
          <w:rtl/>
        </w:rPr>
      </w:pPr>
      <w:r>
        <w:rPr>
          <w:sz w:val="24"/>
          <w:rtl/>
        </w:rPr>
        <w:t xml:space="preserve">על פי עובדות כתב האישום, בתאריך 15.7.19, סמוך לשעה 20:55 ברחוב מצדה בבאר שבע, נהג הנאשם ברכב בבעלותו מסוג מזדה לאנטיס מ.ר 83-717-29 (להלן: "הרכב"). במעמד זה, החזיק </w:t>
      </w:r>
      <w:r>
        <w:rPr>
          <w:sz w:val="24"/>
          <w:rtl/>
        </w:rPr>
        <w:lastRenderedPageBreak/>
        <w:t xml:space="preserve">הנאשם בתא המטען של הרכב בסם מסוכן מסוג קנבוס במשקל 98.9 גרם נטו. במעמד המתואר, החזיק הנאשם בסכין מטבח ברצפת הרכב, מחוץ לתחום ביתו או חצריו מבלי שהוכיח כי החזיק בסכין למטרה כשרה. </w:t>
      </w:r>
    </w:p>
    <w:p w14:paraId="5391A74C" w14:textId="77777777" w:rsidR="00D873D3" w:rsidRDefault="00D873D3" w:rsidP="00D873D3">
      <w:pPr>
        <w:spacing w:line="360" w:lineRule="auto"/>
        <w:jc w:val="both"/>
        <w:rPr>
          <w:rtl/>
        </w:rPr>
      </w:pPr>
    </w:p>
    <w:p w14:paraId="15CBE694" w14:textId="77777777" w:rsidR="00D873D3" w:rsidRDefault="00D873D3" w:rsidP="00D873D3">
      <w:pPr>
        <w:spacing w:line="360" w:lineRule="auto"/>
        <w:jc w:val="both"/>
        <w:rPr>
          <w:b/>
          <w:bCs/>
          <w:u w:val="single"/>
          <w:rtl/>
        </w:rPr>
      </w:pPr>
      <w:r>
        <w:rPr>
          <w:b/>
          <w:bCs/>
          <w:u w:val="single"/>
          <w:rtl/>
        </w:rPr>
        <w:t>השתלשלות הדיונים:</w:t>
      </w:r>
    </w:p>
    <w:p w14:paraId="4A5978AF" w14:textId="77777777" w:rsidR="00D873D3" w:rsidRDefault="00D873D3" w:rsidP="00D873D3">
      <w:pPr>
        <w:pStyle w:val="aa"/>
        <w:numPr>
          <w:ilvl w:val="0"/>
          <w:numId w:val="1"/>
        </w:numPr>
        <w:spacing w:line="360" w:lineRule="auto"/>
        <w:jc w:val="both"/>
        <w:rPr>
          <w:sz w:val="24"/>
          <w:rtl/>
        </w:rPr>
      </w:pPr>
      <w:r>
        <w:rPr>
          <w:sz w:val="24"/>
          <w:rtl/>
        </w:rPr>
        <w:t xml:space="preserve">ביום </w:t>
      </w:r>
      <w:r>
        <w:rPr>
          <w:b/>
          <w:bCs/>
          <w:sz w:val="24"/>
          <w:rtl/>
        </w:rPr>
        <w:t>4.10.21</w:t>
      </w:r>
      <w:r>
        <w:rPr>
          <w:sz w:val="24"/>
          <w:rtl/>
        </w:rPr>
        <w:t xml:space="preserve"> נשמעו טיעוני המאשימה לעונש. במהלך הדיון, הודיע הנאשם כי הוא מבקש לבטל את הכרעת הדין שניתנה בעניינו, וטען כי אינו זוכר את מעמד ההודאה, וזאת חרף העובדה כי בית המשפט הקריא לנאשם את כתב האישום ושמע בעצמו מפי הנאשם את הודאתו. ב"כ הנאשם ביקשה ארכה כדי לשוחח עם הנאשם ולגבש את עמדת ההגנה. .</w:t>
      </w:r>
    </w:p>
    <w:p w14:paraId="65779EE6" w14:textId="77777777" w:rsidR="00D873D3" w:rsidRDefault="00D873D3" w:rsidP="00D873D3">
      <w:pPr>
        <w:pStyle w:val="aa"/>
        <w:numPr>
          <w:ilvl w:val="0"/>
          <w:numId w:val="1"/>
        </w:numPr>
        <w:spacing w:line="360" w:lineRule="auto"/>
        <w:jc w:val="both"/>
        <w:rPr>
          <w:sz w:val="24"/>
        </w:rPr>
      </w:pPr>
      <w:r>
        <w:rPr>
          <w:sz w:val="24"/>
          <w:rtl/>
        </w:rPr>
        <w:t>ביום 1</w:t>
      </w:r>
      <w:r>
        <w:rPr>
          <w:b/>
          <w:bCs/>
          <w:sz w:val="24"/>
          <w:rtl/>
        </w:rPr>
        <w:t>3.10.21</w:t>
      </w:r>
      <w:r>
        <w:rPr>
          <w:sz w:val="24"/>
          <w:rtl/>
        </w:rPr>
        <w:t xml:space="preserve"> הודיעה ב"כ כי הסבירה לנאשם את מהות ההליך וכי הנאשם אינו מבקש לחזור בו מהודאתו. לבקשת בית המשפט, הנאשם הסביר במו פיו את המיוחס לו בכתב האישום ובית המשפט התרשם כי ההסבר מתיישב עם העובדות שבכתב האישום המתוקן בו הודה.</w:t>
      </w:r>
    </w:p>
    <w:p w14:paraId="3917C8C7" w14:textId="77777777" w:rsidR="00D873D3" w:rsidRDefault="00D873D3" w:rsidP="00D873D3">
      <w:pPr>
        <w:pStyle w:val="aa"/>
        <w:numPr>
          <w:ilvl w:val="0"/>
          <w:numId w:val="1"/>
        </w:numPr>
        <w:spacing w:line="360" w:lineRule="auto"/>
        <w:jc w:val="both"/>
        <w:rPr>
          <w:sz w:val="24"/>
        </w:rPr>
      </w:pPr>
      <w:r>
        <w:rPr>
          <w:sz w:val="24"/>
          <w:rtl/>
        </w:rPr>
        <w:t xml:space="preserve">במעמד הדיון, ביקש </w:t>
      </w:r>
      <w:r>
        <w:rPr>
          <w:b/>
          <w:bCs/>
          <w:sz w:val="24"/>
          <w:rtl/>
        </w:rPr>
        <w:t xml:space="preserve">הנאשם </w:t>
      </w:r>
      <w:r>
        <w:rPr>
          <w:sz w:val="24"/>
          <w:rtl/>
        </w:rPr>
        <w:t xml:space="preserve">שעניינו יופנה לממונה על עבודות השירות. </w:t>
      </w:r>
    </w:p>
    <w:p w14:paraId="607E515C" w14:textId="77777777" w:rsidR="00D873D3" w:rsidRDefault="00D873D3" w:rsidP="00D873D3">
      <w:pPr>
        <w:pStyle w:val="aa"/>
        <w:spacing w:line="360" w:lineRule="auto"/>
        <w:ind w:left="360"/>
        <w:jc w:val="both"/>
        <w:rPr>
          <w:sz w:val="24"/>
        </w:rPr>
      </w:pPr>
      <w:r>
        <w:rPr>
          <w:sz w:val="24"/>
          <w:rtl/>
        </w:rPr>
        <w:t xml:space="preserve">ביום </w:t>
      </w:r>
      <w:r>
        <w:rPr>
          <w:b/>
          <w:bCs/>
          <w:sz w:val="24"/>
          <w:rtl/>
        </w:rPr>
        <w:t>20.10.21</w:t>
      </w:r>
      <w:r>
        <w:rPr>
          <w:sz w:val="24"/>
          <w:rtl/>
        </w:rPr>
        <w:t xml:space="preserve">, התקבלה הודעה לפיה הנאשם לא התייצב לראיון התאמה בפני הממונה על עבודות השירות. </w:t>
      </w:r>
    </w:p>
    <w:p w14:paraId="690412CE" w14:textId="77777777" w:rsidR="00D873D3" w:rsidRDefault="00D873D3" w:rsidP="00D873D3">
      <w:pPr>
        <w:pStyle w:val="aa"/>
        <w:spacing w:line="360" w:lineRule="auto"/>
        <w:ind w:left="360"/>
        <w:jc w:val="both"/>
        <w:rPr>
          <w:sz w:val="24"/>
        </w:rPr>
      </w:pPr>
      <w:r>
        <w:rPr>
          <w:sz w:val="24"/>
          <w:rtl/>
        </w:rPr>
        <w:t xml:space="preserve">ביום </w:t>
      </w:r>
      <w:r>
        <w:rPr>
          <w:b/>
          <w:bCs/>
          <w:sz w:val="24"/>
          <w:rtl/>
        </w:rPr>
        <w:t>7.11.21</w:t>
      </w:r>
      <w:r>
        <w:rPr>
          <w:sz w:val="24"/>
          <w:rtl/>
        </w:rPr>
        <w:t xml:space="preserve">, הגישה ב"כ הנאשם בקשה לדחות את הדיון וכן ביקשה להפנות את הנאשם בשנית לראיון התאמה, שכן לטענתה לא קיבלה את הזימון לראיון. הנאשם הופנה לראיון התאמה בשנית. </w:t>
      </w:r>
    </w:p>
    <w:p w14:paraId="5C52679D" w14:textId="77777777" w:rsidR="00D873D3" w:rsidRDefault="00D873D3" w:rsidP="00D873D3">
      <w:pPr>
        <w:pStyle w:val="aa"/>
        <w:spacing w:line="360" w:lineRule="auto"/>
        <w:ind w:left="360"/>
        <w:jc w:val="both"/>
        <w:rPr>
          <w:sz w:val="24"/>
          <w:rtl/>
        </w:rPr>
      </w:pPr>
      <w:r>
        <w:rPr>
          <w:sz w:val="24"/>
          <w:rtl/>
        </w:rPr>
        <w:t xml:space="preserve">ביום </w:t>
      </w:r>
      <w:r>
        <w:rPr>
          <w:b/>
          <w:bCs/>
          <w:sz w:val="24"/>
          <w:rtl/>
        </w:rPr>
        <w:t>23.11.21</w:t>
      </w:r>
      <w:r>
        <w:rPr>
          <w:sz w:val="24"/>
          <w:rtl/>
        </w:rPr>
        <w:t xml:space="preserve"> התקבלה הודעת הממונה על עבודות השירות כי הנאשם לא התייצב לראיון התאמה במשרדם וזאת לאחר משלוח של מספר זימונים. ב"כ הנאשם התבקשה להגיב להודעה זו, וחרף ארכה שניתנה, עד למועד זה לא הוגשה כל בקשה. </w:t>
      </w:r>
    </w:p>
    <w:p w14:paraId="605DD8C3" w14:textId="77777777" w:rsidR="00D873D3" w:rsidRDefault="00D873D3" w:rsidP="00D873D3">
      <w:pPr>
        <w:pStyle w:val="aa"/>
        <w:numPr>
          <w:ilvl w:val="0"/>
          <w:numId w:val="1"/>
        </w:numPr>
        <w:spacing w:line="360" w:lineRule="auto"/>
        <w:jc w:val="both"/>
        <w:rPr>
          <w:sz w:val="24"/>
          <w:rtl/>
        </w:rPr>
      </w:pPr>
      <w:r>
        <w:rPr>
          <w:sz w:val="24"/>
          <w:rtl/>
        </w:rPr>
        <w:t xml:space="preserve">בתאריך </w:t>
      </w:r>
      <w:r>
        <w:rPr>
          <w:b/>
          <w:bCs/>
          <w:sz w:val="24"/>
          <w:rtl/>
        </w:rPr>
        <w:t xml:space="preserve">30.1.22 </w:t>
      </w:r>
      <w:r>
        <w:rPr>
          <w:sz w:val="24"/>
          <w:rtl/>
        </w:rPr>
        <w:t>הנאשם לא התייצב לדיון ולא ניתן הסבר לאי ההתייצבות. בנסיבות אלה, הוצא צו הבאה ללא שחרור לצורך שימוע גזר הדין.</w:t>
      </w:r>
    </w:p>
    <w:p w14:paraId="0B518BCE" w14:textId="77777777" w:rsidR="00D873D3" w:rsidRDefault="00D873D3" w:rsidP="00D873D3">
      <w:pPr>
        <w:pStyle w:val="aa"/>
        <w:spacing w:line="360" w:lineRule="auto"/>
        <w:ind w:left="360"/>
        <w:jc w:val="both"/>
        <w:rPr>
          <w:sz w:val="24"/>
          <w:rtl/>
        </w:rPr>
      </w:pPr>
      <w:r>
        <w:rPr>
          <w:sz w:val="24"/>
          <w:rtl/>
        </w:rPr>
        <w:t xml:space="preserve"> </w:t>
      </w:r>
    </w:p>
    <w:p w14:paraId="526D24F1" w14:textId="77777777" w:rsidR="00D873D3" w:rsidRDefault="00D873D3" w:rsidP="00D873D3">
      <w:pPr>
        <w:spacing w:line="360" w:lineRule="auto"/>
        <w:jc w:val="both"/>
        <w:rPr>
          <w:b/>
          <w:bCs/>
          <w:u w:val="single"/>
          <w:rtl/>
          <w:lang w:eastAsia="he-IL"/>
        </w:rPr>
      </w:pPr>
      <w:r>
        <w:rPr>
          <w:b/>
          <w:bCs/>
          <w:u w:val="single"/>
          <w:rtl/>
          <w:lang w:eastAsia="he-IL"/>
        </w:rPr>
        <w:t>ראיות לעונש:</w:t>
      </w:r>
    </w:p>
    <w:p w14:paraId="402F19DA" w14:textId="77777777" w:rsidR="00D873D3" w:rsidRDefault="00D873D3" w:rsidP="00D873D3">
      <w:pPr>
        <w:pStyle w:val="aa"/>
        <w:numPr>
          <w:ilvl w:val="0"/>
          <w:numId w:val="1"/>
        </w:numPr>
        <w:spacing w:line="360" w:lineRule="auto"/>
        <w:jc w:val="both"/>
        <w:rPr>
          <w:sz w:val="24"/>
          <w:rtl/>
        </w:rPr>
      </w:pPr>
      <w:r>
        <w:rPr>
          <w:sz w:val="24"/>
          <w:rtl/>
        </w:rPr>
        <w:t xml:space="preserve">הוגש גיליון רישום פלילי ותעבורתי של הנאשם [ת/1, ת/2 בהתאמה]. </w:t>
      </w:r>
    </w:p>
    <w:p w14:paraId="69FF940A" w14:textId="77777777" w:rsidR="00D873D3" w:rsidRDefault="00D873D3" w:rsidP="00D873D3">
      <w:pPr>
        <w:pStyle w:val="aa"/>
        <w:spacing w:line="360" w:lineRule="auto"/>
        <w:ind w:left="360"/>
        <w:jc w:val="both"/>
        <w:rPr>
          <w:sz w:val="24"/>
        </w:rPr>
      </w:pPr>
      <w:r>
        <w:rPr>
          <w:sz w:val="24"/>
          <w:rtl/>
        </w:rPr>
        <w:t xml:space="preserve">גיליון הרישום הפלילי של הנאשם כולל שתי הרשעות בעבירות אלימות. בגין האחרונה שבהן, שבוצעה </w:t>
      </w:r>
      <w:r>
        <w:rPr>
          <w:b/>
          <w:bCs/>
          <w:sz w:val="24"/>
          <w:rtl/>
        </w:rPr>
        <w:t>לאחר</w:t>
      </w:r>
      <w:r>
        <w:rPr>
          <w:sz w:val="24"/>
          <w:rtl/>
        </w:rPr>
        <w:t xml:space="preserve"> מועד ביצוע העברה בתיק זה, ריצה עונש מאסר.</w:t>
      </w:r>
    </w:p>
    <w:p w14:paraId="0CDF274A" w14:textId="77777777" w:rsidR="00D873D3" w:rsidRDefault="00D873D3" w:rsidP="00D873D3">
      <w:pPr>
        <w:spacing w:line="360" w:lineRule="auto"/>
        <w:jc w:val="both"/>
        <w:rPr>
          <w:b/>
          <w:bCs/>
          <w:u w:val="single"/>
          <w:rtl/>
          <w:lang w:eastAsia="he-IL"/>
        </w:rPr>
      </w:pPr>
    </w:p>
    <w:p w14:paraId="67F30BAF" w14:textId="77777777" w:rsidR="00D873D3" w:rsidRDefault="00D873D3" w:rsidP="00D873D3">
      <w:pPr>
        <w:spacing w:line="360" w:lineRule="auto"/>
        <w:jc w:val="both"/>
        <w:rPr>
          <w:b/>
          <w:bCs/>
          <w:u w:val="single"/>
          <w:rtl/>
          <w:lang w:eastAsia="he-IL"/>
        </w:rPr>
      </w:pPr>
      <w:r>
        <w:rPr>
          <w:b/>
          <w:bCs/>
          <w:u w:val="single"/>
          <w:rtl/>
          <w:lang w:eastAsia="he-IL"/>
        </w:rPr>
        <w:t>טענות הצדדים לעונש</w:t>
      </w:r>
    </w:p>
    <w:p w14:paraId="7214358D" w14:textId="77777777" w:rsidR="00D873D3" w:rsidRDefault="00D873D3" w:rsidP="00D873D3">
      <w:pPr>
        <w:pStyle w:val="aa"/>
        <w:numPr>
          <w:ilvl w:val="0"/>
          <w:numId w:val="1"/>
        </w:numPr>
        <w:spacing w:line="360" w:lineRule="auto"/>
        <w:jc w:val="both"/>
        <w:rPr>
          <w:sz w:val="24"/>
        </w:rPr>
      </w:pPr>
      <w:r>
        <w:rPr>
          <w:b/>
          <w:bCs/>
          <w:sz w:val="24"/>
          <w:rtl/>
        </w:rPr>
        <w:t xml:space="preserve">ב"כ המאשימה </w:t>
      </w:r>
      <w:r>
        <w:rPr>
          <w:sz w:val="24"/>
          <w:rtl/>
        </w:rPr>
        <w:t xml:space="preserve">התייחסה בטיעוניה לכמות הסם הגדולה בה החזיק והפנתה לערכים המוגנים שבבסיס עבירות הסמים, הפגיעה בבריאות הציבור הכרוכה בהן, הפגיעה בסדר הציבורי והיות עבירות הסמים מחוללות פשיעה אגב הפצתם. לעניין הערך המוגן בהחזקת סכין נטען, כי הערך הנפגע הוא הערך של הגנה על שלמות גופו של אדם, תחושת הביטחון והבטחת השגרה. כן נטען, </w:t>
      </w:r>
      <w:r>
        <w:rPr>
          <w:sz w:val="24"/>
          <w:rtl/>
        </w:rPr>
        <w:lastRenderedPageBreak/>
        <w:t>כי תכלית האיסור לשאת סכין נועדה למניעת סיכון ונזק ממשי העלולים להיגרם כתוצאה משימוש פסול בהם. על כן קיים צורך במיגור התופעה השלילית הנפוצה בשימוש בסכין.</w:t>
      </w:r>
    </w:p>
    <w:p w14:paraId="0C576188" w14:textId="77777777" w:rsidR="00D873D3" w:rsidRDefault="00D873D3" w:rsidP="00D873D3">
      <w:pPr>
        <w:pStyle w:val="aa"/>
        <w:spacing w:line="360" w:lineRule="auto"/>
        <w:ind w:left="360"/>
        <w:jc w:val="both"/>
        <w:rPr>
          <w:sz w:val="24"/>
        </w:rPr>
      </w:pPr>
    </w:p>
    <w:p w14:paraId="0F4542E6" w14:textId="77777777" w:rsidR="00D873D3" w:rsidRDefault="00D873D3" w:rsidP="00D873D3">
      <w:pPr>
        <w:pStyle w:val="aa"/>
        <w:spacing w:line="360" w:lineRule="auto"/>
        <w:ind w:left="360"/>
        <w:jc w:val="both"/>
        <w:rPr>
          <w:sz w:val="24"/>
          <w:rtl/>
        </w:rPr>
      </w:pPr>
      <w:r>
        <w:rPr>
          <w:sz w:val="24"/>
          <w:rtl/>
        </w:rPr>
        <w:t xml:space="preserve">נטען, כי הנאשם החזיק את הסמים בתוך הרכב, בנסיבות המצביעות על הפצת הסם. </w:t>
      </w:r>
    </w:p>
    <w:p w14:paraId="6F2436A3" w14:textId="77777777" w:rsidR="00D873D3" w:rsidRDefault="00D873D3" w:rsidP="00D873D3">
      <w:pPr>
        <w:pStyle w:val="aa"/>
        <w:spacing w:line="360" w:lineRule="auto"/>
        <w:ind w:left="360"/>
        <w:jc w:val="both"/>
        <w:rPr>
          <w:sz w:val="24"/>
          <w:rtl/>
        </w:rPr>
      </w:pPr>
    </w:p>
    <w:p w14:paraId="5B50F72F" w14:textId="77777777" w:rsidR="00D873D3" w:rsidRDefault="00D873D3" w:rsidP="00D873D3">
      <w:pPr>
        <w:pStyle w:val="aa"/>
        <w:spacing w:line="360" w:lineRule="auto"/>
        <w:ind w:left="360"/>
        <w:jc w:val="both"/>
        <w:rPr>
          <w:sz w:val="24"/>
          <w:rtl/>
        </w:rPr>
      </w:pPr>
      <w:r>
        <w:rPr>
          <w:sz w:val="24"/>
          <w:rtl/>
        </w:rPr>
        <w:t xml:space="preserve">לעניין הפסיקה הנוהגת, הפנתה המאשימה למספר פסקי דין: </w:t>
      </w:r>
      <w:hyperlink r:id="rId17" w:history="1">
        <w:r w:rsidR="00F15DD7" w:rsidRPr="00F15DD7">
          <w:rPr>
            <w:rFonts w:hint="cs"/>
            <w:color w:val="0000FF"/>
            <w:sz w:val="24"/>
            <w:u w:val="single"/>
            <w:rtl/>
          </w:rPr>
          <w:t>רע</w:t>
        </w:r>
        <w:r w:rsidR="00F15DD7" w:rsidRPr="00F15DD7">
          <w:rPr>
            <w:color w:val="0000FF"/>
            <w:sz w:val="24"/>
            <w:u w:val="single"/>
            <w:rtl/>
          </w:rPr>
          <w:t>"</w:t>
        </w:r>
        <w:r w:rsidR="00F15DD7" w:rsidRPr="00F15DD7">
          <w:rPr>
            <w:rFonts w:hint="cs"/>
            <w:color w:val="0000FF"/>
            <w:sz w:val="24"/>
            <w:u w:val="single"/>
            <w:rtl/>
          </w:rPr>
          <w:t>פ</w:t>
        </w:r>
        <w:r w:rsidR="00F15DD7" w:rsidRPr="00F15DD7">
          <w:rPr>
            <w:color w:val="0000FF"/>
            <w:sz w:val="24"/>
            <w:u w:val="single"/>
            <w:rtl/>
          </w:rPr>
          <w:t xml:space="preserve"> 322/15;</w:t>
        </w:r>
      </w:hyperlink>
      <w:r>
        <w:rPr>
          <w:sz w:val="24"/>
          <w:rtl/>
        </w:rPr>
        <w:t xml:space="preserve"> </w:t>
      </w:r>
      <w:hyperlink r:id="rId18" w:history="1">
        <w:r w:rsidR="00F15DD7" w:rsidRPr="00F15DD7">
          <w:rPr>
            <w:rFonts w:hint="cs"/>
            <w:color w:val="0000FF"/>
            <w:sz w:val="24"/>
            <w:u w:val="single"/>
            <w:rtl/>
          </w:rPr>
          <w:t>רע</w:t>
        </w:r>
        <w:r w:rsidR="00F15DD7" w:rsidRPr="00F15DD7">
          <w:rPr>
            <w:color w:val="0000FF"/>
            <w:sz w:val="24"/>
            <w:u w:val="single"/>
            <w:rtl/>
          </w:rPr>
          <w:t>"</w:t>
        </w:r>
        <w:r w:rsidR="00F15DD7" w:rsidRPr="00F15DD7">
          <w:rPr>
            <w:rFonts w:hint="cs"/>
            <w:color w:val="0000FF"/>
            <w:sz w:val="24"/>
            <w:u w:val="single"/>
            <w:rtl/>
          </w:rPr>
          <w:t>פ</w:t>
        </w:r>
        <w:r w:rsidR="00F15DD7" w:rsidRPr="00F15DD7">
          <w:rPr>
            <w:color w:val="0000FF"/>
            <w:sz w:val="24"/>
            <w:u w:val="single"/>
            <w:rtl/>
          </w:rPr>
          <w:t xml:space="preserve"> 1830/16;</w:t>
        </w:r>
      </w:hyperlink>
      <w:r>
        <w:rPr>
          <w:sz w:val="24"/>
          <w:rtl/>
        </w:rPr>
        <w:t xml:space="preserve"> </w:t>
      </w:r>
      <w:hyperlink r:id="rId19" w:history="1">
        <w:r w:rsidR="00F15DD7" w:rsidRPr="00F15DD7">
          <w:rPr>
            <w:rFonts w:hint="cs"/>
            <w:color w:val="0000FF"/>
            <w:sz w:val="24"/>
            <w:u w:val="single"/>
            <w:rtl/>
          </w:rPr>
          <w:t>עפ</w:t>
        </w:r>
        <w:r w:rsidR="00F15DD7" w:rsidRPr="00F15DD7">
          <w:rPr>
            <w:color w:val="0000FF"/>
            <w:sz w:val="24"/>
            <w:u w:val="single"/>
            <w:rtl/>
          </w:rPr>
          <w:t>"</w:t>
        </w:r>
        <w:r w:rsidR="00F15DD7" w:rsidRPr="00F15DD7">
          <w:rPr>
            <w:rFonts w:hint="cs"/>
            <w:color w:val="0000FF"/>
            <w:sz w:val="24"/>
            <w:u w:val="single"/>
            <w:rtl/>
          </w:rPr>
          <w:t>ג</w:t>
        </w:r>
        <w:r w:rsidR="00F15DD7" w:rsidRPr="00F15DD7">
          <w:rPr>
            <w:color w:val="0000FF"/>
            <w:sz w:val="24"/>
            <w:u w:val="single"/>
            <w:rtl/>
          </w:rPr>
          <w:t xml:space="preserve"> 43756-03-13</w:t>
        </w:r>
      </w:hyperlink>
      <w:r>
        <w:rPr>
          <w:sz w:val="24"/>
          <w:rtl/>
        </w:rPr>
        <w:t xml:space="preserve">; </w:t>
      </w:r>
      <w:hyperlink r:id="rId20" w:history="1">
        <w:r w:rsidR="00F15DD7" w:rsidRPr="00F15DD7">
          <w:rPr>
            <w:rFonts w:hint="cs"/>
            <w:color w:val="0000FF"/>
            <w:sz w:val="24"/>
            <w:u w:val="single"/>
            <w:rtl/>
          </w:rPr>
          <w:t>ת</w:t>
        </w:r>
        <w:r w:rsidR="00F15DD7" w:rsidRPr="00F15DD7">
          <w:rPr>
            <w:color w:val="0000FF"/>
            <w:sz w:val="24"/>
            <w:u w:val="single"/>
            <w:rtl/>
          </w:rPr>
          <w:t>"</w:t>
        </w:r>
        <w:r w:rsidR="00F15DD7" w:rsidRPr="00F15DD7">
          <w:rPr>
            <w:rFonts w:hint="cs"/>
            <w:color w:val="0000FF"/>
            <w:sz w:val="24"/>
            <w:u w:val="single"/>
            <w:rtl/>
          </w:rPr>
          <w:t>פ</w:t>
        </w:r>
        <w:r w:rsidR="00F15DD7" w:rsidRPr="00F15DD7">
          <w:rPr>
            <w:color w:val="0000FF"/>
            <w:sz w:val="24"/>
            <w:u w:val="single"/>
            <w:rtl/>
          </w:rPr>
          <w:t>71628-07-18</w:t>
        </w:r>
      </w:hyperlink>
      <w:r>
        <w:rPr>
          <w:sz w:val="24"/>
          <w:rtl/>
        </w:rPr>
        <w:t xml:space="preserve">; </w:t>
      </w:r>
      <w:hyperlink r:id="rId21" w:history="1">
        <w:r w:rsidR="00F15DD7" w:rsidRPr="00F15DD7">
          <w:rPr>
            <w:rFonts w:hint="cs"/>
            <w:color w:val="0000FF"/>
            <w:sz w:val="24"/>
            <w:u w:val="single"/>
            <w:rtl/>
          </w:rPr>
          <w:t>ת</w:t>
        </w:r>
        <w:r w:rsidR="00F15DD7" w:rsidRPr="00F15DD7">
          <w:rPr>
            <w:color w:val="0000FF"/>
            <w:sz w:val="24"/>
            <w:u w:val="single"/>
            <w:rtl/>
          </w:rPr>
          <w:t>"</w:t>
        </w:r>
        <w:r w:rsidR="00F15DD7" w:rsidRPr="00F15DD7">
          <w:rPr>
            <w:rFonts w:hint="cs"/>
            <w:color w:val="0000FF"/>
            <w:sz w:val="24"/>
            <w:u w:val="single"/>
            <w:rtl/>
          </w:rPr>
          <w:t>פ</w:t>
        </w:r>
        <w:r w:rsidR="00F15DD7" w:rsidRPr="00F15DD7">
          <w:rPr>
            <w:color w:val="0000FF"/>
            <w:sz w:val="24"/>
            <w:u w:val="single"/>
            <w:rtl/>
          </w:rPr>
          <w:t xml:space="preserve"> 20767-09-16</w:t>
        </w:r>
      </w:hyperlink>
      <w:r>
        <w:rPr>
          <w:sz w:val="24"/>
          <w:rtl/>
        </w:rPr>
        <w:t xml:space="preserve">; </w:t>
      </w:r>
      <w:hyperlink r:id="rId22" w:history="1">
        <w:r w:rsidR="00F15DD7" w:rsidRPr="00F15DD7">
          <w:rPr>
            <w:rFonts w:hint="cs"/>
            <w:color w:val="0000FF"/>
            <w:sz w:val="24"/>
            <w:u w:val="single"/>
            <w:rtl/>
          </w:rPr>
          <w:t>ת</w:t>
        </w:r>
        <w:r w:rsidR="00F15DD7" w:rsidRPr="00F15DD7">
          <w:rPr>
            <w:color w:val="0000FF"/>
            <w:sz w:val="24"/>
            <w:u w:val="single"/>
            <w:rtl/>
          </w:rPr>
          <w:t>"</w:t>
        </w:r>
        <w:r w:rsidR="00F15DD7" w:rsidRPr="00F15DD7">
          <w:rPr>
            <w:rFonts w:hint="cs"/>
            <w:color w:val="0000FF"/>
            <w:sz w:val="24"/>
            <w:u w:val="single"/>
            <w:rtl/>
          </w:rPr>
          <w:t>פ</w:t>
        </w:r>
        <w:r w:rsidR="00F15DD7" w:rsidRPr="00F15DD7">
          <w:rPr>
            <w:color w:val="0000FF"/>
            <w:sz w:val="24"/>
            <w:u w:val="single"/>
            <w:rtl/>
          </w:rPr>
          <w:t xml:space="preserve"> 44501-11-16</w:t>
        </w:r>
      </w:hyperlink>
      <w:r>
        <w:rPr>
          <w:sz w:val="24"/>
          <w:rtl/>
        </w:rPr>
        <w:t xml:space="preserve">. </w:t>
      </w:r>
    </w:p>
    <w:p w14:paraId="4C27BC89" w14:textId="77777777" w:rsidR="00D873D3" w:rsidRDefault="00D873D3" w:rsidP="00D873D3">
      <w:pPr>
        <w:pStyle w:val="aa"/>
        <w:spacing w:line="360" w:lineRule="auto"/>
        <w:ind w:left="360"/>
        <w:jc w:val="both"/>
        <w:rPr>
          <w:sz w:val="24"/>
          <w:rtl/>
        </w:rPr>
      </w:pPr>
    </w:p>
    <w:p w14:paraId="2B78B447" w14:textId="77777777" w:rsidR="00D873D3" w:rsidRDefault="00D873D3" w:rsidP="00D873D3">
      <w:pPr>
        <w:pStyle w:val="aa"/>
        <w:spacing w:line="360" w:lineRule="auto"/>
        <w:ind w:left="360"/>
        <w:jc w:val="both"/>
        <w:rPr>
          <w:sz w:val="24"/>
          <w:rtl/>
        </w:rPr>
      </w:pPr>
      <w:r>
        <w:rPr>
          <w:sz w:val="24"/>
          <w:rtl/>
        </w:rPr>
        <w:t>לאור האמור נטען, כי מתחם העונש ההולם נע בין 6 ועד 12 חודשי מאסר בפועל.</w:t>
      </w:r>
    </w:p>
    <w:p w14:paraId="50A8DFD5" w14:textId="77777777" w:rsidR="00D873D3" w:rsidRDefault="00D873D3" w:rsidP="00D873D3">
      <w:pPr>
        <w:spacing w:line="360" w:lineRule="auto"/>
        <w:ind w:left="360"/>
        <w:jc w:val="both"/>
        <w:rPr>
          <w:rFonts w:ascii="David" w:hAnsi="David"/>
          <w:rtl/>
        </w:rPr>
      </w:pPr>
    </w:p>
    <w:p w14:paraId="799FD8A0" w14:textId="77777777" w:rsidR="00D873D3" w:rsidRDefault="00D873D3" w:rsidP="00D873D3">
      <w:pPr>
        <w:spacing w:line="360" w:lineRule="auto"/>
        <w:ind w:left="360"/>
        <w:jc w:val="both"/>
        <w:rPr>
          <w:rFonts w:ascii="David" w:hAnsi="David"/>
          <w:rtl/>
        </w:rPr>
      </w:pPr>
      <w:r>
        <w:rPr>
          <w:rFonts w:ascii="David" w:hAnsi="David"/>
          <w:rtl/>
        </w:rPr>
        <w:t>המאשימה הפנתה לעברו הפלילי של הנאשם.</w:t>
      </w:r>
    </w:p>
    <w:p w14:paraId="044661B2" w14:textId="77777777" w:rsidR="00D873D3" w:rsidRDefault="00D873D3" w:rsidP="00D873D3">
      <w:pPr>
        <w:spacing w:line="360" w:lineRule="auto"/>
        <w:ind w:left="360"/>
        <w:jc w:val="both"/>
        <w:rPr>
          <w:rFonts w:ascii="David" w:hAnsi="David"/>
          <w:rtl/>
        </w:rPr>
      </w:pPr>
      <w:r>
        <w:rPr>
          <w:rFonts w:ascii="David" w:hAnsi="David"/>
          <w:rtl/>
        </w:rPr>
        <w:t xml:space="preserve">נטען, כי בעניינו של הנאשם לא התבקש תסקיר שירות המבחן ומכאן שלא מתקיימים שיקולי שיקום המצדיקים סטייה ממתחם העונש ההולם. </w:t>
      </w:r>
    </w:p>
    <w:p w14:paraId="1B1EAEFA" w14:textId="77777777" w:rsidR="00D873D3" w:rsidRDefault="00D873D3" w:rsidP="00D873D3">
      <w:pPr>
        <w:spacing w:line="360" w:lineRule="auto"/>
        <w:ind w:left="360"/>
        <w:jc w:val="both"/>
        <w:rPr>
          <w:rFonts w:ascii="David" w:hAnsi="David"/>
          <w:rtl/>
        </w:rPr>
      </w:pPr>
      <w:r>
        <w:rPr>
          <w:rFonts w:ascii="David" w:hAnsi="David"/>
          <w:rtl/>
        </w:rPr>
        <w:t>המאשימה עתרה להשית על הנאשם עונש ברף הבינוני של המתחם, וכן מאסר מותנה ארוך ומרתיע, פסילת רישיון נהיגה בפועל ועל תנאי וקנס.</w:t>
      </w:r>
    </w:p>
    <w:p w14:paraId="032B60F9" w14:textId="77777777" w:rsidR="00D873D3" w:rsidRDefault="00D873D3" w:rsidP="00D873D3">
      <w:pPr>
        <w:pStyle w:val="aa"/>
        <w:spacing w:line="360" w:lineRule="auto"/>
        <w:ind w:left="360"/>
        <w:jc w:val="both"/>
        <w:rPr>
          <w:sz w:val="24"/>
          <w:rtl/>
        </w:rPr>
      </w:pPr>
    </w:p>
    <w:p w14:paraId="3233F41E" w14:textId="77777777" w:rsidR="00D873D3" w:rsidRDefault="00D873D3" w:rsidP="00D873D3">
      <w:pPr>
        <w:pStyle w:val="aa"/>
        <w:numPr>
          <w:ilvl w:val="0"/>
          <w:numId w:val="1"/>
        </w:numPr>
        <w:spacing w:line="360" w:lineRule="auto"/>
        <w:jc w:val="both"/>
        <w:rPr>
          <w:bCs/>
          <w:sz w:val="24"/>
          <w:u w:val="single"/>
          <w:rtl/>
        </w:rPr>
      </w:pPr>
      <w:r>
        <w:rPr>
          <w:b/>
          <w:bCs/>
          <w:sz w:val="24"/>
          <w:rtl/>
        </w:rPr>
        <w:t xml:space="preserve">ב"כ הנאשם </w:t>
      </w:r>
      <w:r>
        <w:rPr>
          <w:sz w:val="24"/>
          <w:rtl/>
        </w:rPr>
        <w:t xml:space="preserve">טענה כי המתחם לו עתרה המאשימה הוא גבוה וכי יש להתייחס לנסיבות האירוע. </w:t>
      </w:r>
    </w:p>
    <w:p w14:paraId="0E28FD91" w14:textId="77777777" w:rsidR="00D873D3" w:rsidRDefault="00D873D3" w:rsidP="00D873D3">
      <w:pPr>
        <w:pStyle w:val="aa"/>
        <w:spacing w:line="360" w:lineRule="auto"/>
        <w:ind w:left="360"/>
        <w:jc w:val="both"/>
        <w:rPr>
          <w:b/>
          <w:bCs/>
          <w:sz w:val="24"/>
        </w:rPr>
      </w:pPr>
    </w:p>
    <w:p w14:paraId="559465E9" w14:textId="77777777" w:rsidR="00D873D3" w:rsidRDefault="00D873D3" w:rsidP="00D873D3">
      <w:pPr>
        <w:pStyle w:val="aa"/>
        <w:spacing w:line="360" w:lineRule="auto"/>
        <w:ind w:left="360"/>
        <w:jc w:val="both"/>
        <w:rPr>
          <w:sz w:val="24"/>
          <w:rtl/>
        </w:rPr>
      </w:pPr>
      <w:r>
        <w:rPr>
          <w:sz w:val="24"/>
          <w:rtl/>
        </w:rPr>
        <w:t>נטען, כי מדובר בהחזקה של 98 גרם סם מסוג קנביס, שהינו מהסמים הפחות מסוכנים ולא במדרג הגבוהה מבין עבירות הסמים. לעניין עבירת החזקת הסכין נטען, כי מדובר בסכין מטבח שנתפסה על רצפה הרכב, וכי לא  מדובר בסכין קפיצת או מאולתרת, ולכן החומרה היא פחותה. הסכין לא היתה מוסלקת, אלא הנאשם זרק אותה ברכבו ואין כל אינדיקציה בכתב האישום לפעולה עבריינית בסכין. כן נטען, כי הנאשם יכול היה לצרף את כתב האישום לתיק בו הורשע לאחר מועד זה, ולכן מוצדק להסתפק בהטלת עונש צופה פני עתיד. נטען, כי לולי הוגש התיק בעת שהנאשם היה אסיר, בגין עבירה זו היה מוטל עליו מאסר על תנאי בלבד.</w:t>
      </w:r>
    </w:p>
    <w:p w14:paraId="39168B5D" w14:textId="77777777" w:rsidR="00D873D3" w:rsidRDefault="00D873D3" w:rsidP="00D873D3">
      <w:pPr>
        <w:pStyle w:val="aa"/>
        <w:spacing w:line="360" w:lineRule="auto"/>
        <w:ind w:left="360"/>
        <w:jc w:val="both"/>
        <w:rPr>
          <w:sz w:val="24"/>
          <w:rtl/>
        </w:rPr>
      </w:pPr>
    </w:p>
    <w:p w14:paraId="30ED41F5" w14:textId="77777777" w:rsidR="00D873D3" w:rsidRDefault="00D873D3" w:rsidP="00D873D3">
      <w:pPr>
        <w:pStyle w:val="aa"/>
        <w:spacing w:line="360" w:lineRule="auto"/>
        <w:ind w:left="360"/>
        <w:jc w:val="both"/>
        <w:rPr>
          <w:sz w:val="24"/>
          <w:rtl/>
        </w:rPr>
      </w:pPr>
      <w:r>
        <w:rPr>
          <w:sz w:val="24"/>
          <w:rtl/>
        </w:rPr>
        <w:t xml:space="preserve">ההגנה לא חלקה על מתחם העונש ההולם, המתחיל ב-6 חודשי מאסר ועד 12 חודשי מאסר, אך לא ניתן להתעלם מהנסיבות אליהם הפנתה ב"כ המאשימה וזאת הגם שלא הוגש תסקיר בעניינו של הנאשם. בהקשר זה, נטען כי הנאשם עובד ומסייע לפרנסת משפחתו. נטען כי הנאשם מגיע ממשפחה נורמטיבית, אשר כעסה על התנהלותו. כן נטען כי ממועד שחרורו של הנאשם ממאסר לא נפתחו נגדו תיקים חדשים וכי הוא מנסה לשקם את דרכו. כן צוין כי הנאשם מועסק במקום עבודה מסדור ומנסה להתרחק מחברה שולית. </w:t>
      </w:r>
    </w:p>
    <w:p w14:paraId="19081F4F" w14:textId="77777777" w:rsidR="00D873D3" w:rsidRDefault="00D873D3" w:rsidP="00D873D3">
      <w:pPr>
        <w:pStyle w:val="aa"/>
        <w:spacing w:line="360" w:lineRule="auto"/>
        <w:ind w:left="360"/>
        <w:jc w:val="both"/>
        <w:rPr>
          <w:sz w:val="24"/>
          <w:rtl/>
        </w:rPr>
      </w:pPr>
      <w:r>
        <w:rPr>
          <w:sz w:val="24"/>
          <w:rtl/>
        </w:rPr>
        <w:t xml:space="preserve">ב"כ הנאשם ביקשה שלא לפגוע במאמצי הנאשם להשתלב בתעסוקה ולהימנע מהטלת פסילת רישיון בפועל. </w:t>
      </w:r>
    </w:p>
    <w:p w14:paraId="67A5E23A" w14:textId="77777777" w:rsidR="00D873D3" w:rsidRDefault="00D873D3" w:rsidP="00D873D3">
      <w:pPr>
        <w:pStyle w:val="aa"/>
        <w:spacing w:line="360" w:lineRule="auto"/>
        <w:ind w:left="360"/>
        <w:jc w:val="both"/>
        <w:rPr>
          <w:sz w:val="24"/>
          <w:rtl/>
        </w:rPr>
      </w:pPr>
    </w:p>
    <w:p w14:paraId="61E4C4AD" w14:textId="77777777" w:rsidR="00D873D3" w:rsidRDefault="00D873D3" w:rsidP="00D873D3">
      <w:pPr>
        <w:pStyle w:val="aa"/>
        <w:spacing w:line="360" w:lineRule="auto"/>
        <w:ind w:left="360"/>
        <w:jc w:val="both"/>
        <w:rPr>
          <w:sz w:val="24"/>
          <w:rtl/>
        </w:rPr>
      </w:pPr>
      <w:r>
        <w:rPr>
          <w:sz w:val="24"/>
          <w:rtl/>
        </w:rPr>
        <w:t>כן עתרה למקם את עונשו של הנאשם בתחתית המתחם, לאור חלוף הזמן.</w:t>
      </w:r>
    </w:p>
    <w:p w14:paraId="205A197C" w14:textId="77777777" w:rsidR="00D873D3" w:rsidRDefault="00D873D3" w:rsidP="00D873D3">
      <w:pPr>
        <w:pStyle w:val="aa"/>
        <w:spacing w:line="360" w:lineRule="auto"/>
        <w:ind w:left="360"/>
        <w:jc w:val="both"/>
        <w:rPr>
          <w:sz w:val="24"/>
          <w:rtl/>
        </w:rPr>
      </w:pPr>
    </w:p>
    <w:p w14:paraId="3B906E75" w14:textId="77777777" w:rsidR="00D873D3" w:rsidRDefault="00D873D3" w:rsidP="00D873D3">
      <w:pPr>
        <w:pStyle w:val="aa"/>
        <w:spacing w:line="360" w:lineRule="auto"/>
        <w:ind w:left="360"/>
        <w:jc w:val="both"/>
        <w:rPr>
          <w:sz w:val="24"/>
          <w:rtl/>
        </w:rPr>
      </w:pPr>
      <w:r>
        <w:rPr>
          <w:sz w:val="24"/>
          <w:rtl/>
        </w:rPr>
        <w:t xml:space="preserve">ביחס להוצאות המשפט אשר הוטלו על הנאשם בעבר בגין אי התייצבות לדיונים, ביקשה ב"כ הנאשם להורות על ביטול ההוצאות וזאת כי הנאשם עובד קשה כדי להתפרנס וכי הוא מנסה בכל מאודו לא להיגרר למקומות קלים של השגת הכסף. </w:t>
      </w:r>
    </w:p>
    <w:p w14:paraId="2EEA5220" w14:textId="77777777" w:rsidR="00D873D3" w:rsidRDefault="00D873D3" w:rsidP="00D873D3">
      <w:pPr>
        <w:pStyle w:val="aa"/>
        <w:spacing w:line="360" w:lineRule="auto"/>
        <w:ind w:left="360"/>
        <w:jc w:val="both"/>
        <w:rPr>
          <w:sz w:val="24"/>
          <w:rtl/>
        </w:rPr>
      </w:pPr>
      <w:r>
        <w:rPr>
          <w:sz w:val="24"/>
          <w:rtl/>
        </w:rPr>
        <w:t xml:space="preserve">נטען, כי הנאשם אכן לא התייצב למספר דיונים בעניינו, אך הוגשו מסמכים רפואיים לפיהם הנאשם חלה בקורונה. </w:t>
      </w:r>
    </w:p>
    <w:p w14:paraId="6E5D645F" w14:textId="77777777" w:rsidR="00D873D3" w:rsidRDefault="00D873D3" w:rsidP="00D873D3">
      <w:pPr>
        <w:pStyle w:val="aa"/>
        <w:spacing w:line="360" w:lineRule="auto"/>
        <w:ind w:left="360"/>
        <w:jc w:val="both"/>
        <w:rPr>
          <w:sz w:val="24"/>
          <w:rtl/>
        </w:rPr>
      </w:pPr>
    </w:p>
    <w:p w14:paraId="0FE08D0C" w14:textId="77777777" w:rsidR="00D873D3" w:rsidRDefault="00D873D3" w:rsidP="00D873D3">
      <w:pPr>
        <w:pStyle w:val="aa"/>
        <w:numPr>
          <w:ilvl w:val="0"/>
          <w:numId w:val="1"/>
        </w:numPr>
        <w:spacing w:line="360" w:lineRule="auto"/>
        <w:jc w:val="both"/>
        <w:rPr>
          <w:sz w:val="24"/>
          <w:rtl/>
        </w:rPr>
      </w:pPr>
      <w:r>
        <w:rPr>
          <w:b/>
          <w:bCs/>
          <w:sz w:val="24"/>
          <w:rtl/>
        </w:rPr>
        <w:t xml:space="preserve">הנאשם </w:t>
      </w:r>
      <w:r>
        <w:rPr>
          <w:sz w:val="24"/>
          <w:rtl/>
        </w:rPr>
        <w:t>עצמו</w:t>
      </w:r>
      <w:r>
        <w:rPr>
          <w:b/>
          <w:bCs/>
          <w:sz w:val="24"/>
          <w:rtl/>
        </w:rPr>
        <w:t xml:space="preserve"> </w:t>
      </w:r>
      <w:r>
        <w:rPr>
          <w:sz w:val="24"/>
          <w:rtl/>
        </w:rPr>
        <w:t>מסר, כי הוא מביע חרטה על התנהלותו. כן טען, כי מדובר בתיק ישן וכי מאז לא היו לו תיקים כאלה. כן ביקש שיוטלו עליו עבודות שירות. מסר, כי הוא מפרנס את עצמו וביקש כי בית המשפט יתחשב בו.</w:t>
      </w:r>
    </w:p>
    <w:p w14:paraId="348FB4A4" w14:textId="77777777" w:rsidR="00D873D3" w:rsidRDefault="00D873D3" w:rsidP="00D873D3">
      <w:pPr>
        <w:pStyle w:val="aa"/>
        <w:spacing w:line="360" w:lineRule="auto"/>
        <w:ind w:left="360"/>
        <w:jc w:val="both"/>
        <w:rPr>
          <w:sz w:val="24"/>
        </w:rPr>
      </w:pPr>
    </w:p>
    <w:p w14:paraId="0811C2A9" w14:textId="77777777" w:rsidR="00D873D3" w:rsidRDefault="00D873D3" w:rsidP="00D873D3">
      <w:pPr>
        <w:spacing w:line="360" w:lineRule="auto"/>
        <w:jc w:val="both"/>
        <w:rPr>
          <w:bCs/>
          <w:u w:val="single"/>
          <w:rtl/>
        </w:rPr>
      </w:pPr>
      <w:r>
        <w:rPr>
          <w:bCs/>
          <w:u w:val="single"/>
          <w:rtl/>
        </w:rPr>
        <w:t>דיון והכרעה</w:t>
      </w:r>
    </w:p>
    <w:p w14:paraId="2C658106" w14:textId="77777777" w:rsidR="00D873D3" w:rsidRDefault="00D873D3" w:rsidP="00D873D3">
      <w:pPr>
        <w:spacing w:line="360" w:lineRule="auto"/>
        <w:jc w:val="both"/>
        <w:rPr>
          <w:u w:val="single"/>
          <w:rtl/>
        </w:rPr>
      </w:pPr>
      <w:r>
        <w:rPr>
          <w:u w:val="single"/>
          <w:rtl/>
        </w:rPr>
        <w:t>קביעת מתחם העונש ההולם:</w:t>
      </w:r>
    </w:p>
    <w:p w14:paraId="4D137C6D" w14:textId="77777777" w:rsidR="00D873D3" w:rsidRDefault="00D873D3" w:rsidP="00D873D3">
      <w:pPr>
        <w:pStyle w:val="aa"/>
        <w:numPr>
          <w:ilvl w:val="0"/>
          <w:numId w:val="1"/>
        </w:numPr>
        <w:spacing w:line="360" w:lineRule="auto"/>
        <w:jc w:val="both"/>
        <w:rPr>
          <w:sz w:val="24"/>
        </w:rPr>
      </w:pPr>
      <w:r>
        <w:rPr>
          <w:sz w:val="24"/>
          <w:rtl/>
        </w:rPr>
        <w:t>מתחם העונש ההולם למעשה העבירה נקבע בהתאם לעיקרון ההלימה ולפיו נדרש יחס הולם בין חומרת מעשה העבירה בנסיבותיו ומידת האשם של הנאשם, לבין סוג ומידת העונש המוטל עליה. ביישום עיקרון ההלימה וקביעת מתחם העונש במקרה קונקרטי, בית המשפט יתחשב בשלושת אלה: הערך החברתי שנפגע ומידת הפגיעה בו; מדיניות הענישה הנוהגת; נסיבות הקשורות בביצוע העבירה.</w:t>
      </w:r>
    </w:p>
    <w:p w14:paraId="7F9932BE" w14:textId="77777777" w:rsidR="00D873D3" w:rsidRDefault="00D873D3" w:rsidP="00D873D3">
      <w:pPr>
        <w:pStyle w:val="aa"/>
        <w:spacing w:line="360" w:lineRule="auto"/>
        <w:ind w:left="360"/>
        <w:jc w:val="both"/>
        <w:rPr>
          <w:sz w:val="24"/>
        </w:rPr>
      </w:pPr>
    </w:p>
    <w:p w14:paraId="333C985D" w14:textId="77777777" w:rsidR="00D873D3" w:rsidRDefault="00D873D3" w:rsidP="00D873D3">
      <w:pPr>
        <w:pStyle w:val="aa"/>
        <w:numPr>
          <w:ilvl w:val="0"/>
          <w:numId w:val="1"/>
        </w:numPr>
        <w:spacing w:after="200" w:line="360" w:lineRule="auto"/>
        <w:jc w:val="both"/>
        <w:rPr>
          <w:rFonts w:ascii="David" w:hAnsi="David"/>
          <w:sz w:val="24"/>
          <w:rtl/>
        </w:rPr>
      </w:pPr>
      <w:r>
        <w:rPr>
          <w:rFonts w:ascii="David" w:hAnsi="David"/>
          <w:sz w:val="24"/>
          <w:rtl/>
        </w:rPr>
        <w:t>הערכים המוגנים בעבירות סמים הם הגנה על בריאות הציבור ועל שלומו הפיזי והנפשי מפני הנזקים הישירים והעקיפים הנגרמים עקב השימוש בסמים. חקיקת חוקי הסמים נועדה לעקור נגע הסמים מהשורש. ייצור, הפצה, סחר וכן שימוש בסמים טומנים בחובם פוטנציאל לנזק רחב, לא רק למעורבים הישירים בביצוע העבירות אלא לחברה כולה - צרכן הסמים, משפחתו, והנפגעים העקיפים מהפעילות העבריינית שנלווית פעמים רבות לעבירות הסמים.</w:t>
      </w:r>
    </w:p>
    <w:p w14:paraId="36ADECA5" w14:textId="77777777" w:rsidR="00D873D3" w:rsidRDefault="00D873D3" w:rsidP="00D873D3">
      <w:pPr>
        <w:numPr>
          <w:ilvl w:val="0"/>
          <w:numId w:val="1"/>
        </w:numPr>
        <w:spacing w:after="200" w:line="360" w:lineRule="auto"/>
        <w:contextualSpacing/>
        <w:jc w:val="both"/>
        <w:rPr>
          <w:rFonts w:ascii="David" w:hAnsi="David"/>
          <w:rtl/>
        </w:rPr>
      </w:pPr>
      <w:r>
        <w:rPr>
          <w:rFonts w:ascii="David" w:hAnsi="David"/>
          <w:rtl/>
        </w:rPr>
        <w:t>עבירות הסמים פוגעות גם בערכים מוגנים נוספים, שהנם שמירה על הביטחון הכללי של הציבור ועל רכושו, שכן הקשר בין שימוש בסמים לבין קשת רחבה של עבירות רכוש ואלימות הנו קשר ידוע וברור.</w:t>
      </w:r>
    </w:p>
    <w:p w14:paraId="495C4D02" w14:textId="77777777" w:rsidR="00D873D3" w:rsidRDefault="00D873D3" w:rsidP="00D873D3">
      <w:pPr>
        <w:spacing w:after="200" w:line="360" w:lineRule="auto"/>
        <w:ind w:left="720"/>
        <w:jc w:val="both"/>
        <w:rPr>
          <w:rFonts w:ascii="FrankRuehl" w:hAnsi="FrankRuehl"/>
          <w:rtl/>
        </w:rPr>
      </w:pPr>
      <w:r>
        <w:rPr>
          <w:rFonts w:ascii="David" w:hAnsi="David"/>
          <w:rtl/>
        </w:rPr>
        <w:t xml:space="preserve">לעניין זה ראו </w:t>
      </w:r>
      <w:hyperlink r:id="rId23" w:history="1">
        <w:r w:rsidR="00F15DD7" w:rsidRPr="00F15DD7">
          <w:rPr>
            <w:rFonts w:ascii="David" w:hAnsi="David"/>
            <w:color w:val="0000FF"/>
            <w:u w:val="single"/>
            <w:rtl/>
          </w:rPr>
          <w:t>ע"פ 972/11</w:t>
        </w:r>
      </w:hyperlink>
      <w:r>
        <w:rPr>
          <w:rFonts w:ascii="David" w:hAnsi="David"/>
          <w:rtl/>
        </w:rPr>
        <w:t xml:space="preserve"> </w:t>
      </w:r>
      <w:r>
        <w:rPr>
          <w:rFonts w:ascii="David" w:hAnsi="David"/>
          <w:b/>
          <w:bCs/>
          <w:rtl/>
        </w:rPr>
        <w:t xml:space="preserve">מדינת ישראל נגד יניב יונה </w:t>
      </w:r>
      <w:r>
        <w:rPr>
          <w:rFonts w:ascii="David" w:hAnsi="David"/>
          <w:rtl/>
        </w:rPr>
        <w:t>[פורסם במאגרים] (4.7.12):</w:t>
      </w:r>
    </w:p>
    <w:p w14:paraId="7503221C" w14:textId="77777777" w:rsidR="00D873D3" w:rsidRDefault="00D873D3" w:rsidP="00D873D3">
      <w:pPr>
        <w:ind w:left="1440" w:right="851"/>
        <w:jc w:val="both"/>
        <w:rPr>
          <w:rFonts w:ascii="FrankRuehl" w:hAnsi="FrankRuehl"/>
          <w:b/>
          <w:bCs/>
          <w:rtl/>
        </w:rPr>
      </w:pPr>
      <w:r>
        <w:rPr>
          <w:rFonts w:ascii="FrankRuehl" w:hAnsi="FrankRuehl"/>
          <w:b/>
          <w:bCs/>
          <w:rtl/>
        </w:rPr>
        <w:t xml:space="preserve">"את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w:t>
      </w:r>
    </w:p>
    <w:p w14:paraId="14408AF4" w14:textId="77777777" w:rsidR="00D873D3" w:rsidRDefault="00D873D3" w:rsidP="00D873D3">
      <w:pPr>
        <w:spacing w:after="200" w:line="360" w:lineRule="auto"/>
        <w:ind w:left="720"/>
        <w:jc w:val="both"/>
        <w:rPr>
          <w:rFonts w:ascii="David" w:hAnsi="David"/>
          <w:rtl/>
        </w:rPr>
      </w:pPr>
    </w:p>
    <w:p w14:paraId="0B1F7302" w14:textId="77777777" w:rsidR="00D873D3" w:rsidRDefault="00D873D3" w:rsidP="00D873D3">
      <w:pPr>
        <w:spacing w:after="200" w:line="360" w:lineRule="auto"/>
        <w:ind w:left="720"/>
        <w:jc w:val="both"/>
        <w:rPr>
          <w:rFonts w:ascii="David" w:hAnsi="David"/>
          <w:rtl/>
        </w:rPr>
      </w:pPr>
      <w:r>
        <w:rPr>
          <w:rFonts w:ascii="David" w:hAnsi="David"/>
          <w:rtl/>
        </w:rPr>
        <w:t xml:space="preserve">ראו גם </w:t>
      </w:r>
      <w:hyperlink r:id="rId24" w:history="1">
        <w:r w:rsidR="00F15DD7" w:rsidRPr="00F15DD7">
          <w:rPr>
            <w:rFonts w:ascii="David" w:hAnsi="David"/>
            <w:color w:val="0000FF"/>
            <w:u w:val="single"/>
            <w:rtl/>
          </w:rPr>
          <w:t>רע"פ 2557/12</w:t>
        </w:r>
      </w:hyperlink>
      <w:r>
        <w:rPr>
          <w:rFonts w:ascii="David" w:hAnsi="David"/>
          <w:rtl/>
        </w:rPr>
        <w:t xml:space="preserve"> </w:t>
      </w:r>
      <w:r>
        <w:rPr>
          <w:rFonts w:ascii="David" w:hAnsi="David"/>
          <w:b/>
          <w:bCs/>
          <w:rtl/>
        </w:rPr>
        <w:t>תמם פרדי נגד מדינת ישראל</w:t>
      </w:r>
      <w:r>
        <w:rPr>
          <w:rFonts w:ascii="David" w:hAnsi="David"/>
          <w:rtl/>
        </w:rPr>
        <w:t xml:space="preserve"> [פורסם במאגרים] (5.4.12): </w:t>
      </w:r>
    </w:p>
    <w:p w14:paraId="508BC853" w14:textId="77777777" w:rsidR="00D873D3" w:rsidRDefault="00D873D3" w:rsidP="00D873D3">
      <w:pPr>
        <w:ind w:left="1440" w:right="851"/>
        <w:jc w:val="both"/>
        <w:rPr>
          <w:rFonts w:ascii="FrankRuehl" w:hAnsi="FrankRuehl"/>
          <w:b/>
          <w:bCs/>
          <w:rtl/>
        </w:rPr>
      </w:pPr>
      <w:r>
        <w:rPr>
          <w:rFonts w:ascii="FrankRuehl" w:hAnsi="FrankRuehl"/>
          <w:b/>
          <w:bCs/>
          <w:rtl/>
        </w:rPr>
        <w:t xml:space="preserve">"עמדנו לא אחת על חומרתן של עבירות הפצת סמים והחשיבות בהרתעה אפקטיבית: </w:t>
      </w:r>
    </w:p>
    <w:p w14:paraId="1D9105A0" w14:textId="77777777" w:rsidR="00D873D3" w:rsidRDefault="00D873D3" w:rsidP="00D873D3">
      <w:pPr>
        <w:ind w:left="1440" w:right="851"/>
        <w:jc w:val="both"/>
        <w:rPr>
          <w:rFonts w:ascii="FrankRuehl" w:hAnsi="FrankRuehl"/>
          <w:b/>
          <w:bCs/>
          <w:rtl/>
        </w:rPr>
      </w:pPr>
      <w:r>
        <w:rPr>
          <w:rFonts w:ascii="FrankRuehl" w:hAnsi="FrankRuehl"/>
          <w:b/>
          <w:bCs/>
          <w:rtl/>
        </w:rPr>
        <w:t>"חשיבות המלחמה בנגע הסמים ידועה לכל, והעוסקים בסחר ובתיווך בסם יידעו כי 'מלחמת החורמה בעברייני סמים נמשכת והולכת. מלחמה קשה היא, מלחמה ארוכה, והיא כמלחמת ישראל בעמלק' (</w:t>
      </w:r>
      <w:hyperlink r:id="rId25" w:history="1">
        <w:r w:rsidR="00F15DD7" w:rsidRPr="00F15DD7">
          <w:rPr>
            <w:rFonts w:ascii="FrankRuehl" w:hAnsi="FrankRuehl"/>
            <w:b/>
            <w:bCs/>
            <w:color w:val="0000FF"/>
            <w:u w:val="single"/>
            <w:rtl/>
          </w:rPr>
          <w:t>ע"פ 4998/95</w:t>
        </w:r>
      </w:hyperlink>
      <w:r>
        <w:rPr>
          <w:rFonts w:ascii="FrankRuehl" w:hAnsi="FrankRuehl"/>
          <w:b/>
          <w:bCs/>
          <w:rtl/>
        </w:rPr>
        <w:t xml:space="preserve"> מדינת ישראל נ' אוקטביו, פ"ד נא(3) 769, 787 השופט כתארו אז - מ' חשין)" (</w:t>
      </w:r>
      <w:hyperlink r:id="rId26" w:history="1">
        <w:r w:rsidR="00F15DD7" w:rsidRPr="00F15DD7">
          <w:rPr>
            <w:rFonts w:ascii="FrankRuehl" w:hAnsi="FrankRuehl"/>
            <w:b/>
            <w:bCs/>
            <w:color w:val="0000FF"/>
            <w:u w:val="single"/>
            <w:rtl/>
          </w:rPr>
          <w:t>רע"פ 1720/11</w:t>
        </w:r>
      </w:hyperlink>
      <w:r>
        <w:rPr>
          <w:rFonts w:ascii="FrankRuehl" w:hAnsi="FrankRuehl"/>
          <w:b/>
          <w:bCs/>
          <w:rtl/>
        </w:rPr>
        <w:t xml:space="preserve">  גליק נ' מדינת ישראל (לא פורסם) [פורסם במאגרים] פסקה ז')."</w:t>
      </w:r>
    </w:p>
    <w:p w14:paraId="5F918D0F" w14:textId="77777777" w:rsidR="00D873D3" w:rsidRDefault="00D873D3" w:rsidP="00D873D3">
      <w:pPr>
        <w:ind w:left="1440" w:right="851"/>
        <w:jc w:val="both"/>
        <w:rPr>
          <w:rFonts w:ascii="FrankRuehl" w:hAnsi="FrankRuehl"/>
          <w:b/>
          <w:bCs/>
          <w:rtl/>
        </w:rPr>
      </w:pPr>
    </w:p>
    <w:p w14:paraId="6DDD72A8" w14:textId="77777777" w:rsidR="00D873D3" w:rsidRDefault="00D873D3" w:rsidP="00D873D3">
      <w:pPr>
        <w:spacing w:after="200" w:line="360" w:lineRule="auto"/>
        <w:contextualSpacing/>
        <w:jc w:val="both"/>
        <w:rPr>
          <w:rFonts w:ascii="David" w:hAnsi="David"/>
          <w:b/>
          <w:bCs/>
          <w:rtl/>
        </w:rPr>
      </w:pPr>
      <w:r>
        <w:rPr>
          <w:rFonts w:ascii="David" w:hAnsi="David"/>
          <w:b/>
          <w:bCs/>
          <w:rtl/>
        </w:rPr>
        <w:tab/>
      </w:r>
    </w:p>
    <w:p w14:paraId="63847AAF" w14:textId="77777777" w:rsidR="00D873D3" w:rsidRDefault="00D873D3" w:rsidP="00D873D3">
      <w:pPr>
        <w:pStyle w:val="aa"/>
        <w:numPr>
          <w:ilvl w:val="0"/>
          <w:numId w:val="1"/>
        </w:numPr>
        <w:snapToGrid/>
        <w:spacing w:after="160" w:line="360" w:lineRule="auto"/>
        <w:jc w:val="both"/>
        <w:rPr>
          <w:sz w:val="24"/>
          <w:rtl/>
        </w:rPr>
      </w:pPr>
      <w:r>
        <w:rPr>
          <w:sz w:val="24"/>
          <w:rtl/>
        </w:rPr>
        <w:t>הנאשם הורשע גם בעבירת החזקת סכין ופגע בערכים החברתיים המוגנים שעניינם ההגנה על שלום הציבור וביטחונו והשמירה על הסדר הציבורי. בעניין זה אפנה ל</w:t>
      </w:r>
      <w:hyperlink r:id="rId27" w:history="1">
        <w:r w:rsidR="00F15DD7" w:rsidRPr="00F15DD7">
          <w:rPr>
            <w:rFonts w:hint="cs"/>
            <w:color w:val="0000FF"/>
            <w:sz w:val="24"/>
            <w:u w:val="single"/>
            <w:rtl/>
          </w:rPr>
          <w:t>ע</w:t>
        </w:r>
        <w:r w:rsidR="00F15DD7" w:rsidRPr="00F15DD7">
          <w:rPr>
            <w:color w:val="0000FF"/>
            <w:sz w:val="24"/>
            <w:u w:val="single"/>
            <w:rtl/>
          </w:rPr>
          <w:t>"</w:t>
        </w:r>
        <w:r w:rsidR="00F15DD7" w:rsidRPr="00F15DD7">
          <w:rPr>
            <w:rFonts w:hint="cs"/>
            <w:color w:val="0000FF"/>
            <w:sz w:val="24"/>
            <w:u w:val="single"/>
            <w:rtl/>
          </w:rPr>
          <w:t>פ</w:t>
        </w:r>
        <w:r w:rsidR="00F15DD7" w:rsidRPr="00F15DD7">
          <w:rPr>
            <w:color w:val="0000FF"/>
            <w:sz w:val="24"/>
            <w:u w:val="single"/>
            <w:rtl/>
          </w:rPr>
          <w:t xml:space="preserve"> 1964/14</w:t>
        </w:r>
      </w:hyperlink>
      <w:r>
        <w:rPr>
          <w:sz w:val="24"/>
          <w:rtl/>
        </w:rPr>
        <w:t xml:space="preserve"> </w:t>
      </w:r>
      <w:r>
        <w:rPr>
          <w:b/>
          <w:bCs/>
          <w:sz w:val="24"/>
          <w:rtl/>
        </w:rPr>
        <w:t>מדינת ישראל נגד שימשילשווילי</w:t>
      </w:r>
      <w:r>
        <w:rPr>
          <w:sz w:val="24"/>
          <w:rtl/>
        </w:rPr>
        <w:t>, שם קבע בית המשפט:</w:t>
      </w:r>
    </w:p>
    <w:p w14:paraId="6C637BE4" w14:textId="77777777" w:rsidR="00D873D3" w:rsidRDefault="00D873D3" w:rsidP="00D873D3">
      <w:pPr>
        <w:ind w:left="1440" w:right="851"/>
        <w:jc w:val="both"/>
        <w:rPr>
          <w:rFonts w:ascii="David" w:hAnsi="David"/>
          <w:b/>
          <w:bCs/>
          <w:lang w:eastAsia="he-IL"/>
        </w:rPr>
      </w:pPr>
      <w:r>
        <w:rPr>
          <w:rFonts w:ascii="David" w:hAnsi="David"/>
          <w:b/>
          <w:bCs/>
          <w:rtl/>
          <w:lang w:eastAsia="he-IL"/>
        </w:rPr>
        <w:t xml:space="preserve">"שוב ושוב נזכיר – ומקרה זה אינו יוצא מן הכלל – כי נטילת סכין היא פעולה שתחילתה ברורה, אך בהמשך מובילה לאירועים שקשה לחזות אותם ואינם נושאים טובה לאף אחד מן המעורבים באירוע. החברה בישראל, ובית המשפט בכלל זה, אינה יכולה להשלים עם תופעות אלה, ומצווה לעקרו מן השורש". </w:t>
      </w:r>
    </w:p>
    <w:p w14:paraId="3F94BE62" w14:textId="77777777" w:rsidR="00D873D3" w:rsidRDefault="00D873D3" w:rsidP="00D873D3">
      <w:pPr>
        <w:pStyle w:val="aa"/>
        <w:spacing w:after="200" w:line="360" w:lineRule="auto"/>
        <w:ind w:left="360"/>
        <w:jc w:val="both"/>
        <w:rPr>
          <w:rFonts w:ascii="David" w:hAnsi="David"/>
          <w:sz w:val="24"/>
        </w:rPr>
      </w:pPr>
    </w:p>
    <w:p w14:paraId="48588673" w14:textId="77777777" w:rsidR="00D873D3" w:rsidRDefault="00D873D3" w:rsidP="00D873D3">
      <w:pPr>
        <w:pStyle w:val="aa"/>
        <w:numPr>
          <w:ilvl w:val="0"/>
          <w:numId w:val="1"/>
        </w:numPr>
        <w:spacing w:after="200" w:line="360" w:lineRule="auto"/>
        <w:jc w:val="both"/>
        <w:rPr>
          <w:rFonts w:ascii="David" w:hAnsi="David"/>
          <w:sz w:val="24"/>
        </w:rPr>
      </w:pPr>
      <w:r>
        <w:rPr>
          <w:rFonts w:ascii="David" w:hAnsi="David"/>
          <w:sz w:val="24"/>
          <w:rtl/>
        </w:rPr>
        <w:t>אין מחלוקת בין הצדדים במקרה זה בשאלת מתחם העונש ההולם.  ואכן, מתחם עונש של 6 עד 12 חודשי מאסר, תואם את הפסיקה הנוהגת בשים לב לסוג הסם והכמות בה מדובר וכן בנסיבות ההחזקה. מתחם זה יכול להתאים גם בהינתן נסיבות החזקת הסכין שאינן מן החמורות, ביחס לעבירה זו.</w:t>
      </w:r>
    </w:p>
    <w:p w14:paraId="072AC33F" w14:textId="77777777" w:rsidR="00D873D3" w:rsidRDefault="00D873D3" w:rsidP="00D873D3">
      <w:pPr>
        <w:pStyle w:val="aa"/>
        <w:spacing w:after="200" w:line="360" w:lineRule="auto"/>
        <w:ind w:left="360"/>
        <w:jc w:val="both"/>
        <w:rPr>
          <w:rFonts w:ascii="David" w:hAnsi="David"/>
          <w:sz w:val="24"/>
        </w:rPr>
      </w:pPr>
      <w:r>
        <w:rPr>
          <w:rFonts w:ascii="David" w:hAnsi="David"/>
          <w:sz w:val="24"/>
          <w:rtl/>
        </w:rPr>
        <w:t>בנסיבות אלה, בית המשפט מקבל את טיעון הצדדים לעניין מתחם העונש ההולם.</w:t>
      </w:r>
    </w:p>
    <w:p w14:paraId="0E90F6B8" w14:textId="77777777" w:rsidR="00D873D3" w:rsidRDefault="00D873D3" w:rsidP="00D873D3">
      <w:pPr>
        <w:pStyle w:val="aa"/>
        <w:rPr>
          <w:rFonts w:ascii="David" w:hAnsi="David"/>
          <w:b/>
          <w:bCs/>
          <w:sz w:val="24"/>
          <w:rtl/>
        </w:rPr>
      </w:pPr>
    </w:p>
    <w:p w14:paraId="6A55B879" w14:textId="77777777" w:rsidR="00D873D3" w:rsidRDefault="00D873D3" w:rsidP="00D873D3">
      <w:pPr>
        <w:pStyle w:val="aa"/>
        <w:numPr>
          <w:ilvl w:val="0"/>
          <w:numId w:val="1"/>
        </w:numPr>
        <w:spacing w:after="80" w:line="360" w:lineRule="auto"/>
        <w:jc w:val="both"/>
        <w:rPr>
          <w:sz w:val="28"/>
          <w:rtl/>
        </w:rPr>
      </w:pPr>
      <w:r>
        <w:rPr>
          <w:sz w:val="28"/>
          <w:rtl/>
        </w:rPr>
        <w:t>אשר ל</w:t>
      </w:r>
      <w:r>
        <w:rPr>
          <w:b/>
          <w:bCs/>
          <w:sz w:val="28"/>
          <w:rtl/>
        </w:rPr>
        <w:t xml:space="preserve">מתחם הקנס </w:t>
      </w:r>
      <w:r>
        <w:rPr>
          <w:sz w:val="28"/>
          <w:rtl/>
        </w:rPr>
        <w:t>ההולם, מאחר שמדובר בעבירות שהמניע לביצוען הוא השגת רווח כספי, יש לקבוע עונש כלכלי מתאים בצידו. אין בפניי נסיבות מיוחדות מוכחות לעניין מצבו הכלכלי של הנאשם, המצדיקות חריגה לקולא ממתחם הקנס הרגיל. יש לקבוע את מתחם הקנס, בשים לב לכמות הסם שנתפס על 3,000-10,000 ₪.</w:t>
      </w:r>
    </w:p>
    <w:p w14:paraId="7592ECAB" w14:textId="77777777" w:rsidR="00D873D3" w:rsidRDefault="00D873D3" w:rsidP="00D873D3">
      <w:pPr>
        <w:spacing w:line="360" w:lineRule="auto"/>
        <w:jc w:val="both"/>
        <w:rPr>
          <w:b/>
          <w:bCs/>
          <w:u w:val="single"/>
        </w:rPr>
      </w:pPr>
    </w:p>
    <w:p w14:paraId="208E5FD9" w14:textId="77777777" w:rsidR="00D873D3" w:rsidRDefault="00D873D3" w:rsidP="00D873D3">
      <w:pPr>
        <w:spacing w:line="360" w:lineRule="auto"/>
        <w:jc w:val="both"/>
        <w:rPr>
          <w:b/>
          <w:bCs/>
          <w:u w:val="single"/>
          <w:rtl/>
        </w:rPr>
      </w:pPr>
      <w:r>
        <w:rPr>
          <w:b/>
          <w:bCs/>
          <w:u w:val="single"/>
          <w:rtl/>
        </w:rPr>
        <w:t>קביעת העונש המתאים בגדרי המתחם</w:t>
      </w:r>
    </w:p>
    <w:p w14:paraId="10FFC7E6" w14:textId="77777777" w:rsidR="00D873D3" w:rsidRDefault="00D873D3" w:rsidP="00D873D3">
      <w:pPr>
        <w:pStyle w:val="aa"/>
        <w:numPr>
          <w:ilvl w:val="0"/>
          <w:numId w:val="1"/>
        </w:numPr>
        <w:spacing w:line="360" w:lineRule="auto"/>
        <w:jc w:val="both"/>
        <w:rPr>
          <w:sz w:val="24"/>
          <w:rtl/>
        </w:rPr>
      </w:pPr>
      <w:r>
        <w:rPr>
          <w:sz w:val="24"/>
          <w:rtl/>
        </w:rPr>
        <w:t>בגזירת העונש המתאים לנאשם, בגדרי מתחם העונש ההולם, יתחשב בית המשפט בשיקולים כלליים ובשיקולים פרטניים, שאינם קשורים בנסיבות ביצוע העבירה. במקרה שבפניי מן הראוי לתת את הדעת לנסיבות הבאות:</w:t>
      </w:r>
    </w:p>
    <w:p w14:paraId="3FA481A5" w14:textId="77777777" w:rsidR="00D873D3" w:rsidRDefault="00D873D3" w:rsidP="00D873D3">
      <w:pPr>
        <w:pStyle w:val="aa"/>
        <w:numPr>
          <w:ilvl w:val="0"/>
          <w:numId w:val="1"/>
        </w:numPr>
        <w:spacing w:line="360" w:lineRule="auto"/>
        <w:jc w:val="both"/>
        <w:rPr>
          <w:sz w:val="24"/>
        </w:rPr>
      </w:pPr>
      <w:r>
        <w:rPr>
          <w:sz w:val="24"/>
          <w:rtl/>
        </w:rPr>
        <w:t xml:space="preserve">לקחתי בחשבון כי הנאשם הודה בכתב האישום המיוחס לו ובכך לקח אחריות על מעשיו וכן חסך זמן שיפוטי יקר, מנגד יש להביא בחשבון את התנהלות הנאשם בדיונים, ואת אי התייצבותו לחלק מהדיונים ללא כל סיבה וניתוק הקשר עם באת כוחו הממתנים את מידת ההתחשבות הראויה בהיבט זה של חיסכון בזמן שיפוטי. </w:t>
      </w:r>
    </w:p>
    <w:p w14:paraId="250E6E89" w14:textId="77777777" w:rsidR="00D873D3" w:rsidRDefault="00D873D3" w:rsidP="00D873D3">
      <w:pPr>
        <w:pStyle w:val="aa"/>
        <w:numPr>
          <w:ilvl w:val="0"/>
          <w:numId w:val="1"/>
        </w:numPr>
        <w:spacing w:line="360" w:lineRule="auto"/>
        <w:jc w:val="both"/>
        <w:rPr>
          <w:sz w:val="24"/>
        </w:rPr>
      </w:pPr>
      <w:r>
        <w:rPr>
          <w:sz w:val="24"/>
          <w:rtl/>
        </w:rPr>
        <w:t>מדובר בנאשם שלחובתו עבר פלילי, אך לא בעבירות סמים. כמו כן, בעת ביצוע העבירה עמדה לחובתו הרשעה קודמת אחת, בעבירת אלימות בגינה נדון לענישה צופה פני עתיד</w:t>
      </w:r>
    </w:p>
    <w:p w14:paraId="35B33E35" w14:textId="77777777" w:rsidR="00D873D3" w:rsidRDefault="00D873D3" w:rsidP="00D873D3">
      <w:pPr>
        <w:pStyle w:val="aa"/>
        <w:numPr>
          <w:ilvl w:val="0"/>
          <w:numId w:val="1"/>
        </w:numPr>
        <w:spacing w:line="360" w:lineRule="auto"/>
        <w:jc w:val="both"/>
        <w:rPr>
          <w:sz w:val="24"/>
        </w:rPr>
      </w:pPr>
      <w:r>
        <w:rPr>
          <w:rtl/>
        </w:rPr>
        <w:t>אין בפניי שיקולי שיקום המצדיקים התחשבות לעניין העונש. אמנם עולה מגיליון הרישום הפלילי, כי מאז שוחרר הנאשם ממאסר לא נפתחו נגדו תיקים חדשים, ואולם עבירת האלימות החמורה בה הורשע, ואשר אותה ביצע לאחר מועד ביצוע העבירה בתיק זה, מלמדת כי לא היה בתפיסתו בתיק זה כדי להרתיע את הנאשם מפני הסתבכות בעבירה נוספת לאחר מכן.</w:t>
      </w:r>
    </w:p>
    <w:p w14:paraId="38665930" w14:textId="77777777" w:rsidR="00D873D3" w:rsidRDefault="00D873D3" w:rsidP="00D873D3">
      <w:pPr>
        <w:pStyle w:val="aa"/>
        <w:spacing w:line="360" w:lineRule="auto"/>
        <w:ind w:left="360"/>
        <w:jc w:val="both"/>
      </w:pPr>
    </w:p>
    <w:p w14:paraId="4978496C" w14:textId="77777777" w:rsidR="00D873D3" w:rsidRDefault="00D873D3" w:rsidP="00D873D3">
      <w:pPr>
        <w:pStyle w:val="aa"/>
        <w:spacing w:line="360" w:lineRule="auto"/>
        <w:ind w:left="360"/>
        <w:jc w:val="both"/>
        <w:rPr>
          <w:rtl/>
        </w:rPr>
      </w:pPr>
      <w:r>
        <w:rPr>
          <w:rtl/>
        </w:rPr>
        <w:t>לקחתי בחשבון גם את חלוף הזמן מאז ביצוע העבירה. שיקול זה מוביל למסקנה, כי לפנים משורת הדין, ניתן להימנע מהטלת פסילת רישיון בפועל אף שהובלת הסמים נעשתה ברכבו של הנאשם. זאת, על מנת שלא לפגוע בסיכויי שילובו בשוק העבודה.</w:t>
      </w:r>
    </w:p>
    <w:p w14:paraId="26A59CE9" w14:textId="77777777" w:rsidR="00D873D3" w:rsidRDefault="00D873D3" w:rsidP="00D873D3">
      <w:pPr>
        <w:pStyle w:val="aa"/>
        <w:spacing w:line="360" w:lineRule="auto"/>
        <w:ind w:left="360"/>
        <w:jc w:val="both"/>
        <w:rPr>
          <w:rtl/>
        </w:rPr>
      </w:pPr>
    </w:p>
    <w:p w14:paraId="3A8166F8" w14:textId="77777777" w:rsidR="00D873D3" w:rsidRDefault="00D873D3" w:rsidP="00D873D3">
      <w:pPr>
        <w:pStyle w:val="aa"/>
        <w:spacing w:line="360" w:lineRule="auto"/>
        <w:ind w:left="360"/>
        <w:jc w:val="both"/>
        <w:rPr>
          <w:sz w:val="24"/>
          <w:rtl/>
        </w:rPr>
      </w:pPr>
      <w:r>
        <w:rPr>
          <w:rtl/>
        </w:rPr>
        <w:t>בנסיבות אלה, יש להטיל על הנאשם עונש באני מוצאת כי יש להטיל על הנאשם עונש ברף הבינוני-נמוך של מתחם העונש ועונשים נלווים.</w:t>
      </w:r>
    </w:p>
    <w:p w14:paraId="11580725" w14:textId="77777777" w:rsidR="00D873D3" w:rsidRDefault="00D873D3" w:rsidP="00D873D3">
      <w:pPr>
        <w:pStyle w:val="aa"/>
        <w:spacing w:line="360" w:lineRule="auto"/>
        <w:ind w:left="360"/>
        <w:jc w:val="both"/>
        <w:rPr>
          <w:sz w:val="24"/>
          <w:rtl/>
        </w:rPr>
      </w:pPr>
    </w:p>
    <w:p w14:paraId="7916E21E" w14:textId="77777777" w:rsidR="00D873D3" w:rsidRDefault="00D873D3" w:rsidP="00D873D3">
      <w:pPr>
        <w:pStyle w:val="aa"/>
        <w:numPr>
          <w:ilvl w:val="0"/>
          <w:numId w:val="1"/>
        </w:numPr>
        <w:spacing w:line="360" w:lineRule="auto"/>
        <w:jc w:val="both"/>
        <w:rPr>
          <w:sz w:val="24"/>
        </w:rPr>
      </w:pPr>
      <w:r>
        <w:rPr>
          <w:sz w:val="24"/>
          <w:rtl/>
        </w:rPr>
        <w:t>הנאשם עתר להפנותו אל הממונה על עבודות השירות ובית המשפט נעתר לבקשה זו. לאחר שהנאשם לא התייצב אצל הממונה אף שזומן כדין, ניתנה לבקשת באת כוחו הזדמנות נוספת אך גם אז הנאשם נמנע מלהתייצב. עד למועד כתיבת גזר הדין לא הוגש הסבר מטעם הנאשם למחדלו.</w:t>
      </w:r>
    </w:p>
    <w:p w14:paraId="7DED8444" w14:textId="77777777" w:rsidR="00D873D3" w:rsidRDefault="00D873D3" w:rsidP="00D873D3">
      <w:pPr>
        <w:pStyle w:val="aa"/>
        <w:spacing w:line="360" w:lineRule="auto"/>
        <w:ind w:left="360"/>
        <w:jc w:val="both"/>
        <w:rPr>
          <w:sz w:val="24"/>
        </w:rPr>
      </w:pPr>
      <w:r>
        <w:rPr>
          <w:sz w:val="24"/>
          <w:rtl/>
        </w:rPr>
        <w:t xml:space="preserve">בנסיבות אלה, בית המשפט לוקח בחשבון, כי לו נמצא הנאשם מתאים לביצוע עונש בעבודות שירות, סביר שבית המשפט היה נענה לכך. </w:t>
      </w:r>
    </w:p>
    <w:p w14:paraId="1BF83026" w14:textId="77777777" w:rsidR="00D873D3" w:rsidRDefault="00D873D3" w:rsidP="00D873D3">
      <w:pPr>
        <w:spacing w:line="360" w:lineRule="auto"/>
        <w:jc w:val="both"/>
        <w:rPr>
          <w:sz w:val="28"/>
          <w:rtl/>
        </w:rPr>
      </w:pPr>
    </w:p>
    <w:p w14:paraId="1B5BD6A2" w14:textId="77777777" w:rsidR="00D873D3" w:rsidRDefault="00D873D3" w:rsidP="00D873D3">
      <w:pPr>
        <w:spacing w:line="360" w:lineRule="auto"/>
        <w:jc w:val="both"/>
        <w:rPr>
          <w:b/>
          <w:bCs/>
          <w:sz w:val="28"/>
          <w:u w:val="single"/>
          <w:rtl/>
        </w:rPr>
      </w:pPr>
      <w:r>
        <w:rPr>
          <w:b/>
          <w:bCs/>
          <w:sz w:val="28"/>
          <w:u w:val="single"/>
          <w:rtl/>
        </w:rPr>
        <w:t>שאלת ההוצאות:</w:t>
      </w:r>
    </w:p>
    <w:p w14:paraId="2D45BA80" w14:textId="77777777" w:rsidR="00D873D3" w:rsidRDefault="00D873D3" w:rsidP="00D873D3">
      <w:pPr>
        <w:pStyle w:val="aa"/>
        <w:numPr>
          <w:ilvl w:val="0"/>
          <w:numId w:val="1"/>
        </w:numPr>
        <w:spacing w:line="360" w:lineRule="auto"/>
        <w:jc w:val="both"/>
        <w:rPr>
          <w:sz w:val="24"/>
          <w:rtl/>
        </w:rPr>
      </w:pPr>
      <w:r>
        <w:rPr>
          <w:sz w:val="24"/>
          <w:rtl/>
        </w:rPr>
        <w:t>לאחר ששקלתי את טענות ב"כ הנאשם ביחס לשאלה זו, בהינתן העובדה כי הנאשם חלה בקורונה וכי הוא מפרנס עצמו ולאור העובדה כי יוטל על הנאשם עונש מאסר לריצוי בפועל וכן קנס כספי, לפנים משורת הדין, אני מורה על ביטול ההוצאות שהוטלו על הנאשם.</w:t>
      </w:r>
    </w:p>
    <w:p w14:paraId="67109C6F" w14:textId="77777777" w:rsidR="00D873D3" w:rsidRDefault="00D873D3" w:rsidP="00D873D3">
      <w:pPr>
        <w:spacing w:line="360" w:lineRule="auto"/>
        <w:jc w:val="both"/>
        <w:rPr>
          <w:rFonts w:ascii="David" w:hAnsi="David"/>
          <w:b/>
          <w:bCs/>
          <w:u w:val="single"/>
        </w:rPr>
      </w:pPr>
    </w:p>
    <w:p w14:paraId="034E49A9" w14:textId="77777777" w:rsidR="00D873D3" w:rsidRDefault="00D873D3" w:rsidP="00D873D3">
      <w:pPr>
        <w:spacing w:line="360" w:lineRule="auto"/>
        <w:jc w:val="both"/>
        <w:rPr>
          <w:rFonts w:ascii="David" w:hAnsi="David"/>
          <w:b/>
          <w:bCs/>
          <w:u w:val="single"/>
          <w:rtl/>
        </w:rPr>
      </w:pPr>
      <w:r>
        <w:rPr>
          <w:rFonts w:ascii="David" w:hAnsi="David"/>
          <w:b/>
          <w:bCs/>
          <w:u w:val="single"/>
          <w:rtl/>
        </w:rPr>
        <w:t>סוף דבר:</w:t>
      </w:r>
    </w:p>
    <w:p w14:paraId="6D6C8B1E" w14:textId="77777777" w:rsidR="00D873D3" w:rsidRDefault="00D873D3" w:rsidP="00D873D3">
      <w:pPr>
        <w:pStyle w:val="aa"/>
        <w:numPr>
          <w:ilvl w:val="0"/>
          <w:numId w:val="1"/>
        </w:numPr>
        <w:spacing w:line="360" w:lineRule="auto"/>
        <w:jc w:val="both"/>
        <w:rPr>
          <w:sz w:val="24"/>
          <w:rtl/>
        </w:rPr>
      </w:pPr>
      <w:r>
        <w:rPr>
          <w:sz w:val="24"/>
          <w:rtl/>
        </w:rPr>
        <w:t>לאחר ששקלתי את מכלול השיקולים כמפורט לעיל אני מטילה על הנאשם את העונשים הבאים:</w:t>
      </w:r>
    </w:p>
    <w:p w14:paraId="7821FCFA" w14:textId="77777777" w:rsidR="00D873D3" w:rsidRDefault="00D873D3" w:rsidP="00D873D3">
      <w:pPr>
        <w:numPr>
          <w:ilvl w:val="0"/>
          <w:numId w:val="2"/>
        </w:numPr>
        <w:spacing w:after="160" w:line="360" w:lineRule="auto"/>
        <w:contextualSpacing/>
        <w:jc w:val="both"/>
        <w:rPr>
          <w:rFonts w:ascii="Arial" w:hAnsi="Arial"/>
          <w:rtl/>
        </w:rPr>
      </w:pPr>
      <w:r>
        <w:rPr>
          <w:rFonts w:ascii="Arial" w:hAnsi="Arial"/>
          <w:rtl/>
        </w:rPr>
        <w:t>7 חודשי מאסר בפועל, בניכוי ימי מעצרו בהתאם לרישומי שב"ס.</w:t>
      </w:r>
    </w:p>
    <w:p w14:paraId="4AF2F622" w14:textId="77777777" w:rsidR="00D873D3" w:rsidRDefault="00D873D3" w:rsidP="00D873D3">
      <w:pPr>
        <w:numPr>
          <w:ilvl w:val="0"/>
          <w:numId w:val="2"/>
        </w:numPr>
        <w:spacing w:after="160" w:line="360" w:lineRule="auto"/>
        <w:contextualSpacing/>
        <w:jc w:val="both"/>
        <w:rPr>
          <w:rFonts w:ascii="Arial" w:hAnsi="Arial"/>
        </w:rPr>
      </w:pPr>
      <w:r>
        <w:rPr>
          <w:rFonts w:ascii="Arial" w:hAnsi="Arial"/>
          <w:rtl/>
        </w:rPr>
        <w:t xml:space="preserve">מאסר על תנאי לתקופה של 3 חודשים. </w:t>
      </w:r>
      <w:r>
        <w:rPr>
          <w:rFonts w:ascii="Arial" w:hAnsi="Arial"/>
          <w:sz w:val="28"/>
          <w:rtl/>
        </w:rPr>
        <w:t>המאסר המותנה יופעל אם תוך תקופה של 3 שנים מיום שחרורו, יעבור הנאשם עבירה של החזקת סכין.</w:t>
      </w:r>
    </w:p>
    <w:p w14:paraId="65D9652B" w14:textId="77777777" w:rsidR="00D873D3" w:rsidRDefault="00D873D3" w:rsidP="00D873D3">
      <w:pPr>
        <w:numPr>
          <w:ilvl w:val="0"/>
          <w:numId w:val="2"/>
        </w:numPr>
        <w:spacing w:after="160" w:line="360" w:lineRule="auto"/>
        <w:contextualSpacing/>
        <w:jc w:val="both"/>
        <w:rPr>
          <w:rFonts w:ascii="Arial" w:hAnsi="Arial"/>
          <w:rtl/>
        </w:rPr>
      </w:pPr>
      <w:r>
        <w:rPr>
          <w:rFonts w:ascii="Arial" w:hAnsi="Arial"/>
          <w:rtl/>
        </w:rPr>
        <w:t>מאסר על תנאי לתקופה של 6 חודשים המאסר המותנה יופעל אם תוך תקופה של 3 שנים מיום שחרורו, יעבור הנאשם  עבירת סמים מסוג פשע.</w:t>
      </w:r>
    </w:p>
    <w:p w14:paraId="600B1542" w14:textId="77777777" w:rsidR="00D873D3" w:rsidRDefault="00D873D3" w:rsidP="00D873D3">
      <w:pPr>
        <w:numPr>
          <w:ilvl w:val="0"/>
          <w:numId w:val="2"/>
        </w:numPr>
        <w:spacing w:after="160" w:line="360" w:lineRule="auto"/>
        <w:contextualSpacing/>
        <w:jc w:val="both"/>
        <w:rPr>
          <w:rFonts w:ascii="Arial" w:hAnsi="Arial"/>
          <w:rtl/>
        </w:rPr>
      </w:pPr>
      <w:r>
        <w:rPr>
          <w:rFonts w:ascii="Arial" w:hAnsi="Arial"/>
          <w:rtl/>
        </w:rPr>
        <w:t>קנס בסך 5,000 ש"ח</w:t>
      </w:r>
      <w:r w:rsidR="00F15DD7">
        <w:rPr>
          <w:rFonts w:ascii="Arial" w:hAnsi="Arial"/>
          <w:rtl/>
        </w:rPr>
        <w:t xml:space="preserve"> </w:t>
      </w:r>
      <w:r>
        <w:rPr>
          <w:rFonts w:ascii="Arial" w:hAnsi="Arial"/>
          <w:rtl/>
        </w:rPr>
        <w:t xml:space="preserve"> או 25 ימי מאסר תמורתו. הקנס ישולם ב-</w:t>
      </w:r>
      <w:r w:rsidR="00F15DD7">
        <w:rPr>
          <w:rFonts w:ascii="Arial" w:hAnsi="Arial"/>
          <w:rtl/>
        </w:rPr>
        <w:t xml:space="preserve"> </w:t>
      </w:r>
      <w:r>
        <w:rPr>
          <w:rFonts w:ascii="Arial" w:hAnsi="Arial"/>
          <w:rtl/>
        </w:rPr>
        <w:t xml:space="preserve">5 תשלומים חודשיים שווים ורצופים, החל מיום 1.5.2022. תשומת לב הנאשם, כי אי עמידה בתשלום תביא להעמדת הסכום כולו לפירעון. </w:t>
      </w:r>
      <w:r>
        <w:rPr>
          <w:rFonts w:ascii="Arial" w:hAnsi="Arial"/>
          <w:sz w:val="28"/>
          <w:rtl/>
        </w:rPr>
        <w:t xml:space="preserve"> </w:t>
      </w:r>
    </w:p>
    <w:p w14:paraId="243B81BC" w14:textId="77777777" w:rsidR="00D873D3" w:rsidRPr="00D873D3" w:rsidRDefault="00D873D3" w:rsidP="00D873D3">
      <w:pPr>
        <w:numPr>
          <w:ilvl w:val="0"/>
          <w:numId w:val="2"/>
        </w:numPr>
        <w:spacing w:after="160" w:line="360" w:lineRule="auto"/>
        <w:contextualSpacing/>
        <w:jc w:val="both"/>
        <w:rPr>
          <w:rFonts w:ascii="Arial" w:eastAsia="Calibri" w:hAnsi="Arial"/>
          <w:sz w:val="28"/>
          <w:rtl/>
        </w:rPr>
      </w:pPr>
      <w:r>
        <w:rPr>
          <w:rFonts w:ascii="Arial" w:hAnsi="Arial"/>
          <w:sz w:val="28"/>
          <w:rtl/>
        </w:rPr>
        <w:t>פסילה מלקבל או להחזיק רישיון נהיגה על תנאי למשך 6 חודשים, הפסילה תופעל אם תוך תקופה של 3 שנים מיום שחרורו, יעבור הנאשם עבירת סמים או עבירה אחרת מ</w:t>
      </w:r>
      <w:hyperlink r:id="rId28" w:history="1">
        <w:r w:rsidR="00F15DD7" w:rsidRPr="00F15DD7">
          <w:rPr>
            <w:rFonts w:ascii="Arial" w:hAnsi="Arial"/>
            <w:color w:val="0000FF"/>
            <w:sz w:val="28"/>
            <w:u w:val="single"/>
            <w:rtl/>
          </w:rPr>
          <w:t>חוק העונשין</w:t>
        </w:r>
      </w:hyperlink>
      <w:r>
        <w:rPr>
          <w:rFonts w:ascii="Arial" w:hAnsi="Arial"/>
          <w:sz w:val="28"/>
          <w:rtl/>
        </w:rPr>
        <w:t xml:space="preserve"> תוך שימוש ברכב.</w:t>
      </w:r>
    </w:p>
    <w:p w14:paraId="19ECCD56" w14:textId="77777777" w:rsidR="00D873D3" w:rsidRDefault="00D873D3" w:rsidP="00D873D3">
      <w:pPr>
        <w:spacing w:line="360" w:lineRule="auto"/>
        <w:ind w:left="720"/>
        <w:contextualSpacing/>
        <w:jc w:val="both"/>
        <w:rPr>
          <w:rFonts w:ascii="Arial" w:hAnsi="Arial"/>
          <w:sz w:val="28"/>
        </w:rPr>
      </w:pPr>
    </w:p>
    <w:p w14:paraId="2C8E0D06" w14:textId="77777777" w:rsidR="00D873D3" w:rsidRPr="00D873D3" w:rsidRDefault="00D873D3" w:rsidP="00D873D3">
      <w:pPr>
        <w:spacing w:line="360" w:lineRule="auto"/>
        <w:jc w:val="both"/>
        <w:rPr>
          <w:rFonts w:ascii="Calibri" w:hAnsi="Calibri"/>
          <w:rtl/>
        </w:rPr>
      </w:pPr>
      <w:r>
        <w:rPr>
          <w:rtl/>
        </w:rPr>
        <w:t>ניתן בזאת צו להשמדת מוצגים בכפוף לחלוף תקופת הערעור.</w:t>
      </w:r>
    </w:p>
    <w:p w14:paraId="60965C2B" w14:textId="77777777" w:rsidR="00D873D3" w:rsidRDefault="00D873D3" w:rsidP="00D873D3">
      <w:pPr>
        <w:spacing w:line="360" w:lineRule="auto"/>
        <w:jc w:val="both"/>
        <w:rPr>
          <w:rtl/>
        </w:rPr>
      </w:pPr>
      <w:r>
        <w:rPr>
          <w:rtl/>
        </w:rPr>
        <w:t>זכות ערעור כחוק.</w:t>
      </w:r>
    </w:p>
    <w:p w14:paraId="035AD848" w14:textId="77777777" w:rsidR="00D873D3" w:rsidRPr="00F15DD7" w:rsidRDefault="00F15DD7" w:rsidP="00D873D3">
      <w:pPr>
        <w:rPr>
          <w:rFonts w:cs="Arial"/>
          <w:color w:val="FFFFFF"/>
          <w:sz w:val="2"/>
          <w:szCs w:val="2"/>
        </w:rPr>
      </w:pPr>
      <w:r w:rsidRPr="00F15DD7">
        <w:rPr>
          <w:rFonts w:cs="Arial"/>
          <w:color w:val="FFFFFF"/>
          <w:sz w:val="2"/>
          <w:szCs w:val="2"/>
          <w:rtl/>
        </w:rPr>
        <w:t>5129371</w:t>
      </w:r>
    </w:p>
    <w:p w14:paraId="4F2802E5" w14:textId="77777777" w:rsidR="00D873D3" w:rsidRPr="00F15DD7" w:rsidRDefault="00F15DD7" w:rsidP="00D873D3">
      <w:pPr>
        <w:rPr>
          <w:rFonts w:ascii="Arial" w:hAnsi="Arial"/>
          <w:b/>
          <w:bCs/>
          <w:color w:val="FFFFFF"/>
          <w:sz w:val="2"/>
          <w:szCs w:val="2"/>
          <w:rtl/>
        </w:rPr>
      </w:pPr>
      <w:r w:rsidRPr="00F15DD7">
        <w:rPr>
          <w:rFonts w:ascii="Arial" w:hAnsi="Arial"/>
          <w:b/>
          <w:bCs/>
          <w:color w:val="FFFFFF"/>
          <w:sz w:val="2"/>
          <w:szCs w:val="2"/>
          <w:rtl/>
        </w:rPr>
        <w:t>54678313</w:t>
      </w:r>
    </w:p>
    <w:p w14:paraId="4D03E2A2" w14:textId="77777777" w:rsidR="00D873D3" w:rsidRPr="000F2247" w:rsidRDefault="00D873D3" w:rsidP="00D873D3">
      <w:pPr>
        <w:rPr>
          <w:rFonts w:ascii="Arial" w:hAnsi="Arial"/>
          <w:b/>
          <w:bCs/>
          <w:sz w:val="26"/>
          <w:szCs w:val="26"/>
          <w:rtl/>
        </w:rPr>
      </w:pPr>
    </w:p>
    <w:p w14:paraId="291A39B8" w14:textId="77777777" w:rsidR="00D873D3" w:rsidRPr="000F2247" w:rsidRDefault="00F15DD7" w:rsidP="00D873D3">
      <w:pPr>
        <w:rPr>
          <w:rFonts w:ascii="Arial" w:hAnsi="Arial"/>
          <w:b/>
          <w:bCs/>
          <w:sz w:val="26"/>
          <w:szCs w:val="26"/>
          <w:rtl/>
        </w:rPr>
      </w:pPr>
      <w:bookmarkStart w:id="7" w:name="Nitan"/>
      <w:r>
        <w:rPr>
          <w:rFonts w:ascii="Arial" w:hAnsi="Arial"/>
          <w:b/>
          <w:bCs/>
          <w:sz w:val="26"/>
          <w:szCs w:val="26"/>
          <w:rtl/>
        </w:rPr>
        <w:t xml:space="preserve">ניתן היום,  י"ד אדר א' תשפ"ב, 15 פברואר 2022, בהעדר הצדדים. </w:t>
      </w:r>
      <w:bookmarkEnd w:id="7"/>
    </w:p>
    <w:p w14:paraId="6E250BA7" w14:textId="77777777" w:rsidR="00D873D3" w:rsidRPr="000F2247" w:rsidRDefault="00D873D3" w:rsidP="00F15DD7">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E3CEE45" w14:textId="77777777" w:rsidR="00D873D3" w:rsidRPr="000F2247" w:rsidRDefault="00D873D3" w:rsidP="00D873D3">
      <w:pPr>
        <w:jc w:val="center"/>
        <w:rPr>
          <w:rFonts w:ascii="Arial" w:hAnsi="Arial"/>
          <w:b/>
          <w:bCs/>
          <w:sz w:val="26"/>
          <w:szCs w:val="26"/>
          <w:rtl/>
        </w:rPr>
      </w:pPr>
    </w:p>
    <w:p w14:paraId="228D966C" w14:textId="77777777" w:rsidR="00256351" w:rsidRPr="00F15DD7" w:rsidRDefault="00256351" w:rsidP="00F15DD7">
      <w:pPr>
        <w:keepNext/>
        <w:rPr>
          <w:rFonts w:ascii="David" w:hAnsi="David"/>
          <w:color w:val="000000"/>
          <w:sz w:val="22"/>
          <w:szCs w:val="22"/>
          <w:rtl/>
        </w:rPr>
      </w:pPr>
    </w:p>
    <w:p w14:paraId="2CD08068" w14:textId="77777777" w:rsidR="00F15DD7" w:rsidRPr="00F15DD7" w:rsidRDefault="00F15DD7" w:rsidP="00F15DD7">
      <w:pPr>
        <w:keepNext/>
        <w:rPr>
          <w:rFonts w:ascii="David" w:hAnsi="David"/>
          <w:color w:val="000000"/>
          <w:sz w:val="22"/>
          <w:szCs w:val="22"/>
          <w:rtl/>
        </w:rPr>
      </w:pPr>
      <w:r w:rsidRPr="00F15DD7">
        <w:rPr>
          <w:rFonts w:ascii="David" w:hAnsi="David"/>
          <w:color w:val="000000"/>
          <w:sz w:val="22"/>
          <w:szCs w:val="22"/>
          <w:rtl/>
        </w:rPr>
        <w:t>ענת חולתא 54678313</w:t>
      </w:r>
    </w:p>
    <w:p w14:paraId="55DAE115" w14:textId="77777777" w:rsidR="00F15DD7" w:rsidRDefault="00F15DD7" w:rsidP="00F15DD7">
      <w:r w:rsidRPr="00F15DD7">
        <w:rPr>
          <w:color w:val="000000"/>
          <w:rtl/>
        </w:rPr>
        <w:t>נוסח מסמך זה כפוף לשינויי ניסוח ועריכה</w:t>
      </w:r>
    </w:p>
    <w:p w14:paraId="48F9D186" w14:textId="77777777" w:rsidR="00F15DD7" w:rsidRDefault="00F15DD7" w:rsidP="00F15DD7">
      <w:pPr>
        <w:rPr>
          <w:rtl/>
        </w:rPr>
      </w:pPr>
    </w:p>
    <w:p w14:paraId="32E7D4ED" w14:textId="77777777" w:rsidR="00F15DD7" w:rsidRDefault="00F15DD7" w:rsidP="00F15DD7">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02E05A5F" w14:textId="77777777" w:rsidR="00F15DD7" w:rsidRPr="00F15DD7" w:rsidRDefault="00F15DD7" w:rsidP="00F15DD7">
      <w:pPr>
        <w:jc w:val="center"/>
        <w:rPr>
          <w:color w:val="0000FF"/>
          <w:u w:val="single"/>
        </w:rPr>
      </w:pPr>
    </w:p>
    <w:sectPr w:rsidR="00F15DD7" w:rsidRPr="00F15DD7" w:rsidSect="00F15DD7">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5813BF" w14:textId="77777777" w:rsidR="00812DBF" w:rsidRDefault="00812DBF" w:rsidP="00116D55">
      <w:r>
        <w:separator/>
      </w:r>
    </w:p>
  </w:endnote>
  <w:endnote w:type="continuationSeparator" w:id="0">
    <w:p w14:paraId="233B80DC" w14:textId="77777777" w:rsidR="00812DBF" w:rsidRDefault="00812DBF" w:rsidP="00116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1ED35" w14:textId="77777777" w:rsidR="00F15DD7" w:rsidRDefault="00F15DD7" w:rsidP="00F15DD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BF5DA21" w14:textId="77777777" w:rsidR="00555113" w:rsidRPr="00F15DD7" w:rsidRDefault="00F15DD7" w:rsidP="00F15DD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D5843" w14:textId="77777777" w:rsidR="00F15DD7" w:rsidRDefault="00F15DD7" w:rsidP="00F15DD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132D7">
      <w:rPr>
        <w:rFonts w:ascii="FrankRuehl" w:hAnsi="FrankRuehl" w:cs="FrankRuehl"/>
        <w:noProof/>
        <w:rtl/>
      </w:rPr>
      <w:t>1</w:t>
    </w:r>
    <w:r>
      <w:rPr>
        <w:rFonts w:ascii="FrankRuehl" w:hAnsi="FrankRuehl" w:cs="FrankRuehl"/>
        <w:rtl/>
      </w:rPr>
      <w:fldChar w:fldCharType="end"/>
    </w:r>
  </w:p>
  <w:p w14:paraId="654FC519" w14:textId="77777777" w:rsidR="00555113" w:rsidRPr="00F15DD7" w:rsidRDefault="00F15DD7" w:rsidP="00F15DD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ED9FA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97DB5C" w14:textId="77777777" w:rsidR="00812DBF" w:rsidRDefault="00812DBF" w:rsidP="00116D55">
      <w:r>
        <w:separator/>
      </w:r>
    </w:p>
  </w:footnote>
  <w:footnote w:type="continuationSeparator" w:id="0">
    <w:p w14:paraId="5CEC3389" w14:textId="77777777" w:rsidR="00812DBF" w:rsidRDefault="00812DBF" w:rsidP="00116D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68D5C" w14:textId="77777777" w:rsidR="00F15DD7" w:rsidRPr="00F15DD7" w:rsidRDefault="00F15DD7" w:rsidP="00F15DD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43524-02-20</w:t>
    </w:r>
    <w:r>
      <w:rPr>
        <w:rFonts w:ascii="David" w:hAnsi="David"/>
        <w:color w:val="000000"/>
        <w:sz w:val="22"/>
        <w:szCs w:val="22"/>
        <w:rtl/>
      </w:rPr>
      <w:tab/>
      <w:t xml:space="preserve"> מדינת ישראל נ' ליאור יפרח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1D2A77" w14:textId="77777777" w:rsidR="00F15DD7" w:rsidRPr="00F15DD7" w:rsidRDefault="00F15DD7" w:rsidP="00F15DD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43524-02-20</w:t>
    </w:r>
    <w:r>
      <w:rPr>
        <w:rFonts w:ascii="David" w:hAnsi="David"/>
        <w:color w:val="000000"/>
        <w:sz w:val="22"/>
        <w:szCs w:val="22"/>
        <w:rtl/>
      </w:rPr>
      <w:tab/>
      <w:t xml:space="preserve"> מדינת ישראל נ' ליאור יפרח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A2768B"/>
    <w:multiLevelType w:val="hybridMultilevel"/>
    <w:tmpl w:val="FFECB426"/>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2047AD2"/>
    <w:multiLevelType w:val="hybridMultilevel"/>
    <w:tmpl w:val="E3B2AA3A"/>
    <w:lvl w:ilvl="0" w:tplc="F400628E">
      <w:start w:val="1"/>
      <w:numFmt w:val="decimal"/>
      <w:lvlText w:val="%1."/>
      <w:lvlJc w:val="left"/>
      <w:pPr>
        <w:ind w:left="360" w:hanging="360"/>
      </w:pPr>
      <w:rPr>
        <w:rFonts w:cs="David"/>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475670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970949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873D3"/>
    <w:rsid w:val="00116D55"/>
    <w:rsid w:val="001B5A3B"/>
    <w:rsid w:val="00256351"/>
    <w:rsid w:val="002735B3"/>
    <w:rsid w:val="003132D7"/>
    <w:rsid w:val="00555113"/>
    <w:rsid w:val="005E1F00"/>
    <w:rsid w:val="007D1C54"/>
    <w:rsid w:val="007F5C7F"/>
    <w:rsid w:val="00812DBF"/>
    <w:rsid w:val="00937609"/>
    <w:rsid w:val="00A3353C"/>
    <w:rsid w:val="00B83EBA"/>
    <w:rsid w:val="00D873D3"/>
    <w:rsid w:val="00F15DD7"/>
    <w:rsid w:val="00F21228"/>
    <w:rsid w:val="00F804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8381469"/>
  <w15:chartTrackingRefBased/>
  <w15:docId w15:val="{0B3BAD45-F4C1-40E7-8A74-F3368BAC7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873D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873D3"/>
    <w:pPr>
      <w:tabs>
        <w:tab w:val="center" w:pos="4153"/>
        <w:tab w:val="right" w:pos="8306"/>
      </w:tabs>
    </w:pPr>
  </w:style>
  <w:style w:type="character" w:customStyle="1" w:styleId="a4">
    <w:name w:val="כותרת עליונה תו"/>
    <w:link w:val="a3"/>
    <w:rsid w:val="00D873D3"/>
    <w:rPr>
      <w:rFonts w:ascii="Times New Roman" w:eastAsia="Times New Roman" w:hAnsi="Times New Roman" w:cs="David"/>
      <w:sz w:val="24"/>
      <w:szCs w:val="24"/>
    </w:rPr>
  </w:style>
  <w:style w:type="paragraph" w:styleId="a5">
    <w:name w:val="footer"/>
    <w:basedOn w:val="a"/>
    <w:link w:val="a6"/>
    <w:rsid w:val="00D873D3"/>
    <w:pPr>
      <w:tabs>
        <w:tab w:val="center" w:pos="4153"/>
        <w:tab w:val="right" w:pos="8306"/>
      </w:tabs>
    </w:pPr>
  </w:style>
  <w:style w:type="character" w:customStyle="1" w:styleId="a6">
    <w:name w:val="כותרת תחתונה תו"/>
    <w:link w:val="a5"/>
    <w:rsid w:val="00D873D3"/>
    <w:rPr>
      <w:rFonts w:ascii="Times New Roman" w:eastAsia="Times New Roman" w:hAnsi="Times New Roman" w:cs="David"/>
      <w:sz w:val="24"/>
      <w:szCs w:val="24"/>
    </w:rPr>
  </w:style>
  <w:style w:type="table" w:styleId="a7">
    <w:name w:val="Table Grid"/>
    <w:basedOn w:val="a1"/>
    <w:rsid w:val="00D873D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873D3"/>
  </w:style>
  <w:style w:type="character" w:customStyle="1" w:styleId="a9">
    <w:name w:val="פיסקת רשימה תו"/>
    <w:link w:val="aa"/>
    <w:locked/>
    <w:rsid w:val="00D873D3"/>
    <w:rPr>
      <w:rFonts w:cs="David"/>
      <w:szCs w:val="24"/>
      <w:lang w:eastAsia="he-IL"/>
    </w:rPr>
  </w:style>
  <w:style w:type="paragraph" w:styleId="aa">
    <w:name w:val="List Paragraph"/>
    <w:basedOn w:val="a"/>
    <w:link w:val="a9"/>
    <w:qFormat/>
    <w:rsid w:val="00D873D3"/>
    <w:pPr>
      <w:snapToGrid w:val="0"/>
      <w:ind w:left="720"/>
      <w:contextualSpacing/>
    </w:pPr>
    <w:rPr>
      <w:rFonts w:ascii="Calibri" w:eastAsia="Calibri" w:hAnsi="Calibri"/>
      <w:sz w:val="22"/>
      <w:lang w:eastAsia="he-IL"/>
    </w:rPr>
  </w:style>
  <w:style w:type="character" w:styleId="Hyperlink">
    <w:name w:val="Hyperlink"/>
    <w:rsid w:val="00F15D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c" TargetMode="External"/><Relationship Id="rId18" Type="http://schemas.openxmlformats.org/officeDocument/2006/relationships/hyperlink" Target="http://www.nevo.co.il/case/21017469" TargetMode="External"/><Relationship Id="rId26" Type="http://schemas.openxmlformats.org/officeDocument/2006/relationships/hyperlink" Target="http://www.nevo.co.il/case/5787128" TargetMode="External"/><Relationship Id="rId3" Type="http://schemas.openxmlformats.org/officeDocument/2006/relationships/settings" Target="settings.xml"/><Relationship Id="rId21" Type="http://schemas.openxmlformats.org/officeDocument/2006/relationships/hyperlink" Target="http://www.nevo.co.il/case/21924102" TargetMode="External"/><Relationship Id="rId34"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law/4216/7.a" TargetMode="External"/><Relationship Id="rId17" Type="http://schemas.openxmlformats.org/officeDocument/2006/relationships/hyperlink" Target="http://www.nevo.co.il/case/19999565" TargetMode="External"/><Relationship Id="rId25" Type="http://schemas.openxmlformats.org/officeDocument/2006/relationships/hyperlink" Target="http://www.nevo.co.il/case/5988308"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24883645"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86.a" TargetMode="External"/><Relationship Id="rId24" Type="http://schemas.openxmlformats.org/officeDocument/2006/relationships/hyperlink" Target="http://www.nevo.co.il/case/5580841"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186.a" TargetMode="External"/><Relationship Id="rId23" Type="http://schemas.openxmlformats.org/officeDocument/2006/relationships/hyperlink" Target="http://www.nevo.co.il/case/5738608" TargetMode="External"/><Relationship Id="rId28" Type="http://schemas.openxmlformats.org/officeDocument/2006/relationships/hyperlink" Target="http://www.nevo.co.il/law/70301"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6855099"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1966972" TargetMode="External"/><Relationship Id="rId27" Type="http://schemas.openxmlformats.org/officeDocument/2006/relationships/hyperlink" Target="http://www.nevo.co.il/case/17030490"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2011</Words>
  <Characters>10057</Characters>
  <Application>Microsoft Office Word</Application>
  <DocSecurity>0</DocSecurity>
  <Lines>83</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12044</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7995492</vt:i4>
      </vt:variant>
      <vt:variant>
        <vt:i4>63</vt:i4>
      </vt:variant>
      <vt:variant>
        <vt:i4>0</vt:i4>
      </vt:variant>
      <vt:variant>
        <vt:i4>5</vt:i4>
      </vt:variant>
      <vt:variant>
        <vt:lpwstr>http://www.nevo.co.il/law/70301</vt:lpwstr>
      </vt:variant>
      <vt:variant>
        <vt:lpwstr/>
      </vt:variant>
      <vt:variant>
        <vt:i4>3670132</vt:i4>
      </vt:variant>
      <vt:variant>
        <vt:i4>60</vt:i4>
      </vt:variant>
      <vt:variant>
        <vt:i4>0</vt:i4>
      </vt:variant>
      <vt:variant>
        <vt:i4>5</vt:i4>
      </vt:variant>
      <vt:variant>
        <vt:lpwstr>http://www.nevo.co.il/case/17030490</vt:lpwstr>
      </vt:variant>
      <vt:variant>
        <vt:lpwstr/>
      </vt:variant>
      <vt:variant>
        <vt:i4>3407990</vt:i4>
      </vt:variant>
      <vt:variant>
        <vt:i4>57</vt:i4>
      </vt:variant>
      <vt:variant>
        <vt:i4>0</vt:i4>
      </vt:variant>
      <vt:variant>
        <vt:i4>5</vt:i4>
      </vt:variant>
      <vt:variant>
        <vt:lpwstr>http://www.nevo.co.il/case/5787128</vt:lpwstr>
      </vt:variant>
      <vt:variant>
        <vt:lpwstr/>
      </vt:variant>
      <vt:variant>
        <vt:i4>3539061</vt:i4>
      </vt:variant>
      <vt:variant>
        <vt:i4>54</vt:i4>
      </vt:variant>
      <vt:variant>
        <vt:i4>0</vt:i4>
      </vt:variant>
      <vt:variant>
        <vt:i4>5</vt:i4>
      </vt:variant>
      <vt:variant>
        <vt:lpwstr>http://www.nevo.co.il/case/5988308</vt:lpwstr>
      </vt:variant>
      <vt:variant>
        <vt:lpwstr/>
      </vt:variant>
      <vt:variant>
        <vt:i4>3407989</vt:i4>
      </vt:variant>
      <vt:variant>
        <vt:i4>51</vt:i4>
      </vt:variant>
      <vt:variant>
        <vt:i4>0</vt:i4>
      </vt:variant>
      <vt:variant>
        <vt:i4>5</vt:i4>
      </vt:variant>
      <vt:variant>
        <vt:lpwstr>http://www.nevo.co.il/case/5580841</vt:lpwstr>
      </vt:variant>
      <vt:variant>
        <vt:lpwstr/>
      </vt:variant>
      <vt:variant>
        <vt:i4>3670139</vt:i4>
      </vt:variant>
      <vt:variant>
        <vt:i4>48</vt:i4>
      </vt:variant>
      <vt:variant>
        <vt:i4>0</vt:i4>
      </vt:variant>
      <vt:variant>
        <vt:i4>5</vt:i4>
      </vt:variant>
      <vt:variant>
        <vt:lpwstr>http://www.nevo.co.il/case/5738608</vt:lpwstr>
      </vt:variant>
      <vt:variant>
        <vt:lpwstr/>
      </vt:variant>
      <vt:variant>
        <vt:i4>3801210</vt:i4>
      </vt:variant>
      <vt:variant>
        <vt:i4>45</vt:i4>
      </vt:variant>
      <vt:variant>
        <vt:i4>0</vt:i4>
      </vt:variant>
      <vt:variant>
        <vt:i4>5</vt:i4>
      </vt:variant>
      <vt:variant>
        <vt:lpwstr>http://www.nevo.co.il/case/21966972</vt:lpwstr>
      </vt:variant>
      <vt:variant>
        <vt:lpwstr/>
      </vt:variant>
      <vt:variant>
        <vt:i4>4128886</vt:i4>
      </vt:variant>
      <vt:variant>
        <vt:i4>42</vt:i4>
      </vt:variant>
      <vt:variant>
        <vt:i4>0</vt:i4>
      </vt:variant>
      <vt:variant>
        <vt:i4>5</vt:i4>
      </vt:variant>
      <vt:variant>
        <vt:lpwstr>http://www.nevo.co.il/case/21924102</vt:lpwstr>
      </vt:variant>
      <vt:variant>
        <vt:lpwstr/>
      </vt:variant>
      <vt:variant>
        <vt:i4>3997822</vt:i4>
      </vt:variant>
      <vt:variant>
        <vt:i4>39</vt:i4>
      </vt:variant>
      <vt:variant>
        <vt:i4>0</vt:i4>
      </vt:variant>
      <vt:variant>
        <vt:i4>5</vt:i4>
      </vt:variant>
      <vt:variant>
        <vt:lpwstr>http://www.nevo.co.il/case/24883645</vt:lpwstr>
      </vt:variant>
      <vt:variant>
        <vt:lpwstr/>
      </vt:variant>
      <vt:variant>
        <vt:i4>3801200</vt:i4>
      </vt:variant>
      <vt:variant>
        <vt:i4>36</vt:i4>
      </vt:variant>
      <vt:variant>
        <vt:i4>0</vt:i4>
      </vt:variant>
      <vt:variant>
        <vt:i4>5</vt:i4>
      </vt:variant>
      <vt:variant>
        <vt:lpwstr>http://www.nevo.co.il/case/6855099</vt:lpwstr>
      </vt:variant>
      <vt:variant>
        <vt:lpwstr/>
      </vt:variant>
      <vt:variant>
        <vt:i4>3342448</vt:i4>
      </vt:variant>
      <vt:variant>
        <vt:i4>33</vt:i4>
      </vt:variant>
      <vt:variant>
        <vt:i4>0</vt:i4>
      </vt:variant>
      <vt:variant>
        <vt:i4>5</vt:i4>
      </vt:variant>
      <vt:variant>
        <vt:lpwstr>http://www.nevo.co.il/case/21017469</vt:lpwstr>
      </vt:variant>
      <vt:variant>
        <vt:lpwstr/>
      </vt:variant>
      <vt:variant>
        <vt:i4>3604593</vt:i4>
      </vt:variant>
      <vt:variant>
        <vt:i4>30</vt:i4>
      </vt:variant>
      <vt:variant>
        <vt:i4>0</vt:i4>
      </vt:variant>
      <vt:variant>
        <vt:i4>5</vt:i4>
      </vt:variant>
      <vt:variant>
        <vt:lpwstr>http://www.nevo.co.il/case/19999565</vt:lpwstr>
      </vt:variant>
      <vt:variant>
        <vt:lpwstr/>
      </vt:variant>
      <vt:variant>
        <vt:i4>7995492</vt:i4>
      </vt:variant>
      <vt:variant>
        <vt:i4>27</vt:i4>
      </vt:variant>
      <vt:variant>
        <vt:i4>0</vt:i4>
      </vt:variant>
      <vt:variant>
        <vt:i4>5</vt:i4>
      </vt:variant>
      <vt:variant>
        <vt:lpwstr>http://www.nevo.co.il/law/70301</vt:lpwstr>
      </vt:variant>
      <vt:variant>
        <vt:lpwstr/>
      </vt:variant>
      <vt:variant>
        <vt:i4>4390994</vt:i4>
      </vt:variant>
      <vt:variant>
        <vt:i4>24</vt:i4>
      </vt:variant>
      <vt:variant>
        <vt:i4>0</vt:i4>
      </vt:variant>
      <vt:variant>
        <vt:i4>5</vt:i4>
      </vt:variant>
      <vt:variant>
        <vt:lpwstr>http://www.nevo.co.il/law/70301/186.a</vt:lpwstr>
      </vt:variant>
      <vt:variant>
        <vt:lpwstr/>
      </vt:variant>
      <vt:variant>
        <vt:i4>8257637</vt:i4>
      </vt:variant>
      <vt:variant>
        <vt:i4>21</vt:i4>
      </vt:variant>
      <vt:variant>
        <vt:i4>0</vt:i4>
      </vt:variant>
      <vt:variant>
        <vt:i4>5</vt:i4>
      </vt:variant>
      <vt:variant>
        <vt:lpwstr>http://www.nevo.co.il/law/4216</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4390994</vt:i4>
      </vt:variant>
      <vt:variant>
        <vt:i4>12</vt:i4>
      </vt:variant>
      <vt:variant>
        <vt:i4>0</vt:i4>
      </vt:variant>
      <vt:variant>
        <vt:i4>5</vt:i4>
      </vt:variant>
      <vt:variant>
        <vt:lpwstr>http://www.nevo.co.il/law/70301/186.a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2025-04-23T00:29:00Z</dcterms:created>
  <dcterms:modified xsi:type="dcterms:W3CDTF">2025-04-23T00:29:00Z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43524</vt:lpwstr>
  </property>
  <property fmtid="{D5CDD505-2E9C-101B-9397-08002B2CF9AE}" pid="6" name="NEWPARTB">
    <vt:lpwstr>02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ליאור יפרח</vt:lpwstr>
  </property>
  <property fmtid="{D5CDD505-2E9C-101B-9397-08002B2CF9AE}" pid="10" name="JUDGE">
    <vt:lpwstr>ענת חולתא</vt:lpwstr>
  </property>
  <property fmtid="{D5CDD505-2E9C-101B-9397-08002B2CF9AE}" pid="11" name="CITY">
    <vt:lpwstr>ב"ש</vt:lpwstr>
  </property>
  <property fmtid="{D5CDD505-2E9C-101B-9397-08002B2CF9AE}" pid="12" name="DATE">
    <vt:lpwstr>20220215</vt:lpwstr>
  </property>
  <property fmtid="{D5CDD505-2E9C-101B-9397-08002B2CF9AE}" pid="13" name="TYPE_N_DATE">
    <vt:lpwstr>38020220215</vt:lpwstr>
  </property>
  <property fmtid="{D5CDD505-2E9C-101B-9397-08002B2CF9AE}" pid="14" name="WORDNUMPAGES">
    <vt:lpwstr>7</vt:lpwstr>
  </property>
  <property fmtid="{D5CDD505-2E9C-101B-9397-08002B2CF9AE}" pid="15" name="TYPE_ABS_DATE">
    <vt:lpwstr>380020220215</vt:lpwstr>
  </property>
  <property fmtid="{D5CDD505-2E9C-101B-9397-08002B2CF9AE}" pid="16" name="ISABSTRACT">
    <vt:lpwstr>Y</vt:lpwstr>
  </property>
  <property fmtid="{D5CDD505-2E9C-101B-9397-08002B2CF9AE}" pid="17" name="CASESLISTTMP1">
    <vt:lpwstr>19999565;21017469;6855099;24883645;21924102;21966972;5738608;5580841;5988308;5787128;17030490</vt:lpwstr>
  </property>
  <property fmtid="{D5CDD505-2E9C-101B-9397-08002B2CF9AE}" pid="18" name="LAWLISTTMP1">
    <vt:lpwstr>4216/007.a;007.c</vt:lpwstr>
  </property>
  <property fmtid="{D5CDD505-2E9C-101B-9397-08002B2CF9AE}" pid="19" name="LAWLISTTMP2">
    <vt:lpwstr>70301/186.a</vt:lpwstr>
  </property>
</Properties>
</file>