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670" w:type="dxa"/>
        <w:jc w:val="center"/>
        <w:tblLook w:val="0000" w:firstRow="0" w:lastRow="0" w:firstColumn="0" w:lastColumn="0" w:noHBand="0" w:noVBand="0"/>
      </w:tblPr>
      <w:tblGrid>
        <w:gridCol w:w="306"/>
        <w:gridCol w:w="1231"/>
        <w:gridCol w:w="3250"/>
        <w:gridCol w:w="165"/>
        <w:gridCol w:w="3571"/>
        <w:gridCol w:w="147"/>
      </w:tblGrid>
      <w:tr w:rsidR="005344CA" w:rsidRPr="00E95229" w14:paraId="03760C59" w14:textId="77777777" w:rsidTr="002C1F5E">
        <w:trPr>
          <w:gridAfter w:val="1"/>
          <w:wAfter w:w="147" w:type="dxa"/>
          <w:trHeight w:hRule="exact" w:val="418"/>
          <w:jc w:val="center"/>
        </w:trPr>
        <w:tc>
          <w:tcPr>
            <w:tcW w:w="8523" w:type="dxa"/>
            <w:gridSpan w:val="5"/>
          </w:tcPr>
          <w:p w14:paraId="2600B03E" w14:textId="77777777" w:rsidR="005344CA" w:rsidRPr="00E95229" w:rsidRDefault="005344CA" w:rsidP="00CB5347">
            <w:pPr>
              <w:pStyle w:val="a3"/>
              <w:jc w:val="center"/>
              <w:rPr>
                <w:rFonts w:ascii="Tahoma" w:hAnsi="Tahoma" w:cs="Tahoma"/>
                <w:color w:val="000080"/>
                <w:rtl/>
              </w:rPr>
            </w:pPr>
            <w:r w:rsidRPr="00E95229">
              <w:rPr>
                <w:rFonts w:ascii="Tahoma" w:hAnsi="Tahoma" w:cs="Tahoma"/>
                <w:b/>
                <w:bCs/>
                <w:color w:val="000080"/>
                <w:rtl/>
              </w:rPr>
              <w:t>בית משפט השלום בנתניה</w:t>
            </w:r>
          </w:p>
        </w:tc>
      </w:tr>
      <w:tr w:rsidR="005344CA" w:rsidRPr="00E95229" w14:paraId="22D25525" w14:textId="77777777" w:rsidTr="002C1F5E">
        <w:trPr>
          <w:gridAfter w:val="1"/>
          <w:wAfter w:w="147" w:type="dxa"/>
          <w:trHeight w:val="337"/>
          <w:jc w:val="center"/>
        </w:trPr>
        <w:tc>
          <w:tcPr>
            <w:tcW w:w="4952" w:type="dxa"/>
            <w:gridSpan w:val="4"/>
          </w:tcPr>
          <w:p w14:paraId="62C4734B" w14:textId="77777777" w:rsidR="005344CA" w:rsidRPr="00E95229" w:rsidRDefault="005344CA" w:rsidP="00CB5347">
            <w:pPr>
              <w:rPr>
                <w:rFonts w:cs="FrankRuehl"/>
                <w:sz w:val="28"/>
                <w:szCs w:val="28"/>
                <w:rtl/>
              </w:rPr>
            </w:pPr>
            <w:r w:rsidRPr="00E95229">
              <w:rPr>
                <w:rFonts w:cs="FrankRuehl"/>
                <w:sz w:val="28"/>
                <w:szCs w:val="28"/>
                <w:rtl/>
              </w:rPr>
              <w:t>ת"פ</w:t>
            </w:r>
            <w:r w:rsidRPr="00E95229">
              <w:rPr>
                <w:rFonts w:cs="FrankRuehl" w:hint="cs"/>
                <w:sz w:val="28"/>
                <w:szCs w:val="28"/>
                <w:rtl/>
              </w:rPr>
              <w:t xml:space="preserve"> </w:t>
            </w:r>
            <w:r w:rsidRPr="00E95229">
              <w:rPr>
                <w:rFonts w:cs="FrankRuehl"/>
                <w:sz w:val="28"/>
                <w:szCs w:val="28"/>
                <w:rtl/>
              </w:rPr>
              <w:t>46735-02-20</w:t>
            </w:r>
            <w:r w:rsidRPr="00E95229">
              <w:rPr>
                <w:rFonts w:cs="FrankRuehl" w:hint="cs"/>
                <w:sz w:val="28"/>
                <w:szCs w:val="28"/>
                <w:rtl/>
              </w:rPr>
              <w:t xml:space="preserve"> </w:t>
            </w:r>
            <w:r w:rsidRPr="00E95229">
              <w:rPr>
                <w:rFonts w:cs="FrankRuehl"/>
                <w:sz w:val="28"/>
                <w:szCs w:val="28"/>
                <w:rtl/>
              </w:rPr>
              <w:t>מדינת ישראל נ' טובי(עציר)</w:t>
            </w:r>
          </w:p>
          <w:p w14:paraId="2587F098" w14:textId="77777777" w:rsidR="005344CA" w:rsidRPr="00E95229" w:rsidRDefault="005344CA" w:rsidP="00CB5347">
            <w:pPr>
              <w:pStyle w:val="a3"/>
              <w:rPr>
                <w:rFonts w:cs="FrankRuehl"/>
                <w:sz w:val="28"/>
                <w:szCs w:val="28"/>
                <w:rtl/>
              </w:rPr>
            </w:pPr>
            <w:r w:rsidRPr="00E95229">
              <w:rPr>
                <w:rFonts w:cs="FrankRuehl" w:hint="cs"/>
                <w:sz w:val="28"/>
                <w:szCs w:val="28"/>
                <w:rtl/>
              </w:rPr>
              <w:t>ת"פ 15028-03-23</w:t>
            </w:r>
          </w:p>
        </w:tc>
        <w:tc>
          <w:tcPr>
            <w:tcW w:w="3571" w:type="dxa"/>
          </w:tcPr>
          <w:p w14:paraId="6B25C3B8" w14:textId="77777777" w:rsidR="005344CA" w:rsidRPr="00E95229" w:rsidRDefault="005344CA" w:rsidP="00CB5347">
            <w:pPr>
              <w:pStyle w:val="a3"/>
              <w:jc w:val="right"/>
              <w:rPr>
                <w:rFonts w:cs="FrankRuehl"/>
                <w:sz w:val="28"/>
                <w:szCs w:val="28"/>
                <w:rtl/>
              </w:rPr>
            </w:pPr>
          </w:p>
        </w:tc>
      </w:tr>
      <w:tr w:rsidR="005344CA" w:rsidRPr="00E95229" w14:paraId="6502BE49" w14:textId="77777777" w:rsidTr="002C1F5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306" w:type="dxa"/>
          <w:trHeight w:val="295"/>
        </w:trPr>
        <w:tc>
          <w:tcPr>
            <w:tcW w:w="1231" w:type="dxa"/>
            <w:tcBorders>
              <w:top w:val="nil"/>
              <w:left w:val="nil"/>
              <w:bottom w:val="nil"/>
              <w:right w:val="nil"/>
            </w:tcBorders>
            <w:shd w:val="clear" w:color="auto" w:fill="auto"/>
          </w:tcPr>
          <w:p w14:paraId="7A19241C" w14:textId="77777777" w:rsidR="005344CA" w:rsidRPr="00E95229" w:rsidRDefault="005344CA" w:rsidP="005344CA">
            <w:pPr>
              <w:jc w:val="both"/>
              <w:rPr>
                <w:rFonts w:ascii="David" w:hAnsi="David"/>
                <w:sz w:val="26"/>
                <w:szCs w:val="26"/>
              </w:rPr>
            </w:pPr>
            <w:r w:rsidRPr="00E95229">
              <w:rPr>
                <w:rFonts w:hint="cs"/>
                <w:rtl/>
              </w:rPr>
              <w:t xml:space="preserve"> </w:t>
            </w:r>
            <w:r w:rsidRPr="00E95229">
              <w:rPr>
                <w:rFonts w:ascii="David" w:hAnsi="David"/>
                <w:sz w:val="26"/>
                <w:szCs w:val="26"/>
                <w:rtl/>
              </w:rPr>
              <w:t xml:space="preserve">בפני </w:t>
            </w:r>
          </w:p>
        </w:tc>
        <w:tc>
          <w:tcPr>
            <w:tcW w:w="7133" w:type="dxa"/>
            <w:gridSpan w:val="4"/>
            <w:tcBorders>
              <w:top w:val="nil"/>
              <w:left w:val="nil"/>
              <w:bottom w:val="nil"/>
              <w:right w:val="nil"/>
            </w:tcBorders>
            <w:shd w:val="clear" w:color="auto" w:fill="auto"/>
          </w:tcPr>
          <w:p w14:paraId="318B44CD" w14:textId="77777777" w:rsidR="005344CA" w:rsidRPr="00E95229" w:rsidRDefault="005344CA" w:rsidP="00CB5347">
            <w:pPr>
              <w:rPr>
                <w:rFonts w:ascii="David" w:hAnsi="David"/>
                <w:b/>
                <w:bCs/>
                <w:sz w:val="26"/>
                <w:szCs w:val="26"/>
                <w:rtl/>
              </w:rPr>
            </w:pPr>
            <w:r w:rsidRPr="00E95229">
              <w:rPr>
                <w:rFonts w:ascii="David" w:hAnsi="David"/>
                <w:b/>
                <w:bCs/>
                <w:sz w:val="26"/>
                <w:szCs w:val="26"/>
                <w:rtl/>
              </w:rPr>
              <w:t>כבוד השופטת, סגנית הנשיא זהר דיבון סגל</w:t>
            </w:r>
          </w:p>
          <w:p w14:paraId="46DB456A" w14:textId="77777777" w:rsidR="005344CA" w:rsidRPr="00E95229" w:rsidRDefault="005344CA" w:rsidP="005344CA">
            <w:pPr>
              <w:jc w:val="both"/>
              <w:rPr>
                <w:rFonts w:ascii="David" w:hAnsi="David"/>
                <w:sz w:val="26"/>
                <w:szCs w:val="26"/>
              </w:rPr>
            </w:pPr>
          </w:p>
        </w:tc>
      </w:tr>
      <w:tr w:rsidR="005344CA" w:rsidRPr="00E95229" w14:paraId="3393AA31" w14:textId="77777777" w:rsidTr="002C1F5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306" w:type="dxa"/>
          <w:trHeight w:val="355"/>
        </w:trPr>
        <w:tc>
          <w:tcPr>
            <w:tcW w:w="1231" w:type="dxa"/>
            <w:tcBorders>
              <w:top w:val="nil"/>
              <w:left w:val="nil"/>
              <w:bottom w:val="nil"/>
              <w:right w:val="nil"/>
            </w:tcBorders>
            <w:shd w:val="clear" w:color="auto" w:fill="auto"/>
          </w:tcPr>
          <w:p w14:paraId="354ADB00" w14:textId="77777777" w:rsidR="005344CA" w:rsidRPr="00E95229" w:rsidRDefault="005344CA" w:rsidP="005344CA">
            <w:pPr>
              <w:jc w:val="both"/>
              <w:rPr>
                <w:rFonts w:ascii="David" w:hAnsi="David"/>
                <w:sz w:val="26"/>
                <w:szCs w:val="26"/>
              </w:rPr>
            </w:pPr>
            <w:bookmarkStart w:id="0" w:name="FirstAppellant" w:colFirst="0" w:colLast="1"/>
            <w:bookmarkStart w:id="1" w:name="LastJudge"/>
            <w:bookmarkEnd w:id="1"/>
            <w:r w:rsidRPr="00E95229">
              <w:rPr>
                <w:rFonts w:ascii="David" w:hAnsi="David"/>
                <w:sz w:val="26"/>
                <w:szCs w:val="26"/>
                <w:rtl/>
              </w:rPr>
              <w:t>בעניין:</w:t>
            </w:r>
          </w:p>
        </w:tc>
        <w:tc>
          <w:tcPr>
            <w:tcW w:w="3250" w:type="dxa"/>
            <w:tcBorders>
              <w:top w:val="nil"/>
              <w:left w:val="nil"/>
              <w:bottom w:val="nil"/>
              <w:right w:val="nil"/>
            </w:tcBorders>
            <w:shd w:val="clear" w:color="auto" w:fill="auto"/>
          </w:tcPr>
          <w:p w14:paraId="13C058BC" w14:textId="77777777" w:rsidR="005344CA" w:rsidRPr="00E95229" w:rsidRDefault="005344CA" w:rsidP="005344CA">
            <w:pPr>
              <w:suppressLineNumbers/>
              <w:rPr>
                <w:rFonts w:ascii="David" w:hAnsi="David"/>
                <w:sz w:val="26"/>
                <w:szCs w:val="26"/>
              </w:rPr>
            </w:pPr>
          </w:p>
        </w:tc>
        <w:tc>
          <w:tcPr>
            <w:tcW w:w="3883" w:type="dxa"/>
            <w:gridSpan w:val="3"/>
            <w:tcBorders>
              <w:top w:val="nil"/>
              <w:left w:val="nil"/>
              <w:bottom w:val="nil"/>
              <w:right w:val="nil"/>
            </w:tcBorders>
            <w:shd w:val="clear" w:color="auto" w:fill="auto"/>
            <w:vAlign w:val="center"/>
          </w:tcPr>
          <w:p w14:paraId="5518CD95" w14:textId="77777777" w:rsidR="005344CA" w:rsidRPr="00E95229" w:rsidRDefault="005344CA" w:rsidP="005344CA">
            <w:pPr>
              <w:suppressLineNumbers/>
              <w:rPr>
                <w:rFonts w:ascii="David" w:hAnsi="David"/>
                <w:sz w:val="26"/>
                <w:szCs w:val="26"/>
              </w:rPr>
            </w:pPr>
          </w:p>
        </w:tc>
      </w:tr>
      <w:tr w:rsidR="005344CA" w:rsidRPr="00E95229" w14:paraId="3A2F22F3" w14:textId="77777777" w:rsidTr="002C1F5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306" w:type="dxa"/>
          <w:trHeight w:val="355"/>
        </w:trPr>
        <w:tc>
          <w:tcPr>
            <w:tcW w:w="1231" w:type="dxa"/>
            <w:tcBorders>
              <w:top w:val="nil"/>
              <w:left w:val="nil"/>
              <w:bottom w:val="nil"/>
              <w:right w:val="nil"/>
            </w:tcBorders>
            <w:shd w:val="clear" w:color="auto" w:fill="auto"/>
          </w:tcPr>
          <w:p w14:paraId="42F4E434" w14:textId="77777777" w:rsidR="005344CA" w:rsidRPr="00E95229" w:rsidRDefault="005344CA" w:rsidP="005344CA">
            <w:pPr>
              <w:suppressLineNumbers/>
            </w:pPr>
            <w:bookmarkStart w:id="2" w:name="FirstLawyer"/>
            <w:r w:rsidRPr="00E95229">
              <w:rPr>
                <w:rFonts w:ascii="Arial" w:hAnsi="Arial" w:hint="cs"/>
                <w:b/>
                <w:bCs/>
                <w:sz w:val="26"/>
                <w:szCs w:val="26"/>
                <w:rtl/>
              </w:rPr>
              <w:t>ה</w:t>
            </w:r>
            <w:r w:rsidRPr="00E95229">
              <w:rPr>
                <w:rFonts w:ascii="Arial" w:hAnsi="Arial"/>
                <w:b/>
                <w:bCs/>
                <w:sz w:val="26"/>
                <w:szCs w:val="26"/>
                <w:rtl/>
              </w:rPr>
              <w:t>מאשימה</w:t>
            </w:r>
          </w:p>
          <w:p w14:paraId="47E386E4" w14:textId="77777777" w:rsidR="005344CA" w:rsidRPr="00E95229" w:rsidRDefault="005344CA" w:rsidP="005344CA">
            <w:pPr>
              <w:jc w:val="both"/>
              <w:rPr>
                <w:rFonts w:ascii="David" w:hAnsi="David"/>
                <w:sz w:val="26"/>
                <w:szCs w:val="26"/>
                <w:rtl/>
              </w:rPr>
            </w:pPr>
          </w:p>
        </w:tc>
        <w:tc>
          <w:tcPr>
            <w:tcW w:w="7133" w:type="dxa"/>
            <w:gridSpan w:val="4"/>
            <w:tcBorders>
              <w:top w:val="nil"/>
              <w:left w:val="nil"/>
              <w:bottom w:val="nil"/>
              <w:right w:val="nil"/>
            </w:tcBorders>
            <w:shd w:val="clear" w:color="auto" w:fill="auto"/>
          </w:tcPr>
          <w:p w14:paraId="7EBAB729" w14:textId="77777777" w:rsidR="005344CA" w:rsidRPr="00E95229" w:rsidRDefault="005344CA" w:rsidP="005344CA">
            <w:pPr>
              <w:suppressLineNumbers/>
              <w:rPr>
                <w:rFonts w:ascii="Arial" w:hAnsi="Arial"/>
                <w:b/>
                <w:bCs/>
                <w:sz w:val="26"/>
                <w:szCs w:val="26"/>
                <w:rtl/>
              </w:rPr>
            </w:pPr>
            <w:r w:rsidRPr="00E95229">
              <w:rPr>
                <w:rFonts w:ascii="Arial" w:hAnsi="Arial"/>
                <w:b/>
                <w:bCs/>
                <w:sz w:val="26"/>
                <w:szCs w:val="26"/>
                <w:rtl/>
              </w:rPr>
              <w:t>מדינת ישראל</w:t>
            </w:r>
            <w:r w:rsidRPr="00E95229">
              <w:rPr>
                <w:rFonts w:ascii="Arial" w:hAnsi="Arial" w:hint="cs"/>
                <w:b/>
                <w:bCs/>
                <w:sz w:val="26"/>
                <w:szCs w:val="26"/>
                <w:rtl/>
              </w:rPr>
              <w:t xml:space="preserve"> </w:t>
            </w:r>
          </w:p>
          <w:p w14:paraId="5C119408" w14:textId="77777777" w:rsidR="005344CA" w:rsidRPr="00E95229" w:rsidRDefault="005344CA" w:rsidP="005344CA">
            <w:pPr>
              <w:suppressLineNumbers/>
              <w:rPr>
                <w:rFonts w:ascii="Arial" w:hAnsi="Arial"/>
                <w:b/>
                <w:bCs/>
                <w:sz w:val="26"/>
                <w:szCs w:val="26"/>
                <w:rtl/>
              </w:rPr>
            </w:pPr>
            <w:r w:rsidRPr="00E95229">
              <w:rPr>
                <w:rFonts w:ascii="Arial" w:hAnsi="Arial" w:hint="cs"/>
                <w:b/>
                <w:bCs/>
                <w:sz w:val="26"/>
                <w:szCs w:val="26"/>
                <w:rtl/>
              </w:rPr>
              <w:t xml:space="preserve">יחידת תביעות שלוחת נתניה </w:t>
            </w:r>
          </w:p>
          <w:p w14:paraId="2968E5BA" w14:textId="77777777" w:rsidR="005344CA" w:rsidRPr="00E95229" w:rsidRDefault="005344CA" w:rsidP="005344CA">
            <w:pPr>
              <w:suppressLineNumbers/>
              <w:rPr>
                <w:rFonts w:ascii="Arial" w:hAnsi="Arial"/>
                <w:b/>
                <w:bCs/>
                <w:sz w:val="26"/>
                <w:szCs w:val="26"/>
                <w:rtl/>
              </w:rPr>
            </w:pPr>
            <w:r w:rsidRPr="00E95229">
              <w:rPr>
                <w:rFonts w:ascii="Arial" w:hAnsi="Arial"/>
                <w:b/>
                <w:bCs/>
                <w:sz w:val="26"/>
                <w:szCs w:val="26"/>
                <w:rtl/>
              </w:rPr>
              <w:t>ע"י ב"כ עוה"</w:t>
            </w:r>
            <w:r w:rsidRPr="00E95229">
              <w:rPr>
                <w:rFonts w:ascii="Arial" w:hAnsi="Arial" w:hint="cs"/>
                <w:b/>
                <w:bCs/>
                <w:sz w:val="26"/>
                <w:szCs w:val="26"/>
                <w:rtl/>
              </w:rPr>
              <w:t>ד מור מלכה ועו"ד קורל טובל</w:t>
            </w:r>
          </w:p>
          <w:p w14:paraId="3841DCD9" w14:textId="77777777" w:rsidR="005344CA" w:rsidRPr="00E95229" w:rsidRDefault="005344CA" w:rsidP="005344CA">
            <w:pPr>
              <w:suppressLineNumbers/>
            </w:pPr>
          </w:p>
          <w:p w14:paraId="51C24739" w14:textId="77777777" w:rsidR="005344CA" w:rsidRPr="00E95229" w:rsidRDefault="005344CA" w:rsidP="00CB5347">
            <w:pPr>
              <w:rPr>
                <w:rFonts w:ascii="David" w:hAnsi="David"/>
                <w:b/>
                <w:bCs/>
                <w:sz w:val="26"/>
                <w:szCs w:val="26"/>
                <w:rtl/>
              </w:rPr>
            </w:pPr>
            <w:r w:rsidRPr="00E95229">
              <w:rPr>
                <w:rFonts w:ascii="David" w:hAnsi="David"/>
                <w:b/>
                <w:bCs/>
                <w:sz w:val="26"/>
                <w:szCs w:val="26"/>
                <w:rtl/>
              </w:rPr>
              <w:t>נגד</w:t>
            </w:r>
          </w:p>
          <w:p w14:paraId="2533401B" w14:textId="77777777" w:rsidR="005344CA" w:rsidRPr="00E95229" w:rsidRDefault="005344CA" w:rsidP="005344CA">
            <w:pPr>
              <w:jc w:val="both"/>
              <w:rPr>
                <w:rFonts w:ascii="David" w:hAnsi="David"/>
                <w:sz w:val="26"/>
                <w:szCs w:val="26"/>
              </w:rPr>
            </w:pPr>
          </w:p>
        </w:tc>
      </w:tr>
      <w:bookmarkEnd w:id="0"/>
      <w:bookmarkEnd w:id="2"/>
      <w:tr w:rsidR="005344CA" w:rsidRPr="00E95229" w14:paraId="31578FE6" w14:textId="77777777" w:rsidTr="002C1F5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306" w:type="dxa"/>
          <w:trHeight w:val="355"/>
        </w:trPr>
        <w:tc>
          <w:tcPr>
            <w:tcW w:w="1231" w:type="dxa"/>
            <w:tcBorders>
              <w:top w:val="nil"/>
              <w:left w:val="nil"/>
              <w:bottom w:val="nil"/>
              <w:right w:val="nil"/>
            </w:tcBorders>
            <w:shd w:val="clear" w:color="auto" w:fill="auto"/>
          </w:tcPr>
          <w:p w14:paraId="3D5CA7A2" w14:textId="77777777" w:rsidR="005344CA" w:rsidRPr="00E95229" w:rsidRDefault="005344CA" w:rsidP="00CB5347">
            <w:pPr>
              <w:rPr>
                <w:rFonts w:ascii="David" w:hAnsi="David"/>
                <w:sz w:val="26"/>
                <w:szCs w:val="26"/>
                <w:rtl/>
              </w:rPr>
            </w:pPr>
            <w:r w:rsidRPr="00E95229">
              <w:rPr>
                <w:rFonts w:ascii="Arial" w:hAnsi="Arial"/>
                <w:b/>
                <w:bCs/>
                <w:sz w:val="26"/>
                <w:szCs w:val="26"/>
                <w:rtl/>
              </w:rPr>
              <w:t>הנאשם</w:t>
            </w:r>
          </w:p>
        </w:tc>
        <w:tc>
          <w:tcPr>
            <w:tcW w:w="3250" w:type="dxa"/>
            <w:tcBorders>
              <w:top w:val="nil"/>
              <w:left w:val="nil"/>
              <w:bottom w:val="nil"/>
              <w:right w:val="nil"/>
            </w:tcBorders>
            <w:shd w:val="clear" w:color="auto" w:fill="auto"/>
          </w:tcPr>
          <w:p w14:paraId="2697C626" w14:textId="77777777" w:rsidR="005344CA" w:rsidRPr="00E95229" w:rsidRDefault="005344CA" w:rsidP="005344CA">
            <w:pPr>
              <w:suppressLineNumbers/>
              <w:rPr>
                <w:rFonts w:ascii="Arial" w:hAnsi="Arial"/>
                <w:b/>
                <w:bCs/>
                <w:sz w:val="26"/>
                <w:szCs w:val="26"/>
                <w:rtl/>
              </w:rPr>
            </w:pPr>
            <w:r w:rsidRPr="00E95229">
              <w:rPr>
                <w:rFonts w:ascii="Arial" w:hAnsi="Arial"/>
                <w:b/>
                <w:bCs/>
                <w:sz w:val="26"/>
                <w:szCs w:val="26"/>
                <w:rtl/>
              </w:rPr>
              <w:t>אריה טובי (עציר)</w:t>
            </w:r>
            <w:r w:rsidRPr="00E95229">
              <w:rPr>
                <w:rFonts w:ascii="Arial" w:hAnsi="Arial" w:hint="cs"/>
                <w:b/>
                <w:bCs/>
                <w:sz w:val="26"/>
                <w:szCs w:val="26"/>
                <w:rtl/>
              </w:rPr>
              <w:t xml:space="preserve"> </w:t>
            </w:r>
          </w:p>
          <w:p w14:paraId="2799608B" w14:textId="77777777" w:rsidR="005344CA" w:rsidRPr="00E95229" w:rsidRDefault="005344CA" w:rsidP="005344CA">
            <w:pPr>
              <w:suppressLineNumbers/>
            </w:pPr>
            <w:r w:rsidRPr="00E95229">
              <w:rPr>
                <w:rFonts w:ascii="Arial" w:hAnsi="Arial"/>
                <w:b/>
                <w:bCs/>
                <w:sz w:val="26"/>
                <w:szCs w:val="26"/>
                <w:rtl/>
              </w:rPr>
              <w:t>ע"י ב"כ עוה"ד</w:t>
            </w:r>
            <w:r w:rsidRPr="00E95229">
              <w:rPr>
                <w:rFonts w:ascii="Arial" w:hAnsi="Arial" w:hint="cs"/>
                <w:b/>
                <w:bCs/>
                <w:sz w:val="26"/>
                <w:szCs w:val="26"/>
                <w:rtl/>
              </w:rPr>
              <w:t xml:space="preserve"> חיה ציון זכאי </w:t>
            </w:r>
            <w:r w:rsidRPr="00E95229">
              <w:rPr>
                <w:rFonts w:hint="cs"/>
                <w:b/>
                <w:bCs/>
                <w:rtl/>
              </w:rPr>
              <w:t xml:space="preserve">ועו"ד מואנס יונס </w:t>
            </w:r>
          </w:p>
          <w:p w14:paraId="42198BF0" w14:textId="77777777" w:rsidR="005344CA" w:rsidRPr="00E95229" w:rsidRDefault="005344CA" w:rsidP="00CB5347">
            <w:pPr>
              <w:rPr>
                <w:rFonts w:ascii="Arial" w:hAnsi="Arial"/>
                <w:b/>
                <w:bCs/>
                <w:sz w:val="26"/>
                <w:szCs w:val="26"/>
                <w:rtl/>
              </w:rPr>
            </w:pPr>
          </w:p>
        </w:tc>
        <w:tc>
          <w:tcPr>
            <w:tcW w:w="3883" w:type="dxa"/>
            <w:gridSpan w:val="3"/>
            <w:tcBorders>
              <w:top w:val="nil"/>
              <w:left w:val="nil"/>
              <w:bottom w:val="nil"/>
              <w:right w:val="nil"/>
            </w:tcBorders>
            <w:shd w:val="clear" w:color="auto" w:fill="auto"/>
            <w:vAlign w:val="center"/>
          </w:tcPr>
          <w:p w14:paraId="691A4F0D" w14:textId="77777777" w:rsidR="005344CA" w:rsidRPr="00E95229" w:rsidRDefault="005344CA" w:rsidP="005344CA">
            <w:pPr>
              <w:suppressLineNumbers/>
              <w:rPr>
                <w:rFonts w:ascii="David" w:hAnsi="David"/>
                <w:sz w:val="26"/>
                <w:szCs w:val="26"/>
              </w:rPr>
            </w:pPr>
          </w:p>
        </w:tc>
      </w:tr>
    </w:tbl>
    <w:p w14:paraId="07382CCC" w14:textId="77777777" w:rsidR="002C1F5E" w:rsidRPr="002C1F5E" w:rsidRDefault="002C1F5E" w:rsidP="002C1F5E">
      <w:pPr>
        <w:spacing w:before="120" w:after="120" w:line="240" w:lineRule="exact"/>
        <w:ind w:left="283" w:hanging="283"/>
        <w:jc w:val="both"/>
        <w:rPr>
          <w:rFonts w:ascii="FrankRuehl" w:hAnsi="FrankRuehl" w:cs="FrankRuehl"/>
          <w:rtl/>
        </w:rPr>
      </w:pPr>
    </w:p>
    <w:p w14:paraId="111B311B" w14:textId="77777777" w:rsidR="000B4FCC" w:rsidRPr="000B4FCC" w:rsidRDefault="000B4FCC" w:rsidP="000B4FCC">
      <w:pPr>
        <w:spacing w:before="120" w:after="120" w:line="240" w:lineRule="exact"/>
        <w:ind w:left="283" w:hanging="283"/>
        <w:jc w:val="both"/>
        <w:rPr>
          <w:rFonts w:ascii="FrankRuehl" w:hAnsi="FrankRuehl" w:cs="FrankRuehl"/>
          <w:rtl/>
        </w:rPr>
      </w:pPr>
    </w:p>
    <w:p w14:paraId="5B37859D" w14:textId="77777777" w:rsidR="00344ACD" w:rsidRDefault="00344ACD" w:rsidP="00344ACD">
      <w:pPr>
        <w:rPr>
          <w:rtl/>
        </w:rPr>
      </w:pPr>
      <w:bookmarkStart w:id="3" w:name="LawTable"/>
      <w:bookmarkEnd w:id="3"/>
    </w:p>
    <w:p w14:paraId="7C0DC9B3" w14:textId="77777777" w:rsidR="00344ACD" w:rsidRPr="00344ACD" w:rsidRDefault="00344ACD" w:rsidP="00344ACD">
      <w:pPr>
        <w:spacing w:before="120" w:after="120" w:line="240" w:lineRule="exact"/>
        <w:ind w:left="283" w:hanging="283"/>
        <w:jc w:val="both"/>
        <w:rPr>
          <w:rFonts w:ascii="FrankRuehl" w:hAnsi="FrankRuehl" w:cs="FrankRuehl"/>
          <w:rtl/>
        </w:rPr>
      </w:pPr>
    </w:p>
    <w:p w14:paraId="37FFC6EC" w14:textId="77777777" w:rsidR="00344ACD" w:rsidRPr="00344ACD" w:rsidRDefault="00344ACD" w:rsidP="00344ACD">
      <w:pPr>
        <w:spacing w:before="120" w:after="120" w:line="240" w:lineRule="exact"/>
        <w:ind w:left="283" w:hanging="283"/>
        <w:jc w:val="both"/>
        <w:rPr>
          <w:rFonts w:ascii="FrankRuehl" w:hAnsi="FrankRuehl" w:cs="FrankRuehl"/>
          <w:rtl/>
        </w:rPr>
      </w:pPr>
    </w:p>
    <w:p w14:paraId="6A7F1EFA" w14:textId="77777777" w:rsidR="00344ACD" w:rsidRPr="00344ACD" w:rsidRDefault="00344ACD" w:rsidP="00344ACD">
      <w:pPr>
        <w:spacing w:before="120" w:after="120" w:line="240" w:lineRule="exact"/>
        <w:ind w:left="283" w:hanging="283"/>
        <w:jc w:val="both"/>
        <w:rPr>
          <w:rFonts w:ascii="FrankRuehl" w:hAnsi="FrankRuehl" w:cs="FrankRuehl"/>
          <w:rtl/>
        </w:rPr>
      </w:pPr>
      <w:r w:rsidRPr="00344ACD">
        <w:rPr>
          <w:rFonts w:ascii="FrankRuehl" w:hAnsi="FrankRuehl" w:cs="FrankRuehl"/>
          <w:rtl/>
        </w:rPr>
        <w:t xml:space="preserve">חקיקה שאוזכרה: </w:t>
      </w:r>
    </w:p>
    <w:p w14:paraId="29D45575" w14:textId="77777777" w:rsidR="00344ACD" w:rsidRPr="00344ACD" w:rsidRDefault="00344ACD" w:rsidP="00344ACD">
      <w:pPr>
        <w:spacing w:before="120" w:after="120" w:line="240" w:lineRule="exact"/>
        <w:ind w:left="283" w:hanging="283"/>
        <w:jc w:val="both"/>
        <w:rPr>
          <w:rFonts w:ascii="FrankRuehl" w:hAnsi="FrankRuehl" w:cs="FrankRuehl"/>
          <w:rtl/>
        </w:rPr>
      </w:pPr>
      <w:hyperlink r:id="rId7" w:history="1">
        <w:r w:rsidRPr="00344ACD">
          <w:rPr>
            <w:rFonts w:ascii="FrankRuehl" w:hAnsi="FrankRuehl" w:cs="FrankRuehl"/>
            <w:color w:val="0000FF"/>
            <w:rtl/>
          </w:rPr>
          <w:t>פקודת הסמים המסוכנים [נוסח חדש], תשל"ג-1973</w:t>
        </w:r>
      </w:hyperlink>
      <w:r w:rsidRPr="00344ACD">
        <w:rPr>
          <w:rFonts w:ascii="FrankRuehl" w:hAnsi="FrankRuehl" w:cs="FrankRuehl"/>
          <w:rtl/>
        </w:rPr>
        <w:t xml:space="preserve">: סע'  </w:t>
      </w:r>
      <w:hyperlink r:id="rId8" w:history="1">
        <w:r w:rsidRPr="00344ACD">
          <w:rPr>
            <w:rFonts w:ascii="FrankRuehl" w:hAnsi="FrankRuehl" w:cs="FrankRuehl"/>
            <w:color w:val="0000FF"/>
            <w:rtl/>
          </w:rPr>
          <w:t>7(א)</w:t>
        </w:r>
      </w:hyperlink>
      <w:r w:rsidRPr="00344ACD">
        <w:rPr>
          <w:rFonts w:ascii="FrankRuehl" w:hAnsi="FrankRuehl" w:cs="FrankRuehl"/>
          <w:rtl/>
        </w:rPr>
        <w:t xml:space="preserve">, </w:t>
      </w:r>
      <w:hyperlink r:id="rId9" w:history="1">
        <w:r w:rsidRPr="00344ACD">
          <w:rPr>
            <w:rFonts w:ascii="FrankRuehl" w:hAnsi="FrankRuehl" w:cs="FrankRuehl"/>
            <w:color w:val="0000FF"/>
            <w:rtl/>
          </w:rPr>
          <w:t>7(ג)</w:t>
        </w:r>
      </w:hyperlink>
      <w:r w:rsidRPr="00344ACD">
        <w:rPr>
          <w:rFonts w:ascii="FrankRuehl" w:hAnsi="FrankRuehl" w:cs="FrankRuehl"/>
          <w:rtl/>
        </w:rPr>
        <w:t xml:space="preserve">, </w:t>
      </w:r>
      <w:hyperlink r:id="rId10" w:history="1">
        <w:r w:rsidRPr="00344ACD">
          <w:rPr>
            <w:rFonts w:ascii="FrankRuehl" w:hAnsi="FrankRuehl" w:cs="FrankRuehl"/>
            <w:color w:val="0000FF"/>
            <w:rtl/>
          </w:rPr>
          <w:t>13</w:t>
        </w:r>
      </w:hyperlink>
      <w:r w:rsidRPr="00344ACD">
        <w:rPr>
          <w:rFonts w:ascii="FrankRuehl" w:hAnsi="FrankRuehl" w:cs="FrankRuehl"/>
          <w:rtl/>
        </w:rPr>
        <w:t xml:space="preserve">, </w:t>
      </w:r>
      <w:hyperlink r:id="rId11" w:history="1">
        <w:r w:rsidRPr="00344ACD">
          <w:rPr>
            <w:rFonts w:ascii="FrankRuehl" w:hAnsi="FrankRuehl" w:cs="FrankRuehl"/>
            <w:color w:val="0000FF"/>
            <w:rtl/>
          </w:rPr>
          <w:t>19(א)</w:t>
        </w:r>
      </w:hyperlink>
      <w:r w:rsidRPr="00344ACD">
        <w:rPr>
          <w:rFonts w:ascii="FrankRuehl" w:hAnsi="FrankRuehl" w:cs="FrankRuehl"/>
          <w:rtl/>
        </w:rPr>
        <w:t xml:space="preserve">, </w:t>
      </w:r>
      <w:hyperlink r:id="rId12" w:history="1">
        <w:r w:rsidRPr="00344ACD">
          <w:rPr>
            <w:rFonts w:ascii="FrankRuehl" w:hAnsi="FrankRuehl" w:cs="FrankRuehl"/>
            <w:color w:val="0000FF"/>
            <w:rtl/>
          </w:rPr>
          <w:t>21 (א)(1)</w:t>
        </w:r>
      </w:hyperlink>
    </w:p>
    <w:p w14:paraId="51DF2DEA" w14:textId="77777777" w:rsidR="00344ACD" w:rsidRPr="00344ACD" w:rsidRDefault="00344ACD" w:rsidP="00344ACD">
      <w:pPr>
        <w:spacing w:before="120" w:after="120" w:line="240" w:lineRule="exact"/>
        <w:ind w:left="283" w:hanging="283"/>
        <w:jc w:val="both"/>
        <w:rPr>
          <w:rFonts w:ascii="FrankRuehl" w:hAnsi="FrankRuehl" w:cs="FrankRuehl"/>
          <w:rtl/>
        </w:rPr>
      </w:pPr>
      <w:hyperlink r:id="rId13" w:history="1">
        <w:r w:rsidRPr="00344ACD">
          <w:rPr>
            <w:rFonts w:ascii="FrankRuehl" w:hAnsi="FrankRuehl" w:cs="FrankRuehl"/>
            <w:color w:val="0000FF"/>
            <w:rtl/>
          </w:rPr>
          <w:t>חוק העונשין, תשל"ז-1977</w:t>
        </w:r>
      </w:hyperlink>
      <w:r w:rsidRPr="00344ACD">
        <w:rPr>
          <w:rFonts w:ascii="FrankRuehl" w:hAnsi="FrankRuehl" w:cs="FrankRuehl"/>
          <w:rtl/>
        </w:rPr>
        <w:t xml:space="preserve">: סע'  </w:t>
      </w:r>
      <w:hyperlink r:id="rId14" w:history="1">
        <w:r w:rsidRPr="00344ACD">
          <w:rPr>
            <w:rFonts w:ascii="FrankRuehl" w:hAnsi="FrankRuehl" w:cs="FrankRuehl"/>
            <w:color w:val="0000FF"/>
            <w:rtl/>
          </w:rPr>
          <w:t>58</w:t>
        </w:r>
      </w:hyperlink>
      <w:r w:rsidRPr="00344ACD">
        <w:rPr>
          <w:rFonts w:ascii="FrankRuehl" w:hAnsi="FrankRuehl" w:cs="FrankRuehl"/>
          <w:rtl/>
        </w:rPr>
        <w:t xml:space="preserve">, </w:t>
      </w:r>
      <w:hyperlink r:id="rId15" w:history="1">
        <w:r w:rsidRPr="00344ACD">
          <w:rPr>
            <w:rFonts w:ascii="FrankRuehl" w:hAnsi="FrankRuehl" w:cs="FrankRuehl"/>
            <w:color w:val="0000FF"/>
            <w:rtl/>
          </w:rPr>
          <w:t>40יא'</w:t>
        </w:r>
      </w:hyperlink>
      <w:r w:rsidRPr="00344ACD">
        <w:rPr>
          <w:rFonts w:ascii="FrankRuehl" w:hAnsi="FrankRuehl" w:cs="FrankRuehl"/>
          <w:rtl/>
        </w:rPr>
        <w:t xml:space="preserve">, </w:t>
      </w:r>
      <w:hyperlink r:id="rId16" w:history="1">
        <w:r w:rsidRPr="00344ACD">
          <w:rPr>
            <w:rFonts w:ascii="FrankRuehl" w:hAnsi="FrankRuehl" w:cs="FrankRuehl"/>
            <w:color w:val="0000FF"/>
            <w:rtl/>
          </w:rPr>
          <w:t>40יג'</w:t>
        </w:r>
      </w:hyperlink>
    </w:p>
    <w:p w14:paraId="79F13DA0" w14:textId="77777777" w:rsidR="00344ACD" w:rsidRPr="00344ACD" w:rsidRDefault="00344ACD" w:rsidP="00344ACD">
      <w:pPr>
        <w:rPr>
          <w:rtl/>
        </w:rPr>
      </w:pPr>
      <w:bookmarkStart w:id="4" w:name="LawTable_End"/>
      <w:bookmarkEnd w:id="4"/>
    </w:p>
    <w:p w14:paraId="36D6183D" w14:textId="77777777" w:rsidR="00E95229" w:rsidRPr="000B4FCC" w:rsidRDefault="00E95229" w:rsidP="000B4FCC"/>
    <w:tbl>
      <w:tblPr>
        <w:bidiVisual/>
        <w:tblW w:w="8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2"/>
      </w:tblGrid>
      <w:tr w:rsidR="005344CA" w:rsidRPr="008A2104" w14:paraId="4859981F" w14:textId="77777777" w:rsidTr="00E95229">
        <w:trPr>
          <w:trHeight w:val="355"/>
          <w:jc w:val="center"/>
        </w:trPr>
        <w:tc>
          <w:tcPr>
            <w:tcW w:w="8202" w:type="dxa"/>
            <w:tcBorders>
              <w:top w:val="nil"/>
              <w:left w:val="nil"/>
              <w:bottom w:val="nil"/>
              <w:right w:val="nil"/>
            </w:tcBorders>
            <w:shd w:val="clear" w:color="auto" w:fill="auto"/>
          </w:tcPr>
          <w:p w14:paraId="4E6CB267" w14:textId="77777777" w:rsidR="00E95229" w:rsidRPr="00E95229" w:rsidRDefault="00E95229" w:rsidP="00E95229">
            <w:pPr>
              <w:jc w:val="center"/>
              <w:rPr>
                <w:rFonts w:ascii="David" w:hAnsi="David"/>
                <w:b/>
                <w:bCs/>
                <w:sz w:val="32"/>
                <w:szCs w:val="32"/>
                <w:rtl/>
              </w:rPr>
            </w:pPr>
            <w:bookmarkStart w:id="5" w:name="PsakDin" w:colFirst="0" w:colLast="0"/>
            <w:r w:rsidRPr="00E95229">
              <w:rPr>
                <w:rFonts w:ascii="David" w:hAnsi="David"/>
                <w:b/>
                <w:bCs/>
                <w:sz w:val="32"/>
                <w:szCs w:val="32"/>
                <w:rtl/>
              </w:rPr>
              <w:t>גזר דין</w:t>
            </w:r>
          </w:p>
          <w:p w14:paraId="3B04F5E1" w14:textId="77777777" w:rsidR="005344CA" w:rsidRPr="00E95229" w:rsidRDefault="005344CA" w:rsidP="00E95229">
            <w:pPr>
              <w:jc w:val="center"/>
              <w:rPr>
                <w:rFonts w:ascii="David" w:hAnsi="David"/>
                <w:bCs/>
                <w:sz w:val="32"/>
                <w:szCs w:val="32"/>
                <w:rtl/>
              </w:rPr>
            </w:pPr>
          </w:p>
        </w:tc>
      </w:tr>
    </w:tbl>
    <w:p w14:paraId="302DBFDE"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bookmarkStart w:id="6" w:name="ABSTRACT_START"/>
      <w:bookmarkEnd w:id="5"/>
      <w:bookmarkEnd w:id="6"/>
      <w:r>
        <w:rPr>
          <w:rFonts w:cs="FrankRuehl"/>
          <w:sz w:val="28"/>
          <w:szCs w:val="28"/>
          <w:rtl/>
        </w:rPr>
        <w:t>הנאשם הודה בהתאם להסדר דיוני בשני כתבי אישום שצורפו זה לזה והורשע ב</w:t>
      </w:r>
      <w:r>
        <w:rPr>
          <w:rFonts w:ascii="Miriam" w:hAnsi="Miriam" w:cs="Miriam"/>
          <w:rtl/>
        </w:rPr>
        <w:t>סחר בסם מסוכן</w:t>
      </w:r>
      <w:r>
        <w:rPr>
          <w:rFonts w:cs="FrankRuehl"/>
          <w:sz w:val="28"/>
          <w:szCs w:val="28"/>
          <w:rtl/>
        </w:rPr>
        <w:t xml:space="preserve"> – ריבוי עבירות לפי </w:t>
      </w:r>
      <w:hyperlink r:id="rId17" w:history="1">
        <w:r w:rsidR="002C1F5E" w:rsidRPr="002C1F5E">
          <w:rPr>
            <w:rStyle w:val="Hyperlink"/>
            <w:rFonts w:cs="FrankRuehl"/>
            <w:sz w:val="28"/>
            <w:szCs w:val="28"/>
            <w:rtl/>
          </w:rPr>
          <w:t>סעיפים 13</w:t>
        </w:r>
      </w:hyperlink>
      <w:r>
        <w:rPr>
          <w:rFonts w:cs="FrankRuehl"/>
          <w:sz w:val="28"/>
          <w:szCs w:val="28"/>
          <w:rtl/>
        </w:rPr>
        <w:t xml:space="preserve"> +</w:t>
      </w:r>
      <w:r>
        <w:rPr>
          <w:rFonts w:cs="FrankRuehl" w:hint="cs"/>
          <w:sz w:val="28"/>
          <w:szCs w:val="28"/>
          <w:rtl/>
        </w:rPr>
        <w:t xml:space="preserve"> </w:t>
      </w:r>
      <w:hyperlink r:id="rId18" w:history="1">
        <w:r w:rsidR="002C1F5E" w:rsidRPr="002C1F5E">
          <w:rPr>
            <w:rStyle w:val="Hyperlink"/>
            <w:rFonts w:cs="FrankRuehl"/>
            <w:sz w:val="28"/>
            <w:szCs w:val="28"/>
            <w:rtl/>
          </w:rPr>
          <w:t>19(א)</w:t>
        </w:r>
      </w:hyperlink>
      <w:r>
        <w:rPr>
          <w:rFonts w:cs="FrankRuehl" w:hint="cs"/>
          <w:sz w:val="28"/>
          <w:szCs w:val="28"/>
          <w:rtl/>
        </w:rPr>
        <w:t xml:space="preserve"> ל</w:t>
      </w:r>
      <w:hyperlink r:id="rId19" w:history="1">
        <w:r w:rsidR="00E95229" w:rsidRPr="00E95229">
          <w:rPr>
            <w:rFonts w:cs="FrankRuehl" w:hint="cs"/>
            <w:color w:val="0000FF"/>
            <w:sz w:val="28"/>
            <w:szCs w:val="28"/>
            <w:u w:val="single"/>
            <w:rtl/>
          </w:rPr>
          <w:t>פקודת</w:t>
        </w:r>
        <w:r w:rsidR="00E95229" w:rsidRPr="00E95229">
          <w:rPr>
            <w:rFonts w:cs="FrankRuehl"/>
            <w:color w:val="0000FF"/>
            <w:sz w:val="28"/>
            <w:szCs w:val="28"/>
            <w:u w:val="single"/>
            <w:rtl/>
          </w:rPr>
          <w:t xml:space="preserve"> </w:t>
        </w:r>
        <w:r w:rsidR="00E95229" w:rsidRPr="00E95229">
          <w:rPr>
            <w:rFonts w:cs="FrankRuehl" w:hint="cs"/>
            <w:color w:val="0000FF"/>
            <w:sz w:val="28"/>
            <w:szCs w:val="28"/>
            <w:u w:val="single"/>
            <w:rtl/>
          </w:rPr>
          <w:t>הסמים</w:t>
        </w:r>
        <w:r w:rsidR="00E95229" w:rsidRPr="00E95229">
          <w:rPr>
            <w:rFonts w:cs="FrankRuehl"/>
            <w:color w:val="0000FF"/>
            <w:sz w:val="28"/>
            <w:szCs w:val="28"/>
            <w:u w:val="single"/>
            <w:rtl/>
          </w:rPr>
          <w:t xml:space="preserve"> </w:t>
        </w:r>
        <w:r w:rsidR="00E95229" w:rsidRPr="00E95229">
          <w:rPr>
            <w:rFonts w:cs="FrankRuehl" w:hint="cs"/>
            <w:color w:val="0000FF"/>
            <w:sz w:val="28"/>
            <w:szCs w:val="28"/>
            <w:u w:val="single"/>
            <w:rtl/>
          </w:rPr>
          <w:t>המסוכנים</w:t>
        </w:r>
      </w:hyperlink>
      <w:r>
        <w:rPr>
          <w:rFonts w:cs="FrankRuehl"/>
          <w:sz w:val="28"/>
          <w:szCs w:val="28"/>
        </w:rPr>
        <w:t xml:space="preserve">] </w:t>
      </w:r>
      <w:r>
        <w:rPr>
          <w:rFonts w:cs="FrankRuehl"/>
          <w:sz w:val="28"/>
          <w:szCs w:val="28"/>
          <w:rtl/>
        </w:rPr>
        <w:t>נוסח חדש], התשל"ג–1973</w:t>
      </w:r>
      <w:r>
        <w:rPr>
          <w:rFonts w:ascii="Miriam" w:hAnsi="Miriam" w:cs="Miriam"/>
          <w:rtl/>
        </w:rPr>
        <w:t xml:space="preserve"> (</w:t>
      </w:r>
      <w:r>
        <w:rPr>
          <w:rFonts w:cs="FrankRuehl"/>
          <w:sz w:val="28"/>
          <w:szCs w:val="28"/>
          <w:rtl/>
        </w:rPr>
        <w:t xml:space="preserve">להלן: </w:t>
      </w:r>
      <w:r>
        <w:rPr>
          <w:rFonts w:ascii="Miriam" w:hAnsi="Miriam" w:cs="Miriam"/>
          <w:rtl/>
        </w:rPr>
        <w:t>פקודת הסמים המסוכנים</w:t>
      </w:r>
      <w:r>
        <w:rPr>
          <w:rFonts w:cs="FrankRuehl"/>
          <w:sz w:val="28"/>
          <w:szCs w:val="28"/>
          <w:rtl/>
        </w:rPr>
        <w:t>)</w:t>
      </w:r>
      <w:r>
        <w:rPr>
          <w:rFonts w:cs="FrankRuehl" w:hint="cs"/>
          <w:sz w:val="28"/>
          <w:szCs w:val="28"/>
          <w:rtl/>
        </w:rPr>
        <w:t>,</w:t>
      </w:r>
      <w:r>
        <w:rPr>
          <w:rFonts w:cs="FrankRuehl"/>
          <w:sz w:val="28"/>
          <w:szCs w:val="28"/>
          <w:rtl/>
        </w:rPr>
        <w:t xml:space="preserve"> </w:t>
      </w:r>
      <w:r>
        <w:rPr>
          <w:rFonts w:ascii="Miriam" w:hAnsi="Miriam" w:cs="Miriam"/>
          <w:rtl/>
        </w:rPr>
        <w:t>החזקת סם שלא לצריכה עצמית</w:t>
      </w:r>
      <w:r>
        <w:rPr>
          <w:rFonts w:cs="FrankRuehl"/>
          <w:sz w:val="28"/>
          <w:szCs w:val="28"/>
          <w:rtl/>
        </w:rPr>
        <w:t xml:space="preserve"> – לפי </w:t>
      </w:r>
      <w:hyperlink r:id="rId20" w:history="1">
        <w:r w:rsidR="002C1F5E" w:rsidRPr="002C1F5E">
          <w:rPr>
            <w:rStyle w:val="Hyperlink"/>
            <w:rFonts w:cs="FrankRuehl"/>
            <w:sz w:val="28"/>
            <w:szCs w:val="28"/>
            <w:rtl/>
          </w:rPr>
          <w:t>סעיף 7(א)</w:t>
        </w:r>
      </w:hyperlink>
      <w:r>
        <w:rPr>
          <w:rFonts w:cs="FrankRuehl"/>
          <w:sz w:val="28"/>
          <w:szCs w:val="28"/>
          <w:rtl/>
        </w:rPr>
        <w:t xml:space="preserve"> + </w:t>
      </w:r>
      <w:hyperlink r:id="rId21" w:history="1">
        <w:r w:rsidR="002C1F5E" w:rsidRPr="002C1F5E">
          <w:rPr>
            <w:rStyle w:val="Hyperlink"/>
            <w:rFonts w:cs="FrankRuehl"/>
            <w:sz w:val="28"/>
            <w:szCs w:val="28"/>
            <w:rtl/>
          </w:rPr>
          <w:t>7(ג)</w:t>
        </w:r>
      </w:hyperlink>
      <w:r>
        <w:rPr>
          <w:rFonts w:cs="FrankRuehl"/>
          <w:sz w:val="28"/>
          <w:szCs w:val="28"/>
          <w:rtl/>
        </w:rPr>
        <w:t xml:space="preserve"> סייפא לפקודת הסמים המסוכנים ו</w:t>
      </w:r>
      <w:r>
        <w:rPr>
          <w:rFonts w:ascii="Miriam" w:hAnsi="Miriam" w:cs="Miriam"/>
          <w:rtl/>
        </w:rPr>
        <w:t>בהדחת קטין לסם</w:t>
      </w:r>
      <w:r>
        <w:rPr>
          <w:rFonts w:cs="FrankRuehl"/>
          <w:sz w:val="28"/>
          <w:szCs w:val="28"/>
          <w:rtl/>
        </w:rPr>
        <w:t xml:space="preserve">, ריבוי עבירות לפי סעיף </w:t>
      </w:r>
      <w:hyperlink r:id="rId22" w:history="1">
        <w:r w:rsidR="002C1F5E" w:rsidRPr="002C1F5E">
          <w:rPr>
            <w:rStyle w:val="Hyperlink"/>
            <w:rFonts w:cs="FrankRuehl"/>
            <w:sz w:val="28"/>
            <w:szCs w:val="28"/>
            <w:rtl/>
          </w:rPr>
          <w:t>21 (א)(1)</w:t>
        </w:r>
      </w:hyperlink>
      <w:r>
        <w:rPr>
          <w:rFonts w:cs="FrankRuehl"/>
          <w:sz w:val="28"/>
          <w:szCs w:val="28"/>
          <w:rtl/>
        </w:rPr>
        <w:t xml:space="preserve"> לפקודת הסמים המסוכנים.</w:t>
      </w:r>
    </w:p>
    <w:p w14:paraId="662682FC" w14:textId="77777777" w:rsidR="005344CA" w:rsidRDefault="005344CA" w:rsidP="005344CA">
      <w:pPr>
        <w:pStyle w:val="aa"/>
        <w:tabs>
          <w:tab w:val="left" w:pos="-58"/>
        </w:tabs>
        <w:spacing w:before="100" w:beforeAutospacing="1" w:after="120"/>
        <w:ind w:left="-58"/>
        <w:jc w:val="both"/>
        <w:rPr>
          <w:rFonts w:ascii="FrankRuehl" w:hAnsi="FrankRuehl" w:cs="FrankRuehl"/>
          <w:noProof/>
          <w:sz w:val="28"/>
          <w:szCs w:val="28"/>
        </w:rPr>
      </w:pPr>
      <w:bookmarkStart w:id="7" w:name="ABSTRACT_END"/>
      <w:bookmarkEnd w:id="7"/>
    </w:p>
    <w:p w14:paraId="6E7BE77E"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בין הצדדים לא גובשה הסכמה לעניין העונש שראוי שיושת על הנאשם וכל צד טען כראות עיניו וכמיטב שיקול דעתו המקצועי. </w:t>
      </w:r>
    </w:p>
    <w:p w14:paraId="226CC6D5" w14:textId="77777777" w:rsidR="005344CA" w:rsidRPr="00547CEB" w:rsidRDefault="005344CA" w:rsidP="005344CA">
      <w:pPr>
        <w:pStyle w:val="aa"/>
        <w:rPr>
          <w:rFonts w:ascii="Miriam" w:hAnsi="Miriam" w:cs="Miriam"/>
          <w:rtl/>
        </w:rPr>
      </w:pPr>
    </w:p>
    <w:p w14:paraId="4214AF2C" w14:textId="77777777" w:rsidR="005344CA" w:rsidRDefault="005344CA" w:rsidP="005344CA">
      <w:pPr>
        <w:pStyle w:val="aa"/>
        <w:tabs>
          <w:tab w:val="left" w:pos="-58"/>
        </w:tabs>
        <w:spacing w:before="100" w:beforeAutospacing="1" w:after="120" w:line="360" w:lineRule="auto"/>
        <w:ind w:left="-58"/>
        <w:jc w:val="both"/>
        <w:rPr>
          <w:rFonts w:ascii="FrankRuehl" w:hAnsi="FrankRuehl" w:cs="FrankRuehl"/>
          <w:noProof/>
          <w:sz w:val="28"/>
          <w:szCs w:val="28"/>
        </w:rPr>
      </w:pPr>
      <w:r w:rsidRPr="00547CEB">
        <w:rPr>
          <w:rFonts w:ascii="Miriam" w:hAnsi="Miriam" w:cs="Miriam" w:hint="cs"/>
          <w:rtl/>
        </w:rPr>
        <w:t>כת</w:t>
      </w:r>
      <w:r w:rsidRPr="00547CEB">
        <w:rPr>
          <w:rFonts w:ascii="Miriam" w:hAnsi="Miriam" w:cs="Miriam"/>
          <w:rtl/>
        </w:rPr>
        <w:t xml:space="preserve">בי האישום </w:t>
      </w:r>
    </w:p>
    <w:p w14:paraId="2E910400" w14:textId="77777777" w:rsidR="005344CA" w:rsidRPr="00547CEB" w:rsidRDefault="005344CA" w:rsidP="005344CA">
      <w:pPr>
        <w:pStyle w:val="aa"/>
        <w:rPr>
          <w:rFonts w:ascii="FrankRuehl" w:hAnsi="FrankRuehl" w:cs="FrankRuehl"/>
          <w:noProof/>
          <w:sz w:val="28"/>
          <w:szCs w:val="28"/>
          <w:rtl/>
        </w:rPr>
      </w:pPr>
    </w:p>
    <w:p w14:paraId="0C5345C0" w14:textId="77777777" w:rsidR="005344CA" w:rsidRDefault="00E95229" w:rsidP="005344CA">
      <w:pPr>
        <w:pStyle w:val="aa"/>
        <w:tabs>
          <w:tab w:val="left" w:pos="-58"/>
        </w:tabs>
        <w:spacing w:before="100" w:beforeAutospacing="1" w:after="120" w:line="360" w:lineRule="auto"/>
        <w:ind w:left="-58"/>
        <w:jc w:val="both"/>
        <w:rPr>
          <w:rFonts w:ascii="Miriam" w:hAnsi="Miriam" w:cs="Miriam"/>
        </w:rPr>
      </w:pPr>
      <w:hyperlink r:id="rId23" w:history="1">
        <w:r w:rsidRPr="00E95229">
          <w:rPr>
            <w:rFonts w:ascii="Miriam" w:hAnsi="Miriam" w:cs="Miriam"/>
            <w:color w:val="0000FF"/>
            <w:u w:val="single"/>
            <w:rtl/>
          </w:rPr>
          <w:t>ת.פ 46735-02-20</w:t>
        </w:r>
      </w:hyperlink>
      <w:r w:rsidR="005344CA" w:rsidRPr="00547CEB">
        <w:rPr>
          <w:rFonts w:ascii="Miriam" w:hAnsi="Miriam" w:cs="Miriam"/>
          <w:rtl/>
        </w:rPr>
        <w:t xml:space="preserve"> </w:t>
      </w:r>
      <w:r w:rsidR="005344CA">
        <w:rPr>
          <w:rFonts w:ascii="FrankRuehl" w:hAnsi="FrankRuehl" w:cs="FrankRuehl" w:hint="cs"/>
          <w:noProof/>
          <w:sz w:val="28"/>
          <w:szCs w:val="28"/>
          <w:rtl/>
        </w:rPr>
        <w:t>אוחז בחובו שמונה</w:t>
      </w:r>
      <w:r w:rsidR="005344CA" w:rsidRPr="00547CEB">
        <w:rPr>
          <w:rFonts w:ascii="FrankRuehl" w:hAnsi="FrankRuehl" w:cs="FrankRuehl" w:hint="cs"/>
          <w:noProof/>
          <w:sz w:val="28"/>
          <w:szCs w:val="28"/>
          <w:rtl/>
        </w:rPr>
        <w:t xml:space="preserve"> אישומים</w:t>
      </w:r>
      <w:r w:rsidR="005344CA" w:rsidRPr="00547CEB">
        <w:rPr>
          <w:rFonts w:ascii="Miriam" w:hAnsi="Miriam" w:cs="Miriam" w:hint="cs"/>
          <w:rtl/>
        </w:rPr>
        <w:t xml:space="preserve"> </w:t>
      </w:r>
      <w:r w:rsidR="005344CA" w:rsidRPr="00547CEB">
        <w:rPr>
          <w:rFonts w:ascii="Miriam" w:hAnsi="Miriam" w:cs="Miriam"/>
          <w:rtl/>
        </w:rPr>
        <w:t>(</w:t>
      </w:r>
      <w:r w:rsidR="005344CA" w:rsidRPr="00547CEB">
        <w:rPr>
          <w:rFonts w:ascii="FrankRuehl" w:hAnsi="FrankRuehl" w:cs="FrankRuehl"/>
          <w:noProof/>
          <w:sz w:val="28"/>
          <w:szCs w:val="28"/>
          <w:rtl/>
        </w:rPr>
        <w:t>להלן:</w:t>
      </w:r>
      <w:r w:rsidR="005344CA" w:rsidRPr="00547CEB">
        <w:rPr>
          <w:rFonts w:ascii="Miriam" w:hAnsi="Miriam" w:cs="Miriam"/>
          <w:rtl/>
        </w:rPr>
        <w:t xml:space="preserve"> התיק </w:t>
      </w:r>
      <w:r w:rsidR="005344CA" w:rsidRPr="00547CEB">
        <w:rPr>
          <w:rFonts w:ascii="Miriam" w:hAnsi="Miriam" w:cs="Miriam" w:hint="cs"/>
          <w:rtl/>
        </w:rPr>
        <w:t xml:space="preserve">העיקרי) </w:t>
      </w:r>
    </w:p>
    <w:p w14:paraId="71A790BE" w14:textId="77777777" w:rsidR="005344CA" w:rsidRPr="00547CEB" w:rsidRDefault="005344CA" w:rsidP="005344CA">
      <w:pPr>
        <w:pStyle w:val="aa"/>
        <w:rPr>
          <w:rFonts w:ascii="Miriam" w:hAnsi="Miriam" w:cs="Miriam"/>
          <w:rtl/>
        </w:rPr>
      </w:pPr>
    </w:p>
    <w:p w14:paraId="4468B97E"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Miriam" w:hAnsi="Miriam" w:cs="Miriam"/>
        </w:rPr>
      </w:pPr>
      <w:r w:rsidRPr="00547CEB">
        <w:rPr>
          <w:rFonts w:ascii="FrankRuehl" w:hAnsi="FrankRuehl" w:cs="FrankRuehl" w:hint="cs"/>
          <w:noProof/>
          <w:sz w:val="28"/>
          <w:szCs w:val="28"/>
          <w:rtl/>
        </w:rPr>
        <w:lastRenderedPageBreak/>
        <w:t>עובר ליום 8.2.2020 ו</w:t>
      </w:r>
      <w:r w:rsidRPr="00547CEB">
        <w:rPr>
          <w:rFonts w:ascii="FrankRuehl" w:hAnsi="FrankRuehl" w:cs="FrankRuehl"/>
          <w:noProof/>
          <w:sz w:val="28"/>
          <w:szCs w:val="28"/>
          <w:rtl/>
        </w:rPr>
        <w:t>במהלך תקופה של כשנה</w:t>
      </w:r>
      <w:r w:rsidRPr="00547CEB">
        <w:rPr>
          <w:rFonts w:ascii="FrankRuehl" w:hAnsi="FrankRuehl" w:cs="FrankRuehl" w:hint="cs"/>
          <w:noProof/>
          <w:sz w:val="28"/>
          <w:szCs w:val="28"/>
          <w:rtl/>
        </w:rPr>
        <w:t xml:space="preserve">, במספר רב של הזדמנויות, לאחר תיאום טלפוני </w:t>
      </w:r>
      <w:r w:rsidRPr="00547CEB">
        <w:rPr>
          <w:rFonts w:ascii="FrankRuehl" w:hAnsi="FrankRuehl" w:cs="FrankRuehl"/>
          <w:noProof/>
          <w:sz w:val="28"/>
          <w:szCs w:val="28"/>
          <w:rtl/>
        </w:rPr>
        <w:t>מכר הנאשם</w:t>
      </w:r>
      <w:r w:rsidRPr="00547CEB">
        <w:rPr>
          <w:rFonts w:ascii="FrankRuehl" w:hAnsi="FrankRuehl" w:cs="FrankRuehl" w:hint="cs"/>
          <w:noProof/>
          <w:sz w:val="28"/>
          <w:szCs w:val="28"/>
          <w:rtl/>
        </w:rPr>
        <w:t>, סמים מסוכנים מסוג חשיש, בכמויות קטנות ועד 5 גרם וזאת ל-10 קונים. האחרונים שילמו ב</w:t>
      </w:r>
      <w:r w:rsidRPr="00547CEB">
        <w:rPr>
          <w:rFonts w:ascii="FrankRuehl" w:hAnsi="FrankRuehl" w:cs="FrankRuehl"/>
          <w:noProof/>
          <w:sz w:val="28"/>
          <w:szCs w:val="28"/>
          <w:rtl/>
        </w:rPr>
        <w:t>תמור</w:t>
      </w:r>
      <w:r w:rsidRPr="00547CEB">
        <w:rPr>
          <w:rFonts w:ascii="FrankRuehl" w:hAnsi="FrankRuehl" w:cs="FrankRuehl" w:hint="cs"/>
          <w:noProof/>
          <w:sz w:val="28"/>
          <w:szCs w:val="28"/>
          <w:rtl/>
        </w:rPr>
        <w:t>ה ל</w:t>
      </w:r>
      <w:r w:rsidRPr="00547CEB">
        <w:rPr>
          <w:rFonts w:ascii="FrankRuehl" w:hAnsi="FrankRuehl" w:cs="FrankRuehl"/>
          <w:noProof/>
          <w:sz w:val="28"/>
          <w:szCs w:val="28"/>
          <w:rtl/>
        </w:rPr>
        <w:t xml:space="preserve">סמים בין 200-20 ₪. </w:t>
      </w:r>
    </w:p>
    <w:p w14:paraId="00A0E2FB" w14:textId="77777777" w:rsidR="005344CA" w:rsidRDefault="005344CA" w:rsidP="005344CA">
      <w:pPr>
        <w:pStyle w:val="aa"/>
        <w:tabs>
          <w:tab w:val="left" w:pos="-58"/>
        </w:tabs>
        <w:spacing w:before="100" w:beforeAutospacing="1" w:after="120"/>
        <w:ind w:left="-58"/>
        <w:jc w:val="both"/>
        <w:rPr>
          <w:rFonts w:ascii="Miriam" w:hAnsi="Miriam" w:cs="Miriam"/>
        </w:rPr>
      </w:pPr>
    </w:p>
    <w:p w14:paraId="3730603F" w14:textId="77777777" w:rsidR="005344CA" w:rsidRDefault="00E95229" w:rsidP="005344CA">
      <w:pPr>
        <w:pStyle w:val="aa"/>
        <w:tabs>
          <w:tab w:val="left" w:pos="-58"/>
        </w:tabs>
        <w:spacing w:before="100" w:beforeAutospacing="1" w:after="120" w:line="360" w:lineRule="auto"/>
        <w:ind w:left="-58"/>
        <w:jc w:val="both"/>
        <w:rPr>
          <w:rFonts w:ascii="FrankRuehl" w:hAnsi="FrankRuehl" w:cs="FrankRuehl"/>
          <w:noProof/>
          <w:sz w:val="28"/>
          <w:szCs w:val="28"/>
          <w:rtl/>
        </w:rPr>
      </w:pPr>
      <w:hyperlink r:id="rId24" w:history="1">
        <w:r w:rsidRPr="00E95229">
          <w:rPr>
            <w:rFonts w:ascii="Miriam" w:hAnsi="Miriam" w:cs="Miriam"/>
            <w:color w:val="0000FF"/>
            <w:u w:val="single"/>
            <w:rtl/>
          </w:rPr>
          <w:t>ת.פ 15028-03-23</w:t>
        </w:r>
      </w:hyperlink>
      <w:r w:rsidR="005344CA" w:rsidRPr="00547CEB">
        <w:rPr>
          <w:rFonts w:ascii="Miriam" w:hAnsi="Miriam" w:cs="Miriam"/>
          <w:rtl/>
        </w:rPr>
        <w:t xml:space="preserve"> </w:t>
      </w:r>
      <w:r w:rsidR="005344CA" w:rsidRPr="00547CEB">
        <w:rPr>
          <w:rFonts w:ascii="FrankRuehl" w:hAnsi="FrankRuehl" w:cs="FrankRuehl"/>
          <w:noProof/>
          <w:sz w:val="28"/>
          <w:szCs w:val="28"/>
          <w:rtl/>
        </w:rPr>
        <w:t xml:space="preserve">אוחז בחובו ארבעה אישומים </w:t>
      </w:r>
      <w:r w:rsidR="005344CA" w:rsidRPr="00547CEB">
        <w:rPr>
          <w:rFonts w:ascii="Miriam" w:hAnsi="Miriam" w:cs="Miriam"/>
          <w:rtl/>
        </w:rPr>
        <w:t>(</w:t>
      </w:r>
      <w:r w:rsidR="005344CA" w:rsidRPr="00547CEB">
        <w:rPr>
          <w:rFonts w:ascii="FrankRuehl" w:hAnsi="FrankRuehl" w:cs="FrankRuehl"/>
          <w:noProof/>
          <w:sz w:val="28"/>
          <w:szCs w:val="28"/>
          <w:rtl/>
        </w:rPr>
        <w:t>להלן:</w:t>
      </w:r>
      <w:r w:rsidR="005344CA" w:rsidRPr="00547CEB">
        <w:rPr>
          <w:rFonts w:ascii="Miriam" w:hAnsi="Miriam" w:cs="Miriam"/>
          <w:rtl/>
        </w:rPr>
        <w:t xml:space="preserve"> כתב האישום המצורף) </w:t>
      </w:r>
    </w:p>
    <w:p w14:paraId="55E9190B" w14:textId="77777777" w:rsidR="005344CA" w:rsidRPr="00547CEB" w:rsidRDefault="005344CA" w:rsidP="005344CA">
      <w:pPr>
        <w:pStyle w:val="aa"/>
        <w:tabs>
          <w:tab w:val="left" w:pos="-58"/>
        </w:tabs>
        <w:spacing w:before="100" w:beforeAutospacing="1" w:after="120"/>
        <w:ind w:left="-58"/>
        <w:jc w:val="both"/>
        <w:rPr>
          <w:rFonts w:ascii="FrankRuehl" w:hAnsi="FrankRuehl" w:cs="FrankRuehl"/>
          <w:noProof/>
          <w:sz w:val="28"/>
          <w:szCs w:val="28"/>
        </w:rPr>
      </w:pPr>
      <w:r w:rsidRPr="00547CEB">
        <w:rPr>
          <w:rFonts w:ascii="FrankRuehl" w:hAnsi="FrankRuehl" w:cs="FrankRuehl"/>
          <w:noProof/>
          <w:sz w:val="28"/>
          <w:szCs w:val="28"/>
          <w:rtl/>
        </w:rPr>
        <w:t xml:space="preserve"> </w:t>
      </w:r>
    </w:p>
    <w:p w14:paraId="6A729D3A"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לפי האישום הראשון, ביום 28.2.2023 החזיק הנאשם בחדר שינה על השולחן קופסה ובה סם מסוכן מסוג חשיש במשקל נטו 20.87 גרם לצריכה עצמית. </w:t>
      </w:r>
    </w:p>
    <w:p w14:paraId="4A0698EE" w14:textId="77777777" w:rsidR="005344CA" w:rsidRDefault="005344CA" w:rsidP="005344CA">
      <w:pPr>
        <w:pStyle w:val="aa"/>
        <w:tabs>
          <w:tab w:val="left" w:pos="-58"/>
        </w:tabs>
        <w:spacing w:before="100" w:beforeAutospacing="1" w:after="120"/>
        <w:ind w:left="-58"/>
        <w:jc w:val="both"/>
        <w:rPr>
          <w:rFonts w:ascii="FrankRuehl" w:hAnsi="FrankRuehl" w:cs="FrankRuehl"/>
          <w:noProof/>
          <w:sz w:val="28"/>
          <w:szCs w:val="28"/>
        </w:rPr>
      </w:pPr>
    </w:p>
    <w:p w14:paraId="7A25BAA6"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לפי האישומים השני, השלישי והחמישי, עובר ליום 27.2.2023 משך תקופה של כשנה ובמועדים שונים מכר הנאשם לשלושה קטינים, סם מסוכן מסוג חשיש בכמויות קטנות. תמורת הסמים שילמו הקונים 100-20 ₪. במהלך תקופה זו אחד מהקטין בגר. עסקאות הסמים התבצעו לאחר תיאום טלפוני מוקדם, בחדר המדרגות סמוך לבית הנאשם או בקרבת ביתו. </w:t>
      </w:r>
    </w:p>
    <w:p w14:paraId="14766A7E" w14:textId="77777777" w:rsidR="005344CA" w:rsidRPr="00E83624" w:rsidRDefault="005344CA" w:rsidP="005344CA">
      <w:pPr>
        <w:pStyle w:val="aa"/>
        <w:rPr>
          <w:rFonts w:ascii="FrankRuehl" w:hAnsi="FrankRuehl" w:cs="FrankRuehl"/>
          <w:noProof/>
          <w:sz w:val="28"/>
          <w:szCs w:val="28"/>
          <w:rtl/>
        </w:rPr>
      </w:pPr>
    </w:p>
    <w:p w14:paraId="1DE024BD" w14:textId="77777777" w:rsidR="005344CA" w:rsidRDefault="005344CA" w:rsidP="005344CA">
      <w:pPr>
        <w:pStyle w:val="aa"/>
        <w:tabs>
          <w:tab w:val="left" w:pos="-58"/>
        </w:tabs>
        <w:spacing w:before="100" w:beforeAutospacing="1" w:after="120" w:line="360" w:lineRule="auto"/>
        <w:ind w:left="-58"/>
        <w:jc w:val="both"/>
        <w:rPr>
          <w:rFonts w:ascii="Miriam" w:hAnsi="Miriam" w:cs="Miriam"/>
        </w:rPr>
      </w:pPr>
      <w:r>
        <w:rPr>
          <w:rFonts w:ascii="Miriam" w:hAnsi="Miriam" w:cs="Miriam"/>
          <w:rtl/>
        </w:rPr>
        <w:t xml:space="preserve">תסקירי מבחן </w:t>
      </w:r>
    </w:p>
    <w:p w14:paraId="3AEE2CA5" w14:textId="77777777" w:rsidR="005344CA" w:rsidRDefault="005344CA" w:rsidP="005344CA">
      <w:pPr>
        <w:pStyle w:val="aa"/>
        <w:tabs>
          <w:tab w:val="left" w:pos="-58"/>
        </w:tabs>
        <w:spacing w:before="100" w:beforeAutospacing="1" w:after="120"/>
        <w:ind w:left="-58"/>
        <w:jc w:val="both"/>
        <w:rPr>
          <w:rFonts w:ascii="FrankRuehl" w:hAnsi="FrankRuehl" w:cs="FrankRuehl"/>
          <w:noProof/>
          <w:sz w:val="28"/>
          <w:szCs w:val="28"/>
        </w:rPr>
      </w:pPr>
    </w:p>
    <w:p w14:paraId="5E338271"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מונחים בפני בית המשפט שלושה תסקיר</w:t>
      </w:r>
      <w:r>
        <w:rPr>
          <w:rFonts w:ascii="FrankRuehl" w:hAnsi="FrankRuehl" w:cs="FrankRuehl" w:hint="cs"/>
          <w:noProof/>
          <w:sz w:val="28"/>
          <w:szCs w:val="28"/>
          <w:rtl/>
        </w:rPr>
        <w:t>ים (4.10.2021; 18.1.2023; 29.3.2022)</w:t>
      </w:r>
      <w:r>
        <w:rPr>
          <w:rFonts w:ascii="FrankRuehl" w:hAnsi="FrankRuehl" w:cs="FrankRuehl"/>
          <w:noProof/>
          <w:sz w:val="28"/>
          <w:szCs w:val="28"/>
          <w:rtl/>
        </w:rPr>
        <w:t xml:space="preserve"> מטעמי צנעת הפרט הדברים יובאו בצמצום המתבקש. </w:t>
      </w:r>
    </w:p>
    <w:p w14:paraId="79201458" w14:textId="77777777" w:rsidR="005344CA" w:rsidRDefault="005344CA" w:rsidP="005344CA">
      <w:pPr>
        <w:pStyle w:val="aa"/>
        <w:tabs>
          <w:tab w:val="left" w:pos="-58"/>
        </w:tabs>
        <w:spacing w:before="100" w:beforeAutospacing="1" w:after="120"/>
        <w:ind w:left="-58"/>
        <w:jc w:val="both"/>
        <w:rPr>
          <w:rFonts w:ascii="FrankRuehl" w:hAnsi="FrankRuehl" w:cs="FrankRuehl"/>
          <w:noProof/>
          <w:sz w:val="28"/>
          <w:szCs w:val="28"/>
          <w:rtl/>
        </w:rPr>
      </w:pPr>
    </w:p>
    <w:p w14:paraId="5EB9785E"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הנאשם בן 67, נשוי, אב לארבעה ילדים בוגרים וסב לנכדים, מתגורר עם אשתו בנתניה וסובל מתחלואים שונים. נכון למועד כתיבת התסקיר התמודד הנאשם עם מחלה קשה. לחובת הנאשם עבר פלילי בגין עבירות סמים ורכוש והוא ריצה מאסרים לתקופות  שונות. בעבר נעשו ניסיונות לשלב את הנאשם בהליכים טיפוליים, ללא הצלחה. הנאשם הודה בעבירות בגינן נותן את הדין, אך צמצמם מחומרתן. הנאשם התקשה לקיים קשר עם שירות המבחן, לאור מצבו הנפשי ובריאותי ואף מסר כי מאס בדרכי הטיפול השונות ואינו מעוניין בטיפול דרך שירות המבחן. </w:t>
      </w:r>
    </w:p>
    <w:p w14:paraId="0C4B867E" w14:textId="77777777" w:rsidR="005344CA" w:rsidRDefault="005344CA" w:rsidP="005344CA">
      <w:pPr>
        <w:pStyle w:val="aa"/>
        <w:tabs>
          <w:tab w:val="left" w:pos="-58"/>
        </w:tabs>
        <w:spacing w:before="100" w:beforeAutospacing="1" w:after="120"/>
        <w:ind w:left="-58"/>
        <w:jc w:val="both"/>
        <w:rPr>
          <w:rFonts w:ascii="FrankRuehl" w:hAnsi="FrankRuehl" w:cs="FrankRuehl"/>
          <w:noProof/>
          <w:sz w:val="28"/>
          <w:szCs w:val="28"/>
        </w:rPr>
      </w:pPr>
    </w:p>
    <w:p w14:paraId="4873492B" w14:textId="77777777" w:rsidR="005344CA" w:rsidRPr="00E83624"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tl/>
        </w:rPr>
      </w:pPr>
      <w:r w:rsidRPr="00E83624">
        <w:rPr>
          <w:rFonts w:ascii="FrankRuehl" w:hAnsi="FrankRuehl" w:cs="FrankRuehl"/>
          <w:noProof/>
          <w:sz w:val="28"/>
          <w:szCs w:val="28"/>
          <w:rtl/>
        </w:rPr>
        <w:t>שירות המבחן התרשם כי הנאשם סובל מהתמכרות כרונית לסמים, מחזיק בעמדות מקלות לשימוש בסמים, ממוקד בשימוש בסמים להקל</w:t>
      </w:r>
      <w:r>
        <w:rPr>
          <w:rFonts w:ascii="FrankRuehl" w:hAnsi="FrankRuehl" w:cs="FrankRuehl" w:hint="cs"/>
          <w:noProof/>
          <w:sz w:val="28"/>
          <w:szCs w:val="28"/>
          <w:rtl/>
        </w:rPr>
        <w:t xml:space="preserve">ה בכאבים, </w:t>
      </w:r>
      <w:r w:rsidRPr="00E83624">
        <w:rPr>
          <w:rFonts w:ascii="FrankRuehl" w:hAnsi="FrankRuehl" w:cs="FrankRuehl"/>
          <w:noProof/>
          <w:sz w:val="28"/>
          <w:szCs w:val="28"/>
          <w:rtl/>
        </w:rPr>
        <w:t xml:space="preserve">נעדר הבנה באשר לסיכון שמעמיד את עצמו </w:t>
      </w:r>
      <w:r>
        <w:rPr>
          <w:rFonts w:ascii="FrankRuehl" w:hAnsi="FrankRuehl" w:cs="FrankRuehl" w:hint="cs"/>
          <w:noProof/>
          <w:sz w:val="28"/>
          <w:szCs w:val="28"/>
          <w:rtl/>
        </w:rPr>
        <w:t>ב</w:t>
      </w:r>
      <w:r w:rsidRPr="00E83624">
        <w:rPr>
          <w:rFonts w:ascii="FrankRuehl" w:hAnsi="FrankRuehl" w:cs="FrankRuehl"/>
          <w:noProof/>
          <w:sz w:val="28"/>
          <w:szCs w:val="28"/>
          <w:rtl/>
        </w:rPr>
        <w:t xml:space="preserve">התנהלותו העבריינית ואינו מצליח להבין את הקשר בין השימוש האינטנסיבי בסם מסוג קנאביס לדפוסיו ההתמכרותיים. הנאשם במשך שנים מתקשה לנהל אורח חיים יציב ופונה להתנהלות עבריינית על אף סנקציות עונשיות שהוטלו עליו. </w:t>
      </w:r>
    </w:p>
    <w:p w14:paraId="09CAD5B5" w14:textId="77777777" w:rsidR="005344CA" w:rsidRDefault="005344CA" w:rsidP="005344CA">
      <w:pPr>
        <w:pStyle w:val="aa"/>
        <w:rPr>
          <w:rFonts w:ascii="FrankRuehl" w:hAnsi="FrankRuehl" w:cs="FrankRuehl"/>
          <w:noProof/>
          <w:sz w:val="28"/>
          <w:szCs w:val="28"/>
        </w:rPr>
      </w:pPr>
    </w:p>
    <w:p w14:paraId="4575477C"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tl/>
        </w:rPr>
      </w:pPr>
      <w:r>
        <w:rPr>
          <w:rFonts w:ascii="FrankRuehl" w:hAnsi="FrankRuehl" w:cs="FrankRuehl"/>
          <w:noProof/>
          <w:sz w:val="28"/>
          <w:szCs w:val="28"/>
          <w:rtl/>
        </w:rPr>
        <w:t xml:space="preserve">שירות המבחן התרשם בדומה לעבר כי הנאשם ממוקד בקשיים קונקרטיים בחייו, פנה למיצוי זכויותיו בביטוח לאומי וביטא שביעות רצון מכך. הנאשם ביטא קשיים ומצוקה סביב </w:t>
      </w:r>
      <w:r>
        <w:rPr>
          <w:rFonts w:ascii="FrankRuehl" w:hAnsi="FrankRuehl" w:cs="FrankRuehl"/>
          <w:noProof/>
          <w:sz w:val="28"/>
          <w:szCs w:val="28"/>
          <w:rtl/>
        </w:rPr>
        <w:lastRenderedPageBreak/>
        <w:t xml:space="preserve">מצבו הבריאותי והתפקודי. חרף המצוקה שביטא, בחר שלא להעזר במסגרת יומיומית שיכולה הייתה ליתן מענה נרחב לקשייו.  </w:t>
      </w:r>
    </w:p>
    <w:p w14:paraId="3F444BDE" w14:textId="77777777" w:rsidR="005344CA" w:rsidRDefault="005344CA" w:rsidP="005344CA">
      <w:pPr>
        <w:pStyle w:val="aa"/>
        <w:rPr>
          <w:rFonts w:ascii="FrankRuehl" w:hAnsi="FrankRuehl" w:cs="FrankRuehl"/>
          <w:noProof/>
          <w:sz w:val="28"/>
          <w:szCs w:val="28"/>
        </w:rPr>
      </w:pPr>
    </w:p>
    <w:p w14:paraId="3A1F6C19"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sidRPr="00973E54">
        <w:rPr>
          <w:rFonts w:ascii="FrankRuehl" w:hAnsi="FrankRuehl" w:cs="FrankRuehl"/>
          <w:noProof/>
          <w:sz w:val="28"/>
          <w:szCs w:val="28"/>
          <w:rtl/>
        </w:rPr>
        <w:t>שירות המבחן התרשם כי גורמי הסיכון במצבו של הנאשם אינם קשורים רק למצוקה סביב בריאותו ותפקודו, אלא גם לדפוסים שוליים. בין אלו, ניכר</w:t>
      </w:r>
      <w:r w:rsidRPr="00973E54">
        <w:rPr>
          <w:rFonts w:ascii="FrankRuehl" w:hAnsi="FrankRuehl" w:cs="FrankRuehl" w:hint="cs"/>
          <w:noProof/>
          <w:sz w:val="28"/>
          <w:szCs w:val="28"/>
          <w:rtl/>
        </w:rPr>
        <w:t xml:space="preserve">ו </w:t>
      </w:r>
      <w:r w:rsidRPr="00973E54">
        <w:rPr>
          <w:rFonts w:ascii="FrankRuehl" w:hAnsi="FrankRuehl" w:cs="FrankRuehl"/>
          <w:noProof/>
          <w:sz w:val="28"/>
          <w:szCs w:val="28"/>
          <w:rtl/>
        </w:rPr>
        <w:t xml:space="preserve">קשיים בלקיחת אחריות והתבוננות באופן ביקורתי על חלקיו ועל חזרתיות בביצוע עבירות הסמים כשסנקציות לא הועילו. שירות המבחן </w:t>
      </w:r>
      <w:r w:rsidRPr="00973E54">
        <w:rPr>
          <w:rFonts w:ascii="FrankRuehl" w:hAnsi="FrankRuehl" w:cs="FrankRuehl" w:hint="cs"/>
          <w:noProof/>
          <w:sz w:val="28"/>
          <w:szCs w:val="28"/>
          <w:rtl/>
        </w:rPr>
        <w:t xml:space="preserve">פגש את הנאשם מספר פעמים על פני תקופה לא מבוטלת ובכל אחת מהפעמים לא נרשם </w:t>
      </w:r>
      <w:r w:rsidRPr="00973E54">
        <w:rPr>
          <w:rFonts w:ascii="FrankRuehl" w:hAnsi="FrankRuehl" w:cs="FrankRuehl"/>
          <w:noProof/>
          <w:sz w:val="28"/>
          <w:szCs w:val="28"/>
          <w:rtl/>
        </w:rPr>
        <w:t>שינוי בעמדות הנאשם בכל הקשור למצבו ו</w:t>
      </w:r>
      <w:r w:rsidRPr="00973E54">
        <w:rPr>
          <w:rFonts w:ascii="FrankRuehl" w:hAnsi="FrankRuehl" w:cs="FrankRuehl" w:hint="cs"/>
          <w:noProof/>
          <w:sz w:val="28"/>
          <w:szCs w:val="28"/>
          <w:rtl/>
        </w:rPr>
        <w:t xml:space="preserve">שירות המבחן התרשם כי </w:t>
      </w:r>
      <w:r w:rsidRPr="00973E54">
        <w:rPr>
          <w:rFonts w:ascii="FrankRuehl" w:hAnsi="FrankRuehl" w:cs="FrankRuehl"/>
          <w:noProof/>
          <w:sz w:val="28"/>
          <w:szCs w:val="28"/>
          <w:rtl/>
        </w:rPr>
        <w:t xml:space="preserve">לא קיימת מסוגלות ולו ראשונית להתייחס למוקדי הסיכון במצבו. הנאשם שולל בעייתיות בתחום התנהגות עוברת החוק ואינו בשל להתבוננות ביקורתית בכל הקשור לכך. </w:t>
      </w:r>
    </w:p>
    <w:p w14:paraId="6282DCDD" w14:textId="77777777" w:rsidR="005344CA" w:rsidRPr="00482BD4" w:rsidRDefault="005344CA" w:rsidP="005344CA">
      <w:pPr>
        <w:pStyle w:val="aa"/>
        <w:rPr>
          <w:rFonts w:ascii="FrankRuehl" w:hAnsi="FrankRuehl" w:cs="FrankRuehl"/>
          <w:noProof/>
          <w:sz w:val="28"/>
          <w:szCs w:val="28"/>
          <w:rtl/>
        </w:rPr>
      </w:pPr>
    </w:p>
    <w:p w14:paraId="515FE5B2"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hint="cs"/>
          <w:noProof/>
          <w:sz w:val="28"/>
          <w:szCs w:val="28"/>
          <w:rtl/>
        </w:rPr>
        <w:t>דברים דומים נרשמו גם כאשר הנאשם ה</w:t>
      </w:r>
      <w:r>
        <w:rPr>
          <w:rFonts w:ascii="FrankRuehl" w:hAnsi="FrankRuehl" w:cs="FrankRuehl"/>
          <w:noProof/>
          <w:sz w:val="28"/>
          <w:szCs w:val="28"/>
          <w:rtl/>
        </w:rPr>
        <w:t>ופנה לשירות המבחן במסגרת הליך מקביל בבית המשפט לתעבורה בגין עבירות שעניינן נהיגה בזמן פסילה</w:t>
      </w:r>
      <w:r>
        <w:rPr>
          <w:rFonts w:ascii="FrankRuehl" w:hAnsi="FrankRuehl" w:cs="FrankRuehl" w:hint="cs"/>
          <w:noProof/>
          <w:sz w:val="28"/>
          <w:szCs w:val="28"/>
          <w:rtl/>
        </w:rPr>
        <w:t xml:space="preserve"> ו</w:t>
      </w:r>
      <w:r>
        <w:rPr>
          <w:rFonts w:ascii="FrankRuehl" w:hAnsi="FrankRuehl" w:cs="FrankRuehl"/>
          <w:noProof/>
          <w:sz w:val="28"/>
          <w:szCs w:val="28"/>
          <w:rtl/>
        </w:rPr>
        <w:t xml:space="preserve">ללא ביטוח </w:t>
      </w:r>
      <w:r>
        <w:rPr>
          <w:rFonts w:ascii="FrankRuehl" w:hAnsi="FrankRuehl" w:cs="FrankRuehl" w:hint="cs"/>
          <w:noProof/>
          <w:sz w:val="28"/>
          <w:szCs w:val="28"/>
          <w:rtl/>
        </w:rPr>
        <w:t xml:space="preserve">ואחרות </w:t>
      </w:r>
      <w:r>
        <w:rPr>
          <w:rFonts w:ascii="FrankRuehl" w:hAnsi="FrankRuehl" w:cs="FrankRuehl"/>
          <w:noProof/>
          <w:sz w:val="28"/>
          <w:szCs w:val="28"/>
          <w:rtl/>
        </w:rPr>
        <w:t>מתאריך 6.10.2021.</w:t>
      </w:r>
    </w:p>
    <w:p w14:paraId="66FBCE94" w14:textId="77777777" w:rsidR="005344CA" w:rsidRPr="00482BD4" w:rsidRDefault="005344CA" w:rsidP="005344CA">
      <w:pPr>
        <w:pStyle w:val="aa"/>
        <w:rPr>
          <w:rFonts w:ascii="FrankRuehl" w:hAnsi="FrankRuehl" w:cs="FrankRuehl"/>
          <w:noProof/>
          <w:sz w:val="28"/>
          <w:szCs w:val="28"/>
          <w:rtl/>
        </w:rPr>
      </w:pPr>
    </w:p>
    <w:p w14:paraId="6530F9B3" w14:textId="77777777" w:rsidR="005344CA" w:rsidRPr="00973E54"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sidRPr="00973E54">
        <w:rPr>
          <w:rFonts w:ascii="FrankRuehl" w:hAnsi="FrankRuehl" w:cs="FrankRuehl" w:hint="cs"/>
          <w:noProof/>
          <w:sz w:val="28"/>
          <w:szCs w:val="28"/>
          <w:rtl/>
        </w:rPr>
        <w:t xml:space="preserve">שירות המבחן בתסקיר האחרון ציין כי בפגישה עם קצינת המבחן </w:t>
      </w:r>
      <w:r w:rsidRPr="00973E54">
        <w:rPr>
          <w:rFonts w:ascii="FrankRuehl" w:hAnsi="FrankRuehl" w:cs="FrankRuehl"/>
          <w:noProof/>
          <w:sz w:val="28"/>
          <w:szCs w:val="28"/>
          <w:rtl/>
        </w:rPr>
        <w:t xml:space="preserve">חזר </w:t>
      </w:r>
      <w:r>
        <w:rPr>
          <w:rFonts w:ascii="FrankRuehl" w:hAnsi="FrankRuehl" w:cs="FrankRuehl" w:hint="cs"/>
          <w:noProof/>
          <w:sz w:val="28"/>
          <w:szCs w:val="28"/>
          <w:rtl/>
        </w:rPr>
        <w:t xml:space="preserve">הנאשם </w:t>
      </w:r>
      <w:r w:rsidRPr="00973E54">
        <w:rPr>
          <w:rFonts w:ascii="FrankRuehl" w:hAnsi="FrankRuehl" w:cs="FrankRuehl"/>
          <w:noProof/>
          <w:sz w:val="28"/>
          <w:szCs w:val="28"/>
          <w:rtl/>
        </w:rPr>
        <w:t>והתייחס למצבו הבריאותי וקשייו הפיזיים</w:t>
      </w:r>
      <w:r w:rsidRPr="00973E54">
        <w:rPr>
          <w:rFonts w:ascii="FrankRuehl" w:hAnsi="FrankRuehl" w:cs="FrankRuehl" w:hint="cs"/>
          <w:noProof/>
          <w:sz w:val="28"/>
          <w:szCs w:val="28"/>
          <w:rtl/>
        </w:rPr>
        <w:t xml:space="preserve">, באופן מגמתי ונועד </w:t>
      </w:r>
      <w:r w:rsidRPr="00973E54">
        <w:rPr>
          <w:rFonts w:ascii="FrankRuehl" w:hAnsi="FrankRuehl" w:cs="FrankRuehl"/>
          <w:noProof/>
          <w:sz w:val="28"/>
          <w:szCs w:val="28"/>
          <w:rtl/>
        </w:rPr>
        <w:t>להסי</w:t>
      </w:r>
      <w:r w:rsidRPr="00973E54">
        <w:rPr>
          <w:rFonts w:ascii="FrankRuehl" w:hAnsi="FrankRuehl" w:cs="FrankRuehl" w:hint="cs"/>
          <w:noProof/>
          <w:sz w:val="28"/>
          <w:szCs w:val="28"/>
          <w:rtl/>
        </w:rPr>
        <w:t xml:space="preserve">ט את הדיון בעניין דפוסיו </w:t>
      </w:r>
      <w:r w:rsidRPr="00973E54">
        <w:rPr>
          <w:rFonts w:ascii="FrankRuehl" w:hAnsi="FrankRuehl" w:cs="FrankRuehl"/>
          <w:noProof/>
          <w:sz w:val="28"/>
          <w:szCs w:val="28"/>
          <w:rtl/>
        </w:rPr>
        <w:t>השוליים. ה</w:t>
      </w:r>
      <w:r w:rsidRPr="00973E54">
        <w:rPr>
          <w:rFonts w:ascii="FrankRuehl" w:hAnsi="FrankRuehl" w:cs="FrankRuehl" w:hint="cs"/>
          <w:noProof/>
          <w:sz w:val="28"/>
          <w:szCs w:val="28"/>
          <w:rtl/>
        </w:rPr>
        <w:t xml:space="preserve">נאשם </w:t>
      </w:r>
      <w:r w:rsidRPr="00973E54">
        <w:rPr>
          <w:rFonts w:ascii="FrankRuehl" w:hAnsi="FrankRuehl" w:cs="FrankRuehl"/>
          <w:noProof/>
          <w:sz w:val="28"/>
          <w:szCs w:val="28"/>
          <w:rtl/>
        </w:rPr>
        <w:t>ביטא רצון לסיוע משירות המבחן, אך מיקד צרכיו במצב כלכלי ובתפקוד יומי. שירות המבחן סייע לנאשם בפנייתו ללשכה לשירותים חברתיים לצורך סיוע במיצוי זכויותיו וסיוע בתקפוד בקהילה.</w:t>
      </w:r>
    </w:p>
    <w:p w14:paraId="22E8447C" w14:textId="77777777" w:rsidR="005344CA" w:rsidRPr="00482BD4" w:rsidRDefault="005344CA" w:rsidP="005344CA">
      <w:pPr>
        <w:pStyle w:val="aa"/>
        <w:rPr>
          <w:rFonts w:ascii="FrankRuehl" w:hAnsi="FrankRuehl" w:cs="FrankRuehl"/>
          <w:noProof/>
          <w:sz w:val="28"/>
          <w:szCs w:val="28"/>
          <w:rtl/>
        </w:rPr>
      </w:pPr>
    </w:p>
    <w:p w14:paraId="43981792"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בין גורמי הסיכון, לצד מצבו הבריאותי המורכב, נרשמו גם אלו: עברו הפלילי של הנאשם עם חזרתיות גבוהה בעבירות סמים ותעבורה, חרף סנקציות עונשטיות שהוטלו; העובדה כי נפתח כנגדו תיק מב"ד חדש; הקושי שביטא כשהתבקש להתייחס להתנהלותו השולית ולערוך שינוי בדפוסיו; התמכרותו ארוכת השנים לחומרים ממכרים, כאשר כיום קיבל אישור לשימוש בקנאביס רפואי (הוצגו מסמכים); עמדותיו המקלות בכל הקשור לביצוע העבירות; מצבו הנפשי והעובדה כי כיום לדבריו לא נעזר במעקב פסיכיאטרי. </w:t>
      </w:r>
    </w:p>
    <w:p w14:paraId="3CCD23AA" w14:textId="77777777" w:rsidR="005344CA" w:rsidRPr="00482BD4" w:rsidRDefault="005344CA" w:rsidP="005344CA">
      <w:pPr>
        <w:pStyle w:val="aa"/>
        <w:tabs>
          <w:tab w:val="left" w:pos="-58"/>
        </w:tabs>
        <w:spacing w:before="100" w:beforeAutospacing="1" w:after="120"/>
        <w:ind w:left="-58"/>
        <w:jc w:val="both"/>
        <w:rPr>
          <w:rFonts w:ascii="FrankRuehl" w:hAnsi="FrankRuehl" w:cs="FrankRuehl"/>
          <w:noProof/>
          <w:sz w:val="28"/>
          <w:szCs w:val="28"/>
        </w:rPr>
      </w:pPr>
    </w:p>
    <w:p w14:paraId="24DE129E"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noProof/>
          <w:sz w:val="28"/>
          <w:szCs w:val="28"/>
          <w:rtl/>
        </w:rPr>
        <w:t xml:space="preserve">לאור האמור, נמנע </w:t>
      </w:r>
      <w:r>
        <w:rPr>
          <w:rFonts w:ascii="FrankRuehl" w:hAnsi="FrankRuehl" w:cs="FrankRuehl" w:hint="cs"/>
          <w:noProof/>
          <w:sz w:val="28"/>
          <w:szCs w:val="28"/>
          <w:rtl/>
        </w:rPr>
        <w:t xml:space="preserve">שירות המבחן </w:t>
      </w:r>
      <w:r>
        <w:rPr>
          <w:rFonts w:ascii="FrankRuehl" w:hAnsi="FrankRuehl" w:cs="FrankRuehl"/>
          <w:noProof/>
          <w:sz w:val="28"/>
          <w:szCs w:val="28"/>
          <w:rtl/>
        </w:rPr>
        <w:t>מהמלצה שיקומית טיפולית</w:t>
      </w:r>
      <w:r>
        <w:rPr>
          <w:rFonts w:ascii="FrankRuehl" w:hAnsi="FrankRuehl" w:cs="FrankRuehl" w:hint="cs"/>
          <w:noProof/>
          <w:sz w:val="28"/>
          <w:szCs w:val="28"/>
          <w:rtl/>
        </w:rPr>
        <w:t xml:space="preserve">. </w:t>
      </w:r>
    </w:p>
    <w:p w14:paraId="767CF36A" w14:textId="77777777" w:rsidR="005344CA" w:rsidRPr="00482BD4" w:rsidRDefault="005344CA" w:rsidP="005344CA">
      <w:pPr>
        <w:pStyle w:val="aa"/>
        <w:rPr>
          <w:rFonts w:ascii="Miriam" w:hAnsi="Miriam" w:cs="Miriam"/>
          <w:rtl/>
        </w:rPr>
      </w:pPr>
    </w:p>
    <w:p w14:paraId="3293164E" w14:textId="77777777" w:rsidR="005344CA" w:rsidRDefault="005344CA" w:rsidP="005344C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4FCB7E49"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המאשימה</w:t>
      </w:r>
      <w:r>
        <w:rPr>
          <w:rFonts w:cs="FrankRuehl"/>
          <w:sz w:val="28"/>
          <w:szCs w:val="28"/>
          <w:rtl/>
        </w:rPr>
        <w:t xml:space="preserve"> עמדה בטיעוניה על הערכים החברתיים המוגנים שנפגעו כתוצאה מ</w:t>
      </w:r>
      <w:r>
        <w:rPr>
          <w:rFonts w:cs="FrankRuehl" w:hint="cs"/>
          <w:sz w:val="28"/>
          <w:szCs w:val="28"/>
          <w:rtl/>
        </w:rPr>
        <w:t>מעשיו של הנאשם ובה</w:t>
      </w:r>
      <w:r>
        <w:rPr>
          <w:rFonts w:cs="FrankRuehl"/>
          <w:sz w:val="28"/>
          <w:szCs w:val="28"/>
          <w:rtl/>
        </w:rPr>
        <w:t xml:space="preserve">ם הגנה על שלמות גופו ובטחונו ובריאותו של הציבור בפרט נוכח היותו של נגע הסמים כמחולל פשיעה. </w:t>
      </w:r>
      <w:r>
        <w:rPr>
          <w:rFonts w:cs="FrankRuehl" w:hint="cs"/>
          <w:sz w:val="28"/>
          <w:szCs w:val="28"/>
          <w:rtl/>
        </w:rPr>
        <w:t xml:space="preserve">בסקירת נסיבות ביצוע העבירות הדגישה המאשימה כי הנאשם </w:t>
      </w:r>
      <w:r>
        <w:rPr>
          <w:rFonts w:cs="FrankRuehl"/>
          <w:sz w:val="28"/>
          <w:szCs w:val="28"/>
          <w:rtl/>
        </w:rPr>
        <w:t>ממוקם בראש שרשרת הפצת הסם</w:t>
      </w:r>
      <w:r>
        <w:rPr>
          <w:rFonts w:cs="FrankRuehl" w:hint="cs"/>
          <w:sz w:val="28"/>
          <w:szCs w:val="28"/>
          <w:rtl/>
        </w:rPr>
        <w:t xml:space="preserve">, </w:t>
      </w:r>
      <w:r>
        <w:rPr>
          <w:rFonts w:cs="FrankRuehl"/>
          <w:sz w:val="28"/>
          <w:szCs w:val="28"/>
          <w:rtl/>
        </w:rPr>
        <w:t xml:space="preserve">מכר סמים מסוג חשיש בהזדמנויות שונות, לקונים שונים, חלקם קטינים, תמורת סכומי כסף משתנים. כן ביקשה המאשימה </w:t>
      </w:r>
      <w:r>
        <w:rPr>
          <w:rFonts w:cs="FrankRuehl" w:hint="cs"/>
          <w:sz w:val="28"/>
          <w:szCs w:val="28"/>
          <w:rtl/>
        </w:rPr>
        <w:t>לראות חומרה ייתרה במעשים המפורטים בכתב האישום המצורף שבוצעו ל</w:t>
      </w:r>
      <w:r>
        <w:rPr>
          <w:rFonts w:cs="FrankRuehl"/>
          <w:sz w:val="28"/>
          <w:szCs w:val="28"/>
          <w:rtl/>
        </w:rPr>
        <w:t>אחר ש</w:t>
      </w:r>
      <w:r>
        <w:rPr>
          <w:rFonts w:cs="FrankRuehl" w:hint="cs"/>
          <w:sz w:val="28"/>
          <w:szCs w:val="28"/>
          <w:rtl/>
        </w:rPr>
        <w:t xml:space="preserve">הנאשם </w:t>
      </w:r>
      <w:r>
        <w:rPr>
          <w:rFonts w:cs="FrankRuehl"/>
          <w:sz w:val="28"/>
          <w:szCs w:val="28"/>
          <w:rtl/>
        </w:rPr>
        <w:t>הודה בכתב האישום ה</w:t>
      </w:r>
      <w:r>
        <w:rPr>
          <w:rFonts w:cs="FrankRuehl" w:hint="cs"/>
          <w:sz w:val="28"/>
          <w:szCs w:val="28"/>
          <w:rtl/>
        </w:rPr>
        <w:t xml:space="preserve">עיקרי </w:t>
      </w:r>
      <w:r>
        <w:rPr>
          <w:rFonts w:cs="FrankRuehl"/>
          <w:sz w:val="28"/>
          <w:szCs w:val="28"/>
          <w:rtl/>
        </w:rPr>
        <w:t xml:space="preserve">וניתנה לו הזדמנות להשתקם. הזדמנות אותה לא השכיל לנצל. המאשימה ביקשה לקבוע מתחם ענישה נפרד לכל אחד </w:t>
      </w:r>
      <w:r>
        <w:rPr>
          <w:rFonts w:cs="FrankRuehl" w:hint="cs"/>
          <w:sz w:val="28"/>
          <w:szCs w:val="28"/>
          <w:rtl/>
        </w:rPr>
        <w:t xml:space="preserve">מהאישומים ולא רק לכל אחד מכתבי האישום. </w:t>
      </w:r>
      <w:r>
        <w:rPr>
          <w:rFonts w:cs="FrankRuehl"/>
          <w:sz w:val="28"/>
          <w:szCs w:val="28"/>
          <w:rtl/>
        </w:rPr>
        <w:t xml:space="preserve">עמדתה תמכה בפסיקה. </w:t>
      </w:r>
    </w:p>
    <w:p w14:paraId="4CB88917" w14:textId="77777777" w:rsidR="005344CA" w:rsidRDefault="005344CA" w:rsidP="005344CA">
      <w:pPr>
        <w:pStyle w:val="aa"/>
        <w:tabs>
          <w:tab w:val="left" w:pos="-58"/>
        </w:tabs>
        <w:spacing w:before="100" w:beforeAutospacing="1" w:after="120"/>
        <w:ind w:left="-58"/>
        <w:jc w:val="both"/>
        <w:rPr>
          <w:rFonts w:cs="FrankRuehl"/>
          <w:sz w:val="28"/>
          <w:szCs w:val="28"/>
        </w:rPr>
      </w:pPr>
    </w:p>
    <w:p w14:paraId="5E7017A3"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sidRPr="0052254E">
        <w:rPr>
          <w:rFonts w:cs="FrankRuehl"/>
          <w:sz w:val="28"/>
          <w:szCs w:val="28"/>
          <w:rtl/>
        </w:rPr>
        <w:t>באשר לעונשו של הנאשם בגדרו של המתחם המאשימה הפנתה לגילו של הנאשם וגיליון הרישום בתחום הפלילי ובתחום התעבורה (</w:t>
      </w:r>
      <w:r w:rsidRPr="0052254E">
        <w:rPr>
          <w:rFonts w:ascii="Miriam" w:hAnsi="Miriam" w:cs="Miriam"/>
          <w:rtl/>
        </w:rPr>
        <w:t>עטת/1</w:t>
      </w:r>
      <w:r w:rsidRPr="0052254E">
        <w:rPr>
          <w:rFonts w:ascii="Miriam" w:hAnsi="Miriam" w:cs="Miriam" w:hint="cs"/>
          <w:rtl/>
        </w:rPr>
        <w:t xml:space="preserve"> </w:t>
      </w:r>
      <w:r>
        <w:rPr>
          <w:rFonts w:ascii="Miriam" w:hAnsi="Miriam" w:cs="Miriam"/>
          <w:rtl/>
        </w:rPr>
        <w:t>–</w:t>
      </w:r>
      <w:r w:rsidRPr="0052254E">
        <w:rPr>
          <w:rFonts w:ascii="Miriam" w:hAnsi="Miriam" w:cs="Miriam"/>
          <w:rtl/>
        </w:rPr>
        <w:t xml:space="preserve"> טעת/4</w:t>
      </w:r>
      <w:r w:rsidRPr="0052254E">
        <w:rPr>
          <w:rFonts w:cs="FrankRuehl"/>
          <w:sz w:val="28"/>
          <w:szCs w:val="28"/>
          <w:rtl/>
        </w:rPr>
        <w:t xml:space="preserve">), סקרה את עיקרי תסקירי שירות המבחן המלמדים כי הנאשם מכור לסמים והדגישה את העדרו של אופק שיקומי.  </w:t>
      </w:r>
    </w:p>
    <w:p w14:paraId="0D47B1B8" w14:textId="77777777" w:rsidR="005344CA" w:rsidRPr="00221A50" w:rsidRDefault="005344CA" w:rsidP="005344CA">
      <w:pPr>
        <w:pStyle w:val="aa"/>
        <w:rPr>
          <w:rFonts w:cs="FrankRuehl"/>
          <w:sz w:val="28"/>
          <w:szCs w:val="28"/>
          <w:rtl/>
        </w:rPr>
      </w:pPr>
    </w:p>
    <w:p w14:paraId="127989BB"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מטעמים אלו ולנוכח רמת הסיכון להישנות עבירות פליליות, העונש הראוי לנאשם, כך לדעת  המאשימה הוא מאסר </w:t>
      </w:r>
      <w:r>
        <w:rPr>
          <w:rFonts w:cs="FrankRuehl" w:hint="cs"/>
          <w:sz w:val="28"/>
          <w:szCs w:val="28"/>
          <w:rtl/>
        </w:rPr>
        <w:t xml:space="preserve">לתקופה של </w:t>
      </w:r>
      <w:r>
        <w:rPr>
          <w:rFonts w:cs="FrankRuehl"/>
          <w:sz w:val="28"/>
          <w:szCs w:val="28"/>
          <w:rtl/>
        </w:rPr>
        <w:t xml:space="preserve">76 חודשים, מאסר מותנה וקנס מכביד שילמד כי אין תועלת בביצוען של עבירות סחר בסמים, פסילת רישיון נהיגה בפועל ועל תנאי.  </w:t>
      </w:r>
    </w:p>
    <w:p w14:paraId="5BA59303" w14:textId="77777777" w:rsidR="005344CA" w:rsidRPr="0052254E" w:rsidRDefault="005344CA" w:rsidP="005344CA">
      <w:pPr>
        <w:pStyle w:val="aa"/>
        <w:tabs>
          <w:tab w:val="left" w:pos="-58"/>
        </w:tabs>
        <w:spacing w:before="100" w:beforeAutospacing="1" w:after="120"/>
        <w:ind w:left="-58"/>
        <w:jc w:val="both"/>
        <w:rPr>
          <w:rFonts w:cs="FrankRuehl"/>
          <w:sz w:val="28"/>
          <w:szCs w:val="28"/>
        </w:rPr>
      </w:pPr>
    </w:p>
    <w:p w14:paraId="7A05D040"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ב</w:t>
      </w:r>
      <w:r>
        <w:rPr>
          <w:rFonts w:ascii="Miriam" w:hAnsi="Miriam" w:cs="Miriam" w:hint="cs"/>
          <w:rtl/>
        </w:rPr>
        <w:t xml:space="preserve">את כוח </w:t>
      </w:r>
      <w:r>
        <w:rPr>
          <w:rFonts w:ascii="Miriam" w:hAnsi="Miriam" w:cs="Miriam"/>
          <w:rtl/>
        </w:rPr>
        <w:t>הנאשם</w:t>
      </w:r>
      <w:r>
        <w:rPr>
          <w:rFonts w:ascii="Corbel" w:hAnsi="Corbel" w:cs="FrankRuehl"/>
          <w:rtl/>
        </w:rPr>
        <w:t xml:space="preserve"> </w:t>
      </w:r>
      <w:r>
        <w:rPr>
          <w:rFonts w:cs="FrankRuehl"/>
          <w:sz w:val="28"/>
          <w:szCs w:val="28"/>
          <w:rtl/>
        </w:rPr>
        <w:t>טע</w:t>
      </w:r>
      <w:r>
        <w:rPr>
          <w:rFonts w:cs="FrankRuehl" w:hint="cs"/>
          <w:sz w:val="28"/>
          <w:szCs w:val="28"/>
          <w:rtl/>
        </w:rPr>
        <w:t>נה</w:t>
      </w:r>
      <w:r>
        <w:rPr>
          <w:rFonts w:cs="FrankRuehl"/>
          <w:sz w:val="28"/>
          <w:szCs w:val="28"/>
          <w:rtl/>
        </w:rPr>
        <w:t xml:space="preserve"> כי המתחם לו עותרת המאשימה מחמיר יתר על המידה ואינו הולם את נסיבות ביצוע העבירה ומדיניות הענישה הנהוגה. בתוך כך נטען כי יש לקבוע מתחם ענישה אחד לנוכח הקשר והזיקה בין המעשים שנפרשו על פני תקופה. </w:t>
      </w:r>
      <w:r>
        <w:rPr>
          <w:rFonts w:cs="FrankRuehl" w:hint="cs"/>
          <w:sz w:val="28"/>
          <w:szCs w:val="28"/>
          <w:rtl/>
        </w:rPr>
        <w:t xml:space="preserve">על אף </w:t>
      </w:r>
      <w:r>
        <w:rPr>
          <w:rFonts w:cs="FrankRuehl"/>
          <w:sz w:val="28"/>
          <w:szCs w:val="28"/>
          <w:rtl/>
        </w:rPr>
        <w:t>ריבוי העסקאות ביקש</w:t>
      </w:r>
      <w:r>
        <w:rPr>
          <w:rFonts w:cs="FrankRuehl" w:hint="cs"/>
          <w:sz w:val="28"/>
          <w:szCs w:val="28"/>
          <w:rtl/>
        </w:rPr>
        <w:t>ה</w:t>
      </w:r>
      <w:r>
        <w:rPr>
          <w:rFonts w:cs="FrankRuehl"/>
          <w:sz w:val="28"/>
          <w:szCs w:val="28"/>
          <w:rtl/>
        </w:rPr>
        <w:t xml:space="preserve"> </w:t>
      </w:r>
      <w:r>
        <w:rPr>
          <w:rFonts w:cs="FrankRuehl" w:hint="cs"/>
          <w:sz w:val="28"/>
          <w:szCs w:val="28"/>
          <w:rtl/>
        </w:rPr>
        <w:t xml:space="preserve">באת כוח הנאשם </w:t>
      </w:r>
      <w:r>
        <w:rPr>
          <w:rFonts w:cs="FrankRuehl"/>
          <w:sz w:val="28"/>
          <w:szCs w:val="28"/>
          <w:rtl/>
        </w:rPr>
        <w:t xml:space="preserve">לשים הדגש על זהות הקונים, סוג הסם והסכומים הזעומים שהתקבלו בגינם. </w:t>
      </w:r>
      <w:r>
        <w:rPr>
          <w:rFonts w:cs="FrankRuehl" w:hint="cs"/>
          <w:sz w:val="28"/>
          <w:szCs w:val="28"/>
          <w:rtl/>
        </w:rPr>
        <w:t xml:space="preserve">מכאן, </w:t>
      </w:r>
      <w:r>
        <w:rPr>
          <w:rFonts w:cs="FrankRuehl"/>
          <w:sz w:val="28"/>
          <w:szCs w:val="28"/>
          <w:rtl/>
        </w:rPr>
        <w:t>עתר</w:t>
      </w:r>
      <w:r>
        <w:rPr>
          <w:rFonts w:cs="FrankRuehl" w:hint="cs"/>
          <w:sz w:val="28"/>
          <w:szCs w:val="28"/>
          <w:rtl/>
        </w:rPr>
        <w:t>ה</w:t>
      </w:r>
      <w:r>
        <w:rPr>
          <w:rFonts w:cs="FrankRuehl"/>
          <w:sz w:val="28"/>
          <w:szCs w:val="28"/>
          <w:rtl/>
        </w:rPr>
        <w:t xml:space="preserve"> לקביעת מתחם ענישה 12-36 חודשי מאסר. </w:t>
      </w:r>
      <w:r>
        <w:rPr>
          <w:rFonts w:cs="FrankRuehl" w:hint="cs"/>
          <w:sz w:val="28"/>
          <w:szCs w:val="28"/>
          <w:rtl/>
        </w:rPr>
        <w:t xml:space="preserve">עמדתה תמכה בפסיקה וביקשה להבחן </w:t>
      </w:r>
      <w:r>
        <w:rPr>
          <w:rFonts w:cs="FrankRuehl"/>
          <w:sz w:val="28"/>
          <w:szCs w:val="28"/>
          <w:rtl/>
        </w:rPr>
        <w:t>בין עניינו של הנאשם לפס</w:t>
      </w:r>
      <w:r>
        <w:rPr>
          <w:rFonts w:cs="FrankRuehl" w:hint="cs"/>
          <w:sz w:val="28"/>
          <w:szCs w:val="28"/>
          <w:rtl/>
        </w:rPr>
        <w:t xml:space="preserve">יקה </w:t>
      </w:r>
      <w:r>
        <w:rPr>
          <w:rFonts w:cs="FrankRuehl"/>
          <w:sz w:val="28"/>
          <w:szCs w:val="28"/>
          <w:rtl/>
        </w:rPr>
        <w:t xml:space="preserve">שהציגה המאשימה </w:t>
      </w:r>
      <w:r>
        <w:rPr>
          <w:rFonts w:cs="FrankRuehl" w:hint="cs"/>
          <w:sz w:val="28"/>
          <w:szCs w:val="28"/>
          <w:rtl/>
        </w:rPr>
        <w:t xml:space="preserve">שעוסקים </w:t>
      </w:r>
      <w:r>
        <w:rPr>
          <w:rFonts w:cs="FrankRuehl"/>
          <w:sz w:val="28"/>
          <w:szCs w:val="28"/>
          <w:rtl/>
        </w:rPr>
        <w:t xml:space="preserve">במקרים חמורים </w:t>
      </w:r>
      <w:r>
        <w:rPr>
          <w:rFonts w:cs="FrankRuehl" w:hint="cs"/>
          <w:sz w:val="28"/>
          <w:szCs w:val="28"/>
          <w:rtl/>
        </w:rPr>
        <w:t xml:space="preserve">בהרבה. </w:t>
      </w:r>
    </w:p>
    <w:p w14:paraId="4C13123F" w14:textId="77777777" w:rsidR="005344CA" w:rsidRPr="0030220A" w:rsidRDefault="005344CA" w:rsidP="005344CA">
      <w:pPr>
        <w:pStyle w:val="aa"/>
        <w:rPr>
          <w:rFonts w:cs="FrankRuehl"/>
          <w:sz w:val="28"/>
          <w:szCs w:val="28"/>
          <w:rtl/>
        </w:rPr>
      </w:pPr>
    </w:p>
    <w:p w14:paraId="12AFE36A"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לקביעת העונש בגדרי המתחם, הפנ</w:t>
      </w:r>
      <w:r>
        <w:rPr>
          <w:rFonts w:cs="FrankRuehl" w:hint="cs"/>
          <w:sz w:val="28"/>
          <w:szCs w:val="28"/>
          <w:rtl/>
        </w:rPr>
        <w:t>תה</w:t>
      </w:r>
      <w:r>
        <w:rPr>
          <w:rFonts w:cs="FrankRuehl"/>
          <w:sz w:val="28"/>
          <w:szCs w:val="28"/>
          <w:rtl/>
        </w:rPr>
        <w:t xml:space="preserve"> בא</w:t>
      </w:r>
      <w:r>
        <w:rPr>
          <w:rFonts w:cs="FrankRuehl" w:hint="cs"/>
          <w:sz w:val="28"/>
          <w:szCs w:val="28"/>
          <w:rtl/>
        </w:rPr>
        <w:t>ת</w:t>
      </w:r>
      <w:r>
        <w:rPr>
          <w:rFonts w:cs="FrankRuehl"/>
          <w:sz w:val="28"/>
          <w:szCs w:val="28"/>
          <w:rtl/>
        </w:rPr>
        <w:t xml:space="preserve"> כוח הנאשם לנסיבות שאינן קשורות בביצוע העבירות ומצדיקות התחשבות, בין אלו מנ</w:t>
      </w:r>
      <w:r>
        <w:rPr>
          <w:rFonts w:cs="FrankRuehl" w:hint="cs"/>
          <w:sz w:val="28"/>
          <w:szCs w:val="28"/>
          <w:rtl/>
        </w:rPr>
        <w:t>ת</w:t>
      </w:r>
      <w:r>
        <w:rPr>
          <w:rFonts w:cs="FrankRuehl"/>
          <w:sz w:val="28"/>
          <w:szCs w:val="28"/>
          <w:rtl/>
        </w:rPr>
        <w:t>ה את ההודאה ולקיחת האחריות, החיסכון בזמן שיפוטי; מצבו הבריאותי הירוד של הנאשם, ותקופת המעצר המצטברת בה שוהה הנאשם שאינה שוות ערך לעצורים ואסירים אחרים לנוכח המצב הבריאותי המורכב. בא</w:t>
      </w:r>
      <w:r>
        <w:rPr>
          <w:rFonts w:cs="FrankRuehl" w:hint="cs"/>
          <w:sz w:val="28"/>
          <w:szCs w:val="28"/>
          <w:rtl/>
        </w:rPr>
        <w:t>ת</w:t>
      </w:r>
      <w:r>
        <w:rPr>
          <w:rFonts w:cs="FrankRuehl"/>
          <w:sz w:val="28"/>
          <w:szCs w:val="28"/>
          <w:rtl/>
        </w:rPr>
        <w:t xml:space="preserve"> כוח הנאשם לא מתעל</w:t>
      </w:r>
      <w:r>
        <w:rPr>
          <w:rFonts w:cs="FrankRuehl" w:hint="cs"/>
          <w:sz w:val="28"/>
          <w:szCs w:val="28"/>
          <w:rtl/>
        </w:rPr>
        <w:t xml:space="preserve">מת </w:t>
      </w:r>
      <w:r>
        <w:rPr>
          <w:rFonts w:cs="FrankRuehl"/>
          <w:sz w:val="28"/>
          <w:szCs w:val="28"/>
          <w:rtl/>
        </w:rPr>
        <w:t>מעברו הפלילי של הנאשם או מ</w:t>
      </w:r>
      <w:r>
        <w:rPr>
          <w:rFonts w:cs="FrankRuehl" w:hint="cs"/>
          <w:sz w:val="28"/>
          <w:szCs w:val="28"/>
          <w:rtl/>
        </w:rPr>
        <w:t>כישלון ההליך הטיפולי</w:t>
      </w:r>
      <w:r>
        <w:rPr>
          <w:rFonts w:cs="FrankRuehl"/>
          <w:sz w:val="28"/>
          <w:szCs w:val="28"/>
          <w:rtl/>
        </w:rPr>
        <w:t>, אך סבור</w:t>
      </w:r>
      <w:r>
        <w:rPr>
          <w:rFonts w:cs="FrankRuehl" w:hint="cs"/>
          <w:sz w:val="28"/>
          <w:szCs w:val="28"/>
          <w:rtl/>
        </w:rPr>
        <w:t>ה</w:t>
      </w:r>
      <w:r>
        <w:rPr>
          <w:rFonts w:cs="FrankRuehl"/>
          <w:sz w:val="28"/>
          <w:szCs w:val="28"/>
          <w:rtl/>
        </w:rPr>
        <w:t xml:space="preserve"> כי הדבר נעוץ ביכולותיו הדלות של הנאשם והעדר גורמי תמיכה</w:t>
      </w:r>
      <w:r>
        <w:rPr>
          <w:rFonts w:cs="FrankRuehl" w:hint="cs"/>
          <w:sz w:val="28"/>
          <w:szCs w:val="28"/>
          <w:rtl/>
        </w:rPr>
        <w:t xml:space="preserve"> ו</w:t>
      </w:r>
      <w:r>
        <w:rPr>
          <w:rFonts w:cs="FrankRuehl"/>
          <w:sz w:val="28"/>
          <w:szCs w:val="28"/>
          <w:rtl/>
        </w:rPr>
        <w:t xml:space="preserve">אין להחמיר עמו בשל כך.   </w:t>
      </w:r>
    </w:p>
    <w:p w14:paraId="00B41BE6" w14:textId="77777777" w:rsidR="005344CA" w:rsidRPr="002C4759" w:rsidRDefault="005344CA" w:rsidP="005344CA">
      <w:pPr>
        <w:pStyle w:val="aa"/>
        <w:rPr>
          <w:rFonts w:cs="FrankRuehl"/>
          <w:sz w:val="28"/>
          <w:szCs w:val="28"/>
          <w:rtl/>
        </w:rPr>
      </w:pPr>
    </w:p>
    <w:p w14:paraId="189EF77C"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מטעמים אלו, העונש הראוי לנאשם, </w:t>
      </w:r>
      <w:r>
        <w:rPr>
          <w:rFonts w:cs="FrankRuehl" w:hint="cs"/>
          <w:sz w:val="28"/>
          <w:szCs w:val="28"/>
          <w:rtl/>
        </w:rPr>
        <w:t xml:space="preserve">כך </w:t>
      </w:r>
      <w:r>
        <w:rPr>
          <w:rFonts w:cs="FrankRuehl"/>
          <w:sz w:val="28"/>
          <w:szCs w:val="28"/>
          <w:rtl/>
        </w:rPr>
        <w:t>לדברי בא</w:t>
      </w:r>
      <w:r>
        <w:rPr>
          <w:rFonts w:cs="FrankRuehl" w:hint="cs"/>
          <w:sz w:val="28"/>
          <w:szCs w:val="28"/>
          <w:rtl/>
        </w:rPr>
        <w:t>ת</w:t>
      </w:r>
      <w:r>
        <w:rPr>
          <w:rFonts w:cs="FrankRuehl"/>
          <w:sz w:val="28"/>
          <w:szCs w:val="28"/>
          <w:rtl/>
        </w:rPr>
        <w:t xml:space="preserve"> כוחו, מצוי בתחתית המתחם. בהינתן מצבו הכלכלי הירוד של הנאשם ביקש</w:t>
      </w:r>
      <w:r>
        <w:rPr>
          <w:rFonts w:cs="FrankRuehl" w:hint="cs"/>
          <w:sz w:val="28"/>
          <w:szCs w:val="28"/>
          <w:rtl/>
        </w:rPr>
        <w:t>ה</w:t>
      </w:r>
      <w:r>
        <w:rPr>
          <w:rFonts w:cs="FrankRuehl"/>
          <w:sz w:val="28"/>
          <w:szCs w:val="28"/>
          <w:rtl/>
        </w:rPr>
        <w:t xml:space="preserve"> להימנע מהטלת קנס, ולהסתפק בחתימה על התחייבות. </w:t>
      </w:r>
    </w:p>
    <w:p w14:paraId="25891AFA" w14:textId="77777777" w:rsidR="005344CA" w:rsidRPr="00482BD4" w:rsidRDefault="005344CA" w:rsidP="005344CA">
      <w:pPr>
        <w:pStyle w:val="aa"/>
        <w:rPr>
          <w:rFonts w:cs="FrankRuehl"/>
          <w:sz w:val="28"/>
          <w:szCs w:val="28"/>
          <w:rtl/>
        </w:rPr>
      </w:pPr>
    </w:p>
    <w:p w14:paraId="17DCC060" w14:textId="77777777" w:rsidR="005344CA" w:rsidRPr="00482BD4"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sidRPr="00482BD4">
        <w:rPr>
          <w:rFonts w:ascii="Miriam" w:hAnsi="Miriam" w:cs="Miriam"/>
          <w:rtl/>
        </w:rPr>
        <w:t>הנאשם בדברו האחרון</w:t>
      </w:r>
      <w:r w:rsidRPr="00482BD4">
        <w:rPr>
          <w:rFonts w:cs="FrankRuehl"/>
          <w:sz w:val="28"/>
          <w:szCs w:val="28"/>
          <w:rtl/>
        </w:rPr>
        <w:t xml:space="preserve"> אמר את הדברים הבאים: "אני מביע חרטה, עשיתי טעות, אני מאוד חולה, אני בכלא ניצן, כל החיים אני סובל מכאבי תופת, גם בריאות, פרצו לי את הבית וגנבו לי דברים מתוך הבית, אני נכה סיעודי ובקושי יכול לזוז, אני חי מת...". </w:t>
      </w:r>
    </w:p>
    <w:p w14:paraId="0ACCF304" w14:textId="77777777" w:rsidR="005344CA" w:rsidRDefault="005344CA" w:rsidP="005344CA">
      <w:pPr>
        <w:pStyle w:val="aa"/>
        <w:tabs>
          <w:tab w:val="left" w:pos="-58"/>
        </w:tabs>
        <w:spacing w:before="100" w:beforeAutospacing="1" w:after="120"/>
        <w:ind w:left="-58"/>
        <w:jc w:val="both"/>
        <w:rPr>
          <w:rFonts w:ascii="Miriam" w:hAnsi="Miriam" w:cs="Miriam"/>
          <w:rtl/>
        </w:rPr>
      </w:pPr>
    </w:p>
    <w:p w14:paraId="73938AE6" w14:textId="77777777" w:rsidR="005344CA" w:rsidRDefault="005344CA" w:rsidP="005344CA">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7E4482B7" w14:textId="77777777" w:rsidR="005344CA" w:rsidRPr="0030220A" w:rsidRDefault="005344CA" w:rsidP="005344CA">
      <w:pPr>
        <w:pStyle w:val="aa"/>
        <w:tabs>
          <w:tab w:val="left" w:pos="-58"/>
        </w:tabs>
        <w:spacing w:before="100" w:beforeAutospacing="1" w:after="120"/>
        <w:ind w:left="-58"/>
        <w:jc w:val="both"/>
        <w:rPr>
          <w:rFonts w:cs="FrankRuehl"/>
          <w:sz w:val="28"/>
          <w:szCs w:val="28"/>
        </w:rPr>
      </w:pPr>
    </w:p>
    <w:p w14:paraId="255790F5"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טרם אדרש לקביעת מתחם העונש ההולם, יש לבחון האם העבירות שביצע הנאשם מהוות אירוע אחד או שמא עסקינן במספר אירועים נפרדים. ככל שייקבע כי מדובר בכמה אירועים, יש לקבוע מתחם עונש הולם לכל אירוע בנפרד ולאחר מכן רשאי בית המשפט לקבוע עונש נפרד לכל אירוע (יחד עם הקביעה האם ירוצו העונשים בחופף או במצטבר) או לחלופין, עונש אחד לכלל האירועים שבנידון (</w:t>
      </w:r>
      <w:hyperlink r:id="rId25" w:history="1">
        <w:r w:rsidR="002C1F5E" w:rsidRPr="002C1F5E">
          <w:rPr>
            <w:rStyle w:val="Hyperlink"/>
            <w:rFonts w:ascii="FrankRuehl" w:hAnsi="FrankRuehl" w:cs="FrankRuehl"/>
            <w:sz w:val="28"/>
            <w:szCs w:val="28"/>
            <w:rtl/>
          </w:rPr>
          <w:t>סעיף 40יג'</w:t>
        </w:r>
      </w:hyperlink>
      <w:r>
        <w:rPr>
          <w:rFonts w:ascii="FrankRuehl" w:hAnsi="FrankRuehl" w:cs="FrankRuehl"/>
          <w:sz w:val="28"/>
          <w:szCs w:val="28"/>
          <w:rtl/>
        </w:rPr>
        <w:t xml:space="preserve"> ל</w:t>
      </w:r>
      <w:hyperlink r:id="rId26" w:history="1">
        <w:r w:rsidR="00E95229" w:rsidRPr="00E95229">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ההלכות שנקבעו בעניין הגדרת המונח "אירוע" ידועות ומוכרות ולא מצאתי </w:t>
      </w:r>
      <w:r>
        <w:rPr>
          <w:rFonts w:ascii="FrankRuehl" w:hAnsi="FrankRuehl" w:cs="FrankRuehl" w:hint="cs"/>
          <w:sz w:val="28"/>
          <w:szCs w:val="28"/>
          <w:rtl/>
        </w:rPr>
        <w:t xml:space="preserve">טעם </w:t>
      </w:r>
      <w:r>
        <w:rPr>
          <w:rFonts w:ascii="FrankRuehl" w:hAnsi="FrankRuehl" w:cs="FrankRuehl"/>
          <w:sz w:val="28"/>
          <w:szCs w:val="28"/>
          <w:rtl/>
        </w:rPr>
        <w:t xml:space="preserve">לחזור על הדברים (ראו </w:t>
      </w:r>
      <w:hyperlink r:id="rId27" w:history="1">
        <w:r w:rsidR="00E95229" w:rsidRPr="00E95229">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rtl/>
        </w:rPr>
        <w:t xml:space="preserve"> </w:t>
      </w:r>
      <w:r>
        <w:rPr>
          <w:rFonts w:ascii="FrankRuehl" w:hAnsi="FrankRuehl" w:cs="FrankRuehl"/>
          <w:sz w:val="28"/>
          <w:szCs w:val="28"/>
          <w:rtl/>
        </w:rPr>
        <w:t xml:space="preserve">(29.10.2021), </w:t>
      </w:r>
      <w:hyperlink r:id="rId28" w:history="1">
        <w:r w:rsidR="00E95229" w:rsidRPr="00E95229">
          <w:rPr>
            <w:rFonts w:ascii="FrankRuehl" w:hAnsi="FrankRuehl" w:cs="FrankRuehl"/>
            <w:color w:val="0000FF"/>
            <w:sz w:val="28"/>
            <w:szCs w:val="28"/>
            <w:u w:val="single"/>
            <w:rtl/>
          </w:rPr>
          <w:t>ע"פ 5643/14</w:t>
        </w:r>
      </w:hyperlink>
      <w:r>
        <w:rPr>
          <w:rFonts w:ascii="FrankRuehl" w:hAnsi="FrankRuehl" w:cs="FrankRuehl"/>
          <w:sz w:val="28"/>
          <w:szCs w:val="28"/>
          <w:rtl/>
        </w:rPr>
        <w:t xml:space="preserve"> </w:t>
      </w:r>
      <w:r>
        <w:rPr>
          <w:rFonts w:ascii="Miriam" w:hAnsi="Miriam" w:cs="Miriam"/>
          <w:rtl/>
        </w:rPr>
        <w:t>עיסא נ' מדינת ישראל</w:t>
      </w:r>
      <w:r>
        <w:rPr>
          <w:rFonts w:ascii="FrankRuehl" w:hAnsi="FrankRuehl" w:cs="FrankRuehl"/>
          <w:rtl/>
        </w:rPr>
        <w:t xml:space="preserve"> </w:t>
      </w:r>
      <w:r>
        <w:rPr>
          <w:rFonts w:ascii="FrankRuehl" w:hAnsi="FrankRuehl" w:cs="FrankRuehl"/>
          <w:sz w:val="28"/>
          <w:szCs w:val="28"/>
          <w:rtl/>
        </w:rPr>
        <w:t xml:space="preserve">(24.6.2015), </w:t>
      </w:r>
      <w:hyperlink r:id="rId29" w:history="1">
        <w:r w:rsidR="00E95229" w:rsidRPr="00E95229">
          <w:rPr>
            <w:rFonts w:ascii="FrankRuehl" w:hAnsi="FrankRuehl" w:cs="FrankRuehl"/>
            <w:color w:val="0000FF"/>
            <w:sz w:val="28"/>
            <w:szCs w:val="28"/>
            <w:u w:val="single"/>
            <w:rtl/>
          </w:rPr>
          <w:t>ע"פ 2519/14</w:t>
        </w:r>
      </w:hyperlink>
      <w:r>
        <w:rPr>
          <w:rFonts w:ascii="FrankRuehl" w:hAnsi="FrankRuehl" w:cs="FrankRuehl"/>
          <w:sz w:val="28"/>
          <w:szCs w:val="28"/>
          <w:rtl/>
        </w:rPr>
        <w:t xml:space="preserve"> </w:t>
      </w:r>
      <w:r>
        <w:rPr>
          <w:rFonts w:ascii="Miriam" w:hAnsi="Miriam" w:cs="Miriam"/>
          <w:rtl/>
        </w:rPr>
        <w:t>אבו קיעאן נ' מדינת ישראל</w:t>
      </w:r>
      <w:r>
        <w:rPr>
          <w:rFonts w:ascii="FrankRuehl" w:hAnsi="FrankRuehl" w:cs="FrankRuehl"/>
          <w:sz w:val="28"/>
          <w:szCs w:val="28"/>
          <w:rtl/>
        </w:rPr>
        <w:t xml:space="preserve"> (29.12.2014), </w:t>
      </w:r>
      <w:hyperlink r:id="rId30" w:history="1">
        <w:r w:rsidR="000B4FCC" w:rsidRPr="000B4FCC">
          <w:rPr>
            <w:rFonts w:ascii="FrankRuehl" w:hAnsi="FrankRuehl" w:cs="FrankRuehl"/>
            <w:color w:val="0000FF"/>
            <w:sz w:val="28"/>
            <w:szCs w:val="28"/>
            <w:u w:val="single"/>
            <w:rtl/>
          </w:rPr>
          <w:t xml:space="preserve">1261/15 </w:t>
        </w:r>
      </w:hyperlink>
      <w:r>
        <w:rPr>
          <w:rFonts w:ascii="FrankRuehl" w:hAnsi="FrankRuehl" w:cs="FrankRuehl"/>
          <w:sz w:val="28"/>
          <w:szCs w:val="28"/>
          <w:rtl/>
        </w:rPr>
        <w:t xml:space="preserve"> </w:t>
      </w:r>
      <w:r>
        <w:rPr>
          <w:rFonts w:ascii="Miriam" w:hAnsi="Miriam" w:cs="Miriam"/>
          <w:rtl/>
        </w:rPr>
        <w:t xml:space="preserve">דלאל נ' מדינת ישראל </w:t>
      </w:r>
      <w:r>
        <w:rPr>
          <w:rFonts w:ascii="FrankRuehl" w:hAnsi="FrankRuehl" w:cs="FrankRuehl"/>
          <w:sz w:val="28"/>
          <w:szCs w:val="28"/>
          <w:rtl/>
        </w:rPr>
        <w:t>(13.9.2015)).</w:t>
      </w:r>
      <w:r>
        <w:rPr>
          <w:rFonts w:ascii="Miriam" w:hAnsi="Miriam" w:cs="Miriam"/>
          <w:rtl/>
        </w:rPr>
        <w:t xml:space="preserve"> </w:t>
      </w:r>
    </w:p>
    <w:p w14:paraId="2B60BED4" w14:textId="77777777" w:rsidR="005344CA" w:rsidRPr="0030220A" w:rsidRDefault="005344CA" w:rsidP="005344CA">
      <w:pPr>
        <w:pStyle w:val="aa"/>
        <w:tabs>
          <w:tab w:val="left" w:pos="-58"/>
        </w:tabs>
        <w:spacing w:before="100" w:beforeAutospacing="1" w:after="120"/>
        <w:ind w:left="-58"/>
        <w:jc w:val="both"/>
        <w:rPr>
          <w:rFonts w:cs="FrankRuehl"/>
          <w:sz w:val="28"/>
          <w:szCs w:val="28"/>
        </w:rPr>
      </w:pPr>
    </w:p>
    <w:p w14:paraId="39858ADB" w14:textId="77777777" w:rsidR="005344CA" w:rsidRPr="00581BE2"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במחלוקת בין הצדדים, מצאתי להעדיף את עמדת ההגנה ולקבוע </w:t>
      </w:r>
      <w:r>
        <w:rPr>
          <w:rFonts w:ascii="FrankRuehl" w:hAnsi="FrankRuehl" w:cs="FrankRuehl" w:hint="cs"/>
          <w:sz w:val="28"/>
          <w:szCs w:val="28"/>
          <w:rtl/>
        </w:rPr>
        <w:t xml:space="preserve">לכל כתב אישום מתחם ענישה נפרד ולא מתחם לכל אישום ואישום. </w:t>
      </w:r>
      <w:r>
        <w:rPr>
          <w:rFonts w:ascii="FrankRuehl" w:hAnsi="FrankRuehl" w:cs="FrankRuehl"/>
          <w:sz w:val="28"/>
          <w:szCs w:val="28"/>
          <w:rtl/>
        </w:rPr>
        <w:t xml:space="preserve">עסקינן במספר עסקאות סמים שאמנם לא בוצעו במישור אחד מבחינת הזמן, אך הן בעלות מאפיינים דומים, ובוצעו באותה </w:t>
      </w:r>
      <w:r>
        <w:rPr>
          <w:rFonts w:ascii="FrankRuehl" w:hAnsi="FrankRuehl" w:cs="FrankRuehl" w:hint="cs"/>
          <w:sz w:val="28"/>
          <w:szCs w:val="28"/>
          <w:rtl/>
        </w:rPr>
        <w:t>ה</w:t>
      </w:r>
      <w:r>
        <w:rPr>
          <w:rFonts w:ascii="FrankRuehl" w:hAnsi="FrankRuehl" w:cs="FrankRuehl"/>
          <w:sz w:val="28"/>
          <w:szCs w:val="28"/>
          <w:rtl/>
        </w:rPr>
        <w:t xml:space="preserve">שיטה. לא בכדי כתב האישום נוסח באופן עמום ונוקב ב"ריבוי הזדמנויות" ללא פירוט המועדים המדויקים. </w:t>
      </w:r>
    </w:p>
    <w:p w14:paraId="532CC41B" w14:textId="77777777" w:rsidR="005344CA" w:rsidRPr="00581BE2" w:rsidRDefault="005344CA" w:rsidP="005344CA">
      <w:pPr>
        <w:pStyle w:val="aa"/>
        <w:rPr>
          <w:rFonts w:ascii="FrankRuehl" w:hAnsi="FrankRuehl" w:cs="FrankRuehl"/>
          <w:sz w:val="28"/>
          <w:szCs w:val="28"/>
          <w:rtl/>
        </w:rPr>
      </w:pPr>
    </w:p>
    <w:p w14:paraId="776C23C3"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לנוכח הזיקה בין העסקאות השונות יש לראות בהן אירוע עברייני אחד תוך התחשבות לצורך קביעת גבולות המתחם </w:t>
      </w:r>
      <w:r>
        <w:rPr>
          <w:rFonts w:ascii="FrankRuehl" w:hAnsi="FrankRuehl" w:cs="Miriam"/>
          <w:rtl/>
        </w:rPr>
        <w:t>במספר המעשים העברייניים</w:t>
      </w:r>
      <w:r>
        <w:rPr>
          <w:rFonts w:ascii="FrankRuehl" w:hAnsi="FrankRuehl" w:cs="FrankRuehl"/>
          <w:sz w:val="28"/>
          <w:szCs w:val="28"/>
          <w:rtl/>
        </w:rPr>
        <w:t xml:space="preserve"> המרכיבים את אותו "אירוע" תוך התחשבות במספר העסקאות, סוג הסם, מספר הקונים, זהות הקונים (בגירים או קטינים) ואורך התקופה בה בוצעו העסקאות. במובן זה, העובדה שהאירוע כולל כמה מעשים משווה לו מידה נוספת של חומרה. </w:t>
      </w:r>
      <w:r>
        <w:rPr>
          <w:rFonts w:cs="FrankRuehl"/>
          <w:sz w:val="28"/>
          <w:szCs w:val="28"/>
          <w:rtl/>
        </w:rPr>
        <w:t xml:space="preserve">עם זאת, </w:t>
      </w:r>
      <w:r>
        <w:rPr>
          <w:rFonts w:cs="FrankRuehl" w:hint="cs"/>
          <w:sz w:val="28"/>
          <w:szCs w:val="28"/>
          <w:rtl/>
        </w:rPr>
        <w:t xml:space="preserve">לנוכח ההפסקה בפעילות העבריינית בין תקופה לתקופה, אקבע </w:t>
      </w:r>
      <w:r>
        <w:rPr>
          <w:rFonts w:cs="FrankRuehl"/>
          <w:sz w:val="28"/>
          <w:szCs w:val="28"/>
          <w:rtl/>
        </w:rPr>
        <w:t xml:space="preserve">מתחמי ענישה נפרדים. </w:t>
      </w:r>
    </w:p>
    <w:p w14:paraId="0AA4D585" w14:textId="77777777" w:rsidR="005344CA" w:rsidRPr="0030220A" w:rsidRDefault="005344CA" w:rsidP="005344CA">
      <w:pPr>
        <w:pStyle w:val="aa"/>
        <w:tabs>
          <w:tab w:val="left" w:pos="-58"/>
        </w:tabs>
        <w:spacing w:before="100" w:beforeAutospacing="1" w:after="120"/>
        <w:ind w:left="-58"/>
        <w:jc w:val="both"/>
        <w:rPr>
          <w:rFonts w:cs="FrankRuehl"/>
          <w:sz w:val="28"/>
          <w:szCs w:val="28"/>
        </w:rPr>
      </w:pPr>
    </w:p>
    <w:p w14:paraId="70A01586"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זאת ועוד, כאשר ישנו דמיון רב בין המקרים, קביעת מתחמים נפרדים נראית מלאכותית ועשויה להביא לסרבול גזר הדין, ליצור תחושה של "התחשבנות" וקביעת תעריפון לכל עבירה ובאופן שיהיה בו לטעמי להחטיא את עקרון ההלימה. דברים אלו נכונים בפרט שעתירתם המשותפת של הצדדים היא להשתת עונש אחד שיהלום את מעשיו של הנאשם בכללותם.  </w:t>
      </w:r>
    </w:p>
    <w:p w14:paraId="48669716" w14:textId="77777777" w:rsidR="005344CA" w:rsidRDefault="005344CA" w:rsidP="005344CA">
      <w:pPr>
        <w:pStyle w:val="aa"/>
        <w:tabs>
          <w:tab w:val="left" w:pos="-58"/>
        </w:tabs>
        <w:spacing w:before="100" w:beforeAutospacing="1" w:after="120"/>
        <w:ind w:left="-58"/>
        <w:jc w:val="both"/>
        <w:rPr>
          <w:rFonts w:ascii="Miriam" w:hAnsi="Miriam" w:cs="Miriam"/>
          <w:rtl/>
        </w:rPr>
      </w:pPr>
    </w:p>
    <w:p w14:paraId="22BF05EE" w14:textId="77777777" w:rsidR="005344CA" w:rsidRDefault="005344CA" w:rsidP="005344CA">
      <w:pPr>
        <w:pStyle w:val="aa"/>
        <w:tabs>
          <w:tab w:val="left" w:pos="-58"/>
        </w:tabs>
        <w:spacing w:before="100" w:beforeAutospacing="1" w:after="120" w:line="360" w:lineRule="auto"/>
        <w:ind w:left="-58"/>
        <w:jc w:val="both"/>
        <w:rPr>
          <w:rFonts w:ascii="Miriam" w:hAnsi="Miriam" w:cs="Miriam"/>
        </w:rPr>
      </w:pPr>
      <w:r>
        <w:rPr>
          <w:rFonts w:ascii="Miriam" w:hAnsi="Miriam" w:cs="Miriam"/>
          <w:rtl/>
        </w:rPr>
        <w:t>מתחם העונש ההולם</w:t>
      </w:r>
    </w:p>
    <w:p w14:paraId="15533442"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340895AE" w14:textId="77777777" w:rsidR="005344CA" w:rsidRDefault="005344CA" w:rsidP="005344CA">
      <w:pPr>
        <w:pStyle w:val="aa"/>
        <w:tabs>
          <w:tab w:val="left" w:pos="-58"/>
        </w:tabs>
        <w:spacing w:before="100" w:beforeAutospacing="1" w:after="120"/>
        <w:ind w:left="-58"/>
        <w:jc w:val="both"/>
        <w:rPr>
          <w:rFonts w:ascii="FrankRuehl" w:hAnsi="FrankRuehl" w:cs="FrankRuehl"/>
          <w:sz w:val="28"/>
          <w:szCs w:val="28"/>
        </w:rPr>
      </w:pPr>
    </w:p>
    <w:p w14:paraId="4862F58C"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במעשיו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 </w:t>
      </w:r>
    </w:p>
    <w:p w14:paraId="1772E4B0" w14:textId="77777777" w:rsidR="005344CA" w:rsidRDefault="005344CA" w:rsidP="005344CA">
      <w:pPr>
        <w:pStyle w:val="aa"/>
        <w:tabs>
          <w:tab w:val="left" w:pos="-58"/>
        </w:tabs>
        <w:spacing w:before="100" w:beforeAutospacing="1" w:after="120"/>
        <w:ind w:left="-58"/>
        <w:jc w:val="both"/>
        <w:rPr>
          <w:rFonts w:ascii="FrankRuehl" w:hAnsi="FrankRuehl" w:cs="FrankRuehl"/>
          <w:sz w:val="28"/>
          <w:szCs w:val="28"/>
        </w:rPr>
      </w:pPr>
    </w:p>
    <w:p w14:paraId="2DBBEBD6"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בית המשפט העליון עמד פעמים רבות על ההכרח במדיניות ענישה מרתיעה כלפי אלה הלוקחים חלק בהפצתם של סמים מסוכנים. ראו מיני רבים</w:t>
      </w:r>
      <w:r>
        <w:rPr>
          <w:rFonts w:cs="FrankRuehl"/>
          <w:sz w:val="28"/>
          <w:szCs w:val="28"/>
          <w:rtl/>
        </w:rPr>
        <w:t xml:space="preserve">. </w:t>
      </w:r>
      <w:r>
        <w:rPr>
          <w:rFonts w:ascii="FrankRuehl" w:hAnsi="FrankRuehl" w:cs="FrankRuehl"/>
          <w:sz w:val="28"/>
          <w:szCs w:val="28"/>
          <w:rtl/>
        </w:rPr>
        <w:t xml:space="preserve">ע"פ 1274/21 </w:t>
      </w:r>
      <w:r>
        <w:rPr>
          <w:rFonts w:ascii="Miriam" w:hAnsi="Miriam" w:cs="Miriam"/>
          <w:b/>
          <w:rtl/>
        </w:rPr>
        <w:t>עווד נ' מדינת ישראל</w:t>
      </w:r>
      <w:r>
        <w:rPr>
          <w:rFonts w:ascii="FrankRuehl" w:hAnsi="FrankRuehl" w:cs="FrankRuehl"/>
          <w:sz w:val="28"/>
          <w:szCs w:val="28"/>
          <w:rtl/>
        </w:rPr>
        <w:t xml:space="preserve"> (6.10.2016); </w:t>
      </w:r>
      <w:hyperlink r:id="rId31" w:history="1">
        <w:r w:rsidR="00E95229" w:rsidRPr="00E95229">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32" w:history="1">
        <w:r w:rsidR="00E95229" w:rsidRPr="00E95229">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33" w:history="1">
        <w:r w:rsidR="00E95229" w:rsidRPr="00E95229">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xml:space="preserve">, פ"ד מב (4) 242 (11.12.1988)). </w:t>
      </w:r>
    </w:p>
    <w:p w14:paraId="1D53378D" w14:textId="77777777" w:rsidR="005344CA" w:rsidRDefault="005344CA" w:rsidP="005344CA">
      <w:pPr>
        <w:pStyle w:val="aa"/>
        <w:tabs>
          <w:tab w:val="left" w:pos="-58"/>
        </w:tabs>
        <w:spacing w:before="100" w:beforeAutospacing="1" w:after="120"/>
        <w:ind w:left="-58"/>
        <w:jc w:val="both"/>
        <w:rPr>
          <w:rFonts w:ascii="FrankRuehl" w:hAnsi="FrankRuehl" w:cs="FrankRuehl"/>
          <w:sz w:val="28"/>
          <w:szCs w:val="28"/>
        </w:rPr>
      </w:pPr>
    </w:p>
    <w:p w14:paraId="1C86E8A7" w14:textId="77777777" w:rsidR="005344CA" w:rsidRDefault="005344CA" w:rsidP="005344C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במיוחד ראו</w:t>
      </w:r>
      <w:r>
        <w:rPr>
          <w:rFonts w:ascii="FrankRuehl" w:hAnsi="FrankRuehl" w:cs="FrankRuehl" w:hint="cs"/>
          <w:sz w:val="28"/>
          <w:szCs w:val="28"/>
          <w:rtl/>
        </w:rPr>
        <w:t xml:space="preserve"> </w:t>
      </w:r>
      <w:hyperlink r:id="rId34" w:history="1">
        <w:r w:rsidR="00E95229" w:rsidRPr="00E95229">
          <w:rPr>
            <w:rFonts w:ascii="FrankRuehl" w:hAnsi="FrankRuehl" w:cs="FrankRuehl"/>
            <w:color w:val="0000FF"/>
            <w:sz w:val="28"/>
            <w:szCs w:val="28"/>
            <w:u w:val="single"/>
            <w:rtl/>
          </w:rPr>
          <w:t>ע"פ 6990/13</w:t>
        </w:r>
      </w:hyperlink>
      <w:r>
        <w:rPr>
          <w:rFonts w:ascii="FrankRuehl" w:hAnsi="FrankRuehl" w:cs="FrankRuehl" w:hint="cs"/>
          <w:sz w:val="28"/>
          <w:szCs w:val="28"/>
          <w:rtl/>
        </w:rPr>
        <w:t xml:space="preserve"> </w:t>
      </w:r>
      <w:r>
        <w:rPr>
          <w:rFonts w:ascii="Miriam" w:hAnsi="Miriam" w:cs="Miriam"/>
          <w:rtl/>
        </w:rPr>
        <w:t>חט</w:t>
      </w:r>
      <w:r>
        <w:rPr>
          <w:rFonts w:ascii="Miriam" w:hAnsi="Miriam" w:cs="Miriam"/>
        </w:rPr>
        <w:t>'</w:t>
      </w:r>
      <w:r>
        <w:rPr>
          <w:rFonts w:ascii="Miriam" w:hAnsi="Miriam" w:cs="Miriam"/>
          <w:rtl/>
        </w:rPr>
        <w:t>יב נ' מדינת ישראל</w:t>
      </w:r>
      <w:r>
        <w:rPr>
          <w:rFonts w:ascii="FrankRuehl" w:hAnsi="FrankRuehl" w:cs="FrankRuehl"/>
          <w:sz w:val="28"/>
          <w:szCs w:val="28"/>
          <w:rtl/>
        </w:rPr>
        <w:t xml:space="preserve"> (24.2.2014):</w:t>
      </w:r>
    </w:p>
    <w:p w14:paraId="7E980CA1" w14:textId="77777777" w:rsidR="005344CA" w:rsidRDefault="005344CA" w:rsidP="005344CA">
      <w:pPr>
        <w:pStyle w:val="aa"/>
        <w:tabs>
          <w:tab w:val="left" w:pos="-58"/>
        </w:tabs>
        <w:spacing w:before="100" w:beforeAutospacing="1" w:after="120"/>
        <w:ind w:right="851"/>
        <w:jc w:val="both"/>
        <w:rPr>
          <w:rFonts w:ascii="FrankRuehl" w:hAnsi="FrankRuehl" w:cs="FrankRuehl"/>
          <w:sz w:val="28"/>
          <w:szCs w:val="28"/>
          <w:rtl/>
        </w:rPr>
      </w:pPr>
    </w:p>
    <w:p w14:paraId="2A298502" w14:textId="77777777" w:rsidR="005344CA" w:rsidRDefault="005344CA" w:rsidP="005344CA">
      <w:pPr>
        <w:pStyle w:val="aa"/>
        <w:tabs>
          <w:tab w:val="left" w:pos="-58"/>
        </w:tabs>
        <w:spacing w:before="100" w:beforeAutospacing="1" w:after="120" w:line="360" w:lineRule="auto"/>
        <w:ind w:right="851"/>
        <w:jc w:val="both"/>
        <w:rPr>
          <w:rFonts w:ascii="FrankRuehl" w:hAnsi="FrankRuehl" w:cs="FrankRuehl"/>
          <w:sz w:val="28"/>
          <w:szCs w:val="28"/>
          <w:rtl/>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15E075C5" w14:textId="77777777" w:rsidR="005344CA" w:rsidRPr="0030220A" w:rsidRDefault="005344CA" w:rsidP="005344CA">
      <w:pPr>
        <w:pStyle w:val="aa"/>
        <w:tabs>
          <w:tab w:val="left" w:pos="-58"/>
        </w:tabs>
        <w:spacing w:before="100" w:beforeAutospacing="1" w:after="120"/>
        <w:ind w:left="84"/>
        <w:jc w:val="both"/>
        <w:rPr>
          <w:rFonts w:cs="FrankRuehl"/>
          <w:szCs w:val="28"/>
        </w:rPr>
      </w:pPr>
    </w:p>
    <w:p w14:paraId="5F12CA73"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עסקינן בעבירות סחר בסם מסוכן מסוג חשיש, שחומרתו פחותה בהשוואה לסוגי סמים אחרים, כגון הרואין או קוקאין. כאשר האחרונים נחשבים לסמים קשים במיוחד לנוכח ההשפעות על גוף האדם וכן לנוכח פוטנציאל ההתמכרות. עם זאת, וחרף העובדה כי בשנים האחרונות ננקטת מדיניות ענישה מקלה עם משתמשי הסמים ה"קלים" (בעיקר קנבוס), הרי מדיניות הענישה הנוהגת כלפי אלו החוטאים ונוטלים חלק בשרשרת ההפצה, נותרה ועודנה ממשית ומרתיעה. </w:t>
      </w:r>
      <w:r>
        <w:rPr>
          <w:rFonts w:cs="FrankRuehl"/>
          <w:szCs w:val="28"/>
          <w:rtl/>
        </w:rPr>
        <w:t>ראו:</w:t>
      </w:r>
      <w:r>
        <w:rPr>
          <w:rFonts w:cs="FrankRuehl" w:hint="cs"/>
          <w:szCs w:val="28"/>
          <w:rtl/>
        </w:rPr>
        <w:t xml:space="preserve"> </w:t>
      </w:r>
      <w:hyperlink r:id="rId35" w:history="1">
        <w:r w:rsidR="00E95229" w:rsidRPr="00E95229">
          <w:rPr>
            <w:rFonts w:cs="FrankRuehl" w:hint="cs"/>
            <w:color w:val="0000FF"/>
            <w:szCs w:val="28"/>
            <w:u w:val="single"/>
            <w:rtl/>
          </w:rPr>
          <w:t>רע</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174/21</w:t>
        </w:r>
      </w:hyperlink>
      <w:r>
        <w:rPr>
          <w:rFonts w:cs="FrankRuehl" w:hint="cs"/>
          <w:szCs w:val="28"/>
          <w:rtl/>
        </w:rPr>
        <w:t xml:space="preserve"> </w:t>
      </w:r>
      <w:r>
        <w:rPr>
          <w:rFonts w:cs="Miriam"/>
          <w:sz w:val="22"/>
          <w:rtl/>
        </w:rPr>
        <w:t>סויסה נ' מדינת ישראל</w:t>
      </w:r>
      <w:r>
        <w:rPr>
          <w:rFonts w:cs="FrankRuehl"/>
          <w:szCs w:val="28"/>
          <w:rtl/>
        </w:rPr>
        <w:t xml:space="preserve"> (25.2.2021); וכ</w:t>
      </w:r>
      <w:r>
        <w:rPr>
          <w:rFonts w:cs="FrankRuehl" w:hint="cs"/>
          <w:szCs w:val="28"/>
          <w:rtl/>
        </w:rPr>
        <w:t>ן ל</w:t>
      </w:r>
      <w:hyperlink r:id="rId36" w:history="1">
        <w:r w:rsidR="00E95229" w:rsidRPr="00E95229">
          <w:rPr>
            <w:rFonts w:cs="FrankRuehl" w:hint="cs"/>
            <w:color w:val="0000FF"/>
            <w:szCs w:val="28"/>
            <w:u w:val="single"/>
            <w:rtl/>
          </w:rPr>
          <w:t>ע</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6299/20</w:t>
        </w:r>
      </w:hyperlink>
      <w:r>
        <w:rPr>
          <w:rFonts w:cs="FrankRuehl" w:hint="cs"/>
          <w:szCs w:val="28"/>
          <w:rtl/>
        </w:rPr>
        <w:t xml:space="preserve"> </w:t>
      </w:r>
      <w:r>
        <w:rPr>
          <w:rFonts w:cs="Miriam"/>
          <w:sz w:val="22"/>
          <w:rtl/>
        </w:rPr>
        <w:t>חן נ' מדינת ישראל</w:t>
      </w:r>
      <w:r>
        <w:rPr>
          <w:rFonts w:cs="FrankRuehl"/>
          <w:szCs w:val="28"/>
          <w:rtl/>
        </w:rPr>
        <w:t xml:space="preserve"> (4.2.2021);</w:t>
      </w:r>
      <w:r>
        <w:rPr>
          <w:rFonts w:cs="FrankRuehl" w:hint="cs"/>
          <w:szCs w:val="28"/>
          <w:rtl/>
        </w:rPr>
        <w:t xml:space="preserve"> </w:t>
      </w:r>
      <w:hyperlink r:id="rId37" w:history="1">
        <w:r w:rsidR="00E95229" w:rsidRPr="00E95229">
          <w:rPr>
            <w:rFonts w:cs="FrankRuehl" w:hint="cs"/>
            <w:color w:val="0000FF"/>
            <w:szCs w:val="28"/>
            <w:u w:val="single"/>
            <w:rtl/>
          </w:rPr>
          <w:t>ע</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5807/17</w:t>
        </w:r>
      </w:hyperlink>
      <w:r>
        <w:rPr>
          <w:rFonts w:cs="FrankRuehl" w:hint="cs"/>
          <w:szCs w:val="28"/>
          <w:rtl/>
        </w:rPr>
        <w:t xml:space="preserve"> </w:t>
      </w:r>
      <w:r>
        <w:rPr>
          <w:rFonts w:cs="Miriam"/>
          <w:sz w:val="22"/>
          <w:rtl/>
        </w:rPr>
        <w:t>דרחי נ' מדינת ישראל</w:t>
      </w:r>
      <w:r>
        <w:rPr>
          <w:rFonts w:cs="FrankRuehl"/>
          <w:szCs w:val="28"/>
          <w:rtl/>
        </w:rPr>
        <w:t xml:space="preserve"> (18.6.2018). </w:t>
      </w:r>
    </w:p>
    <w:p w14:paraId="6EED8D58" w14:textId="77777777" w:rsidR="005344CA" w:rsidRDefault="005344CA" w:rsidP="005344CA">
      <w:pPr>
        <w:pStyle w:val="aa"/>
        <w:tabs>
          <w:tab w:val="left" w:pos="-58"/>
        </w:tabs>
        <w:spacing w:before="100" w:beforeAutospacing="1" w:after="120"/>
        <w:ind w:left="84"/>
        <w:jc w:val="both"/>
        <w:rPr>
          <w:rFonts w:cs="FrankRuehl"/>
          <w:szCs w:val="28"/>
          <w:rtl/>
        </w:rPr>
      </w:pPr>
    </w:p>
    <w:p w14:paraId="2A545491"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cs="FrankRuehl"/>
          <w:szCs w:val="28"/>
        </w:rPr>
      </w:pPr>
      <w:r>
        <w:rPr>
          <w:rFonts w:cs="FrankRuehl"/>
          <w:szCs w:val="28"/>
          <w:rtl/>
        </w:rPr>
        <w:t>ראו במיוחד</w:t>
      </w:r>
      <w:r>
        <w:rPr>
          <w:rFonts w:cs="FrankRuehl" w:hint="cs"/>
          <w:szCs w:val="28"/>
          <w:rtl/>
        </w:rPr>
        <w:t xml:space="preserve"> </w:t>
      </w:r>
      <w:hyperlink r:id="rId38" w:history="1">
        <w:r w:rsidR="00E95229" w:rsidRPr="00E95229">
          <w:rPr>
            <w:rFonts w:cs="FrankRuehl" w:hint="cs"/>
            <w:color w:val="0000FF"/>
            <w:szCs w:val="28"/>
            <w:u w:val="single"/>
            <w:rtl/>
          </w:rPr>
          <w:t>ע</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2596/18</w:t>
        </w:r>
      </w:hyperlink>
      <w:r>
        <w:rPr>
          <w:rFonts w:cs="FrankRuehl" w:hint="cs"/>
          <w:szCs w:val="28"/>
          <w:rtl/>
        </w:rPr>
        <w:t xml:space="preserve"> </w:t>
      </w:r>
      <w:r>
        <w:rPr>
          <w:rFonts w:cs="Miriam"/>
          <w:sz w:val="22"/>
          <w:rtl/>
        </w:rPr>
        <w:t>זנזורי</w:t>
      </w:r>
      <w:r>
        <w:rPr>
          <w:rFonts w:cs="FrankRuehl"/>
          <w:szCs w:val="28"/>
          <w:rtl/>
        </w:rPr>
        <w:t xml:space="preserve"> </w:t>
      </w:r>
      <w:r>
        <w:rPr>
          <w:rFonts w:cs="Miriam"/>
          <w:sz w:val="22"/>
          <w:rtl/>
        </w:rPr>
        <w:t>נ' מדינת ישראל</w:t>
      </w:r>
      <w:r>
        <w:rPr>
          <w:rFonts w:cs="FrankRuehl"/>
          <w:szCs w:val="28"/>
          <w:rtl/>
        </w:rPr>
        <w:t xml:space="preserve"> (12.8.2018):</w:t>
      </w:r>
    </w:p>
    <w:p w14:paraId="003D123A" w14:textId="77777777" w:rsidR="005344CA" w:rsidRDefault="005344CA" w:rsidP="005344CA">
      <w:pPr>
        <w:tabs>
          <w:tab w:val="left" w:pos="-58"/>
        </w:tabs>
        <w:spacing w:before="100" w:beforeAutospacing="1" w:after="120" w:line="360" w:lineRule="auto"/>
        <w:ind w:left="651" w:right="851"/>
        <w:jc w:val="both"/>
        <w:rPr>
          <w:rFonts w:cs="FrankRuehl"/>
          <w:szCs w:val="28"/>
          <w:rtl/>
        </w:rPr>
      </w:pPr>
      <w:r>
        <w:rPr>
          <w:rFonts w:cs="FrankRuehl"/>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41F0DC7D"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cs="FrankRuehl"/>
          <w:szCs w:val="28"/>
        </w:rPr>
      </w:pPr>
      <w:r>
        <w:rPr>
          <w:rFonts w:ascii="Corbel" w:hAnsi="Corbel" w:cs="FrankRuehl"/>
          <w:sz w:val="28"/>
          <w:szCs w:val="28"/>
          <w:rtl/>
        </w:rPr>
        <w:t xml:space="preserve">טרם נידרש לפרטי המקרה הקונקרטי נתייחס למדיניות הענישה הנהוגה וזאת ככלי עזר לקביעת מתחם העונש ההולם. עיון בפסיקה המקובלת מלמד כי נעשה שימוש בכלי עזר רציונליים כגון התחשבות בסוג הסם וכמותו, ונלקחים בחשבון גם אופי יצירת הקשר עם הקונים, זהותם והקשר לסוחר הסמים. לפי שיקולים אלו נוהגים בתי המשפט לקבוע את גבולו התחתון של המתחם בין 12 ועד 16 חודשים, בעוד הגבול העליון נע בין 24 ועד 30 חודשים. מטבע הדברים, קשת העונשים בעבירות אלו היא רחבה ותלויה גם בנסיבותיו האינדיבידואליות של הנאשם אשר נותן את הדין. </w:t>
      </w:r>
      <w:r>
        <w:rPr>
          <w:rFonts w:cs="FrankRuehl"/>
          <w:sz w:val="28"/>
          <w:szCs w:val="28"/>
          <w:rtl/>
        </w:rPr>
        <w:t xml:space="preserve">להלן פסקי הדין אותם מצאתי כרלבנטיים לקביעת המתחם. </w:t>
      </w:r>
    </w:p>
    <w:p w14:paraId="504781B3" w14:textId="77777777" w:rsidR="005344CA" w:rsidRDefault="005344CA" w:rsidP="005344CA">
      <w:pPr>
        <w:pStyle w:val="aa"/>
        <w:tabs>
          <w:tab w:val="left" w:pos="-58"/>
        </w:tabs>
        <w:spacing w:before="100" w:beforeAutospacing="1" w:after="120"/>
        <w:ind w:left="84"/>
        <w:jc w:val="both"/>
        <w:rPr>
          <w:rFonts w:cs="FrankRuehl"/>
          <w:szCs w:val="28"/>
          <w:rtl/>
        </w:rPr>
      </w:pPr>
    </w:p>
    <w:p w14:paraId="62479388"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39" w:history="1">
        <w:r w:rsidRPr="00E95229">
          <w:rPr>
            <w:rFonts w:cs="FrankRuehl" w:hint="cs"/>
            <w:color w:val="0000FF"/>
            <w:szCs w:val="28"/>
            <w:u w:val="single"/>
            <w:rtl/>
          </w:rPr>
          <w:t>רע</w:t>
        </w:r>
        <w:r w:rsidRPr="00E95229">
          <w:rPr>
            <w:rFonts w:cs="FrankRuehl"/>
            <w:color w:val="0000FF"/>
            <w:szCs w:val="28"/>
            <w:u w:val="single"/>
            <w:rtl/>
          </w:rPr>
          <w:t>"</w:t>
        </w:r>
        <w:r w:rsidRPr="00E95229">
          <w:rPr>
            <w:rFonts w:cs="FrankRuehl" w:hint="cs"/>
            <w:color w:val="0000FF"/>
            <w:szCs w:val="28"/>
            <w:u w:val="single"/>
            <w:rtl/>
          </w:rPr>
          <w:t>פ</w:t>
        </w:r>
        <w:r w:rsidRPr="00E95229">
          <w:rPr>
            <w:rFonts w:cs="FrankRuehl"/>
            <w:color w:val="0000FF"/>
            <w:szCs w:val="28"/>
            <w:u w:val="single"/>
            <w:rtl/>
          </w:rPr>
          <w:t xml:space="preserve"> 2302/22</w:t>
        </w:r>
      </w:hyperlink>
      <w:r w:rsidR="005344CA">
        <w:rPr>
          <w:rFonts w:cs="FrankRuehl"/>
          <w:szCs w:val="28"/>
          <w:rtl/>
        </w:rPr>
        <w:t xml:space="preserve"> </w:t>
      </w:r>
      <w:r w:rsidR="005344CA" w:rsidRPr="0030220A">
        <w:rPr>
          <w:rFonts w:ascii="Miriam" w:hAnsi="Miriam" w:cs="Miriam"/>
          <w:rtl/>
        </w:rPr>
        <w:t>אביחי חסיד נ' מדינת ישראל</w:t>
      </w:r>
      <w:r w:rsidR="005344CA">
        <w:rPr>
          <w:rFonts w:cs="FrankRuehl"/>
          <w:szCs w:val="28"/>
          <w:rtl/>
        </w:rPr>
        <w:t xml:space="preserve"> (6.4.2022) – נדחתה בקשת רשות ערעור על פסק דינו של בית המשפט המחוזי בגדרו נדחה ערעור המבקש על גזר דינו של בית המשפט השלום. המבקש </w:t>
      </w:r>
      <w:bookmarkStart w:id="8" w:name="Writer_Name"/>
      <w:bookmarkEnd w:id="8"/>
      <w:r w:rsidR="005344CA">
        <w:rPr>
          <w:rFonts w:cs="FrankRuehl"/>
          <w:szCs w:val="28"/>
          <w:rtl/>
        </w:rPr>
        <w:t xml:space="preserve">הורשע, על פי הודאתו בכתב אישום מתוקן, בעבירה של החזקת סם מסוכן שלא לצריכה עצמית ובריבוי עבירות של סחר בסם מסוכן. לפי עובדות כתב האישום, המונה 16 אישומים, החזיק המבקש בסם מסוכן מסוג קנבוס במשקל כולל של כ-140 גרם, וכן מכר סם מסוכן מסוג קנבוס ל-15 לקוחות שונים, לרבות קטינה אחת, במסגרת למעלה מ-50 עסקאות, שהתבצעו לאורך תקופה של למעלה משנה וחצי. בית המשפט קבע ארבעה מתחמי ענישה נפרדים הנעים ממאסר בעבודות שירות ברף התחתון ושמונה עשר חודשי מאסר לריצוי בפועל ברף העליון. בית המשפט העמיד את עונשו של המבקש בשליש התחתון של מתחמי הענישה, והשית עליו 24 חודשי מאסר בפועל, לצד ענישה נלווית. </w:t>
      </w:r>
    </w:p>
    <w:p w14:paraId="6EF3AAA2" w14:textId="77777777" w:rsidR="005344CA" w:rsidRPr="00581BE2" w:rsidRDefault="005344CA" w:rsidP="005344CA">
      <w:pPr>
        <w:pStyle w:val="aa"/>
        <w:rPr>
          <w:rFonts w:cs="FrankRuehl"/>
          <w:szCs w:val="28"/>
          <w:rtl/>
        </w:rPr>
      </w:pPr>
    </w:p>
    <w:p w14:paraId="14E60E14" w14:textId="77777777" w:rsidR="005344CA" w:rsidRDefault="00E95229" w:rsidP="005344CA">
      <w:pPr>
        <w:pStyle w:val="aa"/>
        <w:numPr>
          <w:ilvl w:val="0"/>
          <w:numId w:val="1"/>
        </w:numPr>
        <w:tabs>
          <w:tab w:val="left" w:pos="-58"/>
        </w:tabs>
        <w:spacing w:before="100" w:beforeAutospacing="1" w:after="120" w:line="360" w:lineRule="auto"/>
        <w:ind w:left="84" w:firstLine="0"/>
        <w:jc w:val="both"/>
      </w:pPr>
      <w:hyperlink r:id="rId40" w:history="1">
        <w:r w:rsidRPr="00E95229">
          <w:rPr>
            <w:rFonts w:cs="FrankRuehl" w:hint="cs"/>
            <w:color w:val="0000FF"/>
            <w:szCs w:val="28"/>
            <w:u w:val="single"/>
            <w:rtl/>
          </w:rPr>
          <w:t>רע</w:t>
        </w:r>
        <w:r w:rsidRPr="00E95229">
          <w:rPr>
            <w:rFonts w:cs="FrankRuehl"/>
            <w:color w:val="0000FF"/>
            <w:szCs w:val="28"/>
            <w:u w:val="single"/>
            <w:rtl/>
          </w:rPr>
          <w:t>"</w:t>
        </w:r>
        <w:r w:rsidRPr="00E95229">
          <w:rPr>
            <w:rFonts w:cs="FrankRuehl" w:hint="cs"/>
            <w:color w:val="0000FF"/>
            <w:szCs w:val="28"/>
            <w:u w:val="single"/>
            <w:rtl/>
          </w:rPr>
          <w:t>פ</w:t>
        </w:r>
        <w:r w:rsidRPr="00E95229">
          <w:rPr>
            <w:rFonts w:cs="FrankRuehl"/>
            <w:color w:val="0000FF"/>
            <w:szCs w:val="28"/>
            <w:u w:val="single"/>
            <w:rtl/>
          </w:rPr>
          <w:t xml:space="preserve"> 7088/20</w:t>
        </w:r>
      </w:hyperlink>
      <w:r w:rsidR="005344CA">
        <w:rPr>
          <w:rFonts w:cs="FrankRuehl"/>
          <w:szCs w:val="28"/>
          <w:rtl/>
        </w:rPr>
        <w:t xml:space="preserve"> </w:t>
      </w:r>
      <w:r w:rsidR="005344CA" w:rsidRPr="0030220A">
        <w:rPr>
          <w:rFonts w:ascii="Miriam" w:hAnsi="Miriam" w:cs="Miriam"/>
          <w:rtl/>
        </w:rPr>
        <w:t>יואש זוהר נ' מדינת ישראל</w:t>
      </w:r>
      <w:r w:rsidR="005344CA">
        <w:rPr>
          <w:rFonts w:cs="FrankRuehl"/>
          <w:szCs w:val="28"/>
          <w:rtl/>
        </w:rPr>
        <w:t xml:space="preserve"> (21.10.2020) – נדחתה בקשת רשות ערעור על פסק דינו של בית המשפט המחוזי בגדרו התקבל ערעור המשיבה על קולת העונש שגזר בית המשפט השלום. על פי עובדות כתב האישום המתוקן, האוחז 50 אישומים, במהלך תקופה של שנה וארבעה חודשים מכר המבקש סם מסוכן מסוג קנבוס ל-49 אנשים שונים ובהם קטין אחד. סך הכל, המבקש מכר בכ-63 הזדמנויות כ-193 גרם קנבוס וקיבל תמורתם כ-15,800 ש"ח. כמו כן החזיק המבקש בסמים מסוכנים מסוג קנבוס שלא לצריכה עצמית. בית המשפט קבע מתח</w:t>
      </w:r>
      <w:r w:rsidR="005344CA">
        <w:rPr>
          <w:rFonts w:cs="FrankRuehl" w:hint="cs"/>
          <w:szCs w:val="28"/>
          <w:rtl/>
        </w:rPr>
        <w:t>ם</w:t>
      </w:r>
      <w:r w:rsidR="005344CA">
        <w:rPr>
          <w:rFonts w:cs="FrankRuehl"/>
          <w:szCs w:val="28"/>
          <w:rtl/>
        </w:rPr>
        <w:t xml:space="preserve"> עונש </w:t>
      </w:r>
      <w:r w:rsidR="005344CA">
        <w:rPr>
          <w:rFonts w:cs="FrankRuehl" w:hint="cs"/>
          <w:szCs w:val="28"/>
          <w:rtl/>
        </w:rPr>
        <w:t xml:space="preserve">בגין </w:t>
      </w:r>
      <w:r w:rsidR="005344CA">
        <w:rPr>
          <w:rFonts w:cs="FrankRuehl"/>
          <w:szCs w:val="28"/>
          <w:rtl/>
        </w:rPr>
        <w:t>עביר</w:t>
      </w:r>
      <w:r w:rsidR="005344CA">
        <w:rPr>
          <w:rFonts w:cs="FrankRuehl" w:hint="cs"/>
          <w:szCs w:val="28"/>
          <w:rtl/>
        </w:rPr>
        <w:t xml:space="preserve">ה של </w:t>
      </w:r>
      <w:r w:rsidR="005344CA">
        <w:rPr>
          <w:rFonts w:cs="FrankRuehl"/>
          <w:szCs w:val="28"/>
          <w:rtl/>
        </w:rPr>
        <w:t>סחר בודדת בין מספר חודשי מאסר ועד ל-10 חודשי מאסר בפועל ו</w:t>
      </w:r>
      <w:r w:rsidR="005344CA">
        <w:rPr>
          <w:rFonts w:cs="FrankRuehl" w:hint="cs"/>
          <w:szCs w:val="28"/>
          <w:rtl/>
        </w:rPr>
        <w:t xml:space="preserve">בגין </w:t>
      </w:r>
      <w:r w:rsidR="005344CA">
        <w:rPr>
          <w:rFonts w:cs="FrankRuehl"/>
          <w:szCs w:val="28"/>
          <w:rtl/>
        </w:rPr>
        <w:t>עביר</w:t>
      </w:r>
      <w:r w:rsidR="005344CA">
        <w:rPr>
          <w:rFonts w:cs="FrankRuehl" w:hint="cs"/>
          <w:szCs w:val="28"/>
          <w:rtl/>
        </w:rPr>
        <w:t xml:space="preserve">ה של </w:t>
      </w:r>
      <w:r w:rsidR="005344CA">
        <w:rPr>
          <w:rFonts w:cs="FrankRuehl"/>
          <w:szCs w:val="28"/>
          <w:rtl/>
        </w:rPr>
        <w:t xml:space="preserve">מכירת סם לקטין 14-8 חודשי מאסר. בית המשפט מצא לסטות ממתחם הענישה מטעמי שיקום. ערעור המאשימה על קולת העונש התקבל ונקבע כי ניתן משקל יתר לשיקולי השיקום על פני האינטרס הציבורי. עונשו של הנאשם הועמד על 18 חודשי מאסר בפועל. </w:t>
      </w:r>
    </w:p>
    <w:p w14:paraId="58B6C73E" w14:textId="77777777" w:rsidR="005344CA" w:rsidRDefault="005344CA" w:rsidP="005344CA">
      <w:pPr>
        <w:pStyle w:val="aa"/>
        <w:rPr>
          <w:rtl/>
        </w:rPr>
      </w:pPr>
    </w:p>
    <w:p w14:paraId="77067547"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1" w:history="1">
        <w:r w:rsidRPr="00E95229">
          <w:rPr>
            <w:rFonts w:ascii="Corbel" w:hAnsi="Corbel" w:cs="FrankRuehl" w:hint="cs"/>
            <w:color w:val="0000FF"/>
            <w:sz w:val="28"/>
            <w:szCs w:val="28"/>
            <w:u w:val="single"/>
            <w:rtl/>
          </w:rPr>
          <w:t>רע</w:t>
        </w:r>
        <w:r w:rsidRPr="00E95229">
          <w:rPr>
            <w:rFonts w:ascii="Corbel" w:hAnsi="Corbel" w:cs="FrankRuehl"/>
            <w:color w:val="0000FF"/>
            <w:sz w:val="28"/>
            <w:szCs w:val="28"/>
            <w:u w:val="single"/>
            <w:rtl/>
          </w:rPr>
          <w:t>"</w:t>
        </w:r>
        <w:r w:rsidRPr="00E95229">
          <w:rPr>
            <w:rFonts w:ascii="Corbel" w:hAnsi="Corbel" w:cs="FrankRuehl" w:hint="cs"/>
            <w:color w:val="0000FF"/>
            <w:sz w:val="28"/>
            <w:szCs w:val="28"/>
            <w:u w:val="single"/>
            <w:rtl/>
          </w:rPr>
          <w:t>פ</w:t>
        </w:r>
        <w:r w:rsidRPr="00E95229">
          <w:rPr>
            <w:rFonts w:ascii="Corbel" w:hAnsi="Corbel" w:cs="FrankRuehl"/>
            <w:color w:val="0000FF"/>
            <w:sz w:val="28"/>
            <w:szCs w:val="28"/>
            <w:u w:val="single"/>
            <w:rtl/>
          </w:rPr>
          <w:t xml:space="preserve"> 8695/19</w:t>
        </w:r>
      </w:hyperlink>
      <w:r w:rsidR="005344CA">
        <w:rPr>
          <w:rFonts w:ascii="Corbel" w:hAnsi="Corbel" w:cs="FrankRuehl"/>
          <w:sz w:val="28"/>
          <w:szCs w:val="28"/>
          <w:rtl/>
        </w:rPr>
        <w:t xml:space="preserve"> </w:t>
      </w:r>
      <w:r w:rsidR="005344CA">
        <w:rPr>
          <w:rFonts w:ascii="Miriam" w:hAnsi="Miriam" w:cs="Miriam"/>
          <w:rtl/>
        </w:rPr>
        <w:t xml:space="preserve">פסו נ' מדינת ישראל </w:t>
      </w:r>
      <w:r w:rsidR="005344CA">
        <w:rPr>
          <w:rFonts w:ascii="Corbel" w:hAnsi="Corbel" w:cs="FrankRuehl"/>
          <w:sz w:val="28"/>
          <w:szCs w:val="28"/>
          <w:rtl/>
        </w:rPr>
        <w:t xml:space="preserve">(5.1.2020) – נדחתה בקשת רשות ערעור על פסק דינו של בית המשפט המחוזי בגדרו התקבל ערעור המשיב על גזר דינו של בית המשפט השלום. </w:t>
      </w:r>
      <w:bookmarkStart w:id="9" w:name="Start_Write"/>
      <w:bookmarkEnd w:id="9"/>
      <w:r w:rsidR="005344CA">
        <w:rPr>
          <w:rFonts w:ascii="Corbel" w:hAnsi="Corbel" w:cs="FrankRuehl"/>
          <w:sz w:val="28"/>
          <w:szCs w:val="28"/>
          <w:rtl/>
        </w:rPr>
        <w:t>המבקש הורשע, על פי הודאתו ובמסגרת הסדר טיעון, ב-29 עבירות של סחר בסם מסוכן, עבירה של החזקת סם לצריכה עצמית ועבירה של החזקת כלים להכנת סם לצריכה עצמית. לפי עובדות כתב האישום, במהלך מספר חודשים מכר הנאשם ל-29 אנשים שונים סם מסוכן מסוג קנאביס, במשקל הנע בין 10-1 גרם נטו לכל עסקה. לצורך ביצוע עסקאות הסמים נעשה שימוש ביישומון ה-"טלגראס". ס</w:t>
      </w:r>
      <w:r w:rsidR="005344CA">
        <w:rPr>
          <w:rFonts w:ascii="Corbel" w:hAnsi="Corbel" w:cs="FrankRuehl" w:hint="cs"/>
          <w:sz w:val="28"/>
          <w:szCs w:val="28"/>
          <w:rtl/>
        </w:rPr>
        <w:t xml:space="preserve">ה"כ </w:t>
      </w:r>
      <w:r w:rsidR="005344CA">
        <w:rPr>
          <w:rFonts w:ascii="Corbel" w:hAnsi="Corbel" w:cs="FrankRuehl"/>
          <w:sz w:val="28"/>
          <w:szCs w:val="28"/>
          <w:rtl/>
        </w:rPr>
        <w:t>מכר המבקש בכ-53 הזדמנויות כ-178 גרם נטו סם מסוג זה, וקיבל תמורתו, בין באופן ישיר ובין באמצעות נהג מונית, כ-16,450 ₪. כמו כן במועד נוסף, החזיק הנאשם ברשותו כ-5 גרם נטו של סם מסוכן מסוג קנאביס, וכן משקל דיגיטלי. נקבע מתחם ענישה בין 36-12 חודשים ובית משפט השלום השית על הנאשם 18 חודשי מאסר בפועל ו</w:t>
      </w:r>
      <w:r w:rsidR="005344CA">
        <w:rPr>
          <w:rFonts w:ascii="Corbel" w:hAnsi="Corbel" w:cs="FrankRuehl" w:hint="cs"/>
          <w:sz w:val="28"/>
          <w:szCs w:val="28"/>
          <w:rtl/>
        </w:rPr>
        <w:t xml:space="preserve">עישה נלווית. </w:t>
      </w:r>
      <w:r w:rsidR="005344CA">
        <w:rPr>
          <w:rFonts w:ascii="Corbel" w:hAnsi="Corbel" w:cs="FrankRuehl"/>
          <w:sz w:val="28"/>
          <w:szCs w:val="28"/>
          <w:rtl/>
        </w:rPr>
        <w:t>ערעור ה</w:t>
      </w:r>
      <w:r w:rsidR="005344CA">
        <w:rPr>
          <w:rFonts w:ascii="Corbel" w:hAnsi="Corbel" w:cs="FrankRuehl" w:hint="cs"/>
          <w:sz w:val="28"/>
          <w:szCs w:val="28"/>
          <w:rtl/>
        </w:rPr>
        <w:t xml:space="preserve">מדינה </w:t>
      </w:r>
      <w:r w:rsidR="005344CA">
        <w:rPr>
          <w:rFonts w:ascii="Corbel" w:hAnsi="Corbel" w:cs="FrankRuehl"/>
          <w:sz w:val="28"/>
          <w:szCs w:val="28"/>
          <w:rtl/>
        </w:rPr>
        <w:t>התקבל, ונקבע כי המתחם שנקבע "חורג לקוּלא באופן קיצוני"</w:t>
      </w:r>
      <w:r w:rsidR="005344CA">
        <w:rPr>
          <w:rFonts w:ascii="Corbel" w:hAnsi="Corbel" w:cs="FrankRuehl" w:hint="cs"/>
          <w:sz w:val="28"/>
          <w:szCs w:val="28"/>
          <w:rtl/>
        </w:rPr>
        <w:t xml:space="preserve"> ועונש המאסר הועמד על 28 חודשים, </w:t>
      </w:r>
      <w:r w:rsidR="005344CA">
        <w:rPr>
          <w:rFonts w:ascii="Corbel" w:hAnsi="Corbel" w:cs="FrankRuehl"/>
          <w:sz w:val="28"/>
          <w:szCs w:val="28"/>
          <w:rtl/>
        </w:rPr>
        <w:t>יתר רכיבי הענישה נותרו על כנם. בקשה למתן רשות ערעור נדחתה ו</w:t>
      </w:r>
      <w:r w:rsidR="005344CA">
        <w:rPr>
          <w:rFonts w:ascii="Corbel" w:hAnsi="Corbel" w:cs="FrankRuehl" w:hint="cs"/>
          <w:sz w:val="28"/>
          <w:szCs w:val="28"/>
          <w:rtl/>
        </w:rPr>
        <w:t>הודג</w:t>
      </w:r>
      <w:r w:rsidR="005344CA">
        <w:rPr>
          <w:rFonts w:ascii="Corbel" w:hAnsi="Corbel" w:cs="FrankRuehl"/>
          <w:sz w:val="28"/>
          <w:szCs w:val="28"/>
          <w:rtl/>
        </w:rPr>
        <w:t xml:space="preserve">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  </w:t>
      </w:r>
    </w:p>
    <w:p w14:paraId="4DCE2A3D" w14:textId="77777777" w:rsidR="005344CA" w:rsidRPr="0030220A" w:rsidRDefault="005344CA" w:rsidP="005344CA">
      <w:pPr>
        <w:pStyle w:val="aa"/>
        <w:tabs>
          <w:tab w:val="left" w:pos="-58"/>
        </w:tabs>
        <w:spacing w:before="100" w:beforeAutospacing="1" w:after="120"/>
        <w:ind w:left="84"/>
        <w:jc w:val="both"/>
        <w:rPr>
          <w:rFonts w:cs="FrankRuehl"/>
          <w:szCs w:val="28"/>
        </w:rPr>
      </w:pPr>
    </w:p>
    <w:p w14:paraId="79375354"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2" w:history="1">
        <w:r w:rsidRPr="00E95229">
          <w:rPr>
            <w:rFonts w:cs="FrankRuehl" w:hint="cs"/>
            <w:color w:val="0000FF"/>
            <w:sz w:val="28"/>
            <w:szCs w:val="28"/>
            <w:u w:val="single"/>
            <w:rtl/>
          </w:rPr>
          <w:t>רע</w:t>
        </w:r>
        <w:r w:rsidRPr="00E95229">
          <w:rPr>
            <w:rFonts w:cs="FrankRuehl"/>
            <w:color w:val="0000FF"/>
            <w:sz w:val="28"/>
            <w:szCs w:val="28"/>
            <w:u w:val="single"/>
            <w:rtl/>
          </w:rPr>
          <w:t>"</w:t>
        </w:r>
        <w:r w:rsidRPr="00E95229">
          <w:rPr>
            <w:rFonts w:cs="FrankRuehl" w:hint="cs"/>
            <w:color w:val="0000FF"/>
            <w:sz w:val="28"/>
            <w:szCs w:val="28"/>
            <w:u w:val="single"/>
            <w:rtl/>
          </w:rPr>
          <w:t>פ</w:t>
        </w:r>
        <w:r w:rsidRPr="00E95229">
          <w:rPr>
            <w:rFonts w:cs="FrankRuehl"/>
            <w:color w:val="0000FF"/>
            <w:sz w:val="28"/>
            <w:szCs w:val="28"/>
            <w:u w:val="single"/>
            <w:rtl/>
          </w:rPr>
          <w:t xml:space="preserve"> 7858/19</w:t>
        </w:r>
      </w:hyperlink>
      <w:r w:rsidR="005344CA">
        <w:rPr>
          <w:rFonts w:cs="FrankRuehl"/>
          <w:sz w:val="28"/>
          <w:szCs w:val="28"/>
          <w:rtl/>
        </w:rPr>
        <w:t xml:space="preserve"> </w:t>
      </w:r>
      <w:r w:rsidR="005344CA">
        <w:rPr>
          <w:rFonts w:ascii="Miriam" w:hAnsi="Miriam" w:cs="Miriam"/>
          <w:rtl/>
        </w:rPr>
        <w:t>וקנין נ' מדינת ישראל</w:t>
      </w:r>
      <w:r w:rsidR="005344CA">
        <w:rPr>
          <w:rFonts w:cs="FrankRuehl"/>
          <w:sz w:val="28"/>
          <w:szCs w:val="28"/>
          <w:rtl/>
        </w:rPr>
        <w:t xml:space="preserve"> (28.11.2019) – הנאשם הורשע על פי הודאתו בשתי עבירות של סחר בסמים, בכך שמכר בשני מועדים שונים סם מסוכן מסוג קנבוס וחשיש במשקל כולל של כ-5.8 גרם. נקבע מתחם ענישה בין מאסר שיכול וירוצה בעבודות שירות ועד ל-8 חודשי מאסר בפועל. הנאשם נידון ל12 חודשי מאסר בפועל הכוללים הפעלת מאסר מותנה בן 5 חודשים וענישה נ</w:t>
      </w:r>
      <w:r w:rsidR="005344CA">
        <w:rPr>
          <w:rFonts w:cs="FrankRuehl" w:hint="cs"/>
          <w:sz w:val="28"/>
          <w:szCs w:val="28"/>
          <w:rtl/>
        </w:rPr>
        <w:t>לווית</w:t>
      </w:r>
      <w:r w:rsidR="005344CA">
        <w:rPr>
          <w:rFonts w:cs="FrankRuehl"/>
          <w:sz w:val="28"/>
          <w:szCs w:val="28"/>
          <w:rtl/>
        </w:rPr>
        <w:t>. ערעור לבית המשפט המחוזי נדחה כך גם בקשת רשות לערער;</w:t>
      </w:r>
    </w:p>
    <w:p w14:paraId="5A84B04E" w14:textId="77777777" w:rsidR="005344CA" w:rsidRPr="0030220A" w:rsidRDefault="005344CA" w:rsidP="005344CA">
      <w:pPr>
        <w:pStyle w:val="aa"/>
        <w:rPr>
          <w:rFonts w:cs="FrankRuehl"/>
          <w:szCs w:val="28"/>
          <w:rtl/>
        </w:rPr>
      </w:pPr>
    </w:p>
    <w:p w14:paraId="2F6C84AB"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3" w:history="1">
        <w:r w:rsidRPr="00E95229">
          <w:rPr>
            <w:rFonts w:ascii="Corbel" w:hAnsi="Corbel" w:cs="FrankRuehl" w:hint="cs"/>
            <w:color w:val="0000FF"/>
            <w:sz w:val="28"/>
            <w:szCs w:val="28"/>
            <w:u w:val="single"/>
            <w:rtl/>
          </w:rPr>
          <w:t>רע</w:t>
        </w:r>
        <w:r w:rsidRPr="00E95229">
          <w:rPr>
            <w:rFonts w:ascii="Corbel" w:hAnsi="Corbel" w:cs="FrankRuehl"/>
            <w:color w:val="0000FF"/>
            <w:sz w:val="28"/>
            <w:szCs w:val="28"/>
            <w:u w:val="single"/>
            <w:rtl/>
          </w:rPr>
          <w:t>"</w:t>
        </w:r>
        <w:r w:rsidRPr="00E95229">
          <w:rPr>
            <w:rFonts w:ascii="Corbel" w:hAnsi="Corbel" w:cs="FrankRuehl" w:hint="cs"/>
            <w:color w:val="0000FF"/>
            <w:sz w:val="28"/>
            <w:szCs w:val="28"/>
            <w:u w:val="single"/>
            <w:rtl/>
          </w:rPr>
          <w:t>פ</w:t>
        </w:r>
        <w:r w:rsidRPr="00E95229">
          <w:rPr>
            <w:rFonts w:ascii="Corbel" w:hAnsi="Corbel" w:cs="FrankRuehl"/>
            <w:color w:val="0000FF"/>
            <w:sz w:val="28"/>
            <w:szCs w:val="28"/>
            <w:u w:val="single"/>
            <w:rtl/>
          </w:rPr>
          <w:t xml:space="preserve"> 6401/18</w:t>
        </w:r>
      </w:hyperlink>
      <w:r w:rsidR="005344CA">
        <w:rPr>
          <w:rFonts w:ascii="Corbel" w:hAnsi="Corbel" w:cs="FrankRuehl"/>
          <w:sz w:val="28"/>
          <w:szCs w:val="28"/>
          <w:rtl/>
        </w:rPr>
        <w:t xml:space="preserve"> </w:t>
      </w:r>
      <w:r w:rsidR="005344CA">
        <w:rPr>
          <w:rFonts w:ascii="Miriam" w:hAnsi="Miriam" w:cs="Miriam"/>
          <w:rtl/>
        </w:rPr>
        <w:t>ספיר נ' מדינת ישראל</w:t>
      </w:r>
      <w:r w:rsidR="005344CA">
        <w:rPr>
          <w:rFonts w:ascii="Corbel" w:hAnsi="Corbel" w:cs="FrankRuehl"/>
          <w:sz w:val="28"/>
          <w:szCs w:val="28"/>
          <w:rtl/>
        </w:rPr>
        <w:t xml:space="preserve"> (17.9.2018) – הנאשם הורשע על פי הודאתו בכתב אישום האוחז בחובו שבעה אישומים, ובעבירות שעניינן בסחר בסמים, ניסיון לסחר בסמים, תיווך והחזקה בסמים מסוכנים והפרעה לשוטר במילוי תפקידו. הנאשם סחר בחמישה מועדים שונים לאחר תיאום מוקדם באמצעות מסרונים עם הקונים. בעת המפגש מכר סם מסוג קנבוס בכמויות משתנות (בין  5 ל-23 גרם) תמורת 1000 ₪ עבור כל 10 גרם.  נקבע מתחם ענישה בין 16 ועד 36 חודשי מאסר בפועל. בית המשפט השלום מצא לנכון לסטות לקולא ממתחם הענישה משיקולי שיקום והוא נידון לשנת מאסר וענישה נלווית. ערעורים שהוגש לבית המשפט המחוזי נדחה וכך גם בקשת רשות לערער. </w:t>
      </w:r>
    </w:p>
    <w:p w14:paraId="712A4FE9" w14:textId="77777777" w:rsidR="005344CA" w:rsidRPr="0030220A" w:rsidRDefault="005344CA" w:rsidP="005344CA">
      <w:pPr>
        <w:pStyle w:val="aa"/>
        <w:tabs>
          <w:tab w:val="left" w:pos="-58"/>
        </w:tabs>
        <w:spacing w:before="100" w:beforeAutospacing="1" w:after="120"/>
        <w:ind w:left="84"/>
        <w:jc w:val="both"/>
        <w:rPr>
          <w:rFonts w:cs="FrankRuehl"/>
          <w:szCs w:val="28"/>
        </w:rPr>
      </w:pPr>
    </w:p>
    <w:p w14:paraId="7F489BE5"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4" w:history="1">
        <w:r w:rsidRPr="00E95229">
          <w:rPr>
            <w:rFonts w:ascii="Corbel" w:hAnsi="Corbel" w:cs="FrankRuehl" w:hint="cs"/>
            <w:color w:val="0000FF"/>
            <w:sz w:val="28"/>
            <w:szCs w:val="28"/>
            <w:u w:val="single"/>
            <w:rtl/>
          </w:rPr>
          <w:t>עפ</w:t>
        </w:r>
        <w:r w:rsidRPr="00E95229">
          <w:rPr>
            <w:rFonts w:ascii="Corbel" w:hAnsi="Corbel" w:cs="FrankRuehl"/>
            <w:color w:val="0000FF"/>
            <w:sz w:val="28"/>
            <w:szCs w:val="28"/>
            <w:u w:val="single"/>
            <w:rtl/>
          </w:rPr>
          <w:t>"</w:t>
        </w:r>
        <w:r w:rsidRPr="00E95229">
          <w:rPr>
            <w:rFonts w:ascii="Corbel" w:hAnsi="Corbel" w:cs="FrankRuehl" w:hint="cs"/>
            <w:color w:val="0000FF"/>
            <w:sz w:val="28"/>
            <w:szCs w:val="28"/>
            <w:u w:val="single"/>
            <w:rtl/>
          </w:rPr>
          <w:t>ג</w:t>
        </w:r>
        <w:r w:rsidRPr="00E95229">
          <w:rPr>
            <w:rFonts w:ascii="Corbel" w:hAnsi="Corbel" w:cs="FrankRuehl"/>
            <w:color w:val="0000FF"/>
            <w:sz w:val="28"/>
            <w:szCs w:val="28"/>
            <w:u w:val="single"/>
            <w:rtl/>
          </w:rPr>
          <w:t xml:space="preserve"> (</w:t>
        </w:r>
        <w:r w:rsidRPr="00E95229">
          <w:rPr>
            <w:rFonts w:ascii="Corbel" w:hAnsi="Corbel" w:cs="FrankRuehl" w:hint="cs"/>
            <w:color w:val="0000FF"/>
            <w:sz w:val="28"/>
            <w:szCs w:val="28"/>
            <w:u w:val="single"/>
            <w:rtl/>
          </w:rPr>
          <w:t>מרכז</w:t>
        </w:r>
        <w:r w:rsidRPr="00E95229">
          <w:rPr>
            <w:rFonts w:ascii="Corbel" w:hAnsi="Corbel" w:cs="FrankRuehl"/>
            <w:color w:val="0000FF"/>
            <w:sz w:val="28"/>
            <w:szCs w:val="28"/>
            <w:u w:val="single"/>
            <w:rtl/>
          </w:rPr>
          <w:t>) 13964-09-17</w:t>
        </w:r>
      </w:hyperlink>
      <w:r w:rsidR="005344CA">
        <w:rPr>
          <w:rFonts w:ascii="Corbel" w:hAnsi="Corbel" w:cs="FrankRuehl"/>
          <w:sz w:val="28"/>
          <w:szCs w:val="28"/>
          <w:rtl/>
        </w:rPr>
        <w:t xml:space="preserve"> </w:t>
      </w:r>
      <w:r w:rsidR="005344CA">
        <w:rPr>
          <w:rFonts w:ascii="Miriam" w:hAnsi="Miriam" w:cs="Miriam"/>
          <w:rtl/>
        </w:rPr>
        <w:t>זסלבסקי נ' מדינת ישראל</w:t>
      </w:r>
      <w:r w:rsidR="005344CA">
        <w:rPr>
          <w:rFonts w:ascii="Corbel" w:hAnsi="Corbel" w:cs="FrankRuehl"/>
          <w:sz w:val="28"/>
          <w:szCs w:val="28"/>
          <w:rtl/>
        </w:rPr>
        <w:t xml:space="preserve"> (18.3.2018) – הנאשם נעדר הרשעות קודמות הורשע בהתאם להודאתו בשבע עבירות של סחר בסמים מסוג קנבאביס לשלושה קונים שונים בכל עסקה מכר כמות של גרם או שניים תמורת תשלום של כ-120 ₪ לגרם. בית המשפט קבע את מתחם הענישה בין 9 ועד 24 חודשים ומצא לנכון לסטות מהמתחם משיקולי שיקום והשית על הנאשם 6 חודשי מאסר לריצוי בדרך של עבודות שירות ורכיבי ענישה נוספים. ערעור לבית המשפט המחוזי נדחה;</w:t>
      </w:r>
    </w:p>
    <w:p w14:paraId="1F91A2F2" w14:textId="77777777" w:rsidR="005344CA" w:rsidRPr="0030220A" w:rsidRDefault="005344CA" w:rsidP="005344CA">
      <w:pPr>
        <w:pStyle w:val="aa"/>
        <w:tabs>
          <w:tab w:val="left" w:pos="-58"/>
        </w:tabs>
        <w:spacing w:before="100" w:beforeAutospacing="1" w:after="120"/>
        <w:ind w:left="84"/>
        <w:jc w:val="both"/>
        <w:rPr>
          <w:rFonts w:cs="FrankRuehl"/>
          <w:szCs w:val="28"/>
        </w:rPr>
      </w:pPr>
    </w:p>
    <w:p w14:paraId="3124D00B"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5" w:history="1">
        <w:r w:rsidRPr="00E95229">
          <w:rPr>
            <w:rFonts w:ascii="Corbel" w:hAnsi="Corbel" w:cs="FrankRuehl" w:hint="cs"/>
            <w:color w:val="0000FF"/>
            <w:sz w:val="28"/>
            <w:szCs w:val="28"/>
            <w:u w:val="single"/>
            <w:rtl/>
          </w:rPr>
          <w:t>עפ</w:t>
        </w:r>
        <w:r w:rsidRPr="00E95229">
          <w:rPr>
            <w:rFonts w:ascii="Corbel" w:hAnsi="Corbel" w:cs="FrankRuehl"/>
            <w:color w:val="0000FF"/>
            <w:sz w:val="28"/>
            <w:szCs w:val="28"/>
            <w:u w:val="single"/>
            <w:rtl/>
          </w:rPr>
          <w:t>"</w:t>
        </w:r>
        <w:r w:rsidRPr="00E95229">
          <w:rPr>
            <w:rFonts w:ascii="Corbel" w:hAnsi="Corbel" w:cs="FrankRuehl" w:hint="cs"/>
            <w:color w:val="0000FF"/>
            <w:sz w:val="28"/>
            <w:szCs w:val="28"/>
            <w:u w:val="single"/>
            <w:rtl/>
          </w:rPr>
          <w:t>ג</w:t>
        </w:r>
        <w:r w:rsidRPr="00E95229">
          <w:rPr>
            <w:rFonts w:ascii="Corbel" w:hAnsi="Corbel" w:cs="FrankRuehl"/>
            <w:color w:val="0000FF"/>
            <w:sz w:val="28"/>
            <w:szCs w:val="28"/>
            <w:u w:val="single"/>
            <w:rtl/>
          </w:rPr>
          <w:t xml:space="preserve"> (</w:t>
        </w:r>
        <w:r w:rsidRPr="00E95229">
          <w:rPr>
            <w:rFonts w:ascii="Corbel" w:hAnsi="Corbel" w:cs="FrankRuehl" w:hint="cs"/>
            <w:color w:val="0000FF"/>
            <w:sz w:val="28"/>
            <w:szCs w:val="28"/>
            <w:u w:val="single"/>
            <w:rtl/>
          </w:rPr>
          <w:t>ירושלים</w:t>
        </w:r>
        <w:r w:rsidRPr="00E95229">
          <w:rPr>
            <w:rFonts w:ascii="Corbel" w:hAnsi="Corbel" w:cs="FrankRuehl"/>
            <w:color w:val="0000FF"/>
            <w:sz w:val="28"/>
            <w:szCs w:val="28"/>
            <w:u w:val="single"/>
            <w:rtl/>
          </w:rPr>
          <w:t>) 19763-12-16</w:t>
        </w:r>
      </w:hyperlink>
      <w:r w:rsidR="005344CA">
        <w:rPr>
          <w:rFonts w:ascii="Corbel" w:hAnsi="Corbel" w:cs="FrankRuehl"/>
          <w:sz w:val="28"/>
          <w:szCs w:val="28"/>
          <w:rtl/>
        </w:rPr>
        <w:t xml:space="preserve"> </w:t>
      </w:r>
      <w:r w:rsidR="005344CA">
        <w:rPr>
          <w:rFonts w:ascii="Miriam" w:hAnsi="Miriam" w:cs="Miriam"/>
          <w:rtl/>
        </w:rPr>
        <w:t>מדינת ישראל נ' בשארי</w:t>
      </w:r>
      <w:r w:rsidR="005344CA">
        <w:rPr>
          <w:rFonts w:ascii="Corbel" w:hAnsi="Corbel" w:cs="FrankRuehl"/>
          <w:sz w:val="28"/>
          <w:szCs w:val="28"/>
          <w:rtl/>
        </w:rPr>
        <w:t xml:space="preserve"> (8.1.2017) – הנאשם הורשע על פי הודאתו בשלוש עבירות סם בסם מסוכן מסוג מריחואנה במשקל של כ-2 גרם תמורת סכום 200-100 ₪ בכל פעם. כמו כן הורשע הנאשם בהחזקת סם מסוג חשיש שלא לצריכה עצמית במשקל 700 גרם. בית המשפט קבע מתחם ענישה נפרד לכל אחת מעסקאות הסמים בין חודשיים לארבעה חודשים ועד ל-10 חודשי מאסר בפועל. בית המשפט גזר על הנאשם 8 חודשי מאסר בפועל וענישה נלווית. ערעור המדינה על קולת העונש נדחה. </w:t>
      </w:r>
    </w:p>
    <w:p w14:paraId="6C4DFD53" w14:textId="77777777" w:rsidR="005344CA" w:rsidRPr="00C42561" w:rsidRDefault="005344CA" w:rsidP="005344CA">
      <w:pPr>
        <w:pStyle w:val="aa"/>
        <w:rPr>
          <w:rFonts w:cs="FrankRuehl"/>
          <w:szCs w:val="28"/>
          <w:rtl/>
        </w:rPr>
      </w:pPr>
    </w:p>
    <w:p w14:paraId="06FC565D" w14:textId="77777777" w:rsidR="005344CA" w:rsidRDefault="00E95229" w:rsidP="005344CA">
      <w:pPr>
        <w:pStyle w:val="aa"/>
        <w:numPr>
          <w:ilvl w:val="0"/>
          <w:numId w:val="1"/>
        </w:numPr>
        <w:tabs>
          <w:tab w:val="left" w:pos="-58"/>
        </w:tabs>
        <w:spacing w:before="100" w:beforeAutospacing="1" w:after="120" w:line="360" w:lineRule="auto"/>
        <w:ind w:left="84" w:firstLine="0"/>
        <w:jc w:val="both"/>
        <w:rPr>
          <w:rFonts w:cs="FrankRuehl"/>
          <w:szCs w:val="28"/>
        </w:rPr>
      </w:pPr>
      <w:hyperlink r:id="rId46" w:history="1">
        <w:r w:rsidRPr="00E95229">
          <w:rPr>
            <w:rFonts w:cs="FrankRuehl" w:hint="cs"/>
            <w:color w:val="0000FF"/>
            <w:szCs w:val="28"/>
            <w:u w:val="single"/>
            <w:rtl/>
          </w:rPr>
          <w:t>ת</w:t>
        </w:r>
        <w:r w:rsidRPr="00E95229">
          <w:rPr>
            <w:rFonts w:cs="FrankRuehl"/>
            <w:color w:val="0000FF"/>
            <w:szCs w:val="28"/>
            <w:u w:val="single"/>
            <w:rtl/>
          </w:rPr>
          <w:t>.</w:t>
        </w:r>
        <w:r w:rsidRPr="00E95229">
          <w:rPr>
            <w:rFonts w:cs="FrankRuehl" w:hint="cs"/>
            <w:color w:val="0000FF"/>
            <w:szCs w:val="28"/>
            <w:u w:val="single"/>
            <w:rtl/>
          </w:rPr>
          <w:t>פ</w:t>
        </w:r>
        <w:r w:rsidRPr="00E95229">
          <w:rPr>
            <w:rFonts w:cs="FrankRuehl"/>
            <w:color w:val="0000FF"/>
            <w:szCs w:val="28"/>
            <w:u w:val="single"/>
            <w:rtl/>
          </w:rPr>
          <w:t xml:space="preserve"> 31134-05-18</w:t>
        </w:r>
      </w:hyperlink>
      <w:r w:rsidR="005344CA">
        <w:rPr>
          <w:rFonts w:cs="FrankRuehl"/>
          <w:szCs w:val="28"/>
          <w:rtl/>
        </w:rPr>
        <w:t xml:space="preserve"> </w:t>
      </w:r>
      <w:r w:rsidR="005344CA">
        <w:rPr>
          <w:rFonts w:ascii="Miriam" w:hAnsi="Miriam" w:cs="Miriam"/>
          <w:rtl/>
        </w:rPr>
        <w:t>מדינת ישראל נ</w:t>
      </w:r>
      <w:r w:rsidR="005344CA">
        <w:rPr>
          <w:rFonts w:ascii="Miriam" w:hAnsi="Miriam" w:cs="Miriam" w:hint="cs"/>
          <w:rtl/>
        </w:rPr>
        <w:t>'</w:t>
      </w:r>
      <w:r w:rsidR="005344CA" w:rsidRPr="0030220A">
        <w:rPr>
          <w:rFonts w:ascii="Miriam" w:hAnsi="Miriam" w:cs="Miriam"/>
          <w:rtl/>
        </w:rPr>
        <w:t xml:space="preserve"> ורזון</w:t>
      </w:r>
      <w:r w:rsidR="005344CA">
        <w:rPr>
          <w:rFonts w:cs="FrankRuehl"/>
          <w:szCs w:val="28"/>
          <w:rtl/>
        </w:rPr>
        <w:t xml:space="preserve"> (20.10.2022) – הנאשם הורשע על פי הודאתו בריבוי עבירות סחר בסמים, תיווך לסחר בסמים. דובר בעסקאות בסם מסוכן מסוג מריחואנה וקאנביס במשקל </w:t>
      </w:r>
      <w:r w:rsidR="005344CA">
        <w:rPr>
          <w:rFonts w:cs="FrankRuehl" w:hint="cs"/>
          <w:szCs w:val="28"/>
          <w:rtl/>
        </w:rPr>
        <w:t>ש</w:t>
      </w:r>
      <w:r w:rsidR="005344CA">
        <w:rPr>
          <w:rFonts w:cs="FrankRuehl"/>
          <w:szCs w:val="28"/>
          <w:rtl/>
        </w:rPr>
        <w:t xml:space="preserve">בין 5 גרמים לבין כמה עשרות גרמים לעסקה, מרביתן סביב 10 גרם. </w:t>
      </w:r>
      <w:r w:rsidR="005344CA">
        <w:rPr>
          <w:rFonts w:ascii="FrankRuehl" w:hAnsi="FrankRuehl" w:cs="FrankRuehl"/>
          <w:sz w:val="28"/>
          <w:szCs w:val="28"/>
          <w:rtl/>
        </w:rPr>
        <w:t>הנאשם היה מעורה בתחום הסמים, שיווק את הסמים באמצעות פרסום מבצעי מכירות והטבות באתרים שונים וכן באפליקציות טלגראס ווואטאפ</w:t>
      </w:r>
      <w:r w:rsidR="005344CA">
        <w:rPr>
          <w:rFonts w:ascii="FrankRuehl" w:hAnsi="FrankRuehl" w:cs="FrankRuehl" w:hint="cs"/>
          <w:sz w:val="28"/>
          <w:szCs w:val="28"/>
          <w:rtl/>
        </w:rPr>
        <w:t>,</w:t>
      </w:r>
      <w:r w:rsidR="005344CA">
        <w:rPr>
          <w:rFonts w:ascii="FrankRuehl" w:hAnsi="FrankRuehl" w:cs="FrankRuehl"/>
          <w:sz w:val="28"/>
          <w:szCs w:val="28"/>
          <w:rtl/>
        </w:rPr>
        <w:t xml:space="preserve"> ולצורך הפצת הסמים נעזר במערך שליחים סדור ומאורגן. סה"כ סחר הנאשם ב-585 גרם סמים כנגד תמורה בסך עשרות אלפי שקלים כן החזיק הנאשם בביתו סם מסוג קנאביס במשקל כולל כ-1.8 ק"ג וסם מסוג חשיש במשקל כ-4 גרם. הסמים נמצאו במקומות שונים בבית כשהם מחולקים, חלקם בתוך מעטפות, וכן נתפס משקל דיגיטלי. </w:t>
      </w:r>
      <w:r w:rsidR="005344CA">
        <w:rPr>
          <w:rFonts w:cs="FrankRuehl"/>
          <w:szCs w:val="28"/>
          <w:rtl/>
        </w:rPr>
        <w:t xml:space="preserve">בית המשפט קבע מתחם ענישה אחד לכלל עסקאות הסמים 60-30 חודשי מאסר ומצא לסטות מהמתחם משיקולי שיקום. </w:t>
      </w:r>
    </w:p>
    <w:p w14:paraId="1989CEFB" w14:textId="77777777" w:rsidR="005344CA" w:rsidRDefault="005344CA" w:rsidP="005344CA">
      <w:pPr>
        <w:pStyle w:val="aa"/>
        <w:tabs>
          <w:tab w:val="left" w:pos="-58"/>
        </w:tabs>
        <w:spacing w:before="100" w:beforeAutospacing="1" w:after="120"/>
        <w:ind w:left="84"/>
        <w:jc w:val="both"/>
        <w:rPr>
          <w:rFonts w:cs="FrankRuehl"/>
          <w:szCs w:val="28"/>
        </w:rPr>
      </w:pPr>
    </w:p>
    <w:p w14:paraId="56D63891"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cs="FrankRuehl"/>
          <w:szCs w:val="28"/>
        </w:rPr>
      </w:pPr>
      <w:r>
        <w:rPr>
          <w:rFonts w:cs="FrankRuehl"/>
          <w:sz w:val="28"/>
          <w:szCs w:val="28"/>
          <w:rtl/>
        </w:rPr>
        <w:t xml:space="preserve">להשלמת הפרק העוסק במדיניות הענישה אומר </w:t>
      </w:r>
      <w:r>
        <w:rPr>
          <w:rFonts w:cs="FrankRuehl" w:hint="cs"/>
          <w:sz w:val="28"/>
          <w:szCs w:val="28"/>
          <w:rtl/>
        </w:rPr>
        <w:t xml:space="preserve">אין בייתר פסקי הדין אליהם הפנו הצדדים להעלות או להוריד מהקו המחמיר שהוצג מעלה ועל מנת שלא להאריך היכן שאפשר לקצר, לא אפרט. </w:t>
      </w:r>
      <w:r>
        <w:rPr>
          <w:rFonts w:cs="FrankRuehl"/>
          <w:szCs w:val="28"/>
          <w:rtl/>
        </w:rPr>
        <w:t xml:space="preserve"> </w:t>
      </w:r>
    </w:p>
    <w:p w14:paraId="7344F428" w14:textId="77777777" w:rsidR="005344CA" w:rsidRPr="00B71933" w:rsidRDefault="005344CA" w:rsidP="005344CA">
      <w:pPr>
        <w:pStyle w:val="aa"/>
        <w:tabs>
          <w:tab w:val="left" w:pos="-58"/>
        </w:tabs>
        <w:spacing w:before="100" w:beforeAutospacing="1" w:after="120"/>
        <w:ind w:left="84"/>
        <w:jc w:val="both"/>
        <w:rPr>
          <w:rFonts w:cs="FrankRuehl"/>
          <w:szCs w:val="28"/>
        </w:rPr>
      </w:pPr>
    </w:p>
    <w:p w14:paraId="3757886F" w14:textId="77777777" w:rsidR="005344CA" w:rsidRDefault="005344CA" w:rsidP="005344CA">
      <w:pPr>
        <w:pStyle w:val="aa"/>
        <w:numPr>
          <w:ilvl w:val="0"/>
          <w:numId w:val="1"/>
        </w:numPr>
        <w:tabs>
          <w:tab w:val="left" w:pos="-58"/>
        </w:tabs>
        <w:spacing w:before="100" w:beforeAutospacing="1" w:after="120" w:line="360" w:lineRule="auto"/>
        <w:ind w:left="85" w:firstLine="0"/>
        <w:jc w:val="both"/>
        <w:rPr>
          <w:rFonts w:ascii="FrankRuehl" w:hAnsi="FrankRuehl" w:cs="FrankRuehl"/>
          <w:sz w:val="28"/>
          <w:szCs w:val="28"/>
        </w:rPr>
      </w:pPr>
      <w:r w:rsidRPr="00940CA9">
        <w:rPr>
          <w:rFonts w:ascii="FrankRuehl" w:hAnsi="FrankRuehl" w:cs="FrankRuehl"/>
          <w:sz w:val="28"/>
          <w:szCs w:val="28"/>
          <w:rtl/>
        </w:rPr>
        <w:t xml:space="preserve">עתה לבחינת </w:t>
      </w:r>
      <w:r>
        <w:rPr>
          <w:rFonts w:ascii="FrankRuehl" w:hAnsi="FrankRuehl" w:cs="FrankRuehl" w:hint="cs"/>
          <w:sz w:val="28"/>
          <w:szCs w:val="28"/>
          <w:rtl/>
        </w:rPr>
        <w:t>העבירה בנסיבותיה</w:t>
      </w:r>
      <w:r w:rsidRPr="00940CA9">
        <w:rPr>
          <w:rFonts w:ascii="FrankRuehl" w:hAnsi="FrankRuehl" w:cs="FrankRuehl" w:hint="cs"/>
          <w:sz w:val="28"/>
          <w:szCs w:val="28"/>
          <w:rtl/>
        </w:rPr>
        <w:t xml:space="preserve">. </w:t>
      </w:r>
    </w:p>
    <w:p w14:paraId="3419E55D" w14:textId="77777777" w:rsidR="005344CA" w:rsidRPr="00940CA9" w:rsidRDefault="005344CA" w:rsidP="005344CA">
      <w:pPr>
        <w:pStyle w:val="aa"/>
        <w:rPr>
          <w:rFonts w:ascii="FrankRuehl" w:hAnsi="FrankRuehl" w:cs="FrankRuehl"/>
          <w:sz w:val="28"/>
          <w:szCs w:val="28"/>
          <w:rtl/>
        </w:rPr>
      </w:pPr>
    </w:p>
    <w:p w14:paraId="6080EEDC" w14:textId="77777777" w:rsidR="005344CA" w:rsidRPr="00940CA9" w:rsidRDefault="005344CA" w:rsidP="005344CA">
      <w:pPr>
        <w:pStyle w:val="aa"/>
        <w:numPr>
          <w:ilvl w:val="0"/>
          <w:numId w:val="1"/>
        </w:numPr>
        <w:tabs>
          <w:tab w:val="left" w:pos="-58"/>
        </w:tabs>
        <w:spacing w:before="100" w:beforeAutospacing="1" w:after="120" w:line="360" w:lineRule="auto"/>
        <w:ind w:left="85" w:firstLine="0"/>
        <w:jc w:val="both"/>
        <w:rPr>
          <w:rFonts w:ascii="FrankRuehl" w:hAnsi="FrankRuehl" w:cs="FrankRuehl"/>
          <w:sz w:val="28"/>
          <w:szCs w:val="28"/>
        </w:rPr>
      </w:pPr>
      <w:r w:rsidRPr="00940CA9">
        <w:rPr>
          <w:rFonts w:ascii="FrankRuehl" w:hAnsi="FrankRuehl" w:cs="FrankRuehl"/>
          <w:sz w:val="28"/>
          <w:szCs w:val="28"/>
          <w:rtl/>
        </w:rPr>
        <w:t xml:space="preserve">הנאשם ממוקם בראש שרשרת הפצת הסם וביצע ריבוי עסקאות סמים במהלך </w:t>
      </w:r>
      <w:r w:rsidRPr="00940CA9">
        <w:rPr>
          <w:rFonts w:ascii="FrankRuehl" w:hAnsi="FrankRuehl" w:cs="FrankRuehl" w:hint="cs"/>
          <w:sz w:val="28"/>
          <w:szCs w:val="28"/>
          <w:rtl/>
        </w:rPr>
        <w:t xml:space="preserve">תקופה של </w:t>
      </w:r>
      <w:r w:rsidRPr="00940CA9">
        <w:rPr>
          <w:rFonts w:ascii="FrankRuehl" w:hAnsi="FrankRuehl" w:cs="FrankRuehl"/>
          <w:sz w:val="28"/>
          <w:szCs w:val="28"/>
          <w:rtl/>
        </w:rPr>
        <w:t>כשנתיים</w:t>
      </w:r>
      <w:r w:rsidRPr="00940CA9">
        <w:rPr>
          <w:rFonts w:ascii="FrankRuehl" w:hAnsi="FrankRuehl" w:cs="FrankRuehl" w:hint="cs"/>
          <w:sz w:val="28"/>
          <w:szCs w:val="28"/>
          <w:rtl/>
        </w:rPr>
        <w:t xml:space="preserve">, במועדים שונים. </w:t>
      </w:r>
      <w:r w:rsidRPr="00940CA9">
        <w:rPr>
          <w:rFonts w:ascii="FrankRuehl" w:hAnsi="FrankRuehl" w:cs="FrankRuehl"/>
          <w:sz w:val="28"/>
          <w:szCs w:val="28"/>
          <w:rtl/>
        </w:rPr>
        <w:t>בין פרקי הזמן היה נתון הנאשם במעצר. למעט 51 עסקאות סמים, כתב האישום שותק ביחס למועדים בהם בוצעו</w:t>
      </w:r>
      <w:r>
        <w:rPr>
          <w:rFonts w:ascii="FrankRuehl" w:hAnsi="FrankRuehl" w:cs="FrankRuehl" w:hint="cs"/>
          <w:sz w:val="28"/>
          <w:szCs w:val="28"/>
          <w:rtl/>
        </w:rPr>
        <w:t xml:space="preserve"> העסקאות</w:t>
      </w:r>
      <w:r w:rsidRPr="00940CA9">
        <w:rPr>
          <w:rFonts w:ascii="FrankRuehl" w:hAnsi="FrankRuehl" w:cs="FrankRuehl"/>
          <w:sz w:val="28"/>
          <w:szCs w:val="28"/>
          <w:rtl/>
        </w:rPr>
        <w:t>. אך אין חולק כי מדו</w:t>
      </w:r>
      <w:r>
        <w:rPr>
          <w:rFonts w:ascii="FrankRuehl" w:hAnsi="FrankRuehl" w:cs="FrankRuehl"/>
          <w:sz w:val="28"/>
          <w:szCs w:val="28"/>
          <w:rtl/>
        </w:rPr>
        <w:t>בר במספר רב מאוד של עסקאות. כמו</w:t>
      </w:r>
      <w:r w:rsidRPr="00940CA9">
        <w:rPr>
          <w:rFonts w:ascii="FrankRuehl" w:hAnsi="FrankRuehl" w:cs="FrankRuehl"/>
          <w:sz w:val="28"/>
          <w:szCs w:val="28"/>
          <w:rtl/>
        </w:rPr>
        <w:t xml:space="preserve">ת הסם שנמכרה בכל עסקה קטנה מאוד ולא יותר מ-5 גרם. בכל עסקה קיבל הנאשם לידיו כמה עשרות שקלים, בין 200-20 ₪.  הנאשם מכר את הסמים לכ-13 קונים, ורובם רכשו מהנאשם סמים יותר מפעם אחת. </w:t>
      </w:r>
    </w:p>
    <w:p w14:paraId="4D58521A" w14:textId="77777777" w:rsidR="005344CA" w:rsidRPr="0030220A" w:rsidRDefault="005344CA" w:rsidP="005344CA">
      <w:pPr>
        <w:pStyle w:val="aa"/>
        <w:tabs>
          <w:tab w:val="left" w:pos="-58"/>
        </w:tabs>
        <w:spacing w:before="100" w:beforeAutospacing="1" w:after="120"/>
        <w:ind w:left="84"/>
        <w:jc w:val="both"/>
        <w:rPr>
          <w:rFonts w:cs="FrankRuehl"/>
          <w:szCs w:val="28"/>
        </w:rPr>
      </w:pPr>
    </w:p>
    <w:p w14:paraId="505283AA"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ממד נוסף של חומרה נעוץ בגילאי הקונים בתיק הצירוף שהם קטינים. המאשימה משיקוליה, לא מצאה לנכון לפרט בעובדות כתב האישום את תאריכי הלידה של הקטינים. לכן, יש להניח, לטובת הנאשם כי מדובר בקטינים המתקרבים לגיל 18 ולא בקטינים צעירים מאוד. זאת במיוחד לנוכח האמור באישום 3, שם צוין כי הנאשם מכר סמים לאותו קונה, פעם בהיותו קטין ופעם בהיותו בגיר. </w:t>
      </w:r>
      <w:r>
        <w:rPr>
          <w:rFonts w:cs="FrankRuehl"/>
          <w:szCs w:val="28"/>
          <w:rtl/>
        </w:rPr>
        <w:t xml:space="preserve">כן יש להביא בחשבון כי הנאשם מכר לקטינים סמים בכמויות קטנות מאוד ולראייה התשלום בכל עסקה לא עלה על 50 שקלים. </w:t>
      </w:r>
    </w:p>
    <w:p w14:paraId="0891F0E5" w14:textId="77777777" w:rsidR="005344CA" w:rsidRDefault="005344CA" w:rsidP="005344CA">
      <w:pPr>
        <w:pStyle w:val="aa"/>
        <w:tabs>
          <w:tab w:val="left" w:pos="-58"/>
        </w:tabs>
        <w:spacing w:before="100" w:beforeAutospacing="1" w:after="120"/>
        <w:ind w:left="84"/>
        <w:jc w:val="both"/>
        <w:rPr>
          <w:rFonts w:ascii="FrankRuehl" w:hAnsi="FrankRuehl" w:cs="FrankRuehl"/>
          <w:sz w:val="28"/>
          <w:szCs w:val="28"/>
        </w:rPr>
      </w:pPr>
    </w:p>
    <w:p w14:paraId="61D33664"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מספר העסקאות ו</w:t>
      </w:r>
      <w:r>
        <w:rPr>
          <w:rFonts w:ascii="FrankRuehl" w:hAnsi="FrankRuehl" w:cs="FrankRuehl" w:hint="cs"/>
          <w:sz w:val="28"/>
          <w:szCs w:val="28"/>
          <w:rtl/>
        </w:rPr>
        <w:t>ה</w:t>
      </w:r>
      <w:r>
        <w:rPr>
          <w:rFonts w:ascii="FrankRuehl" w:hAnsi="FrankRuehl" w:cs="FrankRuehl"/>
          <w:sz w:val="28"/>
          <w:szCs w:val="28"/>
          <w:rtl/>
        </w:rPr>
        <w:t xml:space="preserve">תדירות מלמדות על נגישות לסמים וקשר לגורמים עבריינים. עם זאת, בשונה ממקרים אחרים שמובאים לפתחו של בית המשפט, לא נתפסו בבית הנאשם כמויות סמים גדולות, או שקיות חלוקה ומשקלים דיגיטליים. קשה לומר כי המעשים בוצעו בתחכום רב, הנאשם תיאם את המכירות תוך שימוש בטלפון הפרטי שלו ופרטיו האישיים היו גלויים לכל. לא נעשה שימוש באפליקציות להסוואת מסרים כגון "טלגראס". הקונים נהגו להגיע לפתח ביתו של הנאשם, לדוגמה לחדר המדרגות או בקרבת מקום. לא נעשה כל ניסיון להסוות את הפעילות הפלילית. </w:t>
      </w:r>
    </w:p>
    <w:p w14:paraId="7EDA72D1" w14:textId="77777777" w:rsidR="005344CA" w:rsidRPr="00940CA9" w:rsidRDefault="005344CA" w:rsidP="005344CA">
      <w:pPr>
        <w:pStyle w:val="aa"/>
        <w:rPr>
          <w:rFonts w:ascii="FrankRuehl" w:hAnsi="FrankRuehl" w:cs="FrankRuehl"/>
          <w:sz w:val="28"/>
          <w:szCs w:val="28"/>
          <w:rtl/>
        </w:rPr>
      </w:pPr>
    </w:p>
    <w:p w14:paraId="1D73A9A0"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ברקע לביצוע העבירות עומדת התמכרות כרונית רבת שנים לסמים ועמדות מקלות ביחס לשימוש ב</w:t>
      </w:r>
      <w:r>
        <w:rPr>
          <w:rFonts w:ascii="FrankRuehl" w:hAnsi="FrankRuehl" w:cs="FrankRuehl" w:hint="cs"/>
          <w:sz w:val="28"/>
          <w:szCs w:val="28"/>
          <w:rtl/>
        </w:rPr>
        <w:t>הם</w:t>
      </w:r>
      <w:r>
        <w:rPr>
          <w:rFonts w:ascii="FrankRuehl" w:hAnsi="FrankRuehl" w:cs="FrankRuehl"/>
          <w:sz w:val="28"/>
          <w:szCs w:val="28"/>
          <w:rtl/>
        </w:rPr>
        <w:t>. לא נתפסו בידי הנאשם סכומי כסף גדולים ואין בידיו נכסים, כגון רכב או אופנוע. די במבט אחד בנאשם על מנת להבין כי אין המדובר בסוחר סמים קלאסי שגרף סכומי עתק לכיסו, אלא שמדובר במכור לסמים, אדם לא בריא שחי מהיד אל הפה.</w:t>
      </w:r>
    </w:p>
    <w:p w14:paraId="793F0F9A" w14:textId="77777777" w:rsidR="005344CA" w:rsidRPr="00B71933" w:rsidRDefault="005344CA" w:rsidP="005344CA">
      <w:pPr>
        <w:pStyle w:val="aa"/>
        <w:tabs>
          <w:tab w:val="left" w:pos="-58"/>
        </w:tabs>
        <w:spacing w:before="100" w:beforeAutospacing="1" w:after="120"/>
        <w:ind w:left="84"/>
        <w:jc w:val="both"/>
        <w:rPr>
          <w:rFonts w:ascii="FrankRuehl" w:hAnsi="FrankRuehl" w:cs="FrankRuehl"/>
          <w:sz w:val="28"/>
          <w:szCs w:val="28"/>
        </w:rPr>
      </w:pPr>
    </w:p>
    <w:p w14:paraId="034674CB"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 xml:space="preserve">לא ארחיב </w:t>
      </w:r>
      <w:r>
        <w:rPr>
          <w:rFonts w:ascii="FrankRuehl" w:hAnsi="FrankRuehl" w:cs="FrankRuehl" w:hint="cs"/>
          <w:sz w:val="28"/>
          <w:szCs w:val="28"/>
          <w:rtl/>
        </w:rPr>
        <w:t xml:space="preserve">את הדיבור </w:t>
      </w:r>
      <w:r>
        <w:rPr>
          <w:rFonts w:ascii="FrankRuehl" w:hAnsi="FrankRuehl" w:cs="FrankRuehl"/>
          <w:sz w:val="28"/>
          <w:szCs w:val="28"/>
          <w:rtl/>
        </w:rPr>
        <w:t xml:space="preserve">ביחס לאישום הראשון בכתב האישום המצורף, מדובר בהחזקת סם לצריכה עצמית במשקל של 20.87 גרם. והצדדים מסכימים כי המתחם בגין מעשה זה מתחיל במאסר צופה פני עתיד.  </w:t>
      </w:r>
    </w:p>
    <w:p w14:paraId="40FB4E50" w14:textId="77777777" w:rsidR="005344CA" w:rsidRPr="0030220A" w:rsidRDefault="005344CA" w:rsidP="005344CA">
      <w:pPr>
        <w:pStyle w:val="aa"/>
        <w:tabs>
          <w:tab w:val="left" w:pos="-58"/>
        </w:tabs>
        <w:spacing w:before="100" w:beforeAutospacing="1" w:after="120"/>
        <w:ind w:left="84"/>
        <w:jc w:val="both"/>
        <w:rPr>
          <w:rFonts w:ascii="FrankRuehl" w:hAnsi="FrankRuehl" w:cs="FrankRuehl"/>
          <w:sz w:val="28"/>
          <w:szCs w:val="28"/>
        </w:rPr>
      </w:pPr>
    </w:p>
    <w:p w14:paraId="03F8203F"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לאור כל האמור ובהתחשב בנסיבות ביצוע העבירות, מידת הפגיעה בערכים המוגנים ומדיניות הענישה הנהוגה מצאתי לקבוע מתחמי ענישה כדלקמן: בגין כתב האישום העיקרי 18-36 ובין כתב האישום המצורף 24-10 חודשים לצד רכיבי ענישה נוספים. </w:t>
      </w:r>
    </w:p>
    <w:p w14:paraId="60F9B872" w14:textId="77777777" w:rsidR="005344CA" w:rsidRDefault="005344CA" w:rsidP="005344CA">
      <w:pPr>
        <w:pStyle w:val="aa"/>
        <w:tabs>
          <w:tab w:val="left" w:pos="-58"/>
        </w:tabs>
        <w:spacing w:before="100" w:beforeAutospacing="1" w:after="120"/>
        <w:ind w:left="84"/>
        <w:jc w:val="both"/>
        <w:rPr>
          <w:rFonts w:ascii="David" w:hAnsi="David" w:cs="Miriam"/>
          <w:rtl/>
        </w:rPr>
      </w:pPr>
    </w:p>
    <w:p w14:paraId="6725EA05" w14:textId="77777777" w:rsidR="005344CA" w:rsidRDefault="005344CA" w:rsidP="005344CA">
      <w:pPr>
        <w:pStyle w:val="aa"/>
        <w:tabs>
          <w:tab w:val="left" w:pos="-58"/>
        </w:tabs>
        <w:spacing w:before="100" w:beforeAutospacing="1" w:after="120"/>
        <w:ind w:left="84"/>
        <w:jc w:val="both"/>
        <w:rPr>
          <w:rFonts w:ascii="David" w:hAnsi="David" w:cs="Miriam"/>
          <w:rtl/>
        </w:rPr>
      </w:pPr>
    </w:p>
    <w:p w14:paraId="348F9E47" w14:textId="77777777" w:rsidR="005344CA" w:rsidRDefault="005344CA" w:rsidP="005344CA">
      <w:pPr>
        <w:pStyle w:val="aa"/>
        <w:tabs>
          <w:tab w:val="left" w:pos="-58"/>
        </w:tabs>
        <w:spacing w:before="100" w:beforeAutospacing="1" w:after="120"/>
        <w:ind w:left="84"/>
        <w:jc w:val="both"/>
        <w:rPr>
          <w:rFonts w:ascii="David" w:hAnsi="David" w:cs="Miriam"/>
          <w:rtl/>
        </w:rPr>
      </w:pPr>
    </w:p>
    <w:p w14:paraId="04B7E92E" w14:textId="77777777" w:rsidR="005344CA" w:rsidRDefault="005344CA" w:rsidP="005344CA">
      <w:pPr>
        <w:pStyle w:val="aa"/>
        <w:tabs>
          <w:tab w:val="left" w:pos="-58"/>
        </w:tabs>
        <w:spacing w:before="100" w:beforeAutospacing="1" w:after="120"/>
        <w:ind w:left="84"/>
        <w:jc w:val="both"/>
        <w:rPr>
          <w:rFonts w:ascii="David" w:hAnsi="David" w:cs="Miriam"/>
          <w:rtl/>
        </w:rPr>
      </w:pPr>
    </w:p>
    <w:p w14:paraId="1E7945F5" w14:textId="77777777" w:rsidR="005344CA" w:rsidRDefault="005344CA" w:rsidP="005344CA">
      <w:pPr>
        <w:pStyle w:val="aa"/>
        <w:tabs>
          <w:tab w:val="left" w:pos="-58"/>
        </w:tabs>
        <w:spacing w:before="100" w:beforeAutospacing="1" w:after="120"/>
        <w:ind w:left="84"/>
        <w:jc w:val="both"/>
        <w:rPr>
          <w:rFonts w:ascii="David" w:hAnsi="David" w:cs="Miriam"/>
          <w:rtl/>
        </w:rPr>
      </w:pPr>
    </w:p>
    <w:p w14:paraId="2D7D7CFB" w14:textId="77777777" w:rsidR="005344CA" w:rsidRDefault="005344CA" w:rsidP="005344CA">
      <w:pPr>
        <w:pStyle w:val="aa"/>
        <w:tabs>
          <w:tab w:val="left" w:pos="-58"/>
        </w:tabs>
        <w:spacing w:before="100" w:beforeAutospacing="1" w:after="120" w:line="360" w:lineRule="auto"/>
        <w:ind w:left="84"/>
        <w:jc w:val="both"/>
        <w:rPr>
          <w:rFonts w:ascii="FrankRuehl" w:hAnsi="FrankRuehl" w:cs="FrankRuehl"/>
          <w:sz w:val="28"/>
          <w:szCs w:val="28"/>
        </w:rPr>
      </w:pPr>
      <w:r>
        <w:rPr>
          <w:rFonts w:ascii="David" w:hAnsi="David" w:cs="Miriam"/>
          <w:rtl/>
        </w:rPr>
        <w:t>גזירת העונש המתאים לנאשם</w:t>
      </w:r>
    </w:p>
    <w:p w14:paraId="42306CC5"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הצדדים לא טענו ואף לא מצאתי נסיבות לחומרה או לקולה המצדיקות חריגה ממתחם העונש ההולם. לפיכך, יש לקבוע </w:t>
      </w:r>
      <w:r>
        <w:rPr>
          <w:rFonts w:cs="FrankRuehl" w:hint="cs"/>
          <w:sz w:val="28"/>
          <w:szCs w:val="28"/>
          <w:rtl/>
        </w:rPr>
        <w:t xml:space="preserve">את </w:t>
      </w:r>
      <w:r>
        <w:rPr>
          <w:rFonts w:cs="FrankRuehl"/>
          <w:sz w:val="28"/>
          <w:szCs w:val="28"/>
          <w:rtl/>
        </w:rPr>
        <w:t>עונשו של הנאשם בתוך המתחם תוך התחשבות בנסיבות שאינן קשורות בביצוע העבירה (</w:t>
      </w:r>
      <w:hyperlink r:id="rId47" w:history="1">
        <w:r w:rsidR="002C1F5E" w:rsidRPr="002C1F5E">
          <w:rPr>
            <w:rStyle w:val="Hyperlink"/>
            <w:rFonts w:ascii="Miriam" w:hAnsi="Miriam" w:cs="Miriam"/>
            <w:rtl/>
          </w:rPr>
          <w:t>סעיף 40יא'</w:t>
        </w:r>
      </w:hyperlink>
      <w:r>
        <w:rPr>
          <w:rFonts w:ascii="Miriam" w:hAnsi="Miriam" w:cs="Miriam"/>
          <w:rtl/>
        </w:rPr>
        <w:t xml:space="preserve"> ל</w:t>
      </w:r>
      <w:hyperlink r:id="rId48" w:history="1">
        <w:r w:rsidR="00E95229" w:rsidRPr="00E95229">
          <w:rPr>
            <w:rFonts w:ascii="Miriam" w:hAnsi="Miriam" w:cs="Miriam"/>
            <w:color w:val="0000FF"/>
            <w:u w:val="single"/>
            <w:rtl/>
          </w:rPr>
          <w:t>חוק העונשין</w:t>
        </w:r>
      </w:hyperlink>
      <w:r>
        <w:rPr>
          <w:rFonts w:cs="FrankRuehl"/>
          <w:sz w:val="28"/>
          <w:szCs w:val="28"/>
          <w:rtl/>
        </w:rPr>
        <w:t xml:space="preserve">) כדלקמן: </w:t>
      </w:r>
    </w:p>
    <w:p w14:paraId="56C99543" w14:textId="77777777" w:rsidR="005344CA" w:rsidRPr="0030220A" w:rsidRDefault="005344CA" w:rsidP="005344CA">
      <w:pPr>
        <w:pStyle w:val="aa"/>
        <w:tabs>
          <w:tab w:val="left" w:pos="-58"/>
        </w:tabs>
        <w:spacing w:before="100" w:beforeAutospacing="1" w:after="120"/>
        <w:ind w:left="84"/>
        <w:jc w:val="both"/>
        <w:rPr>
          <w:rFonts w:ascii="FrankRuehl" w:hAnsi="FrankRuehl" w:cs="FrankRuehl"/>
          <w:sz w:val="28"/>
          <w:szCs w:val="28"/>
        </w:rPr>
      </w:pPr>
    </w:p>
    <w:p w14:paraId="0E700110"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הנאשם יליד שנת 1954 נשוי, אב לארבעה ילדים וסב לנכדים. </w:t>
      </w:r>
      <w:r>
        <w:rPr>
          <w:rFonts w:ascii="FrankRuehl" w:hAnsi="FrankRuehl" w:cs="FrankRuehl"/>
          <w:sz w:val="28"/>
          <w:szCs w:val="28"/>
          <w:rtl/>
        </w:rPr>
        <w:t xml:space="preserve">הוא הודה בשני כתבי האישום המתוקנים מבלי שגובש הסדר לעניין העונש ובכך העמיד את עצמו לשבט או לחסד של בית המשפט. הנאשם לקח אחריות על מעשיו, הביע צער וחרטה. </w:t>
      </w:r>
      <w:r>
        <w:rPr>
          <w:rFonts w:cs="FrankRuehl"/>
          <w:sz w:val="28"/>
          <w:szCs w:val="28"/>
          <w:rtl/>
        </w:rPr>
        <w:t xml:space="preserve">היה בהודאה זו לחסוך בזמן שיפוטי ובמשאבי ציבורים רבים, וכן היה בהודאה זו לחסוך את עדויותיהם של קונים רבים, חלקם </w:t>
      </w:r>
      <w:r>
        <w:rPr>
          <w:rFonts w:cs="FrankRuehl" w:hint="cs"/>
          <w:sz w:val="28"/>
          <w:szCs w:val="28"/>
          <w:rtl/>
        </w:rPr>
        <w:t xml:space="preserve">כאמור </w:t>
      </w:r>
      <w:r>
        <w:rPr>
          <w:rFonts w:cs="FrankRuehl"/>
          <w:sz w:val="28"/>
          <w:szCs w:val="28"/>
          <w:rtl/>
        </w:rPr>
        <w:t xml:space="preserve">קטינים. </w:t>
      </w:r>
    </w:p>
    <w:p w14:paraId="79E56E7E" w14:textId="77777777" w:rsidR="005344CA" w:rsidRPr="0030220A" w:rsidRDefault="005344CA" w:rsidP="005344CA">
      <w:pPr>
        <w:pStyle w:val="aa"/>
        <w:tabs>
          <w:tab w:val="left" w:pos="-58"/>
        </w:tabs>
        <w:spacing w:before="100" w:beforeAutospacing="1" w:after="120"/>
        <w:ind w:left="84"/>
        <w:jc w:val="both"/>
        <w:rPr>
          <w:rFonts w:ascii="FrankRuehl" w:hAnsi="FrankRuehl" w:cs="FrankRuehl"/>
          <w:sz w:val="28"/>
          <w:szCs w:val="28"/>
        </w:rPr>
      </w:pPr>
    </w:p>
    <w:p w14:paraId="71CCD400"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Cs w:val="28"/>
          <w:rtl/>
        </w:rPr>
        <w:t>הנאשם החל את פעילותו העבריינית לפני שנים רבות וצבר לחובתו 10 הרשעות קודמות בעבירות סמים בגינן נידון לעונשי מאסר לתקופות שונות. עומד ותלוי נגדו מאסר מותנה בן 5 חודשים שניתן בשנת 2015 וחודש בשנת 2018 בגין עבירה של החזקת סם (</w:t>
      </w:r>
      <w:r>
        <w:rPr>
          <w:rFonts w:ascii="Miriam" w:hAnsi="Miriam" w:cs="Miriam"/>
          <w:rtl/>
        </w:rPr>
        <w:t>טעת/1</w:t>
      </w:r>
      <w:r>
        <w:rPr>
          <w:rFonts w:cs="FrankRuehl" w:hint="cs"/>
          <w:szCs w:val="28"/>
          <w:rtl/>
        </w:rPr>
        <w:t xml:space="preserve"> </w:t>
      </w:r>
      <w:r>
        <w:rPr>
          <w:rFonts w:cs="FrankRuehl"/>
          <w:szCs w:val="28"/>
          <w:rtl/>
        </w:rPr>
        <w:t>–</w:t>
      </w:r>
      <w:r>
        <w:rPr>
          <w:rFonts w:cs="FrankRuehl" w:hint="cs"/>
          <w:szCs w:val="28"/>
          <w:rtl/>
        </w:rPr>
        <w:t xml:space="preserve"> </w:t>
      </w:r>
      <w:r>
        <w:rPr>
          <w:rFonts w:ascii="Miriam" w:hAnsi="Miriam" w:cs="Miriam"/>
          <w:rtl/>
        </w:rPr>
        <w:t>טעת/4</w:t>
      </w:r>
      <w:r>
        <w:rPr>
          <w:rFonts w:cs="FrankRuehl"/>
          <w:szCs w:val="28"/>
          <w:rtl/>
        </w:rPr>
        <w:t xml:space="preserve">). לחובת הנאשם אף הרשעות בתחום התעבורה, 18 במספר, בגין הרשעתו האחרונה ריצה תקופת מאסר קצרה. </w:t>
      </w:r>
      <w:r>
        <w:rPr>
          <w:rFonts w:ascii="FrankRuehl" w:hAnsi="FrankRuehl" w:cs="FrankRuehl"/>
          <w:sz w:val="28"/>
          <w:szCs w:val="28"/>
          <w:rtl/>
        </w:rPr>
        <w:t>ההליכים המשפטיים וסנקציות עונשיות אינם מהווים גורם מרתיע ומציב גבול.</w:t>
      </w:r>
    </w:p>
    <w:p w14:paraId="59EE0A7F" w14:textId="77777777" w:rsidR="005344CA" w:rsidRPr="0030220A" w:rsidRDefault="005344CA" w:rsidP="005344CA">
      <w:pPr>
        <w:pStyle w:val="aa"/>
        <w:tabs>
          <w:tab w:val="left" w:pos="-58"/>
        </w:tabs>
        <w:spacing w:before="100" w:beforeAutospacing="1" w:after="120"/>
        <w:ind w:left="84"/>
        <w:jc w:val="both"/>
        <w:rPr>
          <w:rFonts w:ascii="FrankRuehl" w:hAnsi="FrankRuehl" w:cs="FrankRuehl"/>
          <w:sz w:val="28"/>
          <w:szCs w:val="28"/>
        </w:rPr>
      </w:pPr>
    </w:p>
    <w:p w14:paraId="1C1585C7"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תסקירי </w:t>
      </w:r>
      <w:r>
        <w:rPr>
          <w:rFonts w:cs="FrankRuehl" w:hint="cs"/>
          <w:sz w:val="28"/>
          <w:szCs w:val="28"/>
          <w:rtl/>
        </w:rPr>
        <w:t xml:space="preserve">המבחן </w:t>
      </w:r>
      <w:r>
        <w:rPr>
          <w:rFonts w:cs="FrankRuehl"/>
          <w:sz w:val="28"/>
          <w:szCs w:val="28"/>
          <w:rtl/>
        </w:rPr>
        <w:t>מתארים תמונה עגומה. הנאשם מצוי בשולי החברה, מנהל אורח חיים התמכרותי כרוני, שבר כלי, מצבו הגופני ירוד, הוא בקושי מחזיק את ראשו מעל המים וניסיונות גמילה בעבר לא צלחו. לא אחטא באמת כשאומר כי הנאשם הוא דוגמה הממחישה את התוצאות הקשות</w:t>
      </w:r>
      <w:r>
        <w:rPr>
          <w:rFonts w:cs="FrankRuehl" w:hint="cs"/>
          <w:sz w:val="28"/>
          <w:szCs w:val="28"/>
          <w:rtl/>
        </w:rPr>
        <w:t>,</w:t>
      </w:r>
      <w:r>
        <w:rPr>
          <w:rFonts w:cs="FrankRuehl"/>
          <w:sz w:val="28"/>
          <w:szCs w:val="28"/>
          <w:rtl/>
        </w:rPr>
        <w:t xml:space="preserve"> הרות האסון של התמכרות לסמים והנזקים של תלות זו</w:t>
      </w:r>
      <w:r>
        <w:rPr>
          <w:rFonts w:cs="FrankRuehl" w:hint="cs"/>
          <w:sz w:val="28"/>
          <w:szCs w:val="28"/>
          <w:rtl/>
        </w:rPr>
        <w:t>,</w:t>
      </w:r>
      <w:r>
        <w:rPr>
          <w:rFonts w:cs="FrankRuehl"/>
          <w:sz w:val="28"/>
          <w:szCs w:val="28"/>
          <w:rtl/>
        </w:rPr>
        <w:t xml:space="preserve"> לנאשם עצמו ולחברה כול</w:t>
      </w:r>
      <w:r>
        <w:rPr>
          <w:rFonts w:cs="FrankRuehl" w:hint="cs"/>
          <w:sz w:val="28"/>
          <w:szCs w:val="28"/>
          <w:rtl/>
        </w:rPr>
        <w:t>ה</w:t>
      </w:r>
      <w:r>
        <w:rPr>
          <w:rFonts w:cs="FrankRuehl"/>
          <w:sz w:val="28"/>
          <w:szCs w:val="28"/>
          <w:rtl/>
        </w:rPr>
        <w:t xml:space="preserve">. </w:t>
      </w:r>
    </w:p>
    <w:p w14:paraId="00B9DC64" w14:textId="77777777" w:rsidR="005344CA" w:rsidRPr="005E629D" w:rsidRDefault="005344CA" w:rsidP="005344CA">
      <w:pPr>
        <w:pStyle w:val="aa"/>
        <w:tabs>
          <w:tab w:val="left" w:pos="-58"/>
        </w:tabs>
        <w:spacing w:before="100" w:beforeAutospacing="1" w:after="120"/>
        <w:ind w:left="84"/>
        <w:jc w:val="both"/>
        <w:rPr>
          <w:rFonts w:ascii="FrankRuehl" w:hAnsi="FrankRuehl" w:cs="FrankRuehl"/>
          <w:sz w:val="28"/>
          <w:szCs w:val="28"/>
        </w:rPr>
      </w:pPr>
    </w:p>
    <w:p w14:paraId="7548AB89"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לא זו בלבד שההתמכרות לסמים פגעה בבריאותו של הנאשם, הן מהבחינה הפיזית והן מהבחינה הנפשית, במהלך שהייתו במעצר בתיק העיקרי אובחן כסובל ממחלה קשה. הוא הובהל בדחיפות לבית החולים ועבר מספר ניתוחים. </w:t>
      </w:r>
      <w:r>
        <w:rPr>
          <w:rFonts w:ascii="FrankRuehl" w:hAnsi="FrankRuehl" w:cs="FrankRuehl"/>
          <w:sz w:val="28"/>
          <w:szCs w:val="28"/>
          <w:rtl/>
        </w:rPr>
        <w:t xml:space="preserve">עקב הסיטואציה החריגה, ומשיקולים הומניים, הסכימה המאשימה לשחרורו ממעצר ואף ניתנה בידו ההזדמנות להחלים ולשקם את חייו. למרבה הצער, שב הנאשם והסתבך בפלילים וביצע את העבירות מושא כתב האישום המצורף ואי אפשר </w:t>
      </w:r>
      <w:r>
        <w:rPr>
          <w:rFonts w:ascii="FrankRuehl" w:hAnsi="FrankRuehl" w:cs="FrankRuehl" w:hint="cs"/>
          <w:sz w:val="28"/>
          <w:szCs w:val="28"/>
          <w:rtl/>
        </w:rPr>
        <w:t xml:space="preserve">בעת הזו </w:t>
      </w:r>
      <w:r>
        <w:rPr>
          <w:rFonts w:ascii="FrankRuehl" w:hAnsi="FrankRuehl" w:cs="FrankRuehl"/>
          <w:sz w:val="28"/>
          <w:szCs w:val="28"/>
          <w:rtl/>
        </w:rPr>
        <w:t xml:space="preserve">להצביע על אופק שיקומי. שירות המבחן התרשם כי הנאשם אינו פנוי לבחינה ולהתבוננות עצמית ולא בא בהמלצה טיפולית. </w:t>
      </w:r>
    </w:p>
    <w:p w14:paraId="7FE9A459" w14:textId="77777777" w:rsidR="005344CA" w:rsidRDefault="005344CA" w:rsidP="005344CA">
      <w:pPr>
        <w:pStyle w:val="aa"/>
        <w:tabs>
          <w:tab w:val="left" w:pos="-58"/>
        </w:tabs>
        <w:spacing w:before="100" w:beforeAutospacing="1" w:after="120"/>
        <w:ind w:left="84"/>
        <w:jc w:val="both"/>
        <w:rPr>
          <w:rFonts w:ascii="FrankRuehl" w:hAnsi="FrankRuehl" w:cs="FrankRuehl"/>
          <w:sz w:val="28"/>
          <w:szCs w:val="28"/>
        </w:rPr>
      </w:pPr>
    </w:p>
    <w:p w14:paraId="4152E032"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 xml:space="preserve">בניגוד למאשימה, אינני סבורה כי מדובר באדם שאינו רוצה להשתקם, אלא </w:t>
      </w:r>
      <w:r>
        <w:rPr>
          <w:rFonts w:ascii="FrankRuehl" w:hAnsi="FrankRuehl" w:cs="FrankRuehl" w:hint="cs"/>
          <w:sz w:val="28"/>
          <w:szCs w:val="28"/>
          <w:rtl/>
        </w:rPr>
        <w:t>ש</w:t>
      </w:r>
      <w:r>
        <w:rPr>
          <w:rFonts w:ascii="FrankRuehl" w:hAnsi="FrankRuehl" w:cs="FrankRuehl"/>
          <w:sz w:val="28"/>
          <w:szCs w:val="28"/>
          <w:rtl/>
        </w:rPr>
        <w:t xml:space="preserve">ניכר </w:t>
      </w:r>
      <w:r>
        <w:rPr>
          <w:rFonts w:ascii="FrankRuehl" w:hAnsi="FrankRuehl" w:cs="FrankRuehl" w:hint="cs"/>
          <w:sz w:val="28"/>
          <w:szCs w:val="28"/>
          <w:rtl/>
        </w:rPr>
        <w:t>כי בגילו ובמצבו הגופני והנפשי ו</w:t>
      </w:r>
      <w:r>
        <w:rPr>
          <w:rFonts w:ascii="FrankRuehl" w:hAnsi="FrankRuehl" w:cs="FrankRuehl"/>
          <w:sz w:val="28"/>
          <w:szCs w:val="28"/>
          <w:rtl/>
        </w:rPr>
        <w:t xml:space="preserve">הוא בעיקר אינו מסוגל להשתקם.  </w:t>
      </w:r>
      <w:r>
        <w:rPr>
          <w:rFonts w:ascii="FrankRuehl" w:hAnsi="FrankRuehl" w:cs="FrankRuehl" w:hint="cs"/>
          <w:sz w:val="28"/>
          <w:szCs w:val="28"/>
          <w:rtl/>
        </w:rPr>
        <w:t xml:space="preserve">עם זאת, אין לומר כי אבדה התקווה ויש לקוות כי הנאשם ישכיל לנצל את תקופת המאסר שאיננה קצרה לשיקום בתוך כותלי בית הכלא. </w:t>
      </w:r>
    </w:p>
    <w:p w14:paraId="236FAD5E" w14:textId="77777777" w:rsidR="005344CA" w:rsidRPr="0030220A" w:rsidRDefault="005344CA" w:rsidP="005344CA">
      <w:pPr>
        <w:pStyle w:val="aa"/>
        <w:tabs>
          <w:tab w:val="left" w:pos="-58"/>
        </w:tabs>
        <w:spacing w:before="100" w:beforeAutospacing="1" w:after="120"/>
        <w:ind w:left="84"/>
        <w:jc w:val="both"/>
        <w:rPr>
          <w:rFonts w:ascii="FrankRuehl" w:hAnsi="FrankRuehl" w:cs="FrankRuehl"/>
          <w:sz w:val="28"/>
          <w:szCs w:val="28"/>
        </w:rPr>
      </w:pPr>
    </w:p>
    <w:p w14:paraId="0E5AA267"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הנאשם כאמור הוא אדם חולה. על אף שרשויות שב"ס ערוכות ומסוגלות להעניק טיפול רפואי לאסירים הסובלים ממחלות קשות, ברי כי לריצוי עונש מאסר של אדם כדוגמת הנאשם יש משמעות קשה יותר מריצוי עונש מאסר של אדם בריא. נתון זה צריך</w:t>
      </w:r>
      <w:r>
        <w:rPr>
          <w:rFonts w:cs="FrankRuehl" w:hint="cs"/>
          <w:sz w:val="28"/>
          <w:szCs w:val="28"/>
          <w:rtl/>
        </w:rPr>
        <w:t xml:space="preserve"> </w:t>
      </w:r>
      <w:r>
        <w:rPr>
          <w:rFonts w:cs="FrankRuehl"/>
          <w:sz w:val="28"/>
          <w:szCs w:val="28"/>
          <w:rtl/>
        </w:rPr>
        <w:t>לדעתי</w:t>
      </w:r>
      <w:r>
        <w:rPr>
          <w:rFonts w:cs="FrankRuehl" w:hint="cs"/>
          <w:sz w:val="28"/>
          <w:szCs w:val="28"/>
          <w:rtl/>
        </w:rPr>
        <w:t>,</w:t>
      </w:r>
      <w:r>
        <w:rPr>
          <w:rFonts w:cs="FrankRuehl"/>
          <w:sz w:val="28"/>
          <w:szCs w:val="28"/>
          <w:rtl/>
        </w:rPr>
        <w:t xml:space="preserve"> להשפיע על אורך תקופת המאסר, בפרט בגילו של הנאשם. </w:t>
      </w:r>
    </w:p>
    <w:p w14:paraId="4615062F" w14:textId="77777777" w:rsidR="005344CA" w:rsidRDefault="005344CA" w:rsidP="005344CA">
      <w:pPr>
        <w:pStyle w:val="aa"/>
        <w:tabs>
          <w:tab w:val="left" w:pos="-58"/>
        </w:tabs>
        <w:spacing w:before="100" w:beforeAutospacing="1" w:after="120"/>
        <w:ind w:left="84"/>
        <w:jc w:val="both"/>
        <w:rPr>
          <w:rFonts w:ascii="FrankRuehl" w:hAnsi="FrankRuehl" w:cs="FrankRuehl"/>
          <w:sz w:val="28"/>
          <w:szCs w:val="28"/>
        </w:rPr>
      </w:pPr>
    </w:p>
    <w:p w14:paraId="2F9B1ED4" w14:textId="77777777" w:rsidR="005344CA" w:rsidRPr="00516BD9"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נותר איפוא להכריע בסוגיית אופן הפעלת המאסר המותנה</w:t>
      </w:r>
      <w:r>
        <w:rPr>
          <w:rFonts w:cs="FrankRuehl"/>
          <w:sz w:val="28"/>
          <w:szCs w:val="28"/>
          <w:rtl/>
        </w:rPr>
        <w:t xml:space="preserve">. </w:t>
      </w:r>
      <w:r>
        <w:rPr>
          <w:rFonts w:ascii="FrankRuehl" w:hAnsi="FrankRuehl" w:cs="FrankRuehl"/>
          <w:b/>
          <w:sz w:val="32"/>
          <w:szCs w:val="28"/>
          <w:rtl/>
        </w:rPr>
        <w:t xml:space="preserve">כידוע, </w:t>
      </w:r>
      <w:hyperlink r:id="rId49" w:history="1">
        <w:r w:rsidR="002C1F5E" w:rsidRPr="002C1F5E">
          <w:rPr>
            <w:rStyle w:val="Hyperlink"/>
            <w:rFonts w:ascii="Miriam" w:hAnsi="Miriam" w:cs="Miriam"/>
            <w:b/>
            <w:rtl/>
          </w:rPr>
          <w:t>סעיף 58</w:t>
        </w:r>
      </w:hyperlink>
      <w:r>
        <w:rPr>
          <w:rFonts w:ascii="Miriam" w:hAnsi="Miriam" w:cs="Miriam"/>
          <w:b/>
          <w:rtl/>
        </w:rPr>
        <w:t xml:space="preserve"> ל</w:t>
      </w:r>
      <w:hyperlink r:id="rId50" w:history="1">
        <w:r w:rsidR="00E95229" w:rsidRPr="00E95229">
          <w:rPr>
            <w:rFonts w:ascii="Miriam" w:hAnsi="Miriam" w:cs="Miriam"/>
            <w:b/>
            <w:color w:val="0000FF"/>
            <w:u w:val="single"/>
            <w:rtl/>
          </w:rPr>
          <w:t>חוק העונשין</w:t>
        </w:r>
      </w:hyperlink>
      <w:r>
        <w:rPr>
          <w:rFonts w:ascii="Miriam" w:hAnsi="Miriam" w:cs="Miriam"/>
          <w:b/>
          <w:rtl/>
        </w:rPr>
        <w:t xml:space="preserve"> </w:t>
      </w:r>
      <w:r>
        <w:rPr>
          <w:rFonts w:ascii="FrankRuehl" w:hAnsi="FrankRuehl" w:cs="FrankRuehl"/>
          <w:b/>
          <w:sz w:val="32"/>
          <w:szCs w:val="28"/>
          <w:rtl/>
        </w:rPr>
        <w:t xml:space="preserve">קובע כי ככלל, תקופת המאסר המותנה ותקופת המאסר שהוטלה בשל עבירה נוספת ירוצו "בזו אחר זו", קרי – באופן מצטבר, זולת אם מצא בית המשפט טעמים להפעלת המאסר המותנה, כולו או חלקו, בחופף למאסר שנגזר (ראו ע"פ </w:t>
      </w:r>
      <w:hyperlink r:id="rId51" w:history="1">
        <w:r w:rsidR="000B4FCC" w:rsidRPr="000B4FCC">
          <w:rPr>
            <w:rFonts w:ascii="FrankRuehl" w:hAnsi="FrankRuehl" w:cs="FrankRuehl"/>
            <w:b/>
            <w:color w:val="0000FF"/>
            <w:sz w:val="32"/>
            <w:szCs w:val="28"/>
            <w:u w:val="single"/>
            <w:rtl/>
          </w:rPr>
          <w:t>7907/2014</w:t>
        </w:r>
      </w:hyperlink>
      <w:r>
        <w:rPr>
          <w:rFonts w:ascii="FrankRuehl" w:hAnsi="FrankRuehl" w:cs="FrankRuehl"/>
          <w:b/>
          <w:sz w:val="32"/>
          <w:szCs w:val="28"/>
          <w:rtl/>
        </w:rPr>
        <w:t xml:space="preserve"> </w:t>
      </w:r>
      <w:r>
        <w:rPr>
          <w:rFonts w:ascii="Miriam" w:hAnsi="Miriam" w:cs="Miriam"/>
          <w:b/>
          <w:rtl/>
        </w:rPr>
        <w:t>ואזנה נ' מדינת ישראל</w:t>
      </w:r>
      <w:r>
        <w:rPr>
          <w:rFonts w:ascii="FrankRuehl" w:hAnsi="FrankRuehl" w:cs="FrankRuehl"/>
          <w:b/>
          <w:sz w:val="32"/>
          <w:szCs w:val="28"/>
          <w:rtl/>
        </w:rPr>
        <w:t xml:space="preserve">, (22.2.2015), </w:t>
      </w:r>
      <w:r>
        <w:rPr>
          <w:rFonts w:cs="FrankRuehl"/>
          <w:sz w:val="28"/>
          <w:szCs w:val="28"/>
          <w:rtl/>
        </w:rPr>
        <w:t xml:space="preserve">ע"פ 2336/2016 </w:t>
      </w:r>
      <w:r>
        <w:rPr>
          <w:rFonts w:cs="Miriam"/>
          <w:b/>
          <w:rtl/>
        </w:rPr>
        <w:t>מזראיב נ' מדינת ישראל</w:t>
      </w:r>
      <w:r>
        <w:rPr>
          <w:rFonts w:cs="FrankRuehl"/>
          <w:sz w:val="28"/>
          <w:szCs w:val="28"/>
          <w:rtl/>
        </w:rPr>
        <w:t xml:space="preserve"> פסקה 32 (14.12.2017)</w:t>
      </w:r>
      <w:r>
        <w:rPr>
          <w:rFonts w:ascii="FrankRuehl" w:hAnsi="FrankRuehl" w:cs="FrankRuehl"/>
          <w:b/>
          <w:sz w:val="32"/>
          <w:szCs w:val="28"/>
          <w:rtl/>
        </w:rPr>
        <w:t xml:space="preserve">. </w:t>
      </w:r>
    </w:p>
    <w:p w14:paraId="6CFA781D" w14:textId="77777777" w:rsidR="005344CA" w:rsidRPr="00940CA9" w:rsidRDefault="005344CA" w:rsidP="005344CA">
      <w:pPr>
        <w:pStyle w:val="aa"/>
        <w:rPr>
          <w:rFonts w:ascii="FrankRuehl" w:hAnsi="FrankRuehl" w:cs="FrankRuehl"/>
          <w:b/>
          <w:sz w:val="32"/>
          <w:szCs w:val="28"/>
          <w:rtl/>
        </w:rPr>
      </w:pPr>
    </w:p>
    <w:p w14:paraId="5FDEED37" w14:textId="77777777" w:rsidR="005344CA"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b/>
          <w:sz w:val="32"/>
          <w:szCs w:val="28"/>
          <w:rtl/>
        </w:rPr>
        <w:t xml:space="preserve">בהינתן המקובץ ומשום שההליך הפלילי אינו מהווה גורם מרתיע דיו, היה מקום להורות כי המאסר המותנה ירוצה במצטבר. עם זאת, לנוכח ההודאה והחיסכון בזמן שיפוטי, והמצב הבריאותי של הנאשם ואף בהינתן </w:t>
      </w:r>
      <w:r>
        <w:rPr>
          <w:rFonts w:ascii="FrankRuehl" w:hAnsi="FrankRuehl" w:cs="FrankRuehl" w:hint="cs"/>
          <w:b/>
          <w:sz w:val="32"/>
          <w:szCs w:val="28"/>
          <w:rtl/>
        </w:rPr>
        <w:t xml:space="preserve">נסיבות </w:t>
      </w:r>
      <w:r>
        <w:rPr>
          <w:rFonts w:ascii="FrankRuehl" w:hAnsi="FrankRuehl" w:cs="FrankRuehl"/>
          <w:b/>
          <w:sz w:val="32"/>
          <w:szCs w:val="28"/>
          <w:rtl/>
        </w:rPr>
        <w:t xml:space="preserve">חידוש המאסר על תנאי, מצאתי להורות כי יופעל בחופף לעונש המאסר שיושת כאן.  </w:t>
      </w:r>
    </w:p>
    <w:p w14:paraId="063F3A6A" w14:textId="77777777" w:rsidR="005344CA" w:rsidRDefault="005344CA" w:rsidP="005344CA">
      <w:pPr>
        <w:pStyle w:val="aa"/>
        <w:tabs>
          <w:tab w:val="left" w:pos="-58"/>
        </w:tabs>
        <w:spacing w:before="100" w:beforeAutospacing="1" w:after="120"/>
        <w:ind w:left="84"/>
        <w:jc w:val="both"/>
        <w:rPr>
          <w:rFonts w:ascii="FrankRuehl" w:hAnsi="FrankRuehl" w:cs="FrankRuehl"/>
          <w:sz w:val="28"/>
          <w:szCs w:val="28"/>
        </w:rPr>
      </w:pPr>
    </w:p>
    <w:p w14:paraId="42B0A968" w14:textId="77777777" w:rsidR="005344CA" w:rsidRPr="002E11BF"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sidRPr="002E11BF">
        <w:rPr>
          <w:rFonts w:ascii="FrankRuehl" w:hAnsi="FrankRuehl" w:cs="FrankRuehl" w:hint="cs"/>
          <w:sz w:val="28"/>
          <w:szCs w:val="28"/>
          <w:rtl/>
        </w:rPr>
        <w:t xml:space="preserve">הערה </w:t>
      </w:r>
      <w:r w:rsidRPr="002E11BF">
        <w:rPr>
          <w:rFonts w:ascii="FrankRuehl" w:hAnsi="FrankRuehl" w:cs="FrankRuehl"/>
          <w:sz w:val="28"/>
          <w:szCs w:val="28"/>
          <w:rtl/>
        </w:rPr>
        <w:t>לפני סיום. המאשימה, ביקשה למקם את עונשו של הנאשם בגבול העליון של המתחם שייקבע וכן ביקשה להשית על</w:t>
      </w:r>
      <w:r w:rsidRPr="002E11BF">
        <w:rPr>
          <w:rFonts w:ascii="FrankRuehl" w:hAnsi="FrankRuehl" w:cs="FrankRuehl" w:hint="cs"/>
          <w:sz w:val="28"/>
          <w:szCs w:val="28"/>
          <w:rtl/>
        </w:rPr>
        <w:t xml:space="preserve">יו </w:t>
      </w:r>
      <w:r w:rsidRPr="002E11BF">
        <w:rPr>
          <w:rFonts w:cs="FrankRuehl"/>
          <w:sz w:val="28"/>
          <w:szCs w:val="28"/>
          <w:rtl/>
        </w:rPr>
        <w:t xml:space="preserve">עונש מאסר בן 76 חודשים. לטעמי, הגבול העליון של המתחם שמור לרצידיוויסטים שלא נטלו אחריות על מעשיהם ולבטח לא לנאשמים שנסיבותיהם האישיות </w:t>
      </w:r>
      <w:r w:rsidRPr="002E11BF">
        <w:rPr>
          <w:rFonts w:cs="FrankRuehl" w:hint="cs"/>
          <w:sz w:val="28"/>
          <w:szCs w:val="28"/>
          <w:rtl/>
        </w:rPr>
        <w:t xml:space="preserve">והבריאותיות </w:t>
      </w:r>
      <w:r w:rsidRPr="002E11BF">
        <w:rPr>
          <w:rFonts w:cs="FrankRuehl"/>
          <w:sz w:val="28"/>
          <w:szCs w:val="28"/>
          <w:rtl/>
        </w:rPr>
        <w:t>חריגות כבענייננו. לא זו אף זו, מדובר בעונש מופלג בחומרתו, בהשוואה לתיקים המתנהלים בבית המשפט השלום ולא רק בתחום הסמים</w:t>
      </w:r>
      <w:r w:rsidRPr="002E11BF">
        <w:rPr>
          <w:rFonts w:cs="FrankRuehl" w:hint="cs"/>
          <w:sz w:val="28"/>
          <w:szCs w:val="28"/>
          <w:rtl/>
        </w:rPr>
        <w:t xml:space="preserve">, העובדה כי לא היה בידי המאשימה לתמוך עמדה זו בפסיקה מדברת בעד עצמה. </w:t>
      </w:r>
      <w:r w:rsidRPr="002E11BF">
        <w:rPr>
          <w:rFonts w:cs="FrankRuehl"/>
          <w:sz w:val="28"/>
          <w:szCs w:val="28"/>
          <w:rtl/>
        </w:rPr>
        <w:t>אחרון</w:t>
      </w:r>
      <w:r>
        <w:rPr>
          <w:rFonts w:cs="FrankRuehl" w:hint="cs"/>
          <w:sz w:val="28"/>
          <w:szCs w:val="28"/>
          <w:rtl/>
        </w:rPr>
        <w:t xml:space="preserve">, </w:t>
      </w:r>
      <w:r w:rsidRPr="002E11BF">
        <w:rPr>
          <w:rFonts w:cs="FrankRuehl"/>
          <w:sz w:val="28"/>
          <w:szCs w:val="28"/>
          <w:rtl/>
        </w:rPr>
        <w:t xml:space="preserve">במועד הטיעון לעונש, נזרקה לחלל האוויר האמירה לפיה כל עסקת סמים שוות ערך לחודש מאסר. </w:t>
      </w:r>
    </w:p>
    <w:p w14:paraId="0E5FDDC4" w14:textId="77777777" w:rsidR="005344CA" w:rsidRPr="002E11BF" w:rsidRDefault="005344CA" w:rsidP="005344CA">
      <w:pPr>
        <w:pStyle w:val="aa"/>
        <w:rPr>
          <w:rFonts w:ascii="Corbel" w:hAnsi="Corbel" w:cs="FrankRuehl"/>
          <w:sz w:val="28"/>
          <w:szCs w:val="28"/>
          <w:rtl/>
        </w:rPr>
      </w:pPr>
    </w:p>
    <w:p w14:paraId="0ECB59A9" w14:textId="77777777" w:rsidR="005344CA" w:rsidRPr="008D14AF" w:rsidRDefault="005344CA" w:rsidP="005344CA">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sidRPr="008D14AF">
        <w:rPr>
          <w:rFonts w:ascii="Corbel" w:hAnsi="Corbel" w:cs="FrankRuehl"/>
          <w:sz w:val="28"/>
          <w:szCs w:val="28"/>
          <w:rtl/>
        </w:rPr>
        <w:t xml:space="preserve">כעניין של עיקרון, עמדה זו אינה מקובלת על בית המשפט. גזירת הדין אינה עניין מכאני או אריתמטי. בית המשפט לא יגזור את דינו של אדם, בהתאם </w:t>
      </w:r>
      <w:r w:rsidRPr="008D14AF">
        <w:rPr>
          <w:rFonts w:ascii="Corbel" w:hAnsi="Corbel" w:cs="FrankRuehl" w:hint="cs"/>
          <w:sz w:val="28"/>
          <w:szCs w:val="28"/>
          <w:rtl/>
        </w:rPr>
        <w:t>ל</w:t>
      </w:r>
      <w:r w:rsidRPr="008D14AF">
        <w:rPr>
          <w:rFonts w:ascii="Corbel" w:hAnsi="Corbel" w:cs="FrankRuehl"/>
          <w:sz w:val="28"/>
          <w:szCs w:val="28"/>
          <w:rtl/>
        </w:rPr>
        <w:t>תעריפון</w:t>
      </w:r>
      <w:r w:rsidRPr="008D14AF">
        <w:rPr>
          <w:rFonts w:ascii="Corbel" w:hAnsi="Corbel" w:cs="FrankRuehl" w:hint="cs"/>
          <w:sz w:val="28"/>
          <w:szCs w:val="28"/>
          <w:rtl/>
        </w:rPr>
        <w:t xml:space="preserve"> אחיד קבוע מראש</w:t>
      </w:r>
      <w:r w:rsidRPr="008D14AF">
        <w:rPr>
          <w:rFonts w:ascii="Corbel" w:hAnsi="Corbel" w:cs="FrankRuehl"/>
          <w:sz w:val="28"/>
          <w:szCs w:val="28"/>
          <w:rtl/>
        </w:rPr>
        <w:t xml:space="preserve">, לא בתיק זה ולא בתיקים אחרים. </w:t>
      </w:r>
      <w:r w:rsidRPr="008D14AF">
        <w:rPr>
          <w:rFonts w:cs="FrankRuehl" w:hint="cs"/>
          <w:sz w:val="28"/>
          <w:szCs w:val="28"/>
          <w:rtl/>
        </w:rPr>
        <w:t>הענישה היא לעולם אינדיבידואלית "ואין עסקינן בשיטת ניקוד, או באריתמטיקה, ענישה היא מלאכת מחשבת ולא מלאכת מחשב" (</w:t>
      </w:r>
      <w:hyperlink r:id="rId52" w:history="1">
        <w:r w:rsidR="00E95229" w:rsidRPr="00E95229">
          <w:rPr>
            <w:rFonts w:cs="FrankRuehl" w:hint="cs"/>
            <w:color w:val="0000FF"/>
            <w:sz w:val="28"/>
            <w:szCs w:val="28"/>
            <w:u w:val="single"/>
            <w:rtl/>
          </w:rPr>
          <w:t>ע</w:t>
        </w:r>
        <w:r w:rsidR="00E95229" w:rsidRPr="00E95229">
          <w:rPr>
            <w:rFonts w:cs="FrankRuehl"/>
            <w:color w:val="0000FF"/>
            <w:sz w:val="28"/>
            <w:szCs w:val="28"/>
            <w:u w:val="single"/>
            <w:rtl/>
          </w:rPr>
          <w:t>"</w:t>
        </w:r>
        <w:r w:rsidR="00E95229" w:rsidRPr="00E95229">
          <w:rPr>
            <w:rFonts w:cs="FrankRuehl" w:hint="cs"/>
            <w:color w:val="0000FF"/>
            <w:sz w:val="28"/>
            <w:szCs w:val="28"/>
            <w:u w:val="single"/>
            <w:rtl/>
          </w:rPr>
          <w:t>פ</w:t>
        </w:r>
        <w:r w:rsidR="00E95229" w:rsidRPr="00E95229">
          <w:rPr>
            <w:rFonts w:cs="FrankRuehl"/>
            <w:color w:val="0000FF"/>
            <w:sz w:val="28"/>
            <w:szCs w:val="28"/>
            <w:u w:val="single"/>
            <w:rtl/>
          </w:rPr>
          <w:t xml:space="preserve"> 5768/10</w:t>
        </w:r>
      </w:hyperlink>
      <w:r w:rsidRPr="008D14AF">
        <w:rPr>
          <w:rFonts w:cs="FrankRuehl" w:hint="cs"/>
          <w:sz w:val="28"/>
          <w:szCs w:val="28"/>
          <w:rtl/>
        </w:rPr>
        <w:t xml:space="preserve"> </w:t>
      </w:r>
      <w:r w:rsidRPr="008D14AF">
        <w:rPr>
          <w:rFonts w:ascii="Miriam" w:hAnsi="Miriam" w:cs="Miriam" w:hint="cs"/>
          <w:rtl/>
        </w:rPr>
        <w:t>פלוני נ' מדינת ישראל</w:t>
      </w:r>
      <w:r w:rsidRPr="008D14AF">
        <w:rPr>
          <w:rFonts w:cs="FrankRuehl" w:hint="cs"/>
          <w:sz w:val="28"/>
          <w:szCs w:val="28"/>
          <w:rtl/>
        </w:rPr>
        <w:t xml:space="preserve"> (8.6.2015)). עוד נזכיר כי </w:t>
      </w:r>
      <w:r w:rsidRPr="008D14AF">
        <w:rPr>
          <w:rFonts w:cs="FrankRuehl"/>
          <w:sz w:val="28"/>
          <w:szCs w:val="28"/>
          <w:rtl/>
        </w:rPr>
        <w:t xml:space="preserve">מיצוי הדין עם עבריין הוא ערך חברתי חשוב ואולם </w:t>
      </w:r>
      <w:r w:rsidRPr="008D14AF">
        <w:rPr>
          <w:rFonts w:cs="FrankRuehl" w:hint="cs"/>
          <w:sz w:val="28"/>
          <w:szCs w:val="28"/>
          <w:rtl/>
        </w:rPr>
        <w:t xml:space="preserve">אין בו כדי לבטל </w:t>
      </w:r>
      <w:r w:rsidRPr="008D14AF">
        <w:rPr>
          <w:rFonts w:cs="FrankRuehl"/>
          <w:sz w:val="28"/>
          <w:szCs w:val="28"/>
          <w:rtl/>
        </w:rPr>
        <w:t xml:space="preserve">שיקולים אחרים ובהם אנושיות וחמלה בסיסית.   </w:t>
      </w:r>
    </w:p>
    <w:p w14:paraId="2A3B5760" w14:textId="77777777" w:rsidR="005344CA" w:rsidRDefault="005344CA" w:rsidP="005344CA">
      <w:pPr>
        <w:tabs>
          <w:tab w:val="left" w:pos="84"/>
        </w:tabs>
        <w:spacing w:before="100" w:beforeAutospacing="1" w:after="120" w:line="360" w:lineRule="auto"/>
        <w:jc w:val="both"/>
        <w:rPr>
          <w:rFonts w:ascii="Miriam" w:hAnsi="Miriam" w:cs="Miriam"/>
        </w:rPr>
      </w:pPr>
      <w:r>
        <w:rPr>
          <w:rFonts w:ascii="Miriam" w:hAnsi="Miriam" w:cs="Miriam"/>
          <w:rtl/>
        </w:rPr>
        <w:t xml:space="preserve">תוצאה </w:t>
      </w:r>
    </w:p>
    <w:p w14:paraId="4193D371" w14:textId="77777777" w:rsidR="005344CA" w:rsidRDefault="005344CA" w:rsidP="005344CA">
      <w:pPr>
        <w:tabs>
          <w:tab w:val="left" w:pos="-58"/>
        </w:tabs>
        <w:spacing w:before="100" w:beforeAutospacing="1" w:after="120" w:line="360" w:lineRule="auto"/>
        <w:jc w:val="both"/>
        <w:rPr>
          <w:rFonts w:cs="FrankRuehl"/>
          <w:szCs w:val="28"/>
          <w:rtl/>
        </w:rPr>
      </w:pPr>
      <w:r>
        <w:rPr>
          <w:rFonts w:cs="FrankRuehl"/>
          <w:szCs w:val="28"/>
          <w:rtl/>
        </w:rPr>
        <w:t>64.</w:t>
      </w:r>
      <w:r>
        <w:rPr>
          <w:rFonts w:cs="FrankRuehl"/>
          <w:szCs w:val="28"/>
          <w:rtl/>
        </w:rPr>
        <w:tab/>
        <w:t xml:space="preserve">לנוכח האמור </w:t>
      </w:r>
      <w:r>
        <w:rPr>
          <w:rFonts w:ascii="FrankRuehl" w:hAnsi="FrankRuehl" w:cs="FrankRuehl"/>
          <w:sz w:val="28"/>
          <w:szCs w:val="28"/>
          <w:rtl/>
        </w:rPr>
        <w:t xml:space="preserve">אני גוזרת על הנאשם את העונשים הבאים: </w:t>
      </w:r>
    </w:p>
    <w:p w14:paraId="5F238086" w14:textId="77777777" w:rsidR="005344CA"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cs="FrankRuehl" w:hint="cs"/>
          <w:szCs w:val="28"/>
          <w:rtl/>
        </w:rPr>
        <w:t xml:space="preserve">38 חודשי מאסר בפועל. </w:t>
      </w:r>
      <w:r w:rsidRPr="00437F45">
        <w:rPr>
          <w:rFonts w:cs="FrankRuehl"/>
          <w:szCs w:val="28"/>
          <w:rtl/>
        </w:rPr>
        <w:t xml:space="preserve"> </w:t>
      </w:r>
    </w:p>
    <w:p w14:paraId="700672C9" w14:textId="77777777" w:rsidR="005344CA"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אני מורה על הפעלת מאסר מותנה בן 5 חודשים שניתן ב</w:t>
      </w:r>
      <w:hyperlink r:id="rId53" w:history="1">
        <w:r w:rsidR="00E95229" w:rsidRPr="00E95229">
          <w:rPr>
            <w:rFonts w:cs="FrankRuehl" w:hint="cs"/>
            <w:color w:val="0000FF"/>
            <w:szCs w:val="28"/>
            <w:u w:val="single"/>
            <w:rtl/>
          </w:rPr>
          <w:t>ת</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2640-09-15</w:t>
        </w:r>
      </w:hyperlink>
      <w:r>
        <w:rPr>
          <w:rFonts w:cs="FrankRuehl"/>
          <w:szCs w:val="28"/>
          <w:rtl/>
        </w:rPr>
        <w:t xml:space="preserve"> מיום 1.12.2015 וחודש ב</w:t>
      </w:r>
      <w:hyperlink r:id="rId54" w:history="1">
        <w:r w:rsidR="00E95229" w:rsidRPr="00E95229">
          <w:rPr>
            <w:rFonts w:cs="FrankRuehl" w:hint="cs"/>
            <w:color w:val="0000FF"/>
            <w:szCs w:val="28"/>
            <w:u w:val="single"/>
            <w:rtl/>
          </w:rPr>
          <w:t>ת</w:t>
        </w:r>
        <w:r w:rsidR="00E95229" w:rsidRPr="00E95229">
          <w:rPr>
            <w:rFonts w:cs="FrankRuehl"/>
            <w:color w:val="0000FF"/>
            <w:szCs w:val="28"/>
            <w:u w:val="single"/>
            <w:rtl/>
          </w:rPr>
          <w:t>.</w:t>
        </w:r>
        <w:r w:rsidR="00E95229" w:rsidRPr="00E95229">
          <w:rPr>
            <w:rFonts w:cs="FrankRuehl" w:hint="cs"/>
            <w:color w:val="0000FF"/>
            <w:szCs w:val="28"/>
            <w:u w:val="single"/>
            <w:rtl/>
          </w:rPr>
          <w:t>פ</w:t>
        </w:r>
        <w:r w:rsidR="00E95229" w:rsidRPr="00E95229">
          <w:rPr>
            <w:rFonts w:cs="FrankRuehl"/>
            <w:color w:val="0000FF"/>
            <w:szCs w:val="28"/>
            <w:u w:val="single"/>
            <w:rtl/>
          </w:rPr>
          <w:t xml:space="preserve"> 14891-04-17</w:t>
        </w:r>
      </w:hyperlink>
      <w:r>
        <w:rPr>
          <w:rFonts w:cs="FrankRuehl"/>
          <w:szCs w:val="28"/>
          <w:rtl/>
        </w:rPr>
        <w:t xml:space="preserve"> בגזר דין מיום 12.12.2018 וזאת בחופף לעונש המאסר שהושת בסעיף א' לעיל. </w:t>
      </w:r>
    </w:p>
    <w:p w14:paraId="426E8E9E" w14:textId="77777777" w:rsidR="005344CA"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 xml:space="preserve">למען הסר ספק הנאשם ירצה </w:t>
      </w:r>
      <w:r>
        <w:rPr>
          <w:rFonts w:cs="FrankRuehl" w:hint="cs"/>
          <w:szCs w:val="28"/>
          <w:rtl/>
        </w:rPr>
        <w:t>38</w:t>
      </w:r>
      <w:r>
        <w:rPr>
          <w:rFonts w:cs="FrankRuehl"/>
          <w:szCs w:val="28"/>
          <w:rtl/>
        </w:rPr>
        <w:t xml:space="preserve"> חודשי מאסר בפועל בניכוי ימי מעצרו בשני התיקים שבכותרת בהתאם לרישומי שב"ס.  </w:t>
      </w:r>
    </w:p>
    <w:p w14:paraId="26621825" w14:textId="77777777" w:rsidR="005344CA" w:rsidRPr="00940CA9"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 xml:space="preserve">6 </w:t>
      </w:r>
      <w:r>
        <w:rPr>
          <w:rFonts w:ascii="FrankRuehl" w:hAnsi="FrankRuehl" w:cs="FrankRuehl"/>
          <w:sz w:val="28"/>
          <w:szCs w:val="28"/>
          <w:rtl/>
        </w:rPr>
        <w:t>חודשי מאסר אותם לא ירצה הנאשם אלא אם יעבור תוך שלוש שנים עבירה על פקודת הסמים מסוג פשע.</w:t>
      </w:r>
    </w:p>
    <w:p w14:paraId="1C4507A1" w14:textId="77777777" w:rsidR="005344CA" w:rsidRPr="0052254E"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ascii="FrankRuehl" w:hAnsi="FrankRuehl" w:cs="FrankRuehl"/>
          <w:sz w:val="28"/>
          <w:szCs w:val="28"/>
          <w:rtl/>
        </w:rPr>
        <w:t>3</w:t>
      </w:r>
      <w:r w:rsidRPr="00940CA9">
        <w:rPr>
          <w:rFonts w:ascii="FrankRuehl" w:hAnsi="FrankRuehl" w:cs="FrankRuehl"/>
          <w:sz w:val="28"/>
          <w:szCs w:val="28"/>
          <w:rtl/>
        </w:rPr>
        <w:t xml:space="preserve"> חודשי מאסר אותם לא ירצה הנאשם אלא אם יעבור תוך שלוש שנים עבירה על פקודת הסמים מסוג עוון.</w:t>
      </w:r>
    </w:p>
    <w:p w14:paraId="1F426A35" w14:textId="77777777" w:rsidR="005344CA" w:rsidRPr="00940CA9"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ascii="FrankRuehl" w:hAnsi="FrankRuehl" w:cs="FrankRuehl" w:hint="cs"/>
          <w:sz w:val="28"/>
          <w:szCs w:val="28"/>
          <w:rtl/>
        </w:rPr>
        <w:t xml:space="preserve">הנאשם ייתן התחייבות בסך 1,800 ₪ להימנע מביצוע עבירת סמים מסוג פשע וזאת למשך שלוש שנים. </w:t>
      </w:r>
    </w:p>
    <w:p w14:paraId="51F12801" w14:textId="77777777" w:rsidR="005344CA" w:rsidRDefault="005344CA" w:rsidP="005344CA">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 xml:space="preserve">אני פוסלת את הנאשם מלקבל או להחזיק רישיון נהיגה לתקופה של 6 חודשים. הפסילה תחל לאחר שחרורו של הנאשם ממאסר ובמצטבר לכל עונש פסילה אחר.  </w:t>
      </w:r>
    </w:p>
    <w:p w14:paraId="2B988369" w14:textId="77777777" w:rsidR="005344CA" w:rsidRDefault="005344CA" w:rsidP="005344CA">
      <w:pPr>
        <w:pStyle w:val="aa"/>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 xml:space="preserve">הנאשם יפסל מלקבל ומלהחזיק רישיון נהיגה לתקופה של 6 חודשים, ואולם הנאשם לא  </w:t>
      </w:r>
      <w:r>
        <w:rPr>
          <w:rFonts w:ascii="FrankRuehl" w:hAnsi="FrankRuehl" w:cs="FrankRuehl" w:hint="cs"/>
          <w:sz w:val="28"/>
          <w:szCs w:val="28"/>
          <w:rtl/>
        </w:rPr>
        <w:t>י</w:t>
      </w:r>
      <w:r>
        <w:rPr>
          <w:rFonts w:ascii="FrankRuehl" w:hAnsi="FrankRuehl" w:cs="FrankRuehl"/>
          <w:sz w:val="28"/>
          <w:szCs w:val="28"/>
          <w:rtl/>
        </w:rPr>
        <w:t>ישא בעונש זה אלא אם יעבור תוך 3 שנים עבירה על פקודת הסמים מסוג פשע.</w:t>
      </w:r>
    </w:p>
    <w:p w14:paraId="14F60CD8" w14:textId="77777777" w:rsidR="005344CA" w:rsidRDefault="005344CA" w:rsidP="005344CA">
      <w:pPr>
        <w:spacing w:line="360" w:lineRule="auto"/>
        <w:ind w:left="360"/>
        <w:jc w:val="both"/>
        <w:rPr>
          <w:rFonts w:ascii="FrankRuehl" w:hAnsi="FrankRuehl" w:cs="FrankRuehl"/>
          <w:sz w:val="28"/>
          <w:szCs w:val="28"/>
          <w:rtl/>
        </w:rPr>
      </w:pPr>
      <w:r w:rsidRPr="00940CA9">
        <w:rPr>
          <w:rFonts w:ascii="FrankRuehl" w:hAnsi="FrankRuehl" w:cs="FrankRuehl"/>
          <w:sz w:val="28"/>
          <w:szCs w:val="28"/>
          <w:rtl/>
        </w:rPr>
        <w:t xml:space="preserve">בנסיבות העניין לא מצאתי להשית רכיב כלכלי. </w:t>
      </w:r>
    </w:p>
    <w:p w14:paraId="3E5768B3" w14:textId="77777777" w:rsidR="005344CA" w:rsidRDefault="00E95229" w:rsidP="005344CA">
      <w:pPr>
        <w:spacing w:line="360" w:lineRule="auto"/>
        <w:ind w:left="360"/>
        <w:jc w:val="both"/>
        <w:rPr>
          <w:rFonts w:ascii="FrankRuehl" w:hAnsi="FrankRuehl" w:cs="FrankRuehl"/>
          <w:sz w:val="28"/>
          <w:szCs w:val="28"/>
          <w:rtl/>
        </w:rPr>
      </w:pPr>
      <w:r w:rsidRPr="00E95229">
        <w:rPr>
          <w:rFonts w:ascii="FrankRuehl" w:hAnsi="FrankRuehl" w:cs="FrankRuehl"/>
          <w:color w:val="FFFFFF"/>
          <w:sz w:val="2"/>
          <w:szCs w:val="2"/>
          <w:rtl/>
        </w:rPr>
        <w:t>5129371</w:t>
      </w:r>
      <w:r w:rsidR="005344CA">
        <w:rPr>
          <w:rFonts w:ascii="FrankRuehl" w:hAnsi="FrankRuehl" w:cs="FrankRuehl" w:hint="cs"/>
          <w:sz w:val="28"/>
          <w:szCs w:val="28"/>
          <w:rtl/>
        </w:rPr>
        <w:t xml:space="preserve">שירות בתי הסוהר מתבקש לעשות מאמץ לשלב את הנאשם בהליכים טיפוליים. </w:t>
      </w:r>
    </w:p>
    <w:p w14:paraId="3A5877A4" w14:textId="77777777" w:rsidR="005344CA" w:rsidRDefault="00E95229" w:rsidP="005344CA">
      <w:pPr>
        <w:spacing w:line="360" w:lineRule="auto"/>
        <w:ind w:left="360"/>
        <w:jc w:val="both"/>
        <w:rPr>
          <w:rFonts w:ascii="FrankRuehl" w:hAnsi="FrankRuehl" w:cs="FrankRuehl"/>
          <w:sz w:val="28"/>
          <w:szCs w:val="28"/>
          <w:rtl/>
        </w:rPr>
      </w:pPr>
      <w:r w:rsidRPr="00E95229">
        <w:rPr>
          <w:rFonts w:ascii="FrankRuehl" w:hAnsi="FrankRuehl" w:cs="FrankRuehl"/>
          <w:color w:val="FFFFFF"/>
          <w:sz w:val="2"/>
          <w:szCs w:val="2"/>
          <w:rtl/>
        </w:rPr>
        <w:t>54678313</w:t>
      </w:r>
      <w:r w:rsidR="005344CA">
        <w:rPr>
          <w:rFonts w:ascii="FrankRuehl" w:hAnsi="FrankRuehl" w:cs="FrankRuehl"/>
          <w:sz w:val="28"/>
          <w:szCs w:val="28"/>
          <w:rtl/>
        </w:rPr>
        <w:t xml:space="preserve">צו כללי למוצגים </w:t>
      </w:r>
    </w:p>
    <w:p w14:paraId="6EF29588" w14:textId="77777777" w:rsidR="005344CA" w:rsidRDefault="005344CA" w:rsidP="005344CA">
      <w:pPr>
        <w:spacing w:before="100" w:beforeAutospacing="1" w:after="120" w:line="360" w:lineRule="auto"/>
        <w:ind w:left="226"/>
        <w:jc w:val="both"/>
        <w:rPr>
          <w:rFonts w:ascii="FrankRuehl" w:hAnsi="FrankRuehl" w:cs="FrankRuehl"/>
          <w:sz w:val="28"/>
          <w:szCs w:val="28"/>
          <w:rtl/>
        </w:rPr>
      </w:pPr>
      <w:r>
        <w:rPr>
          <w:rFonts w:ascii="FrankRuehl" w:hAnsi="FrankRuehl" w:cs="FrankRuehl"/>
          <w:sz w:val="28"/>
          <w:szCs w:val="28"/>
          <w:rtl/>
        </w:rPr>
        <w:t xml:space="preserve">זכות ערעור לבית המשפט המחוזי כחוק </w:t>
      </w:r>
    </w:p>
    <w:p w14:paraId="6B5F8321" w14:textId="77777777" w:rsidR="005344CA" w:rsidRPr="000F2247" w:rsidRDefault="00E95229" w:rsidP="005344CA">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ז' תמוז תשפ"ג, 26 יוני 2023, בהעדר הצדדים.    </w:t>
      </w:r>
      <w:bookmarkEnd w:id="10"/>
      <w:r w:rsidR="005344CA">
        <w:rPr>
          <w:rFonts w:ascii="Arial" w:hAnsi="Arial"/>
          <w:b/>
          <w:bCs/>
          <w:sz w:val="26"/>
          <w:szCs w:val="26"/>
          <w:rtl/>
        </w:rPr>
        <w:tab/>
      </w:r>
      <w:r w:rsidR="005344CA">
        <w:rPr>
          <w:rFonts w:ascii="Arial" w:hAnsi="Arial" w:hint="cs"/>
          <w:b/>
          <w:bCs/>
          <w:sz w:val="26"/>
          <w:szCs w:val="26"/>
          <w:rtl/>
        </w:rPr>
        <w:t xml:space="preserve">         </w:t>
      </w:r>
    </w:p>
    <w:p w14:paraId="4A368B97" w14:textId="77777777" w:rsidR="005344CA" w:rsidRPr="000F2247" w:rsidRDefault="005344CA" w:rsidP="00E9522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95EA69" w14:textId="77777777" w:rsidR="005344CA" w:rsidRPr="002C1F5E" w:rsidRDefault="002C1F5E" w:rsidP="005344CA">
      <w:pPr>
        <w:jc w:val="center"/>
        <w:rPr>
          <w:rFonts w:ascii="Arial" w:hAnsi="Arial"/>
          <w:b/>
          <w:bCs/>
          <w:color w:val="FFFFFF"/>
          <w:sz w:val="2"/>
          <w:szCs w:val="2"/>
          <w:rtl/>
        </w:rPr>
      </w:pPr>
      <w:r w:rsidRPr="002C1F5E">
        <w:rPr>
          <w:rFonts w:ascii="Arial" w:hAnsi="Arial"/>
          <w:b/>
          <w:bCs/>
          <w:color w:val="FFFFFF"/>
          <w:sz w:val="2"/>
          <w:szCs w:val="2"/>
          <w:rtl/>
        </w:rPr>
        <w:t>5129371</w:t>
      </w:r>
    </w:p>
    <w:p w14:paraId="774E8DB7" w14:textId="77777777" w:rsidR="00334D5D" w:rsidRPr="002C1F5E" w:rsidRDefault="002C1F5E" w:rsidP="00E95229">
      <w:pPr>
        <w:keepNext/>
        <w:rPr>
          <w:rFonts w:ascii="David" w:hAnsi="David"/>
          <w:color w:val="FFFFFF"/>
          <w:sz w:val="2"/>
          <w:szCs w:val="2"/>
          <w:rtl/>
        </w:rPr>
      </w:pPr>
      <w:r w:rsidRPr="002C1F5E">
        <w:rPr>
          <w:rFonts w:ascii="David" w:hAnsi="David"/>
          <w:color w:val="FFFFFF"/>
          <w:sz w:val="2"/>
          <w:szCs w:val="2"/>
          <w:rtl/>
        </w:rPr>
        <w:t>54678313</w:t>
      </w:r>
    </w:p>
    <w:p w14:paraId="1B9FA1F0" w14:textId="77777777" w:rsidR="00E95229" w:rsidRDefault="00E95229" w:rsidP="00E95229">
      <w:pPr>
        <w:rPr>
          <w:rtl/>
        </w:rPr>
      </w:pPr>
    </w:p>
    <w:p w14:paraId="561442C9" w14:textId="77777777" w:rsidR="00E95229" w:rsidRDefault="00E95229" w:rsidP="00E95229">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253079D" w14:textId="77777777" w:rsidR="002C1F5E" w:rsidRPr="002C1F5E" w:rsidRDefault="002C1F5E" w:rsidP="002C1F5E">
      <w:pPr>
        <w:keepNext/>
        <w:rPr>
          <w:rFonts w:ascii="David" w:hAnsi="David"/>
          <w:color w:val="000000"/>
          <w:sz w:val="22"/>
          <w:szCs w:val="22"/>
          <w:rtl/>
        </w:rPr>
      </w:pPr>
    </w:p>
    <w:p w14:paraId="2657EFC6" w14:textId="77777777" w:rsidR="002C1F5E" w:rsidRPr="002C1F5E" w:rsidRDefault="002C1F5E" w:rsidP="002C1F5E">
      <w:pPr>
        <w:keepNext/>
        <w:rPr>
          <w:rFonts w:ascii="David" w:hAnsi="David"/>
          <w:color w:val="000000"/>
          <w:sz w:val="22"/>
          <w:szCs w:val="22"/>
          <w:rtl/>
        </w:rPr>
      </w:pPr>
      <w:r w:rsidRPr="002C1F5E">
        <w:rPr>
          <w:rFonts w:ascii="David" w:hAnsi="David"/>
          <w:color w:val="000000"/>
          <w:sz w:val="22"/>
          <w:szCs w:val="22"/>
          <w:rtl/>
        </w:rPr>
        <w:t>זהר דיבון סגל 54678313-/</w:t>
      </w:r>
    </w:p>
    <w:p w14:paraId="16963B53" w14:textId="77777777" w:rsidR="00E95229" w:rsidRPr="00E95229" w:rsidRDefault="002C1F5E" w:rsidP="002C1F5E">
      <w:pPr>
        <w:rPr>
          <w:color w:val="0000FF"/>
          <w:u w:val="single"/>
        </w:rPr>
      </w:pPr>
      <w:r w:rsidRPr="002C1F5E">
        <w:rPr>
          <w:color w:val="000000"/>
          <w:u w:val="single"/>
          <w:rtl/>
        </w:rPr>
        <w:t>נוסח מסמך זה כפוף לשינויי ניסוח ועריכה</w:t>
      </w:r>
    </w:p>
    <w:sectPr w:rsidR="00E95229" w:rsidRPr="00E95229" w:rsidSect="002C1F5E">
      <w:headerReference w:type="even" r:id="rId56"/>
      <w:headerReference w:type="default" r:id="rId57"/>
      <w:footerReference w:type="even" r:id="rId58"/>
      <w:footerReference w:type="default" r:id="rId5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FC6C9" w14:textId="77777777" w:rsidR="00BE50D0" w:rsidRDefault="00BE50D0" w:rsidP="003B06D3">
      <w:r>
        <w:separator/>
      </w:r>
    </w:p>
  </w:endnote>
  <w:endnote w:type="continuationSeparator" w:id="0">
    <w:p w14:paraId="4E5F09C6" w14:textId="77777777" w:rsidR="00BE50D0" w:rsidRDefault="00BE50D0" w:rsidP="003B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BEB4A" w14:textId="77777777" w:rsidR="002C1F5E" w:rsidRDefault="002C1F5E" w:rsidP="002C1F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CE4B39" w14:textId="77777777" w:rsidR="00CB5347" w:rsidRPr="002C1F5E" w:rsidRDefault="002C1F5E" w:rsidP="002C1F5E">
    <w:pPr>
      <w:pStyle w:val="a5"/>
      <w:pBdr>
        <w:top w:val="single" w:sz="4" w:space="1" w:color="auto"/>
        <w:between w:val="single" w:sz="4" w:space="0" w:color="auto"/>
      </w:pBdr>
      <w:spacing w:after="60"/>
      <w:jc w:val="center"/>
      <w:rPr>
        <w:rFonts w:ascii="FrankRuehl" w:hAnsi="FrankRuehl" w:cs="FrankRuehl"/>
        <w:color w:val="000000"/>
      </w:rPr>
    </w:pPr>
    <w:r w:rsidRPr="002C1F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2E8B0" w14:textId="77777777" w:rsidR="002C1F5E" w:rsidRDefault="002C1F5E" w:rsidP="002C1F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0241">
      <w:rPr>
        <w:rFonts w:ascii="FrankRuehl" w:hAnsi="FrankRuehl" w:cs="FrankRuehl"/>
        <w:noProof/>
        <w:rtl/>
      </w:rPr>
      <w:t>1</w:t>
    </w:r>
    <w:r>
      <w:rPr>
        <w:rFonts w:ascii="FrankRuehl" w:hAnsi="FrankRuehl" w:cs="FrankRuehl"/>
        <w:rtl/>
      </w:rPr>
      <w:fldChar w:fldCharType="end"/>
    </w:r>
  </w:p>
  <w:p w14:paraId="0415860D" w14:textId="77777777" w:rsidR="00CB5347" w:rsidRPr="002C1F5E" w:rsidRDefault="002C1F5E" w:rsidP="002C1F5E">
    <w:pPr>
      <w:pStyle w:val="a5"/>
      <w:pBdr>
        <w:top w:val="single" w:sz="4" w:space="1" w:color="auto"/>
        <w:between w:val="single" w:sz="4" w:space="0" w:color="auto"/>
      </w:pBdr>
      <w:spacing w:after="60"/>
      <w:jc w:val="center"/>
      <w:rPr>
        <w:rFonts w:ascii="FrankRuehl" w:hAnsi="FrankRuehl" w:cs="FrankRuehl"/>
        <w:color w:val="000000"/>
      </w:rPr>
    </w:pPr>
    <w:r w:rsidRPr="002C1F5E">
      <w:rPr>
        <w:rFonts w:ascii="FrankRuehl" w:hAnsi="FrankRuehl" w:cs="FrankRuehl"/>
        <w:color w:val="000000"/>
      </w:rPr>
      <w:pict w14:anchorId="3EFF1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C2185" w14:textId="77777777" w:rsidR="00BE50D0" w:rsidRDefault="00BE50D0" w:rsidP="003B06D3">
      <w:r>
        <w:separator/>
      </w:r>
    </w:p>
  </w:footnote>
  <w:footnote w:type="continuationSeparator" w:id="0">
    <w:p w14:paraId="54FF6A83" w14:textId="77777777" w:rsidR="00BE50D0" w:rsidRDefault="00BE50D0" w:rsidP="003B0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50F3A" w14:textId="77777777" w:rsidR="00E95229" w:rsidRPr="002C1F5E" w:rsidRDefault="002C1F5E" w:rsidP="002C1F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46735-02-20</w:t>
    </w:r>
    <w:r>
      <w:rPr>
        <w:rFonts w:ascii="David" w:hAnsi="David"/>
        <w:color w:val="000000"/>
        <w:sz w:val="22"/>
        <w:szCs w:val="22"/>
        <w:rtl/>
      </w:rPr>
      <w:tab/>
      <w:t xml:space="preserve"> מדינת ישראל נ' אריה טובי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AD6FA" w14:textId="77777777" w:rsidR="00E95229" w:rsidRPr="002C1F5E" w:rsidRDefault="002C1F5E" w:rsidP="002C1F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46735-02-20</w:t>
    </w:r>
    <w:r>
      <w:rPr>
        <w:rFonts w:ascii="David" w:hAnsi="David"/>
        <w:color w:val="000000"/>
        <w:sz w:val="22"/>
        <w:szCs w:val="22"/>
        <w:rtl/>
      </w:rPr>
      <w:tab/>
      <w:t xml:space="preserve"> מדינת ישראל נ' אריה טובי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C1FE7"/>
    <w:multiLevelType w:val="hybridMultilevel"/>
    <w:tmpl w:val="FC40A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6B5CF2"/>
    <w:multiLevelType w:val="hybridMultilevel"/>
    <w:tmpl w:val="1F04331A"/>
    <w:lvl w:ilvl="0" w:tplc="34283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9530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655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44CA"/>
    <w:rsid w:val="000B4FCC"/>
    <w:rsid w:val="00131E60"/>
    <w:rsid w:val="00271327"/>
    <w:rsid w:val="002C1F5E"/>
    <w:rsid w:val="00334D5D"/>
    <w:rsid w:val="00344ACD"/>
    <w:rsid w:val="003B06D3"/>
    <w:rsid w:val="005344CA"/>
    <w:rsid w:val="009A4E4C"/>
    <w:rsid w:val="009B35B9"/>
    <w:rsid w:val="009D51AD"/>
    <w:rsid w:val="00BE50D0"/>
    <w:rsid w:val="00CB5347"/>
    <w:rsid w:val="00E95229"/>
    <w:rsid w:val="00EF79BE"/>
    <w:rsid w:val="00F002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9A23E7"/>
  <w15:chartTrackingRefBased/>
  <w15:docId w15:val="{C8F6F685-ED49-4CE9-9B04-22BA3E53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44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44CA"/>
    <w:pPr>
      <w:tabs>
        <w:tab w:val="center" w:pos="4153"/>
        <w:tab w:val="right" w:pos="8306"/>
      </w:tabs>
    </w:pPr>
  </w:style>
  <w:style w:type="character" w:customStyle="1" w:styleId="a4">
    <w:name w:val="כותרת עליונה תו"/>
    <w:link w:val="a3"/>
    <w:rsid w:val="005344CA"/>
    <w:rPr>
      <w:rFonts w:ascii="Times New Roman" w:eastAsia="Times New Roman" w:hAnsi="Times New Roman" w:cs="David"/>
      <w:sz w:val="24"/>
      <w:szCs w:val="24"/>
    </w:rPr>
  </w:style>
  <w:style w:type="paragraph" w:styleId="a5">
    <w:name w:val="footer"/>
    <w:basedOn w:val="a"/>
    <w:link w:val="a6"/>
    <w:rsid w:val="005344CA"/>
    <w:pPr>
      <w:tabs>
        <w:tab w:val="center" w:pos="4153"/>
        <w:tab w:val="right" w:pos="8306"/>
      </w:tabs>
    </w:pPr>
  </w:style>
  <w:style w:type="character" w:customStyle="1" w:styleId="a6">
    <w:name w:val="כותרת תחתונה תו"/>
    <w:link w:val="a5"/>
    <w:rsid w:val="005344CA"/>
    <w:rPr>
      <w:rFonts w:ascii="Times New Roman" w:eastAsia="Times New Roman" w:hAnsi="Times New Roman" w:cs="David"/>
      <w:sz w:val="24"/>
      <w:szCs w:val="24"/>
    </w:rPr>
  </w:style>
  <w:style w:type="table" w:styleId="a7">
    <w:name w:val="Table Grid"/>
    <w:basedOn w:val="a1"/>
    <w:rsid w:val="005344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44CA"/>
  </w:style>
  <w:style w:type="character" w:customStyle="1" w:styleId="a9">
    <w:name w:val="פיסקת רשימה תו"/>
    <w:link w:val="aa"/>
    <w:locked/>
    <w:rsid w:val="005344CA"/>
    <w:rPr>
      <w:rFonts w:cs="David"/>
      <w:sz w:val="24"/>
      <w:szCs w:val="24"/>
    </w:rPr>
  </w:style>
  <w:style w:type="paragraph" w:styleId="aa">
    <w:name w:val="List Paragraph"/>
    <w:basedOn w:val="a"/>
    <w:link w:val="a9"/>
    <w:qFormat/>
    <w:rsid w:val="005344CA"/>
    <w:pPr>
      <w:ind w:left="720"/>
      <w:contextualSpacing/>
    </w:pPr>
    <w:rPr>
      <w:rFonts w:ascii="Calibri" w:eastAsia="Calibri" w:hAnsi="Calibri"/>
    </w:rPr>
  </w:style>
  <w:style w:type="character" w:styleId="Hyperlink">
    <w:name w:val="Hyperlink"/>
    <w:rsid w:val="00E95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8463709"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11269774" TargetMode="External"/><Relationship Id="rId42" Type="http://schemas.openxmlformats.org/officeDocument/2006/relationships/hyperlink" Target="http://www.nevo.co.il/case/26222649"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13101134"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9464874" TargetMode="External"/><Relationship Id="rId32" Type="http://schemas.openxmlformats.org/officeDocument/2006/relationships/hyperlink" Target="http://www.nevo.co.il/case/6045416" TargetMode="External"/><Relationship Id="rId37" Type="http://schemas.openxmlformats.org/officeDocument/2006/relationships/hyperlink" Target="http://www.nevo.co.il/case/22841413" TargetMode="External"/><Relationship Id="rId40" Type="http://schemas.openxmlformats.org/officeDocument/2006/relationships/hyperlink" Target="http://www.nevo.co.il/case/27078610" TargetMode="External"/><Relationship Id="rId45" Type="http://schemas.openxmlformats.org/officeDocument/2006/relationships/hyperlink" Target="http://www.nevo.co.il/case/21753662" TargetMode="External"/><Relationship Id="rId53" Type="http://schemas.openxmlformats.org/officeDocument/2006/relationships/hyperlink" Target="http://www.nevo.co.il/case/2054605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 TargetMode="External"/><Relationship Id="rId14" Type="http://schemas.openxmlformats.org/officeDocument/2006/relationships/hyperlink" Target="http://www.nevo.co.il/law/70301/58" TargetMode="External"/><Relationship Id="rId22" Type="http://schemas.openxmlformats.org/officeDocument/2006/relationships/hyperlink" Target="http://www.nevo.co.il/law/4216/21.a.1"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4975541"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18654248" TargetMode="External"/><Relationship Id="rId3" Type="http://schemas.openxmlformats.org/officeDocument/2006/relationships/settings" Target="settings.xml"/><Relationship Id="rId12" Type="http://schemas.openxmlformats.org/officeDocument/2006/relationships/hyperlink" Target="http://www.nevo.co.il/law/4216/21.a.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17939812" TargetMode="External"/><Relationship Id="rId38" Type="http://schemas.openxmlformats.org/officeDocument/2006/relationships/hyperlink" Target="http://www.nevo.co.il/case/23827604" TargetMode="External"/><Relationship Id="rId46" Type="http://schemas.openxmlformats.org/officeDocument/2006/relationships/hyperlink" Target="http://www.nevo.co.il/case/24183802" TargetMode="External"/><Relationship Id="rId59" Type="http://schemas.openxmlformats.org/officeDocument/2006/relationships/footer" Target="footer2.xml"/><Relationship Id="rId20" Type="http://schemas.openxmlformats.org/officeDocument/2006/relationships/hyperlink" Target="http://www.nevo.co.il/law/4216/7.a" TargetMode="External"/><Relationship Id="rId41" Type="http://schemas.openxmlformats.org/officeDocument/2006/relationships/hyperlink" Target="http://www.nevo.co.il/case/26318040" TargetMode="External"/><Relationship Id="rId54" Type="http://schemas.openxmlformats.org/officeDocument/2006/relationships/hyperlink" Target="http://www.nevo.co.il/case/225237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6472679" TargetMode="External"/><Relationship Id="rId28" Type="http://schemas.openxmlformats.org/officeDocument/2006/relationships/hyperlink" Target="http://www.nevo.co.il/case/17954235" TargetMode="External"/><Relationship Id="rId36" Type="http://schemas.openxmlformats.org/officeDocument/2006/relationships/hyperlink" Target="http://www.nevo.co.il/case/26991436" TargetMode="External"/><Relationship Id="rId49" Type="http://schemas.openxmlformats.org/officeDocument/2006/relationships/hyperlink" Target="http://www.nevo.co.il/law/70301/58" TargetMode="External"/><Relationship Id="rId57" Type="http://schemas.openxmlformats.org/officeDocument/2006/relationships/header" Target="header2.xml"/><Relationship Id="rId10" Type="http://schemas.openxmlformats.org/officeDocument/2006/relationships/hyperlink" Target="http://www.nevo.co.il/law/4216/13"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22963299" TargetMode="External"/><Relationship Id="rId52" Type="http://schemas.openxmlformats.org/officeDocument/2006/relationships/hyperlink" Target="http://www.nevo.co.il/case/603205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4465</Words>
  <Characters>22328</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26740</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3539059</vt:i4>
      </vt:variant>
      <vt:variant>
        <vt:i4>141</vt:i4>
      </vt:variant>
      <vt:variant>
        <vt:i4>0</vt:i4>
      </vt:variant>
      <vt:variant>
        <vt:i4>5</vt:i4>
      </vt:variant>
      <vt:variant>
        <vt:lpwstr>http://www.nevo.co.il/case/22523721</vt:lpwstr>
      </vt:variant>
      <vt:variant>
        <vt:lpwstr/>
      </vt:variant>
      <vt:variant>
        <vt:i4>3407984</vt:i4>
      </vt:variant>
      <vt:variant>
        <vt:i4>138</vt:i4>
      </vt:variant>
      <vt:variant>
        <vt:i4>0</vt:i4>
      </vt:variant>
      <vt:variant>
        <vt:i4>5</vt:i4>
      </vt:variant>
      <vt:variant>
        <vt:lpwstr>http://www.nevo.co.il/case/20546055</vt:lpwstr>
      </vt:variant>
      <vt:variant>
        <vt:lpwstr/>
      </vt:variant>
      <vt:variant>
        <vt:i4>3276915</vt:i4>
      </vt:variant>
      <vt:variant>
        <vt:i4>135</vt:i4>
      </vt:variant>
      <vt:variant>
        <vt:i4>0</vt:i4>
      </vt:variant>
      <vt:variant>
        <vt:i4>5</vt:i4>
      </vt:variant>
      <vt:variant>
        <vt:lpwstr>http://www.nevo.co.il/case/6032057</vt:lpwstr>
      </vt:variant>
      <vt:variant>
        <vt:lpwstr/>
      </vt:variant>
      <vt:variant>
        <vt:i4>3604603</vt:i4>
      </vt:variant>
      <vt:variant>
        <vt:i4>132</vt:i4>
      </vt:variant>
      <vt:variant>
        <vt:i4>0</vt:i4>
      </vt:variant>
      <vt:variant>
        <vt:i4>5</vt:i4>
      </vt:variant>
      <vt:variant>
        <vt:lpwstr>http://www.nevo.co.il/case/18654248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7143520</vt:i4>
      </vt:variant>
      <vt:variant>
        <vt:i4>126</vt:i4>
      </vt:variant>
      <vt:variant>
        <vt:i4>0</vt:i4>
      </vt:variant>
      <vt:variant>
        <vt:i4>5</vt:i4>
      </vt:variant>
      <vt:variant>
        <vt:lpwstr>http://www.nevo.co.il/law/70301/58</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3145840</vt:i4>
      </vt:variant>
      <vt:variant>
        <vt:i4>117</vt:i4>
      </vt:variant>
      <vt:variant>
        <vt:i4>0</vt:i4>
      </vt:variant>
      <vt:variant>
        <vt:i4>5</vt:i4>
      </vt:variant>
      <vt:variant>
        <vt:lpwstr>http://www.nevo.co.il/case/24183802</vt:lpwstr>
      </vt:variant>
      <vt:variant>
        <vt:lpwstr/>
      </vt:variant>
      <vt:variant>
        <vt:i4>3145846</vt:i4>
      </vt:variant>
      <vt:variant>
        <vt:i4>114</vt:i4>
      </vt:variant>
      <vt:variant>
        <vt:i4>0</vt:i4>
      </vt:variant>
      <vt:variant>
        <vt:i4>5</vt:i4>
      </vt:variant>
      <vt:variant>
        <vt:lpwstr>http://www.nevo.co.il/case/21753662</vt:lpwstr>
      </vt:variant>
      <vt:variant>
        <vt:lpwstr/>
      </vt:variant>
      <vt:variant>
        <vt:i4>3211378</vt:i4>
      </vt:variant>
      <vt:variant>
        <vt:i4>111</vt:i4>
      </vt:variant>
      <vt:variant>
        <vt:i4>0</vt:i4>
      </vt:variant>
      <vt:variant>
        <vt:i4>5</vt:i4>
      </vt:variant>
      <vt:variant>
        <vt:lpwstr>http://www.nevo.co.il/case/22963299</vt:lpwstr>
      </vt:variant>
      <vt:variant>
        <vt:lpwstr/>
      </vt:variant>
      <vt:variant>
        <vt:i4>3801202</vt:i4>
      </vt:variant>
      <vt:variant>
        <vt:i4>108</vt:i4>
      </vt:variant>
      <vt:variant>
        <vt:i4>0</vt:i4>
      </vt:variant>
      <vt:variant>
        <vt:i4>5</vt:i4>
      </vt:variant>
      <vt:variant>
        <vt:lpwstr>http://www.nevo.co.il/case/24975541</vt:lpwstr>
      </vt:variant>
      <vt:variant>
        <vt:lpwstr/>
      </vt:variant>
      <vt:variant>
        <vt:i4>3539062</vt:i4>
      </vt:variant>
      <vt:variant>
        <vt:i4>105</vt:i4>
      </vt:variant>
      <vt:variant>
        <vt:i4>0</vt:i4>
      </vt:variant>
      <vt:variant>
        <vt:i4>5</vt:i4>
      </vt:variant>
      <vt:variant>
        <vt:lpwstr>http://www.nevo.co.il/case/26222649</vt:lpwstr>
      </vt:variant>
      <vt:variant>
        <vt:lpwstr/>
      </vt:variant>
      <vt:variant>
        <vt:i4>3997811</vt:i4>
      </vt:variant>
      <vt:variant>
        <vt:i4>102</vt:i4>
      </vt:variant>
      <vt:variant>
        <vt:i4>0</vt:i4>
      </vt:variant>
      <vt:variant>
        <vt:i4>5</vt:i4>
      </vt:variant>
      <vt:variant>
        <vt:lpwstr>http://www.nevo.co.il/case/26318040</vt:lpwstr>
      </vt:variant>
      <vt:variant>
        <vt:lpwstr/>
      </vt:variant>
      <vt:variant>
        <vt:i4>3866738</vt:i4>
      </vt:variant>
      <vt:variant>
        <vt:i4>99</vt:i4>
      </vt:variant>
      <vt:variant>
        <vt:i4>0</vt:i4>
      </vt:variant>
      <vt:variant>
        <vt:i4>5</vt:i4>
      </vt:variant>
      <vt:variant>
        <vt:lpwstr>http://www.nevo.co.il/case/27078610</vt:lpwstr>
      </vt:variant>
      <vt:variant>
        <vt:lpwstr/>
      </vt:variant>
      <vt:variant>
        <vt:i4>3473533</vt:i4>
      </vt:variant>
      <vt:variant>
        <vt:i4>96</vt:i4>
      </vt:variant>
      <vt:variant>
        <vt:i4>0</vt:i4>
      </vt:variant>
      <vt:variant>
        <vt:i4>5</vt:i4>
      </vt:variant>
      <vt:variant>
        <vt:lpwstr>http://www.nevo.co.il/case/28463709</vt:lpwstr>
      </vt:variant>
      <vt:variant>
        <vt:lpwstr/>
      </vt:variant>
      <vt:variant>
        <vt:i4>3997811</vt:i4>
      </vt:variant>
      <vt:variant>
        <vt:i4>93</vt:i4>
      </vt:variant>
      <vt:variant>
        <vt:i4>0</vt:i4>
      </vt:variant>
      <vt:variant>
        <vt:i4>5</vt:i4>
      </vt:variant>
      <vt:variant>
        <vt:lpwstr>http://www.nevo.co.il/case/23827604</vt:lpwstr>
      </vt:variant>
      <vt:variant>
        <vt:lpwstr/>
      </vt:variant>
      <vt:variant>
        <vt:i4>3801206</vt:i4>
      </vt:variant>
      <vt:variant>
        <vt:i4>90</vt:i4>
      </vt:variant>
      <vt:variant>
        <vt:i4>0</vt:i4>
      </vt:variant>
      <vt:variant>
        <vt:i4>5</vt:i4>
      </vt:variant>
      <vt:variant>
        <vt:lpwstr>http://www.nevo.co.il/case/22841413</vt:lpwstr>
      </vt:variant>
      <vt:variant>
        <vt:lpwstr/>
      </vt:variant>
      <vt:variant>
        <vt:i4>3735679</vt:i4>
      </vt:variant>
      <vt:variant>
        <vt:i4>87</vt:i4>
      </vt:variant>
      <vt:variant>
        <vt:i4>0</vt:i4>
      </vt:variant>
      <vt:variant>
        <vt:i4>5</vt:i4>
      </vt:variant>
      <vt:variant>
        <vt:lpwstr>http://www.nevo.co.il/case/26991436</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3997812</vt:i4>
      </vt:variant>
      <vt:variant>
        <vt:i4>81</vt:i4>
      </vt:variant>
      <vt:variant>
        <vt:i4>0</vt:i4>
      </vt:variant>
      <vt:variant>
        <vt:i4>5</vt:i4>
      </vt:variant>
      <vt:variant>
        <vt:lpwstr>http://www.nevo.co.il/case/11269774</vt:lpwstr>
      </vt:variant>
      <vt:variant>
        <vt:lpwstr/>
      </vt:variant>
      <vt:variant>
        <vt:i4>3145848</vt:i4>
      </vt:variant>
      <vt:variant>
        <vt:i4>78</vt:i4>
      </vt:variant>
      <vt:variant>
        <vt:i4>0</vt:i4>
      </vt:variant>
      <vt:variant>
        <vt:i4>5</vt:i4>
      </vt:variant>
      <vt:variant>
        <vt:lpwstr>http://www.nevo.co.il/case/17939812</vt:lpwstr>
      </vt:variant>
      <vt:variant>
        <vt:lpwstr/>
      </vt:variant>
      <vt:variant>
        <vt:i4>3145840</vt:i4>
      </vt:variant>
      <vt:variant>
        <vt:i4>75</vt:i4>
      </vt:variant>
      <vt:variant>
        <vt:i4>0</vt:i4>
      </vt:variant>
      <vt:variant>
        <vt:i4>5</vt:i4>
      </vt:variant>
      <vt:variant>
        <vt:lpwstr>http://www.nevo.co.il/case/6045416</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3276918</vt:i4>
      </vt:variant>
      <vt:variant>
        <vt:i4>66</vt:i4>
      </vt:variant>
      <vt:variant>
        <vt:i4>0</vt:i4>
      </vt:variant>
      <vt:variant>
        <vt:i4>5</vt:i4>
      </vt:variant>
      <vt:variant>
        <vt:lpwstr>http://www.nevo.co.il/case/13101134</vt:lpwstr>
      </vt:variant>
      <vt:variant>
        <vt:lpwstr/>
      </vt:variant>
      <vt:variant>
        <vt:i4>4128884</vt:i4>
      </vt:variant>
      <vt:variant>
        <vt:i4>63</vt:i4>
      </vt:variant>
      <vt:variant>
        <vt:i4>0</vt:i4>
      </vt:variant>
      <vt:variant>
        <vt:i4>5</vt:i4>
      </vt:variant>
      <vt:variant>
        <vt:lpwstr>http://www.nevo.co.il/case/17954235</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3473523</vt:i4>
      </vt:variant>
      <vt:variant>
        <vt:i4>51</vt:i4>
      </vt:variant>
      <vt:variant>
        <vt:i4>0</vt:i4>
      </vt:variant>
      <vt:variant>
        <vt:i4>5</vt:i4>
      </vt:variant>
      <vt:variant>
        <vt:lpwstr>http://www.nevo.co.il/case/29464874</vt:lpwstr>
      </vt:variant>
      <vt:variant>
        <vt:lpwstr/>
      </vt:variant>
      <vt:variant>
        <vt:i4>3342451</vt:i4>
      </vt:variant>
      <vt:variant>
        <vt:i4>48</vt:i4>
      </vt:variant>
      <vt:variant>
        <vt:i4>0</vt:i4>
      </vt:variant>
      <vt:variant>
        <vt:i4>5</vt:i4>
      </vt:variant>
      <vt:variant>
        <vt:lpwstr>http://www.nevo.co.il/case/26472679</vt:lpwstr>
      </vt:variant>
      <vt:variant>
        <vt:lpwstr/>
      </vt:variant>
      <vt:variant>
        <vt:i4>4980762</vt:i4>
      </vt:variant>
      <vt:variant>
        <vt:i4>45</vt:i4>
      </vt:variant>
      <vt:variant>
        <vt:i4>0</vt:i4>
      </vt:variant>
      <vt:variant>
        <vt:i4>5</vt:i4>
      </vt:variant>
      <vt:variant>
        <vt:lpwstr>http://www.nevo.co.il/law/4216/21.a.1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6357107</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7143520</vt:i4>
      </vt:variant>
      <vt:variant>
        <vt:i4>21</vt:i4>
      </vt:variant>
      <vt:variant>
        <vt:i4>0</vt:i4>
      </vt:variant>
      <vt:variant>
        <vt:i4>5</vt:i4>
      </vt:variant>
      <vt:variant>
        <vt:lpwstr>http://www.nevo.co.il/law/70301/58</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46735;15028</vt:lpwstr>
  </property>
  <property fmtid="{D5CDD505-2E9C-101B-9397-08002B2CF9AE}" pid="6" name="NEWPARTB">
    <vt:lpwstr>02;03</vt:lpwstr>
  </property>
  <property fmtid="{D5CDD505-2E9C-101B-9397-08002B2CF9AE}" pid="7" name="NEWPARTC">
    <vt:lpwstr>20;23</vt:lpwstr>
  </property>
  <property fmtid="{D5CDD505-2E9C-101B-9397-08002B2CF9AE}" pid="8" name="APPELLANT">
    <vt:lpwstr>מדינת ישראל</vt:lpwstr>
  </property>
  <property fmtid="{D5CDD505-2E9C-101B-9397-08002B2CF9AE}" pid="9" name="APPELLEE">
    <vt:lpwstr>אריה טובי</vt:lpwstr>
  </property>
  <property fmtid="{D5CDD505-2E9C-101B-9397-08002B2CF9AE}" pid="10" name="LAWYER">
    <vt:lpwstr>מור מלכה;קורל טובל;חיה ציון זכאי;מואנס יונס</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20230626</vt:lpwstr>
  </property>
  <property fmtid="{D5CDD505-2E9C-101B-9397-08002B2CF9AE}" pid="14" name="TYPE_N_DATE">
    <vt:lpwstr>38020230626</vt:lpwstr>
  </property>
  <property fmtid="{D5CDD505-2E9C-101B-9397-08002B2CF9AE}" pid="15" name="WORDNUMPAGES">
    <vt:lpwstr>15</vt:lpwstr>
  </property>
  <property fmtid="{D5CDD505-2E9C-101B-9397-08002B2CF9AE}" pid="16" name="TYPE_ABS_DATE">
    <vt:lpwstr>380020230626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26472679;29464874;13093721;17954235;13101134;20033641;5786821;6045416;17939812;11269774;27313460;26991436;22841413;23827604;28463709;27078610;26318040;26222649;24975541;22963299;21753662;24183802;18654248;6032057;20546055;22523721</vt:lpwstr>
  </property>
  <property fmtid="{D5CDD505-2E9C-101B-9397-08002B2CF9AE}" pid="36" name="LAWLISTTMP1">
    <vt:lpwstr>4216/013;019.a;007.a;007.c;021.a.1</vt:lpwstr>
  </property>
  <property fmtid="{D5CDD505-2E9C-101B-9397-08002B2CF9AE}" pid="37" name="LAWLISTTMP2">
    <vt:lpwstr>70301/40jc;40ja;058</vt:lpwstr>
  </property>
</Properties>
</file>