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077"/>
        <w:gridCol w:w="973"/>
        <w:gridCol w:w="3550"/>
        <w:gridCol w:w="297"/>
      </w:tblGrid>
      <w:tr w:rsidR="001664FA" w:rsidRPr="003A6B73" w14:paraId="6607CEFB" w14:textId="77777777" w:rsidTr="006E4292">
        <w:trPr>
          <w:gridAfter w:val="1"/>
          <w:wAfter w:w="297" w:type="dxa"/>
          <w:trHeight w:hRule="exact" w:val="418"/>
          <w:jc w:val="center"/>
        </w:trPr>
        <w:tc>
          <w:tcPr>
            <w:tcW w:w="8523" w:type="dxa"/>
            <w:gridSpan w:val="4"/>
          </w:tcPr>
          <w:p w14:paraId="1319F63A" w14:textId="77777777" w:rsidR="001664FA" w:rsidRPr="003A6B73" w:rsidRDefault="001664FA" w:rsidP="00346723">
            <w:pPr>
              <w:pStyle w:val="a3"/>
              <w:jc w:val="center"/>
              <w:rPr>
                <w:rFonts w:ascii="Tahoma" w:hAnsi="Tahoma" w:cs="Tahoma"/>
                <w:color w:val="000080"/>
                <w:rtl/>
              </w:rPr>
            </w:pPr>
            <w:bookmarkStart w:id="0" w:name="LastJudge"/>
            <w:r w:rsidRPr="003A6B73">
              <w:rPr>
                <w:rFonts w:ascii="Tahoma" w:hAnsi="Tahoma" w:cs="Tahoma"/>
                <w:b/>
                <w:bCs/>
                <w:color w:val="000080"/>
                <w:rtl/>
              </w:rPr>
              <w:t>בית משפט השלום בירושלים</w:t>
            </w:r>
          </w:p>
        </w:tc>
      </w:tr>
      <w:tr w:rsidR="001664FA" w:rsidRPr="003A6B73" w14:paraId="713169FE" w14:textId="77777777" w:rsidTr="006E4292">
        <w:trPr>
          <w:gridAfter w:val="1"/>
          <w:wAfter w:w="297" w:type="dxa"/>
          <w:trHeight w:val="850"/>
          <w:jc w:val="center"/>
        </w:trPr>
        <w:tc>
          <w:tcPr>
            <w:tcW w:w="4973" w:type="dxa"/>
            <w:gridSpan w:val="3"/>
          </w:tcPr>
          <w:p w14:paraId="549C7110" w14:textId="77777777" w:rsidR="001664FA" w:rsidRPr="003A6B73" w:rsidRDefault="001664FA" w:rsidP="00346723">
            <w:pPr>
              <w:rPr>
                <w:sz w:val="26"/>
                <w:szCs w:val="26"/>
                <w:rtl/>
              </w:rPr>
            </w:pPr>
            <w:r w:rsidRPr="003A6B73">
              <w:rPr>
                <w:sz w:val="26"/>
                <w:szCs w:val="26"/>
                <w:rtl/>
              </w:rPr>
              <w:t>ת"פ</w:t>
            </w:r>
            <w:r w:rsidRPr="003A6B73">
              <w:rPr>
                <w:rFonts w:hint="cs"/>
                <w:sz w:val="26"/>
                <w:szCs w:val="26"/>
                <w:rtl/>
              </w:rPr>
              <w:t xml:space="preserve"> </w:t>
            </w:r>
            <w:r w:rsidRPr="003A6B73">
              <w:rPr>
                <w:sz w:val="26"/>
                <w:szCs w:val="26"/>
                <w:rtl/>
              </w:rPr>
              <w:t>51504-02-20</w:t>
            </w:r>
            <w:r w:rsidRPr="003A6B73">
              <w:rPr>
                <w:rFonts w:hint="cs"/>
                <w:sz w:val="26"/>
                <w:szCs w:val="26"/>
                <w:rtl/>
              </w:rPr>
              <w:t xml:space="preserve"> </w:t>
            </w:r>
            <w:r w:rsidRPr="003A6B73">
              <w:rPr>
                <w:sz w:val="26"/>
                <w:szCs w:val="26"/>
                <w:rtl/>
              </w:rPr>
              <w:t>מדינת ישראל נ' מוחתסב(אחר/נוסף)</w:t>
            </w:r>
          </w:p>
        </w:tc>
        <w:tc>
          <w:tcPr>
            <w:tcW w:w="3550" w:type="dxa"/>
          </w:tcPr>
          <w:p w14:paraId="10AA52A6" w14:textId="77777777" w:rsidR="001664FA" w:rsidRPr="003A6B73" w:rsidRDefault="001664FA" w:rsidP="00346723">
            <w:pPr>
              <w:pStyle w:val="a3"/>
              <w:jc w:val="right"/>
              <w:rPr>
                <w:sz w:val="26"/>
                <w:szCs w:val="26"/>
                <w:rtl/>
              </w:rPr>
            </w:pPr>
          </w:p>
        </w:tc>
      </w:tr>
      <w:tr w:rsidR="001664FA" w:rsidRPr="003A6B73" w14:paraId="62DA416D"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0FBC1E40" w14:textId="77777777" w:rsidR="001664FA" w:rsidRPr="003A6B73" w:rsidRDefault="001664FA" w:rsidP="00346723">
            <w:pPr>
              <w:rPr>
                <w:b/>
                <w:bCs/>
              </w:rPr>
            </w:pPr>
            <w:r w:rsidRPr="003A6B73">
              <w:rPr>
                <w:b/>
                <w:bCs/>
                <w:rtl/>
              </w:rPr>
              <w:t>לפני כבוד ה</w:t>
            </w:r>
            <w:r w:rsidRPr="003A6B73">
              <w:rPr>
                <w:rtl/>
              </w:rPr>
              <w:t>שופט</w:t>
            </w:r>
            <w:r w:rsidRPr="003A6B73">
              <w:rPr>
                <w:b/>
                <w:bCs/>
                <w:rtl/>
              </w:rPr>
              <w:t xml:space="preserve">  </w:t>
            </w:r>
            <w:r w:rsidRPr="003A6B73">
              <w:rPr>
                <w:rtl/>
              </w:rPr>
              <w:t>אביחי דורון</w:t>
            </w:r>
          </w:p>
          <w:p w14:paraId="3EE14329" w14:textId="77777777" w:rsidR="001664FA" w:rsidRPr="003A6B73" w:rsidRDefault="001664FA" w:rsidP="00346723">
            <w:pPr>
              <w:rPr>
                <w:rtl/>
              </w:rPr>
            </w:pPr>
          </w:p>
        </w:tc>
      </w:tr>
      <w:tr w:rsidR="001664FA" w:rsidRPr="003A6B73" w14:paraId="5E4EF42F"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0CE204" w14:textId="77777777" w:rsidR="001664FA" w:rsidRPr="003A6B73" w:rsidRDefault="001664FA" w:rsidP="00346723">
            <w:pPr>
              <w:rPr>
                <w:b/>
                <w:bCs/>
              </w:rPr>
            </w:pPr>
            <w:bookmarkStart w:id="1" w:name="FirstAppellant"/>
            <w:r w:rsidRPr="003A6B73">
              <w:rPr>
                <w:b/>
                <w:bCs/>
                <w:rtl/>
              </w:rPr>
              <w:t>בעניין:</w:t>
            </w:r>
          </w:p>
        </w:tc>
        <w:tc>
          <w:tcPr>
            <w:tcW w:w="3077" w:type="dxa"/>
            <w:tcBorders>
              <w:top w:val="nil"/>
              <w:left w:val="nil"/>
              <w:bottom w:val="nil"/>
              <w:right w:val="nil"/>
            </w:tcBorders>
            <w:shd w:val="clear" w:color="auto" w:fill="auto"/>
          </w:tcPr>
          <w:p w14:paraId="0B47911E" w14:textId="77777777" w:rsidR="001664FA" w:rsidRPr="003A6B73" w:rsidRDefault="001664FA" w:rsidP="00346723">
            <w:r w:rsidRPr="003A6B73">
              <w:rPr>
                <w:rtl/>
              </w:rPr>
              <w:t>מדינת ישראל</w:t>
            </w:r>
          </w:p>
        </w:tc>
        <w:tc>
          <w:tcPr>
            <w:tcW w:w="4820" w:type="dxa"/>
            <w:gridSpan w:val="3"/>
            <w:tcBorders>
              <w:top w:val="nil"/>
              <w:left w:val="nil"/>
              <w:bottom w:val="nil"/>
              <w:right w:val="nil"/>
            </w:tcBorders>
            <w:shd w:val="clear" w:color="auto" w:fill="auto"/>
          </w:tcPr>
          <w:p w14:paraId="5396E152" w14:textId="77777777" w:rsidR="001664FA" w:rsidRPr="003A6B73" w:rsidRDefault="001664FA" w:rsidP="00346723"/>
        </w:tc>
      </w:tr>
      <w:bookmarkEnd w:id="1"/>
      <w:tr w:rsidR="001664FA" w:rsidRPr="003A6B73" w14:paraId="19B60C73"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FA9069" w14:textId="77777777" w:rsidR="001664FA" w:rsidRPr="003A6B73" w:rsidRDefault="001664FA" w:rsidP="00346723"/>
        </w:tc>
        <w:tc>
          <w:tcPr>
            <w:tcW w:w="3077" w:type="dxa"/>
            <w:tcBorders>
              <w:top w:val="nil"/>
              <w:left w:val="nil"/>
              <w:bottom w:val="nil"/>
              <w:right w:val="nil"/>
            </w:tcBorders>
            <w:shd w:val="clear" w:color="auto" w:fill="auto"/>
          </w:tcPr>
          <w:p w14:paraId="4882BDBF" w14:textId="77777777" w:rsidR="001664FA" w:rsidRPr="003A6B73" w:rsidRDefault="001664FA" w:rsidP="00346723">
            <w:pPr>
              <w:rPr>
                <w:rtl/>
              </w:rPr>
            </w:pPr>
          </w:p>
        </w:tc>
        <w:tc>
          <w:tcPr>
            <w:tcW w:w="4820" w:type="dxa"/>
            <w:gridSpan w:val="3"/>
            <w:tcBorders>
              <w:top w:val="nil"/>
              <w:left w:val="nil"/>
              <w:bottom w:val="nil"/>
              <w:right w:val="nil"/>
            </w:tcBorders>
            <w:shd w:val="clear" w:color="auto" w:fill="auto"/>
          </w:tcPr>
          <w:p w14:paraId="5AB62BAA" w14:textId="77777777" w:rsidR="001664FA" w:rsidRPr="003A6B73" w:rsidRDefault="001664FA" w:rsidP="00346723">
            <w:pPr>
              <w:rPr>
                <w:rtl/>
              </w:rPr>
            </w:pPr>
            <w:r w:rsidRPr="003A6B73">
              <w:rPr>
                <w:rtl/>
              </w:rPr>
              <w:t>המאשימה</w:t>
            </w:r>
          </w:p>
        </w:tc>
      </w:tr>
      <w:tr w:rsidR="001664FA" w:rsidRPr="003A6B73" w14:paraId="7453C705"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085CA2" w14:textId="77777777" w:rsidR="001664FA" w:rsidRPr="003A6B73" w:rsidRDefault="001664FA" w:rsidP="00346723">
            <w:pPr>
              <w:rPr>
                <w:rtl/>
              </w:rPr>
            </w:pPr>
          </w:p>
        </w:tc>
        <w:tc>
          <w:tcPr>
            <w:tcW w:w="7897" w:type="dxa"/>
            <w:gridSpan w:val="4"/>
            <w:tcBorders>
              <w:top w:val="nil"/>
              <w:left w:val="nil"/>
              <w:bottom w:val="nil"/>
              <w:right w:val="nil"/>
            </w:tcBorders>
            <w:shd w:val="clear" w:color="auto" w:fill="auto"/>
          </w:tcPr>
          <w:p w14:paraId="73D6B047" w14:textId="77777777" w:rsidR="001664FA" w:rsidRPr="003A6B73" w:rsidRDefault="001664FA" w:rsidP="00346723">
            <w:pPr>
              <w:rPr>
                <w:b/>
                <w:bCs/>
                <w:rtl/>
              </w:rPr>
            </w:pPr>
          </w:p>
          <w:p w14:paraId="0E3596B2" w14:textId="77777777" w:rsidR="001664FA" w:rsidRPr="003A6B73" w:rsidRDefault="001664FA" w:rsidP="00346723">
            <w:pPr>
              <w:rPr>
                <w:b/>
                <w:bCs/>
                <w:rtl/>
              </w:rPr>
            </w:pPr>
            <w:r w:rsidRPr="003A6B73">
              <w:rPr>
                <w:b/>
                <w:bCs/>
                <w:rtl/>
              </w:rPr>
              <w:t>נגד</w:t>
            </w:r>
          </w:p>
          <w:p w14:paraId="38E2EABA" w14:textId="77777777" w:rsidR="001664FA" w:rsidRPr="003A6B73" w:rsidRDefault="001664FA" w:rsidP="00346723">
            <w:pPr>
              <w:rPr>
                <w:rtl/>
              </w:rPr>
            </w:pPr>
          </w:p>
        </w:tc>
      </w:tr>
      <w:tr w:rsidR="001664FA" w:rsidRPr="003A6B73" w14:paraId="34605E82"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0708C5" w14:textId="77777777" w:rsidR="001664FA" w:rsidRPr="003A6B73" w:rsidRDefault="001664FA" w:rsidP="00346723"/>
        </w:tc>
        <w:tc>
          <w:tcPr>
            <w:tcW w:w="3077" w:type="dxa"/>
            <w:tcBorders>
              <w:top w:val="nil"/>
              <w:left w:val="nil"/>
              <w:bottom w:val="nil"/>
              <w:right w:val="nil"/>
            </w:tcBorders>
            <w:shd w:val="clear" w:color="auto" w:fill="auto"/>
          </w:tcPr>
          <w:p w14:paraId="21E85472" w14:textId="77777777" w:rsidR="001664FA" w:rsidRPr="003A6B73" w:rsidRDefault="001664FA" w:rsidP="00346723">
            <w:pPr>
              <w:rPr>
                <w:rtl/>
              </w:rPr>
            </w:pPr>
            <w:r w:rsidRPr="003A6B73">
              <w:rPr>
                <w:rtl/>
              </w:rPr>
              <w:t>פרג מוחתסב (אחר/נוסף)</w:t>
            </w:r>
          </w:p>
        </w:tc>
        <w:tc>
          <w:tcPr>
            <w:tcW w:w="4820" w:type="dxa"/>
            <w:gridSpan w:val="3"/>
            <w:tcBorders>
              <w:top w:val="nil"/>
              <w:left w:val="nil"/>
              <w:bottom w:val="nil"/>
              <w:right w:val="nil"/>
            </w:tcBorders>
            <w:shd w:val="clear" w:color="auto" w:fill="auto"/>
          </w:tcPr>
          <w:p w14:paraId="68FC5BF3" w14:textId="77777777" w:rsidR="001664FA" w:rsidRPr="003A6B73" w:rsidRDefault="001664FA" w:rsidP="00346723">
            <w:pPr>
              <w:rPr>
                <w:rtl/>
              </w:rPr>
            </w:pPr>
          </w:p>
        </w:tc>
      </w:tr>
      <w:tr w:rsidR="001664FA" w:rsidRPr="003A6B73" w14:paraId="56ABFC26" w14:textId="77777777" w:rsidTr="006E4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1663E9" w14:textId="77777777" w:rsidR="001664FA" w:rsidRPr="003A6B73" w:rsidRDefault="001664FA" w:rsidP="00346723"/>
        </w:tc>
        <w:tc>
          <w:tcPr>
            <w:tcW w:w="3077" w:type="dxa"/>
            <w:tcBorders>
              <w:top w:val="nil"/>
              <w:left w:val="nil"/>
              <w:bottom w:val="nil"/>
              <w:right w:val="nil"/>
            </w:tcBorders>
            <w:shd w:val="clear" w:color="auto" w:fill="auto"/>
          </w:tcPr>
          <w:p w14:paraId="2603D4D0" w14:textId="77777777" w:rsidR="001664FA" w:rsidRPr="003A6B73" w:rsidRDefault="001664FA" w:rsidP="00346723">
            <w:pPr>
              <w:rPr>
                <w:rtl/>
              </w:rPr>
            </w:pPr>
          </w:p>
        </w:tc>
        <w:tc>
          <w:tcPr>
            <w:tcW w:w="4820" w:type="dxa"/>
            <w:gridSpan w:val="3"/>
            <w:tcBorders>
              <w:top w:val="nil"/>
              <w:left w:val="nil"/>
              <w:bottom w:val="nil"/>
              <w:right w:val="nil"/>
            </w:tcBorders>
            <w:shd w:val="clear" w:color="auto" w:fill="auto"/>
          </w:tcPr>
          <w:p w14:paraId="7C07EA14" w14:textId="77777777" w:rsidR="001664FA" w:rsidRPr="003A6B73" w:rsidRDefault="001664FA" w:rsidP="00346723">
            <w:pPr>
              <w:rPr>
                <w:rtl/>
              </w:rPr>
            </w:pPr>
            <w:r w:rsidRPr="003A6B73">
              <w:rPr>
                <w:rtl/>
              </w:rPr>
              <w:t>הנאשמים</w:t>
            </w:r>
          </w:p>
        </w:tc>
      </w:tr>
    </w:tbl>
    <w:p w14:paraId="1EF51373" w14:textId="77777777" w:rsidR="006E4292" w:rsidRDefault="006E4292" w:rsidP="001664FA">
      <w:pPr>
        <w:rPr>
          <w:rtl/>
        </w:rPr>
      </w:pPr>
    </w:p>
    <w:p w14:paraId="3AF7EDDB" w14:textId="77777777" w:rsidR="006E4292" w:rsidRPr="006E4292" w:rsidRDefault="006E4292" w:rsidP="006E4292">
      <w:pPr>
        <w:spacing w:after="120" w:line="240" w:lineRule="exact"/>
        <w:ind w:left="283" w:hanging="283"/>
        <w:jc w:val="both"/>
        <w:rPr>
          <w:rFonts w:ascii="FrankRuehl" w:hAnsi="FrankRuehl" w:cs="FrankRuehl"/>
          <w:rtl/>
        </w:rPr>
      </w:pPr>
    </w:p>
    <w:p w14:paraId="546CC48C" w14:textId="77777777" w:rsidR="003D3227" w:rsidRPr="003D3227" w:rsidRDefault="003D3227" w:rsidP="003D3227">
      <w:pPr>
        <w:spacing w:before="120" w:after="120" w:line="240" w:lineRule="exact"/>
        <w:ind w:left="283" w:hanging="283"/>
        <w:jc w:val="both"/>
        <w:rPr>
          <w:rFonts w:ascii="FrankRuehl" w:hAnsi="FrankRuehl" w:cs="FrankRuehl"/>
          <w:rtl/>
        </w:rPr>
      </w:pPr>
    </w:p>
    <w:p w14:paraId="6BBD0E77" w14:textId="77777777" w:rsidR="003D3227" w:rsidRPr="003D3227" w:rsidRDefault="003D3227" w:rsidP="003D3227">
      <w:pPr>
        <w:spacing w:before="120" w:after="120" w:line="240" w:lineRule="exact"/>
        <w:ind w:left="283" w:hanging="283"/>
        <w:jc w:val="both"/>
        <w:rPr>
          <w:rFonts w:ascii="FrankRuehl" w:hAnsi="FrankRuehl" w:cs="FrankRuehl"/>
          <w:rtl/>
        </w:rPr>
      </w:pPr>
    </w:p>
    <w:p w14:paraId="4EE0E2BE" w14:textId="77777777" w:rsidR="00D410F7" w:rsidRDefault="00D410F7" w:rsidP="00D410F7">
      <w:pPr>
        <w:rPr>
          <w:rtl/>
        </w:rPr>
      </w:pPr>
      <w:bookmarkStart w:id="2" w:name="LawTable"/>
      <w:bookmarkEnd w:id="2"/>
    </w:p>
    <w:p w14:paraId="24676213" w14:textId="77777777" w:rsidR="00D410F7" w:rsidRPr="00D410F7" w:rsidRDefault="00D410F7" w:rsidP="00D410F7">
      <w:pPr>
        <w:spacing w:before="120" w:after="120" w:line="240" w:lineRule="exact"/>
        <w:ind w:left="283" w:hanging="283"/>
        <w:jc w:val="both"/>
        <w:rPr>
          <w:rFonts w:ascii="FrankRuehl" w:hAnsi="FrankRuehl" w:cs="FrankRuehl"/>
          <w:rtl/>
        </w:rPr>
      </w:pPr>
    </w:p>
    <w:p w14:paraId="2D2A3E95" w14:textId="77777777" w:rsidR="00D410F7" w:rsidRPr="00D410F7" w:rsidRDefault="00D410F7" w:rsidP="00D410F7">
      <w:pPr>
        <w:spacing w:before="120" w:after="120" w:line="240" w:lineRule="exact"/>
        <w:ind w:left="283" w:hanging="283"/>
        <w:jc w:val="both"/>
        <w:rPr>
          <w:rFonts w:ascii="FrankRuehl" w:hAnsi="FrankRuehl" w:cs="FrankRuehl"/>
          <w:rtl/>
        </w:rPr>
      </w:pPr>
    </w:p>
    <w:p w14:paraId="48AF9F23" w14:textId="77777777" w:rsidR="00D410F7" w:rsidRPr="00D410F7" w:rsidRDefault="00D410F7" w:rsidP="00D410F7">
      <w:pPr>
        <w:spacing w:before="120" w:after="120" w:line="240" w:lineRule="exact"/>
        <w:ind w:left="283" w:hanging="283"/>
        <w:jc w:val="both"/>
        <w:rPr>
          <w:rFonts w:ascii="FrankRuehl" w:hAnsi="FrankRuehl" w:cs="FrankRuehl"/>
          <w:rtl/>
        </w:rPr>
      </w:pPr>
      <w:r w:rsidRPr="00D410F7">
        <w:rPr>
          <w:rFonts w:ascii="FrankRuehl" w:hAnsi="FrankRuehl" w:cs="FrankRuehl"/>
          <w:rtl/>
        </w:rPr>
        <w:t xml:space="preserve">חקיקה שאוזכרה: </w:t>
      </w:r>
    </w:p>
    <w:p w14:paraId="1478E6B9" w14:textId="77777777" w:rsidR="00D410F7" w:rsidRPr="00D410F7" w:rsidRDefault="00D410F7" w:rsidP="00D410F7">
      <w:pPr>
        <w:spacing w:before="120" w:after="120" w:line="240" w:lineRule="exact"/>
        <w:ind w:left="283" w:hanging="283"/>
        <w:jc w:val="both"/>
        <w:rPr>
          <w:rFonts w:ascii="FrankRuehl" w:hAnsi="FrankRuehl" w:cs="FrankRuehl"/>
          <w:rtl/>
        </w:rPr>
      </w:pPr>
      <w:hyperlink r:id="rId7" w:history="1">
        <w:r w:rsidRPr="00D410F7">
          <w:rPr>
            <w:rFonts w:ascii="FrankRuehl" w:hAnsi="FrankRuehl" w:cs="FrankRuehl"/>
            <w:color w:val="0000FF"/>
            <w:rtl/>
          </w:rPr>
          <w:t>פקודת הסמים המסוכנים [נוסח חדש], תשל"ג-1973</w:t>
        </w:r>
      </w:hyperlink>
    </w:p>
    <w:p w14:paraId="7D37F4FC" w14:textId="77777777" w:rsidR="00D410F7" w:rsidRPr="00D410F7" w:rsidRDefault="00D410F7" w:rsidP="00D410F7">
      <w:pPr>
        <w:rPr>
          <w:rtl/>
        </w:rPr>
      </w:pPr>
      <w:bookmarkStart w:id="3" w:name="LawTable_End"/>
      <w:bookmarkEnd w:id="3"/>
    </w:p>
    <w:p w14:paraId="66BE6713" w14:textId="77777777" w:rsidR="006E4292" w:rsidRPr="003D3227" w:rsidRDefault="006E4292" w:rsidP="003D3227">
      <w:pPr>
        <w:rPr>
          <w:rtl/>
        </w:rPr>
      </w:pPr>
    </w:p>
    <w:p w14:paraId="318523BD" w14:textId="77777777" w:rsidR="006E4292" w:rsidRPr="003A6B73" w:rsidRDefault="006E4292" w:rsidP="003A6B73">
      <w:pPr>
        <w:jc w:val="center"/>
        <w:rPr>
          <w:b/>
          <w:bCs/>
          <w:u w:val="single"/>
          <w:rtl/>
        </w:rPr>
      </w:pPr>
      <w:bookmarkStart w:id="4" w:name="PsakDin"/>
      <w:r w:rsidRPr="003A6B73">
        <w:rPr>
          <w:b/>
          <w:bCs/>
          <w:u w:val="single"/>
          <w:rtl/>
        </w:rPr>
        <w:t>גזר דין</w:t>
      </w:r>
    </w:p>
    <w:bookmarkEnd w:id="4"/>
    <w:p w14:paraId="5BB8C959" w14:textId="77777777" w:rsidR="006E4292" w:rsidRPr="001664FA" w:rsidRDefault="006E4292" w:rsidP="00346723">
      <w:pPr>
        <w:rPr>
          <w:u w:val="single"/>
          <w:rtl/>
        </w:rPr>
      </w:pPr>
    </w:p>
    <w:p w14:paraId="5B11444E" w14:textId="77777777" w:rsidR="001664FA" w:rsidRPr="003A7218" w:rsidRDefault="001664FA" w:rsidP="001664FA">
      <w:pPr>
        <w:rPr>
          <w:rtl/>
        </w:rPr>
      </w:pPr>
      <w:bookmarkStart w:id="5" w:name="ABSTRACT_START"/>
      <w:bookmarkEnd w:id="0"/>
      <w:bookmarkEnd w:id="5"/>
      <w:r w:rsidRPr="003A7218">
        <w:rPr>
          <w:rtl/>
        </w:rPr>
        <w:t>הנאשם הודה והורשע בכתב אישום מתוקן במסגרת הסדר טיעון שלא כלל הסכמה עונשית, בכך שביום 7.2.20 החזיק בסם מסוכן שלא לצריכתו העצמית בלבד. מדובר ב-417 ג' של סם מסוג נייס גאי.</w:t>
      </w:r>
    </w:p>
    <w:p w14:paraId="40765088" w14:textId="77777777" w:rsidR="001664FA" w:rsidRPr="003A7218" w:rsidRDefault="001664FA" w:rsidP="001664FA">
      <w:pPr>
        <w:rPr>
          <w:rtl/>
        </w:rPr>
      </w:pPr>
      <w:r w:rsidRPr="003A7218">
        <w:rPr>
          <w:rtl/>
        </w:rPr>
        <w:t>הנאשם היה עצור 51 ימים בגין תיק זה.</w:t>
      </w:r>
    </w:p>
    <w:p w14:paraId="15FC5656" w14:textId="77777777" w:rsidR="001664FA" w:rsidRPr="003A7218" w:rsidRDefault="001664FA" w:rsidP="001664FA">
      <w:pPr>
        <w:rPr>
          <w:rtl/>
        </w:rPr>
      </w:pPr>
    </w:p>
    <w:p w14:paraId="0C88EE6C" w14:textId="77777777" w:rsidR="001664FA" w:rsidRPr="003A7218" w:rsidRDefault="001664FA" w:rsidP="001664FA">
      <w:pPr>
        <w:rPr>
          <w:rtl/>
        </w:rPr>
      </w:pPr>
    </w:p>
    <w:p w14:paraId="7C2F5C27" w14:textId="77777777" w:rsidR="001664FA" w:rsidRPr="003A7218" w:rsidRDefault="001664FA" w:rsidP="001664FA">
      <w:pPr>
        <w:rPr>
          <w:rtl/>
        </w:rPr>
      </w:pPr>
      <w:r w:rsidRPr="003A7218">
        <w:rPr>
          <w:rtl/>
        </w:rPr>
        <w:t>הצדדים היו חלוקים ביניהם ביחס למתחם הענישה הראוי בגין העבירה שעבר הנאשם, וכמובן ביחס לעונש הראוי בגינה.</w:t>
      </w:r>
    </w:p>
    <w:p w14:paraId="3FEF49D7" w14:textId="77777777" w:rsidR="001664FA" w:rsidRPr="003A7218" w:rsidRDefault="001664FA" w:rsidP="001664FA">
      <w:pPr>
        <w:rPr>
          <w:rtl/>
        </w:rPr>
      </w:pPr>
    </w:p>
    <w:p w14:paraId="59F098BE" w14:textId="77777777" w:rsidR="001664FA" w:rsidRPr="003A7218" w:rsidRDefault="001664FA" w:rsidP="001664FA">
      <w:pPr>
        <w:rPr>
          <w:rtl/>
        </w:rPr>
      </w:pPr>
      <w:r w:rsidRPr="003A7218">
        <w:rPr>
          <w:rtl/>
        </w:rPr>
        <w:t>הנאשם נשלח, במסגרת הסדר הטיעון, לתסקיר של שירות המבחן וכן לחוות דעת הממונה על עבודות השירות, לבקשת הסניגור.</w:t>
      </w:r>
    </w:p>
    <w:p w14:paraId="7E20907B" w14:textId="77777777" w:rsidR="001664FA" w:rsidRPr="003A7218" w:rsidRDefault="001664FA" w:rsidP="001664FA">
      <w:pPr>
        <w:rPr>
          <w:rtl/>
        </w:rPr>
      </w:pPr>
      <w:bookmarkStart w:id="6" w:name="ABSTRACT_END"/>
      <w:bookmarkEnd w:id="6"/>
    </w:p>
    <w:p w14:paraId="4253A842" w14:textId="77777777" w:rsidR="001664FA" w:rsidRPr="003A7218" w:rsidRDefault="001664FA" w:rsidP="001664FA">
      <w:pPr>
        <w:rPr>
          <w:rtl/>
        </w:rPr>
      </w:pPr>
    </w:p>
    <w:p w14:paraId="1E6AC345" w14:textId="77777777" w:rsidR="001664FA" w:rsidRPr="003A7218" w:rsidRDefault="001664FA" w:rsidP="001664FA">
      <w:pPr>
        <w:rPr>
          <w:rtl/>
        </w:rPr>
      </w:pPr>
      <w:r w:rsidRPr="003A7218">
        <w:rPr>
          <w:b/>
          <w:bCs/>
          <w:rtl/>
        </w:rPr>
        <w:t>מהתסקיר</w:t>
      </w:r>
      <w:r w:rsidRPr="003A7218">
        <w:rPr>
          <w:rtl/>
        </w:rPr>
        <w:t xml:space="preserve"> עלה כי הנאשם משתמש בסמים מסוג קנביס ואף נייס גאי, ופעם אחת אף איבד הכרה ונזקק להחייאה בשל כך.  </w:t>
      </w:r>
    </w:p>
    <w:p w14:paraId="00D1F900" w14:textId="77777777" w:rsidR="001664FA" w:rsidRPr="003A7218" w:rsidRDefault="001664FA" w:rsidP="001664FA">
      <w:pPr>
        <w:rPr>
          <w:rtl/>
        </w:rPr>
      </w:pPr>
      <w:r w:rsidRPr="003A7218">
        <w:rPr>
          <w:rtl/>
        </w:rPr>
        <w:t>לנאשם עבר פלילי "עשיר" בעבירות שונות מאז היותו נער והוא ריצה, במצטבר, 24 חודשי מאסר בגין עבירותיו.</w:t>
      </w:r>
    </w:p>
    <w:p w14:paraId="124A1AB1" w14:textId="77777777" w:rsidR="001664FA" w:rsidRPr="003A7218" w:rsidRDefault="001664FA" w:rsidP="001664FA">
      <w:pPr>
        <w:rPr>
          <w:rtl/>
        </w:rPr>
      </w:pPr>
    </w:p>
    <w:p w14:paraId="3FEEB9CA" w14:textId="77777777" w:rsidR="001664FA" w:rsidRPr="003A7218" w:rsidRDefault="001664FA" w:rsidP="001664FA">
      <w:pPr>
        <w:rPr>
          <w:rtl/>
        </w:rPr>
      </w:pPr>
      <w:r w:rsidRPr="003A7218">
        <w:rPr>
          <w:rtl/>
        </w:rPr>
        <w:t>עוד עלה כי הוצע לנאשם טיפול בתחום ההתמכרויות, ואף שהביע הסכמה מילולית לכך לא הגיע לפגישות שתואמו לו ומסר בסופו של יום כי מסיבות פרנסה הוא אינו פנוי לקשר טיפולי.</w:t>
      </w:r>
    </w:p>
    <w:p w14:paraId="445A5648" w14:textId="77777777" w:rsidR="001664FA" w:rsidRPr="003A7218" w:rsidRDefault="001664FA" w:rsidP="001664FA">
      <w:pPr>
        <w:rPr>
          <w:rtl/>
        </w:rPr>
      </w:pPr>
    </w:p>
    <w:p w14:paraId="58ACECDC" w14:textId="77777777" w:rsidR="001664FA" w:rsidRPr="003A7218" w:rsidRDefault="001664FA" w:rsidP="001664FA">
      <w:pPr>
        <w:rPr>
          <w:rtl/>
        </w:rPr>
      </w:pPr>
      <w:r w:rsidRPr="003A7218">
        <w:rPr>
          <w:rtl/>
        </w:rPr>
        <w:t>שירות המבחן אף ציין כי הנאשם לקח אחריות חלקית בלבד לעבירה.</w:t>
      </w:r>
    </w:p>
    <w:p w14:paraId="7D07928E" w14:textId="77777777" w:rsidR="001664FA" w:rsidRPr="003A7218" w:rsidRDefault="001664FA" w:rsidP="001664FA">
      <w:pPr>
        <w:rPr>
          <w:rtl/>
        </w:rPr>
      </w:pPr>
      <w:r w:rsidRPr="003A7218">
        <w:rPr>
          <w:rtl/>
        </w:rPr>
        <w:t>לטענת הנאשם – השוטרים "שייכו" אליו את הסמים על רקע היותו ממוצא ערבי וקשר שקיים עם בחורה יהודייה.</w:t>
      </w:r>
    </w:p>
    <w:p w14:paraId="268E3B3D" w14:textId="77777777" w:rsidR="001664FA" w:rsidRPr="003A7218" w:rsidRDefault="001664FA" w:rsidP="001664FA">
      <w:pPr>
        <w:rPr>
          <w:rtl/>
        </w:rPr>
      </w:pPr>
    </w:p>
    <w:p w14:paraId="39834B22" w14:textId="77777777" w:rsidR="001664FA" w:rsidRPr="003A7218" w:rsidRDefault="001664FA" w:rsidP="001664FA">
      <w:pPr>
        <w:rPr>
          <w:rtl/>
        </w:rPr>
      </w:pPr>
      <w:r w:rsidRPr="003A7218">
        <w:rPr>
          <w:rtl/>
        </w:rPr>
        <w:t>לצד החיוב התרשם השירות כי הנאשם נמנע מעבירות בשים האחרונות ומחפש תעסוקה למרות הקשיים האובייקטיביים הסובבים אותו.</w:t>
      </w:r>
    </w:p>
    <w:p w14:paraId="7CE62520" w14:textId="77777777" w:rsidR="001664FA" w:rsidRPr="003A7218" w:rsidRDefault="001664FA" w:rsidP="001664FA">
      <w:pPr>
        <w:rPr>
          <w:rtl/>
        </w:rPr>
      </w:pPr>
    </w:p>
    <w:p w14:paraId="242B2B4C" w14:textId="77777777" w:rsidR="001664FA" w:rsidRPr="003A7218" w:rsidRDefault="001664FA" w:rsidP="001664FA">
      <w:pPr>
        <w:rPr>
          <w:rtl/>
        </w:rPr>
      </w:pPr>
      <w:r w:rsidRPr="003A7218">
        <w:rPr>
          <w:rtl/>
        </w:rPr>
        <w:t>עם זאת, מצא השירות כי קיימת רמת סיכון גבוהה להישנות עבירות, ובהיעדר מוטיבציה טיפולית – נמנע מהמלצה בעינינו.</w:t>
      </w:r>
    </w:p>
    <w:p w14:paraId="2728C107" w14:textId="77777777" w:rsidR="001664FA" w:rsidRPr="003A7218" w:rsidRDefault="001664FA" w:rsidP="001664FA">
      <w:pPr>
        <w:rPr>
          <w:rtl/>
        </w:rPr>
      </w:pPr>
    </w:p>
    <w:p w14:paraId="6181E8C8" w14:textId="77777777" w:rsidR="001664FA" w:rsidRPr="003A7218" w:rsidRDefault="001664FA" w:rsidP="001664FA">
      <w:pPr>
        <w:rPr>
          <w:rtl/>
        </w:rPr>
      </w:pPr>
    </w:p>
    <w:p w14:paraId="4FCC262F" w14:textId="77777777" w:rsidR="001664FA" w:rsidRPr="003A7218" w:rsidRDefault="001664FA" w:rsidP="001664FA">
      <w:pPr>
        <w:rPr>
          <w:rtl/>
        </w:rPr>
      </w:pPr>
    </w:p>
    <w:p w14:paraId="65E1B7A2" w14:textId="77777777" w:rsidR="001664FA" w:rsidRPr="003A7218" w:rsidRDefault="001664FA" w:rsidP="001664FA">
      <w:pPr>
        <w:rPr>
          <w:rtl/>
        </w:rPr>
      </w:pPr>
    </w:p>
    <w:p w14:paraId="1F4EA489" w14:textId="77777777" w:rsidR="001664FA" w:rsidRPr="003A7218" w:rsidRDefault="001664FA" w:rsidP="001664FA">
      <w:pPr>
        <w:rPr>
          <w:rtl/>
        </w:rPr>
      </w:pPr>
    </w:p>
    <w:p w14:paraId="270AD7B7" w14:textId="77777777" w:rsidR="001664FA" w:rsidRPr="003A7218" w:rsidRDefault="001664FA" w:rsidP="001664FA">
      <w:pPr>
        <w:rPr>
          <w:rtl/>
        </w:rPr>
      </w:pPr>
    </w:p>
    <w:p w14:paraId="660246F1" w14:textId="77777777" w:rsidR="001664FA" w:rsidRPr="003A7218" w:rsidRDefault="001664FA" w:rsidP="001664FA">
      <w:pPr>
        <w:rPr>
          <w:rtl/>
        </w:rPr>
      </w:pPr>
    </w:p>
    <w:p w14:paraId="006885FD" w14:textId="77777777" w:rsidR="001664FA" w:rsidRPr="003A7218" w:rsidRDefault="001664FA" w:rsidP="001664FA">
      <w:pPr>
        <w:rPr>
          <w:rtl/>
        </w:rPr>
      </w:pPr>
    </w:p>
    <w:p w14:paraId="44E8E6BE" w14:textId="77777777" w:rsidR="001664FA" w:rsidRPr="003A7218" w:rsidRDefault="001664FA" w:rsidP="001664FA">
      <w:pPr>
        <w:rPr>
          <w:rtl/>
        </w:rPr>
      </w:pPr>
      <w:r w:rsidRPr="003A7218">
        <w:rPr>
          <w:rtl/>
        </w:rPr>
        <w:t xml:space="preserve">מכוח הסדר הטיעון נשלח הנאשם גם </w:t>
      </w:r>
      <w:r w:rsidRPr="003A7218">
        <w:rPr>
          <w:b/>
          <w:bCs/>
          <w:rtl/>
        </w:rPr>
        <w:t>לממונה על עבודות השירות</w:t>
      </w:r>
      <w:r w:rsidRPr="003A7218">
        <w:rPr>
          <w:rtl/>
        </w:rPr>
        <w:t>:</w:t>
      </w:r>
    </w:p>
    <w:p w14:paraId="35E8EAD5" w14:textId="77777777" w:rsidR="001664FA" w:rsidRPr="003A7218" w:rsidRDefault="001664FA" w:rsidP="001664FA">
      <w:pPr>
        <w:rPr>
          <w:rtl/>
        </w:rPr>
      </w:pPr>
    </w:p>
    <w:p w14:paraId="4385AD25" w14:textId="77777777" w:rsidR="001664FA" w:rsidRPr="003A7218" w:rsidRDefault="001664FA" w:rsidP="001664FA">
      <w:pPr>
        <w:rPr>
          <w:rtl/>
        </w:rPr>
      </w:pPr>
      <w:r w:rsidRPr="003A7218">
        <w:rPr>
          <w:rtl/>
        </w:rPr>
        <w:t>לפגישה הראשונה לא הגיע הנאשם כי "התעכב בדרכו".</w:t>
      </w:r>
    </w:p>
    <w:p w14:paraId="7A502E05" w14:textId="77777777" w:rsidR="001664FA" w:rsidRPr="003A7218" w:rsidRDefault="001664FA" w:rsidP="001664FA">
      <w:pPr>
        <w:rPr>
          <w:rtl/>
        </w:rPr>
      </w:pPr>
    </w:p>
    <w:p w14:paraId="71025DE4" w14:textId="77777777" w:rsidR="001664FA" w:rsidRPr="003A7218" w:rsidRDefault="001664FA" w:rsidP="001664FA">
      <w:pPr>
        <w:rPr>
          <w:rtl/>
        </w:rPr>
      </w:pPr>
      <w:r w:rsidRPr="003A7218">
        <w:rPr>
          <w:rtl/>
        </w:rPr>
        <w:t>לבקשת הסניגור הפנה שוב בית המשפט את הנאשם לממונה, לפגישה השנייה אכן הגיע, אך ללא מסמכים רפואיים שהתבקש מראש להביא.</w:t>
      </w:r>
    </w:p>
    <w:p w14:paraId="02D8D936" w14:textId="77777777" w:rsidR="001664FA" w:rsidRPr="003A7218" w:rsidRDefault="001664FA" w:rsidP="001664FA">
      <w:pPr>
        <w:rPr>
          <w:rtl/>
        </w:rPr>
      </w:pPr>
    </w:p>
    <w:p w14:paraId="541196F3" w14:textId="77777777" w:rsidR="001664FA" w:rsidRPr="003A7218" w:rsidRDefault="001664FA" w:rsidP="001664FA">
      <w:pPr>
        <w:rPr>
          <w:rtl/>
        </w:rPr>
      </w:pPr>
      <w:r w:rsidRPr="003A7218">
        <w:rPr>
          <w:rtl/>
        </w:rPr>
        <w:t>לבקשת הסניגור ליתן לנאשם "הזדמנות נוספת ואחרונה" הפנה בית המשפט בשלישית את הנאשם לממונה, ושוב הגיע הנאשם ללא המסמכים הרפואיים.</w:t>
      </w:r>
    </w:p>
    <w:p w14:paraId="41D8DA2C" w14:textId="77777777" w:rsidR="001664FA" w:rsidRPr="003A7218" w:rsidRDefault="001664FA" w:rsidP="001664FA">
      <w:pPr>
        <w:rPr>
          <w:rtl/>
        </w:rPr>
      </w:pPr>
    </w:p>
    <w:p w14:paraId="3736980F" w14:textId="77777777" w:rsidR="001664FA" w:rsidRPr="003A7218" w:rsidRDefault="001664FA" w:rsidP="001664FA">
      <w:pPr>
        <w:rPr>
          <w:rtl/>
        </w:rPr>
      </w:pPr>
      <w:r w:rsidRPr="003A7218">
        <w:rPr>
          <w:rtl/>
        </w:rPr>
        <w:t>בית המשפט הפנה את הנאשם פעם רביעית ואחרונה לממונה, אך לפגישה שתואמה איתו הנאשם כלל לא הגיע.</w:t>
      </w:r>
    </w:p>
    <w:p w14:paraId="44745BA1" w14:textId="77777777" w:rsidR="001664FA" w:rsidRPr="003A7218" w:rsidRDefault="001664FA" w:rsidP="001664FA">
      <w:pPr>
        <w:rPr>
          <w:rtl/>
        </w:rPr>
      </w:pPr>
    </w:p>
    <w:p w14:paraId="3EEC03B5" w14:textId="77777777" w:rsidR="001664FA" w:rsidRPr="003A7218" w:rsidRDefault="001664FA" w:rsidP="001664FA">
      <w:pPr>
        <w:rPr>
          <w:rtl/>
        </w:rPr>
      </w:pPr>
    </w:p>
    <w:p w14:paraId="7F5716E2" w14:textId="77777777" w:rsidR="001664FA" w:rsidRPr="003A7218" w:rsidRDefault="001664FA" w:rsidP="001664FA">
      <w:pPr>
        <w:rPr>
          <w:b/>
          <w:bCs/>
          <w:rtl/>
        </w:rPr>
      </w:pPr>
      <w:r w:rsidRPr="003A7218">
        <w:rPr>
          <w:b/>
          <w:bCs/>
          <w:rtl/>
        </w:rPr>
        <w:t>טיעוני הצדדים:</w:t>
      </w:r>
    </w:p>
    <w:p w14:paraId="4B15DE07" w14:textId="77777777" w:rsidR="001664FA" w:rsidRPr="003A7218" w:rsidRDefault="001664FA" w:rsidP="001664FA">
      <w:pPr>
        <w:rPr>
          <w:rtl/>
        </w:rPr>
      </w:pPr>
    </w:p>
    <w:p w14:paraId="20F38B2F" w14:textId="77777777" w:rsidR="001664FA" w:rsidRPr="003A7218" w:rsidRDefault="001664FA" w:rsidP="001664FA">
      <w:pPr>
        <w:rPr>
          <w:rtl/>
        </w:rPr>
      </w:pPr>
      <w:r w:rsidRPr="003A7218">
        <w:rPr>
          <w:rtl/>
        </w:rPr>
        <w:t xml:space="preserve">על רקע העבירה בה הורשע הנאשם  ביקשה </w:t>
      </w:r>
      <w:r w:rsidRPr="003A7218">
        <w:rPr>
          <w:b/>
          <w:bCs/>
          <w:rtl/>
        </w:rPr>
        <w:t>המאשימה</w:t>
      </w:r>
      <w:r w:rsidRPr="003A7218">
        <w:rPr>
          <w:rtl/>
        </w:rPr>
        <w:t xml:space="preserve"> לזהות את הערכים המוגנים כהגנה על שלום הציבור, והגנה מפני אלה הרוצים להפיץ את הסם, ובהיות הסם "סינטטי ומוגדר קשה", אמרה כי הפגיעה בערכים המוגנים גבוהה יותר מבסמים קלים.</w:t>
      </w:r>
    </w:p>
    <w:p w14:paraId="3A2F5F58" w14:textId="77777777" w:rsidR="001664FA" w:rsidRPr="003A7218" w:rsidRDefault="001664FA" w:rsidP="001664FA">
      <w:pPr>
        <w:rPr>
          <w:rtl/>
        </w:rPr>
      </w:pPr>
    </w:p>
    <w:p w14:paraId="46698192" w14:textId="77777777" w:rsidR="001664FA" w:rsidRPr="003A7218" w:rsidRDefault="001664FA" w:rsidP="001664FA">
      <w:pPr>
        <w:rPr>
          <w:rtl/>
        </w:rPr>
      </w:pPr>
      <w:r w:rsidRPr="003A7218">
        <w:rPr>
          <w:rtl/>
        </w:rPr>
        <w:t>לפיכך עתרה לקבוע מתחם ענישה הנע בין 6 ל- 12 חודשי מאסר, ציינה לרעה את תסקיר שירות המבחן וביקשה לקבוע את עונשו ברף הגבוה של המתחם.</w:t>
      </w:r>
    </w:p>
    <w:p w14:paraId="589C8645" w14:textId="77777777" w:rsidR="001664FA" w:rsidRPr="003A7218" w:rsidRDefault="001664FA" w:rsidP="001664FA">
      <w:pPr>
        <w:rPr>
          <w:rtl/>
        </w:rPr>
      </w:pPr>
    </w:p>
    <w:p w14:paraId="07D7E2CE" w14:textId="77777777" w:rsidR="001664FA" w:rsidRPr="003A7218" w:rsidRDefault="001664FA" w:rsidP="001664FA">
      <w:pPr>
        <w:rPr>
          <w:rtl/>
        </w:rPr>
      </w:pPr>
    </w:p>
    <w:p w14:paraId="0024B53B" w14:textId="77777777" w:rsidR="001664FA" w:rsidRPr="003A7218" w:rsidRDefault="001664FA" w:rsidP="001664FA">
      <w:pPr>
        <w:rPr>
          <w:rtl/>
        </w:rPr>
      </w:pPr>
      <w:r w:rsidRPr="003A7218">
        <w:rPr>
          <w:b/>
          <w:bCs/>
          <w:rtl/>
        </w:rPr>
        <w:t>הסניגור</w:t>
      </w:r>
      <w:r w:rsidRPr="003A7218">
        <w:rPr>
          <w:rtl/>
        </w:rPr>
        <w:t xml:space="preserve"> חלק על המאשימה בכל החזיתות:</w:t>
      </w:r>
    </w:p>
    <w:p w14:paraId="1B495B59" w14:textId="77777777" w:rsidR="001664FA" w:rsidRPr="003A7218" w:rsidRDefault="001664FA" w:rsidP="001664FA">
      <w:pPr>
        <w:rPr>
          <w:rtl/>
        </w:rPr>
      </w:pPr>
    </w:p>
    <w:p w14:paraId="684220AD" w14:textId="77777777" w:rsidR="001664FA" w:rsidRPr="003A7218" w:rsidRDefault="001664FA" w:rsidP="001664FA">
      <w:pPr>
        <w:rPr>
          <w:rtl/>
        </w:rPr>
      </w:pPr>
      <w:r w:rsidRPr="003A7218">
        <w:rPr>
          <w:rtl/>
        </w:rPr>
        <w:t>ביקש לקבוע כי הסם מוגדר קל ולא קשה.</w:t>
      </w:r>
    </w:p>
    <w:p w14:paraId="4BEC6FAD" w14:textId="77777777" w:rsidR="001664FA" w:rsidRPr="003A7218" w:rsidRDefault="001664FA" w:rsidP="001664FA">
      <w:pPr>
        <w:rPr>
          <w:rtl/>
        </w:rPr>
      </w:pPr>
      <w:r w:rsidRPr="003A7218">
        <w:rPr>
          <w:rtl/>
        </w:rPr>
        <w:t xml:space="preserve">הסנגור ציין כי הנאשם היה מכור לסמים אך מאז מעצרו התנקה מסמים במסגרת "שיקום עצמי". </w:t>
      </w:r>
    </w:p>
    <w:p w14:paraId="48853017" w14:textId="77777777" w:rsidR="001664FA" w:rsidRPr="003A7218" w:rsidRDefault="001664FA" w:rsidP="001664FA">
      <w:pPr>
        <w:rPr>
          <w:rtl/>
        </w:rPr>
      </w:pPr>
      <w:r w:rsidRPr="003A7218">
        <w:rPr>
          <w:rtl/>
        </w:rPr>
        <w:t>עוד ציין כי הנאשם אמר לו (בניגוד למה שאמר בשירות המבחן, א.ד.) כי עקב סגרי הקורונה "הצטייד" בכמות גדולה של סם על מנת שלא יצטרך לנסוע כל פעם לתל אביב לקנות את הסם, וכי השתמש בסם לצריכתו העצמית בלבד.</w:t>
      </w:r>
    </w:p>
    <w:p w14:paraId="3892BFF1" w14:textId="77777777" w:rsidR="001664FA" w:rsidRPr="003A7218" w:rsidRDefault="001664FA" w:rsidP="001664FA">
      <w:pPr>
        <w:rPr>
          <w:rtl/>
        </w:rPr>
      </w:pPr>
    </w:p>
    <w:p w14:paraId="70DA555E" w14:textId="77777777" w:rsidR="001664FA" w:rsidRPr="003A7218" w:rsidRDefault="001664FA" w:rsidP="001664FA">
      <w:pPr>
        <w:rPr>
          <w:rtl/>
        </w:rPr>
      </w:pPr>
      <w:r w:rsidRPr="003A7218">
        <w:rPr>
          <w:rtl/>
        </w:rPr>
        <w:t>הסנגור עתר לקביעת מתחם ענישה הנע בין של"צ (למי שעובר שיקום) ומאסר מותנה למאסר בעבודות שירות, וביקש למקם את הנאשם ברף הבינוני תחתון ולהסתפק במאסר שיחפוף את ימי מעצרו.</w:t>
      </w:r>
    </w:p>
    <w:p w14:paraId="0309E8AB" w14:textId="77777777" w:rsidR="001664FA" w:rsidRPr="003A7218" w:rsidRDefault="001664FA" w:rsidP="001664FA">
      <w:pPr>
        <w:rPr>
          <w:rtl/>
        </w:rPr>
      </w:pPr>
      <w:r w:rsidRPr="003A7218">
        <w:rPr>
          <w:rtl/>
        </w:rPr>
        <w:t>הסנגור איזכר פסיקה נרחבת לתמיכה בטענותיו.</w:t>
      </w:r>
    </w:p>
    <w:p w14:paraId="2E2FA2CB" w14:textId="77777777" w:rsidR="001664FA" w:rsidRPr="003A7218" w:rsidRDefault="001664FA" w:rsidP="001664FA">
      <w:pPr>
        <w:rPr>
          <w:rtl/>
        </w:rPr>
      </w:pPr>
    </w:p>
    <w:p w14:paraId="748501D7" w14:textId="77777777" w:rsidR="001664FA" w:rsidRPr="003A7218" w:rsidRDefault="001664FA" w:rsidP="001664FA">
      <w:pPr>
        <w:rPr>
          <w:rtl/>
        </w:rPr>
      </w:pPr>
    </w:p>
    <w:p w14:paraId="2DA47983" w14:textId="77777777" w:rsidR="001664FA" w:rsidRPr="003A7218" w:rsidRDefault="001664FA" w:rsidP="001664FA">
      <w:pPr>
        <w:rPr>
          <w:rtl/>
        </w:rPr>
      </w:pPr>
      <w:r w:rsidRPr="003A7218">
        <w:rPr>
          <w:b/>
          <w:bCs/>
          <w:rtl/>
        </w:rPr>
        <w:t>הנאשם</w:t>
      </w:r>
      <w:r w:rsidRPr="003A7218">
        <w:rPr>
          <w:rtl/>
        </w:rPr>
        <w:t xml:space="preserve"> הביע חרטה על העבירה ועל רקע נישואיו לאשה חדשה אמר שרוצה לפתוח חיים חדשים ולגדל בשקט את ארבעת ילדיו.</w:t>
      </w:r>
    </w:p>
    <w:p w14:paraId="19D6595B" w14:textId="77777777" w:rsidR="001664FA" w:rsidRPr="003A7218" w:rsidRDefault="001664FA" w:rsidP="001664FA">
      <w:pPr>
        <w:rPr>
          <w:rtl/>
        </w:rPr>
      </w:pPr>
    </w:p>
    <w:p w14:paraId="4F2EA577" w14:textId="77777777" w:rsidR="001664FA" w:rsidRPr="003A7218" w:rsidRDefault="001664FA" w:rsidP="001664FA">
      <w:pPr>
        <w:rPr>
          <w:rtl/>
        </w:rPr>
      </w:pPr>
    </w:p>
    <w:p w14:paraId="4B8EA2EB" w14:textId="77777777" w:rsidR="001664FA" w:rsidRPr="003A7218" w:rsidRDefault="001664FA" w:rsidP="001664FA">
      <w:pPr>
        <w:rPr>
          <w:rtl/>
        </w:rPr>
      </w:pPr>
      <w:r w:rsidRPr="003A7218">
        <w:rPr>
          <w:b/>
          <w:bCs/>
          <w:rtl/>
        </w:rPr>
        <w:t>דיון והכרעה</w:t>
      </w:r>
      <w:r w:rsidRPr="003A7218">
        <w:rPr>
          <w:rtl/>
        </w:rPr>
        <w:t>:</w:t>
      </w:r>
    </w:p>
    <w:p w14:paraId="3A0CDF4C" w14:textId="77777777" w:rsidR="001664FA" w:rsidRPr="003A7218" w:rsidRDefault="001664FA" w:rsidP="001664FA">
      <w:pPr>
        <w:rPr>
          <w:rtl/>
        </w:rPr>
      </w:pPr>
    </w:p>
    <w:p w14:paraId="1ADF3CDB" w14:textId="77777777" w:rsidR="001664FA" w:rsidRPr="003A7218" w:rsidRDefault="001664FA" w:rsidP="001664FA">
      <w:pPr>
        <w:rPr>
          <w:rtl/>
        </w:rPr>
      </w:pPr>
      <w:r w:rsidRPr="003A7218">
        <w:rPr>
          <w:rtl/>
        </w:rPr>
        <w:t>אני מקבל את הערכים המוגנים שזיהתה המאשימה, והסנגור לא חלק עליהם.</w:t>
      </w:r>
    </w:p>
    <w:p w14:paraId="012E53A9" w14:textId="77777777" w:rsidR="001664FA" w:rsidRPr="003A7218" w:rsidRDefault="001664FA" w:rsidP="001664FA">
      <w:pPr>
        <w:rPr>
          <w:rtl/>
        </w:rPr>
      </w:pPr>
    </w:p>
    <w:p w14:paraId="694C336A" w14:textId="77777777" w:rsidR="001664FA" w:rsidRPr="003A7218" w:rsidRDefault="001664FA" w:rsidP="001664FA">
      <w:pPr>
        <w:rPr>
          <w:rtl/>
        </w:rPr>
      </w:pPr>
      <w:r w:rsidRPr="003A7218">
        <w:rPr>
          <w:rtl/>
        </w:rPr>
        <w:t xml:space="preserve">לעניין זה אצטט מתוך פסק הדין הראשון </w:t>
      </w:r>
      <w:r w:rsidRPr="003A7218">
        <w:rPr>
          <w:u w:val="single"/>
          <w:rtl/>
        </w:rPr>
        <w:t>שאזכר הסנגור</w:t>
      </w:r>
      <w:r w:rsidRPr="003A7218">
        <w:rPr>
          <w:rtl/>
        </w:rPr>
        <w:t xml:space="preserve"> (</w:t>
      </w:r>
      <w:hyperlink r:id="rId8" w:history="1">
        <w:r w:rsidR="003A6B73" w:rsidRPr="003A6B73">
          <w:rPr>
            <w:b/>
            <w:bCs/>
            <w:color w:val="0000FF"/>
            <w:u w:val="single"/>
            <w:rtl/>
          </w:rPr>
          <w:t>ת"פ 54826-08-16</w:t>
        </w:r>
      </w:hyperlink>
      <w:r w:rsidRPr="003A7218">
        <w:rPr>
          <w:rtl/>
        </w:rPr>
        <w:t xml:space="preserve">, </w:t>
      </w:r>
      <w:r w:rsidRPr="003A7218">
        <w:rPr>
          <w:b/>
          <w:bCs/>
          <w:rtl/>
        </w:rPr>
        <w:t>מ"י נ' אל כשקר</w:t>
      </w:r>
      <w:r w:rsidRPr="003A7218">
        <w:rPr>
          <w:rtl/>
        </w:rPr>
        <w:t xml:space="preserve"> (ניתנה ביום 5.4.17 בבית משפט השלום באילת):</w:t>
      </w:r>
    </w:p>
    <w:p w14:paraId="2B5D4C1E" w14:textId="77777777" w:rsidR="001664FA" w:rsidRPr="003A7218" w:rsidRDefault="001664FA" w:rsidP="001664FA">
      <w:pPr>
        <w:rPr>
          <w:rtl/>
        </w:rPr>
      </w:pPr>
    </w:p>
    <w:p w14:paraId="353DDB56" w14:textId="77777777" w:rsidR="001664FA" w:rsidRPr="003A7218" w:rsidRDefault="001664FA" w:rsidP="001664FA">
      <w:pPr>
        <w:rPr>
          <w:rtl/>
        </w:rPr>
      </w:pPr>
      <w:r w:rsidRPr="003A7218">
        <w:rPr>
          <w:b/>
          <w:bCs/>
          <w:rtl/>
        </w:rPr>
        <w:t>"</w:t>
      </w:r>
      <w:r w:rsidRPr="003A7218">
        <w:rPr>
          <w:b/>
          <w:bCs/>
          <w:u w:val="single"/>
          <w:rtl/>
        </w:rPr>
        <w:t>הערכים החברתיים המוגנים</w:t>
      </w:r>
      <w:r w:rsidRPr="003A7218">
        <w:rPr>
          <w:rtl/>
        </w:rPr>
        <w:t xml:space="preserve"> </w:t>
      </w:r>
      <w:r w:rsidRPr="003A7218">
        <w:rPr>
          <w:b/>
          <w:bCs/>
          <w:rtl/>
        </w:rPr>
        <w:t>אשר נפגעו כתוצאה ממעשיו של הנאשם, הינם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הרי שנגע ההתמכרות מביא בעקבותיו גם את הרחבת מעגל הפשיעה, כאשר המכור לסם מתפתה לבצע עבירות נוספות וזאת על מנת לממן לעצמו את מנת הסם הבאה. מי שמחזיק בסמים שלא לצריכתו העצמית, נמצא בתוך שרשרת הפצת הסם אותה יש לגדוע."</w:t>
      </w:r>
      <w:r w:rsidRPr="003A7218">
        <w:rPr>
          <w:rtl/>
        </w:rPr>
        <w:t xml:space="preserve"> (וכן, כמובן, האסמכתאות מפסקי הדין של בית המשפט העליון בהן תמך את פסיקתו).</w:t>
      </w:r>
    </w:p>
    <w:p w14:paraId="2114542D" w14:textId="77777777" w:rsidR="001664FA" w:rsidRPr="003A7218" w:rsidRDefault="001664FA" w:rsidP="001664FA">
      <w:pPr>
        <w:rPr>
          <w:rtl/>
        </w:rPr>
      </w:pPr>
    </w:p>
    <w:p w14:paraId="23EE0556" w14:textId="77777777" w:rsidR="001664FA" w:rsidRPr="003A7218" w:rsidRDefault="001664FA" w:rsidP="001664FA">
      <w:pPr>
        <w:rPr>
          <w:rtl/>
        </w:rPr>
      </w:pPr>
      <w:r w:rsidRPr="003A7218">
        <w:rPr>
          <w:rtl/>
        </w:rPr>
        <w:t>כך גם למסקנת בית המשפט באותו פסק דין באשר למתחם הענישה אף שהיה מדובר בסם מסוג קנביס:</w:t>
      </w:r>
    </w:p>
    <w:p w14:paraId="7D4F768D" w14:textId="77777777" w:rsidR="001664FA" w:rsidRPr="003A7218" w:rsidRDefault="001664FA" w:rsidP="001664FA">
      <w:pPr>
        <w:rPr>
          <w:rtl/>
        </w:rPr>
      </w:pPr>
    </w:p>
    <w:p w14:paraId="6C83F5E8" w14:textId="77777777" w:rsidR="001664FA" w:rsidRPr="003A7218" w:rsidRDefault="001664FA" w:rsidP="001664FA">
      <w:pPr>
        <w:rPr>
          <w:b/>
          <w:bCs/>
          <w:rtl/>
        </w:rPr>
      </w:pPr>
      <w:r w:rsidRPr="003A7218">
        <w:rPr>
          <w:rtl/>
        </w:rPr>
        <w:t xml:space="preserve"> </w:t>
      </w:r>
      <w:r w:rsidRPr="003A7218">
        <w:rPr>
          <w:b/>
          <w:bCs/>
          <w:rtl/>
        </w:rPr>
        <w:t xml:space="preserve">בשים לב לערכים המוגנים שנפגעו כתוצאה ממעשיו של הנאשם ומידת הפגיעה בהם, בהתחשב בנסיבות הקשורות בביצוע העבירה ובמדיניות הענישה הנוהגת אני סבור כי מתחם הענישה ההולם בנסיבות העניין נע בין תקופת מאסר בת 6 חודשים שיכול ותרוצה בדרך של עבודות שירות ועד 12 חודשי מאסר וזאת לצד עונשים נלווים, לרבות עיצום כספי משמעותי בשים לב לטיב העבירה ולרווח הכספי המופק ממנה. </w:t>
      </w:r>
    </w:p>
    <w:p w14:paraId="1D7DBAB2" w14:textId="77777777" w:rsidR="001664FA" w:rsidRPr="003A7218" w:rsidRDefault="001664FA" w:rsidP="001664FA"/>
    <w:p w14:paraId="7B700A6A" w14:textId="77777777" w:rsidR="001664FA" w:rsidRPr="003A7218" w:rsidRDefault="001664FA" w:rsidP="001664FA">
      <w:pPr>
        <w:rPr>
          <w:rtl/>
        </w:rPr>
      </w:pPr>
      <w:r w:rsidRPr="003A7218">
        <w:rPr>
          <w:rtl/>
        </w:rPr>
        <w:t xml:space="preserve">בפסק הדין השני </w:t>
      </w:r>
      <w:r w:rsidRPr="003A7218">
        <w:rPr>
          <w:u w:val="single"/>
          <w:rtl/>
        </w:rPr>
        <w:t>שאזכר הסנגור</w:t>
      </w:r>
      <w:r w:rsidRPr="003A7218">
        <w:rPr>
          <w:rtl/>
        </w:rPr>
        <w:t xml:space="preserve"> (</w:t>
      </w:r>
      <w:hyperlink r:id="rId9" w:history="1">
        <w:r w:rsidR="003A6B73" w:rsidRPr="003A6B73">
          <w:rPr>
            <w:b/>
            <w:bCs/>
            <w:color w:val="0000FF"/>
            <w:u w:val="single"/>
            <w:rtl/>
          </w:rPr>
          <w:t>ת"פ 51933-05-12</w:t>
        </w:r>
      </w:hyperlink>
      <w:r w:rsidRPr="003A7218">
        <w:rPr>
          <w:rtl/>
        </w:rPr>
        <w:t xml:space="preserve">, </w:t>
      </w:r>
      <w:r w:rsidRPr="003A7218">
        <w:rPr>
          <w:b/>
          <w:bCs/>
          <w:rtl/>
        </w:rPr>
        <w:t>מ"י נ' בוטבול</w:t>
      </w:r>
      <w:r w:rsidRPr="003A7218">
        <w:rPr>
          <w:rtl/>
        </w:rPr>
        <w:t>, ניתן 27.3.14, בימ"ש שלום נצרת) קבע בית המשפט כי "</w:t>
      </w:r>
      <w:r w:rsidRPr="003A7218">
        <w:rPr>
          <w:b/>
          <w:bCs/>
          <w:rtl/>
        </w:rPr>
        <w:t>מתחם הענישה</w:t>
      </w:r>
      <w:r w:rsidR="003A6B73">
        <w:rPr>
          <w:b/>
          <w:bCs/>
          <w:rtl/>
        </w:rPr>
        <w:t xml:space="preserve"> </w:t>
      </w:r>
      <w:r w:rsidRPr="003A7218">
        <w:rPr>
          <w:b/>
          <w:bCs/>
          <w:rtl/>
        </w:rPr>
        <w:t xml:space="preserve"> בגין עבירה זו נע בין מאסר בפועל של 10 חודשים לבין 24 חודשי מאסר בפועל</w:t>
      </w:r>
      <w:r w:rsidRPr="003A7218">
        <w:rPr>
          <w:rtl/>
        </w:rPr>
        <w:t>".</w:t>
      </w:r>
    </w:p>
    <w:p w14:paraId="144C76DA" w14:textId="77777777" w:rsidR="001664FA" w:rsidRPr="003A7218" w:rsidRDefault="001664FA" w:rsidP="001664FA">
      <w:pPr>
        <w:rPr>
          <w:rtl/>
        </w:rPr>
      </w:pPr>
    </w:p>
    <w:p w14:paraId="547843DD" w14:textId="77777777" w:rsidR="001664FA" w:rsidRPr="003A7218" w:rsidRDefault="001664FA" w:rsidP="001664FA">
      <w:pPr>
        <w:rPr>
          <w:rtl/>
        </w:rPr>
      </w:pPr>
      <w:r w:rsidRPr="003A7218">
        <w:rPr>
          <w:rtl/>
        </w:rPr>
        <w:t>כך גם בשאר 5 פסקי הדין שאזכר הסנגור, בכולם – פרט לאחד – נקבעו מתחמי ענישה דומים.</w:t>
      </w:r>
    </w:p>
    <w:p w14:paraId="24D057BE" w14:textId="77777777" w:rsidR="001664FA" w:rsidRPr="003A7218" w:rsidRDefault="001664FA" w:rsidP="001664FA">
      <w:pPr>
        <w:rPr>
          <w:rtl/>
        </w:rPr>
      </w:pPr>
    </w:p>
    <w:p w14:paraId="67C2E16C" w14:textId="77777777" w:rsidR="001664FA" w:rsidRPr="003A7218" w:rsidRDefault="001664FA" w:rsidP="001664FA">
      <w:pPr>
        <w:rPr>
          <w:rtl/>
        </w:rPr>
      </w:pPr>
    </w:p>
    <w:p w14:paraId="3A4EDE6D" w14:textId="77777777" w:rsidR="001664FA" w:rsidRPr="003A7218" w:rsidRDefault="001664FA" w:rsidP="001664FA">
      <w:pPr>
        <w:rPr>
          <w:b/>
          <w:bCs/>
          <w:rtl/>
        </w:rPr>
      </w:pPr>
      <w:r w:rsidRPr="003A7218">
        <w:rPr>
          <w:b/>
          <w:bCs/>
          <w:rtl/>
        </w:rPr>
        <w:t>אני קובע אפוא כי מתחם הענישה שעתרה לו המאשימה חל גם על הנאשם בתיק זה, דהיינו בין 6 ל – 12 חודשי מאסר.</w:t>
      </w:r>
    </w:p>
    <w:p w14:paraId="7EB7CE8A" w14:textId="77777777" w:rsidR="001664FA" w:rsidRPr="003A7218" w:rsidRDefault="001664FA" w:rsidP="001664FA">
      <w:pPr>
        <w:rPr>
          <w:b/>
          <w:bCs/>
          <w:rtl/>
        </w:rPr>
      </w:pPr>
    </w:p>
    <w:p w14:paraId="6C7B8741" w14:textId="77777777" w:rsidR="001664FA" w:rsidRPr="003A7218" w:rsidRDefault="001664FA" w:rsidP="001664FA">
      <w:pPr>
        <w:rPr>
          <w:rtl/>
        </w:rPr>
      </w:pPr>
    </w:p>
    <w:p w14:paraId="5A00C405" w14:textId="77777777" w:rsidR="001664FA" w:rsidRPr="003A7218" w:rsidRDefault="001664FA" w:rsidP="001664FA">
      <w:pPr>
        <w:rPr>
          <w:rtl/>
        </w:rPr>
      </w:pPr>
      <w:r w:rsidRPr="003A7218">
        <w:rPr>
          <w:rtl/>
        </w:rPr>
        <w:t>התחשבתי גם בחלקים החיוביים, יחסית, שמצא שירות המבחן לזכותו של הנאשם, ויחד עם זאת מצאתי כי עברו הפלילי העשיר של הנאשם, התכחשותו המסויימת לעבירתו וחוסר הנכונות לטיפול בשורש בעיותיו (אף שהוא אינו חסר בעיות רבות נוספות) אינו מאפשר להקל בדינו הקלה משמעותית.</w:t>
      </w:r>
    </w:p>
    <w:p w14:paraId="6A6CD3F2" w14:textId="77777777" w:rsidR="001664FA" w:rsidRPr="003A7218" w:rsidRDefault="001664FA" w:rsidP="001664FA">
      <w:pPr>
        <w:rPr>
          <w:rtl/>
        </w:rPr>
      </w:pPr>
    </w:p>
    <w:p w14:paraId="6C0BECD6" w14:textId="77777777" w:rsidR="001664FA" w:rsidRPr="003A7218" w:rsidRDefault="001664FA" w:rsidP="001664FA">
      <w:pPr>
        <w:rPr>
          <w:rtl/>
        </w:rPr>
      </w:pPr>
      <w:r w:rsidRPr="003A7218">
        <w:rPr>
          <w:rtl/>
        </w:rPr>
        <w:t>כך גם בהתחשב בסוג הסם שהחזיק הנאשם, נייס-גאי.</w:t>
      </w:r>
    </w:p>
    <w:p w14:paraId="2089CC99" w14:textId="77777777" w:rsidR="001664FA" w:rsidRPr="003A7218" w:rsidRDefault="001664FA" w:rsidP="001664FA">
      <w:pPr>
        <w:rPr>
          <w:rtl/>
        </w:rPr>
      </w:pPr>
    </w:p>
    <w:p w14:paraId="617AD0FD" w14:textId="77777777" w:rsidR="001664FA" w:rsidRPr="003A7218" w:rsidRDefault="001664FA" w:rsidP="001664FA">
      <w:pPr>
        <w:rPr>
          <w:rtl/>
        </w:rPr>
      </w:pPr>
      <w:r w:rsidRPr="003A7218">
        <w:rPr>
          <w:rtl/>
        </w:rPr>
        <w:t xml:space="preserve">בעיניי אין מדובר בסם קל, כלל וכלל. נהפוך הוא – הנזקים שסם זה אוצר בהשפעתו לעיתים חריפים מאלה של סמים הנחשבים "קשים". </w:t>
      </w:r>
    </w:p>
    <w:p w14:paraId="3FB057B9" w14:textId="77777777" w:rsidR="001664FA" w:rsidRPr="003A7218" w:rsidRDefault="001664FA" w:rsidP="001664FA">
      <w:pPr>
        <w:rPr>
          <w:rtl/>
        </w:rPr>
      </w:pPr>
      <w:r w:rsidRPr="003A7218">
        <w:rPr>
          <w:rtl/>
        </w:rPr>
        <w:t>די באזכור ה"חוויה" שעבר הנאשם בעבר תוך שימוש בסם זה, שכמעט הביאה למותו, כדי להמחיש זאת.</w:t>
      </w:r>
    </w:p>
    <w:p w14:paraId="6B221791" w14:textId="77777777" w:rsidR="001664FA" w:rsidRPr="003A7218" w:rsidRDefault="001664FA" w:rsidP="001664FA">
      <w:pPr>
        <w:rPr>
          <w:rtl/>
        </w:rPr>
      </w:pPr>
      <w:r w:rsidRPr="003A7218">
        <w:rPr>
          <w:rtl/>
        </w:rPr>
        <w:t>קל וחומר בהתחשב בכמותו הגדולה של הסם שהחזיק הנאשם עת נתפס בידי המשטרה.</w:t>
      </w:r>
    </w:p>
    <w:p w14:paraId="15EEFAD5" w14:textId="77777777" w:rsidR="001664FA" w:rsidRPr="003A7218" w:rsidRDefault="001664FA" w:rsidP="001664FA">
      <w:pPr>
        <w:rPr>
          <w:rtl/>
        </w:rPr>
      </w:pPr>
    </w:p>
    <w:p w14:paraId="0C197940" w14:textId="77777777" w:rsidR="001664FA" w:rsidRPr="003A7218" w:rsidRDefault="001664FA" w:rsidP="001664FA">
      <w:pPr>
        <w:rPr>
          <w:b/>
          <w:bCs/>
          <w:rtl/>
        </w:rPr>
      </w:pPr>
      <w:r w:rsidRPr="003A7218">
        <w:rPr>
          <w:b/>
          <w:bCs/>
          <w:rtl/>
        </w:rPr>
        <w:t>אני קובע אפוא כי יש למקם את הנאשם במקום בינוני גבוה במתחם הענישה שקבעתי.</w:t>
      </w:r>
    </w:p>
    <w:p w14:paraId="484D44BF" w14:textId="77777777" w:rsidR="001664FA" w:rsidRPr="003A7218" w:rsidRDefault="001664FA" w:rsidP="001664FA">
      <w:pPr>
        <w:rPr>
          <w:b/>
          <w:bCs/>
          <w:rtl/>
        </w:rPr>
      </w:pPr>
    </w:p>
    <w:p w14:paraId="57532B94" w14:textId="77777777" w:rsidR="001664FA" w:rsidRPr="003A7218" w:rsidRDefault="001664FA" w:rsidP="001664FA">
      <w:pPr>
        <w:rPr>
          <w:rtl/>
        </w:rPr>
      </w:pPr>
    </w:p>
    <w:p w14:paraId="2CBB9E97" w14:textId="77777777" w:rsidR="001664FA" w:rsidRPr="003A7218" w:rsidRDefault="001664FA" w:rsidP="001664FA">
      <w:pPr>
        <w:rPr>
          <w:rtl/>
        </w:rPr>
      </w:pPr>
      <w:r w:rsidRPr="003A7218">
        <w:rPr>
          <w:rtl/>
        </w:rPr>
        <w:t>בהינתן דברים אלה, כמו גם דרכו הנלוזה של הנאשם מול הממונה על עבודות השירות, אין לשקול בתיק זה מאסר בעבודות שירות כלל.</w:t>
      </w:r>
    </w:p>
    <w:p w14:paraId="34BFC7D2" w14:textId="77777777" w:rsidR="001664FA" w:rsidRPr="003A7218" w:rsidRDefault="001664FA" w:rsidP="001664FA">
      <w:pPr>
        <w:rPr>
          <w:rtl/>
        </w:rPr>
      </w:pPr>
    </w:p>
    <w:p w14:paraId="3C618946" w14:textId="77777777" w:rsidR="001664FA" w:rsidRPr="003A7218" w:rsidRDefault="001664FA" w:rsidP="001664FA">
      <w:pPr>
        <w:rPr>
          <w:rtl/>
        </w:rPr>
      </w:pPr>
    </w:p>
    <w:p w14:paraId="04DC0EEF" w14:textId="77777777" w:rsidR="001664FA" w:rsidRPr="003A7218" w:rsidRDefault="001664FA" w:rsidP="001664FA">
      <w:pPr>
        <w:rPr>
          <w:rtl/>
        </w:rPr>
      </w:pPr>
      <w:r w:rsidRPr="003A7218">
        <w:rPr>
          <w:rtl/>
        </w:rPr>
        <w:t>אשר על כן אני גוזר על הנאשם את העונשים הבאים:</w:t>
      </w:r>
    </w:p>
    <w:p w14:paraId="0935ABC3" w14:textId="77777777" w:rsidR="001664FA" w:rsidRPr="003A7218" w:rsidRDefault="001664FA" w:rsidP="001664FA">
      <w:pPr>
        <w:rPr>
          <w:rtl/>
        </w:rPr>
      </w:pPr>
    </w:p>
    <w:p w14:paraId="6B0B0F82" w14:textId="77777777" w:rsidR="001664FA" w:rsidRPr="003A7218" w:rsidRDefault="001664FA" w:rsidP="001664FA">
      <w:pPr>
        <w:numPr>
          <w:ilvl w:val="0"/>
          <w:numId w:val="1"/>
        </w:numPr>
        <w:rPr>
          <w:rtl/>
        </w:rPr>
      </w:pPr>
      <w:r w:rsidRPr="003A7218">
        <w:rPr>
          <w:rtl/>
        </w:rPr>
        <w:t>מאסר למשך 10 חודשים בניכוי 51 ימי מעצרו של הנאשם. הנאשם יתייצב לריצוי מאסרו ביום 20.2.22.</w:t>
      </w:r>
    </w:p>
    <w:p w14:paraId="225EECDC" w14:textId="77777777" w:rsidR="001664FA" w:rsidRPr="003A7218" w:rsidRDefault="001664FA" w:rsidP="001664FA"/>
    <w:p w14:paraId="2EB16680" w14:textId="77777777" w:rsidR="001664FA" w:rsidRPr="003A7218" w:rsidRDefault="001664FA" w:rsidP="001664FA">
      <w:pPr>
        <w:numPr>
          <w:ilvl w:val="0"/>
          <w:numId w:val="1"/>
        </w:numPr>
      </w:pPr>
      <w:r w:rsidRPr="003A7218">
        <w:rPr>
          <w:rtl/>
        </w:rPr>
        <w:t>מאסר למשך 3 חודשים, ואולם הנאשם לא ירצה עונש זה אלא אם יעבור בתוך 3 שנים מיום שחרורו מהכלא כל עבירה על פקודת הסמים מסוג עוון.</w:t>
      </w:r>
    </w:p>
    <w:p w14:paraId="66B60747" w14:textId="77777777" w:rsidR="001664FA" w:rsidRPr="003A7218" w:rsidRDefault="001664FA" w:rsidP="001664FA"/>
    <w:p w14:paraId="70421345" w14:textId="77777777" w:rsidR="001664FA" w:rsidRPr="003A7218" w:rsidRDefault="001664FA" w:rsidP="001664FA">
      <w:pPr>
        <w:numPr>
          <w:ilvl w:val="0"/>
          <w:numId w:val="1"/>
        </w:numPr>
        <w:rPr>
          <w:rtl/>
        </w:rPr>
      </w:pPr>
      <w:r w:rsidRPr="003A7218">
        <w:rPr>
          <w:rtl/>
        </w:rPr>
        <w:t xml:space="preserve">מאסר למשך 7 חודשים ואולם הנאשם לא ירצה עונש זה אלא אם יעבור בתוך 3 שנים מיום שחרורו מהכלא כל עבירה על </w:t>
      </w:r>
      <w:hyperlink r:id="rId10" w:history="1">
        <w:r w:rsidR="003A6B73" w:rsidRPr="003A6B73">
          <w:rPr>
            <w:color w:val="0000FF"/>
            <w:u w:val="single"/>
            <w:rtl/>
          </w:rPr>
          <w:t>פקודת הסמים המסוכנים</w:t>
        </w:r>
      </w:hyperlink>
      <w:r w:rsidRPr="003A7218">
        <w:rPr>
          <w:rtl/>
        </w:rPr>
        <w:t xml:space="preserve"> מסוג פשע.</w:t>
      </w:r>
    </w:p>
    <w:p w14:paraId="31EA2E29" w14:textId="77777777" w:rsidR="001664FA" w:rsidRPr="003A7218" w:rsidRDefault="001664FA" w:rsidP="001664FA"/>
    <w:p w14:paraId="7FF9AA8A" w14:textId="77777777" w:rsidR="001664FA" w:rsidRPr="003A7218" w:rsidRDefault="001664FA" w:rsidP="001664FA">
      <w:pPr>
        <w:numPr>
          <w:ilvl w:val="0"/>
          <w:numId w:val="1"/>
        </w:numPr>
        <w:rPr>
          <w:rtl/>
        </w:rPr>
      </w:pPr>
      <w:r w:rsidRPr="003A7218">
        <w:rPr>
          <w:rtl/>
        </w:rPr>
        <w:t>בהינתן שהמאשימה לא עתרה לעונש של פסילה, אני פוסל את הנאשם מהחזקת רישיון נהיגה למשך 7 חודשים, ואולם הנאשם לא ירצה עונש זה אלא אם יעבור בתוך 3 שנים מיום שחרורו מהכלא אחת מעבירות התנאי.</w:t>
      </w:r>
    </w:p>
    <w:p w14:paraId="2810738F" w14:textId="77777777" w:rsidR="001664FA" w:rsidRPr="003A7218" w:rsidRDefault="001664FA" w:rsidP="001664FA"/>
    <w:p w14:paraId="1A2DFF81" w14:textId="77777777" w:rsidR="001664FA" w:rsidRPr="003A7218" w:rsidRDefault="001664FA" w:rsidP="001664FA">
      <w:pPr>
        <w:numPr>
          <w:ilvl w:val="0"/>
          <w:numId w:val="1"/>
        </w:numPr>
        <w:rPr>
          <w:rtl/>
        </w:rPr>
      </w:pPr>
      <w:r w:rsidRPr="003A7218">
        <w:rPr>
          <w:rtl/>
        </w:rPr>
        <w:t xml:space="preserve">בהינתן מצבו הכלכלי הרעוע של הנאשם אינני גוזר עליו קנס. חלף זאת אני מחייב את הנאשם להצהיר כי אם יעבור בתוך שנה מיום שחרורו מהכלא אחת מעבירות התנאי, ישלם סך 7500 ₪. יסרב להצהיר – יאסר למשך 10 ימים. הצהרת הנאשם נרשמה לפניי. </w:t>
      </w:r>
    </w:p>
    <w:p w14:paraId="71AFC76F" w14:textId="77777777" w:rsidR="001664FA" w:rsidRPr="003A7218" w:rsidRDefault="001664FA" w:rsidP="001664FA"/>
    <w:p w14:paraId="7F82E9C7" w14:textId="77777777" w:rsidR="001664FA" w:rsidRPr="003A7218" w:rsidRDefault="001664FA" w:rsidP="001664FA">
      <w:pPr>
        <w:rPr>
          <w:rtl/>
        </w:rPr>
      </w:pPr>
    </w:p>
    <w:p w14:paraId="5C4F6C41" w14:textId="77777777" w:rsidR="001664FA" w:rsidRPr="003A7218" w:rsidRDefault="001664FA" w:rsidP="001664FA">
      <w:pPr>
        <w:rPr>
          <w:rtl/>
        </w:rPr>
      </w:pPr>
    </w:p>
    <w:p w14:paraId="6DF8E848" w14:textId="77777777" w:rsidR="001664FA" w:rsidRPr="003A7218" w:rsidRDefault="001664FA" w:rsidP="001664FA"/>
    <w:p w14:paraId="00F3F6DD" w14:textId="77777777" w:rsidR="001664FA" w:rsidRPr="003A7218" w:rsidRDefault="001664FA" w:rsidP="001664FA">
      <w:r w:rsidRPr="003A7218">
        <w:rPr>
          <w:rtl/>
        </w:rPr>
        <w:t>המוצגים יושמדו.</w:t>
      </w:r>
    </w:p>
    <w:p w14:paraId="2A52348F" w14:textId="77777777" w:rsidR="001664FA" w:rsidRPr="003A7218" w:rsidRDefault="001664FA" w:rsidP="001664FA">
      <w:pPr>
        <w:rPr>
          <w:rtl/>
        </w:rPr>
      </w:pPr>
    </w:p>
    <w:p w14:paraId="2EB7153D" w14:textId="77777777" w:rsidR="001664FA" w:rsidRPr="003A7218" w:rsidRDefault="001664FA" w:rsidP="001664FA">
      <w:pPr>
        <w:rPr>
          <w:rtl/>
        </w:rPr>
      </w:pPr>
      <w:r w:rsidRPr="003A7218">
        <w:rPr>
          <w:rtl/>
        </w:rPr>
        <w:t>זכות ערעור לבית המשפט המחוזי בתוך 45 ימים מהיום.</w:t>
      </w:r>
    </w:p>
    <w:p w14:paraId="40B6887C" w14:textId="77777777" w:rsidR="001664FA" w:rsidRPr="003A7218" w:rsidRDefault="001664FA" w:rsidP="001664FA">
      <w:pPr>
        <w:rPr>
          <w:rtl/>
        </w:rPr>
      </w:pPr>
      <w:r w:rsidRPr="003A7218">
        <w:rPr>
          <w:rtl/>
        </w:rPr>
        <w:t xml:space="preserve">  </w:t>
      </w:r>
    </w:p>
    <w:p w14:paraId="359ECB89" w14:textId="77777777" w:rsidR="001664FA" w:rsidRPr="003A7218" w:rsidRDefault="001664FA" w:rsidP="001664FA">
      <w:pPr>
        <w:rPr>
          <w:rtl/>
        </w:rPr>
      </w:pPr>
    </w:p>
    <w:p w14:paraId="27F317B2" w14:textId="77777777" w:rsidR="001664FA" w:rsidRPr="003A7218" w:rsidRDefault="001664FA" w:rsidP="001664FA">
      <w:pPr>
        <w:rPr>
          <w:rtl/>
        </w:rPr>
      </w:pPr>
    </w:p>
    <w:p w14:paraId="33E0C1BC" w14:textId="77777777" w:rsidR="001664FA" w:rsidRPr="003A7218" w:rsidRDefault="001664FA" w:rsidP="001664FA">
      <w:pPr>
        <w:rPr>
          <w:rtl/>
        </w:rPr>
      </w:pPr>
    </w:p>
    <w:p w14:paraId="50751A5E" w14:textId="77777777" w:rsidR="001664FA" w:rsidRPr="003A7218" w:rsidRDefault="001664FA" w:rsidP="001664FA">
      <w:pPr>
        <w:rPr>
          <w:rtl/>
        </w:rPr>
      </w:pPr>
    </w:p>
    <w:p w14:paraId="37817685" w14:textId="77777777" w:rsidR="001664FA" w:rsidRPr="003A7218" w:rsidRDefault="001664FA" w:rsidP="001664FA">
      <w:pPr>
        <w:rPr>
          <w:rtl/>
        </w:rPr>
      </w:pPr>
    </w:p>
    <w:p w14:paraId="7CAC9525" w14:textId="77777777" w:rsidR="001664FA" w:rsidRPr="003A7218" w:rsidRDefault="003A6B73" w:rsidP="001664FA">
      <w:bookmarkStart w:id="7" w:name="Nitan"/>
      <w:r w:rsidRPr="003A6B73">
        <w:rPr>
          <w:color w:val="FFFFFF"/>
          <w:sz w:val="2"/>
          <w:szCs w:val="2"/>
          <w:rtl/>
        </w:rPr>
        <w:t>5129371</w:t>
      </w:r>
      <w:r>
        <w:rPr>
          <w:rtl/>
        </w:rPr>
        <w:t xml:space="preserve">ניתן היום,  ד' שבט תשפ"ב, 06 ינואר 2022, בהעדר הצדדים. </w:t>
      </w:r>
      <w:bookmarkEnd w:id="7"/>
    </w:p>
    <w:p w14:paraId="03E29B90" w14:textId="77777777" w:rsidR="001664FA" w:rsidRPr="003A6B73" w:rsidRDefault="003A6B73" w:rsidP="003A6B73">
      <w:pPr>
        <w:rPr>
          <w:color w:val="FFFFFF"/>
          <w:sz w:val="2"/>
          <w:szCs w:val="2"/>
        </w:rPr>
      </w:pPr>
      <w:r w:rsidRPr="003A6B73">
        <w:rPr>
          <w:color w:val="FFFFFF"/>
          <w:sz w:val="2"/>
          <w:szCs w:val="2"/>
          <w:rtl/>
        </w:rPr>
        <w:t>54678313</w:t>
      </w:r>
      <w:r w:rsidR="001664FA" w:rsidRPr="003A6B73">
        <w:rPr>
          <w:color w:val="FFFFFF"/>
          <w:sz w:val="2"/>
          <w:szCs w:val="2"/>
          <w:rtl/>
        </w:rPr>
        <w:t xml:space="preserve">   </w:t>
      </w:r>
      <w:r w:rsidR="001664FA" w:rsidRPr="003A6B73">
        <w:rPr>
          <w:color w:val="FFFFFF"/>
          <w:sz w:val="2"/>
          <w:szCs w:val="2"/>
          <w:rtl/>
        </w:rPr>
        <w:tab/>
      </w:r>
      <w:r w:rsidR="001664FA" w:rsidRPr="003A6B73">
        <w:rPr>
          <w:color w:val="FFFFFF"/>
          <w:sz w:val="2"/>
          <w:szCs w:val="2"/>
          <w:rtl/>
        </w:rPr>
        <w:tab/>
      </w:r>
      <w:r w:rsidR="001664FA" w:rsidRPr="003A6B73">
        <w:rPr>
          <w:color w:val="FFFFFF"/>
          <w:sz w:val="2"/>
          <w:szCs w:val="2"/>
          <w:rtl/>
        </w:rPr>
        <w:tab/>
      </w:r>
      <w:r w:rsidR="001664FA" w:rsidRPr="003A6B73">
        <w:rPr>
          <w:color w:val="FFFFFF"/>
          <w:sz w:val="2"/>
          <w:szCs w:val="2"/>
          <w:rtl/>
        </w:rPr>
        <w:tab/>
      </w:r>
      <w:r w:rsidR="001664FA" w:rsidRPr="003A6B73">
        <w:rPr>
          <w:color w:val="FFFFFF"/>
          <w:sz w:val="2"/>
          <w:szCs w:val="2"/>
          <w:rtl/>
        </w:rPr>
        <w:tab/>
      </w:r>
    </w:p>
    <w:p w14:paraId="2776A52D" w14:textId="77777777" w:rsidR="001664FA" w:rsidRPr="003A7218" w:rsidRDefault="001664FA" w:rsidP="001664FA">
      <w:pPr>
        <w:rPr>
          <w:rtl/>
        </w:rPr>
      </w:pPr>
    </w:p>
    <w:p w14:paraId="0DAB7C3A" w14:textId="77777777" w:rsidR="001664FA" w:rsidRPr="003A7218" w:rsidRDefault="001664FA" w:rsidP="001664FA">
      <w:pPr>
        <w:rPr>
          <w:rtl/>
        </w:rPr>
      </w:pPr>
    </w:p>
    <w:p w14:paraId="06C97E7D" w14:textId="77777777" w:rsidR="001664FA" w:rsidRPr="003A7218" w:rsidRDefault="001664FA" w:rsidP="001664FA">
      <w:pPr>
        <w:rPr>
          <w:rtl/>
        </w:rPr>
      </w:pPr>
    </w:p>
    <w:p w14:paraId="7B062479" w14:textId="77777777" w:rsidR="001664FA" w:rsidRPr="006E4292" w:rsidRDefault="006E4292" w:rsidP="001664FA">
      <w:pPr>
        <w:rPr>
          <w:color w:val="FFFFFF"/>
          <w:sz w:val="2"/>
          <w:szCs w:val="2"/>
          <w:rtl/>
        </w:rPr>
      </w:pPr>
      <w:r w:rsidRPr="006E4292">
        <w:rPr>
          <w:color w:val="FFFFFF"/>
          <w:sz w:val="2"/>
          <w:szCs w:val="2"/>
          <w:rtl/>
        </w:rPr>
        <w:t>5129371</w:t>
      </w:r>
    </w:p>
    <w:p w14:paraId="35B23676" w14:textId="77777777" w:rsidR="00011DE9" w:rsidRPr="006E4292" w:rsidRDefault="006E4292" w:rsidP="003A6B73">
      <w:pPr>
        <w:keepNext/>
        <w:rPr>
          <w:rFonts w:ascii="David" w:hAnsi="David"/>
          <w:color w:val="FFFFFF"/>
          <w:sz w:val="2"/>
          <w:szCs w:val="2"/>
          <w:rtl/>
        </w:rPr>
      </w:pPr>
      <w:r w:rsidRPr="006E4292">
        <w:rPr>
          <w:rFonts w:ascii="David" w:hAnsi="David"/>
          <w:color w:val="FFFFFF"/>
          <w:sz w:val="2"/>
          <w:szCs w:val="2"/>
          <w:rtl/>
        </w:rPr>
        <w:t>54678313</w:t>
      </w:r>
    </w:p>
    <w:p w14:paraId="10E01421" w14:textId="77777777" w:rsidR="003A6B73" w:rsidRDefault="003A6B73" w:rsidP="003A6B73">
      <w:pPr>
        <w:rPr>
          <w:rtl/>
        </w:rPr>
      </w:pPr>
    </w:p>
    <w:p w14:paraId="7F70DF7F" w14:textId="77777777" w:rsidR="003A6B73" w:rsidRDefault="003A6B73" w:rsidP="003A6B73">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83AFD1B" w14:textId="77777777" w:rsidR="006E4292" w:rsidRPr="006E4292" w:rsidRDefault="006E4292" w:rsidP="006E4292">
      <w:pPr>
        <w:keepNext/>
        <w:rPr>
          <w:rFonts w:ascii="David" w:hAnsi="David"/>
          <w:color w:val="000000"/>
          <w:sz w:val="22"/>
          <w:szCs w:val="22"/>
          <w:rtl/>
        </w:rPr>
      </w:pPr>
    </w:p>
    <w:p w14:paraId="7A0CB2EC" w14:textId="77777777" w:rsidR="006E4292" w:rsidRPr="006E4292" w:rsidRDefault="006E4292" w:rsidP="006E4292">
      <w:pPr>
        <w:keepNext/>
        <w:rPr>
          <w:rFonts w:ascii="David" w:hAnsi="David"/>
          <w:color w:val="000000"/>
          <w:sz w:val="22"/>
          <w:szCs w:val="22"/>
          <w:rtl/>
        </w:rPr>
      </w:pPr>
      <w:r w:rsidRPr="006E4292">
        <w:rPr>
          <w:rFonts w:ascii="David" w:hAnsi="David"/>
          <w:color w:val="000000"/>
          <w:sz w:val="22"/>
          <w:szCs w:val="22"/>
          <w:rtl/>
        </w:rPr>
        <w:t>אביחי דורון 54678313-/</w:t>
      </w:r>
    </w:p>
    <w:p w14:paraId="5438F7D4" w14:textId="77777777" w:rsidR="003A6B73" w:rsidRPr="003A6B73" w:rsidRDefault="006E4292" w:rsidP="006E4292">
      <w:pPr>
        <w:rPr>
          <w:color w:val="0000FF"/>
          <w:u w:val="single"/>
        </w:rPr>
      </w:pPr>
      <w:r w:rsidRPr="006E4292">
        <w:rPr>
          <w:color w:val="000000"/>
          <w:u w:val="single"/>
          <w:rtl/>
        </w:rPr>
        <w:t>נוסח מסמך זה כפוף לשינויי ניסוח ועריכה</w:t>
      </w:r>
    </w:p>
    <w:sectPr w:rsidR="003A6B73" w:rsidRPr="003A6B73" w:rsidSect="006E4292">
      <w:headerReference w:type="even" r:id="rId12"/>
      <w:headerReference w:type="default" r:id="rId13"/>
      <w:footerReference w:type="even" r:id="rId14"/>
      <w:footerReference w:type="default" r:id="rId1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A6D7A" w14:textId="77777777" w:rsidR="000346BB" w:rsidRDefault="000346BB" w:rsidP="0021213F">
      <w:r>
        <w:separator/>
      </w:r>
    </w:p>
  </w:endnote>
  <w:endnote w:type="continuationSeparator" w:id="0">
    <w:p w14:paraId="610643D4" w14:textId="77777777" w:rsidR="000346BB" w:rsidRDefault="000346BB" w:rsidP="0021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B1EC3" w14:textId="77777777" w:rsidR="006E4292" w:rsidRDefault="006E4292" w:rsidP="006E42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680484" w14:textId="77777777" w:rsidR="00346723" w:rsidRPr="006E4292" w:rsidRDefault="006E4292" w:rsidP="006E4292">
    <w:pPr>
      <w:pStyle w:val="a5"/>
      <w:pBdr>
        <w:top w:val="single" w:sz="4" w:space="1" w:color="auto"/>
        <w:between w:val="single" w:sz="4" w:space="0" w:color="auto"/>
      </w:pBdr>
      <w:spacing w:after="60"/>
      <w:jc w:val="center"/>
      <w:rPr>
        <w:rFonts w:ascii="FrankRuehl" w:hAnsi="FrankRuehl" w:cs="FrankRuehl"/>
        <w:color w:val="000000"/>
      </w:rPr>
    </w:pPr>
    <w:r w:rsidRPr="006E42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9E37" w14:textId="77777777" w:rsidR="006E4292" w:rsidRDefault="006E4292" w:rsidP="006E42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3119">
      <w:rPr>
        <w:rFonts w:ascii="FrankRuehl" w:hAnsi="FrankRuehl" w:cs="FrankRuehl"/>
        <w:noProof/>
        <w:rtl/>
      </w:rPr>
      <w:t>1</w:t>
    </w:r>
    <w:r>
      <w:rPr>
        <w:rFonts w:ascii="FrankRuehl" w:hAnsi="FrankRuehl" w:cs="FrankRuehl"/>
        <w:rtl/>
      </w:rPr>
      <w:fldChar w:fldCharType="end"/>
    </w:r>
  </w:p>
  <w:p w14:paraId="2800870A" w14:textId="77777777" w:rsidR="00346723" w:rsidRPr="006E4292" w:rsidRDefault="006E4292" w:rsidP="006E4292">
    <w:pPr>
      <w:pStyle w:val="a5"/>
      <w:pBdr>
        <w:top w:val="single" w:sz="4" w:space="1" w:color="auto"/>
        <w:between w:val="single" w:sz="4" w:space="0" w:color="auto"/>
      </w:pBdr>
      <w:spacing w:after="60"/>
      <w:jc w:val="center"/>
      <w:rPr>
        <w:rFonts w:ascii="FrankRuehl" w:hAnsi="FrankRuehl" w:cs="FrankRuehl"/>
        <w:color w:val="000000"/>
      </w:rPr>
    </w:pPr>
    <w:r w:rsidRPr="006E4292">
      <w:rPr>
        <w:rFonts w:ascii="FrankRuehl" w:hAnsi="FrankRuehl" w:cs="FrankRuehl"/>
        <w:color w:val="000000"/>
      </w:rPr>
      <w:pict w14:anchorId="223C4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509D2" w14:textId="77777777" w:rsidR="000346BB" w:rsidRDefault="000346BB" w:rsidP="0021213F">
      <w:r>
        <w:separator/>
      </w:r>
    </w:p>
  </w:footnote>
  <w:footnote w:type="continuationSeparator" w:id="0">
    <w:p w14:paraId="3A00794D" w14:textId="77777777" w:rsidR="000346BB" w:rsidRDefault="000346BB" w:rsidP="00212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09BF4" w14:textId="77777777" w:rsidR="003A6B73" w:rsidRPr="006E4292" w:rsidRDefault="006E4292" w:rsidP="006E42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51504-02-20</w:t>
    </w:r>
    <w:r>
      <w:rPr>
        <w:rFonts w:ascii="David" w:hAnsi="David"/>
        <w:color w:val="000000"/>
        <w:sz w:val="22"/>
        <w:szCs w:val="22"/>
        <w:rtl/>
      </w:rPr>
      <w:tab/>
      <w:t xml:space="preserve"> מדינת ישראל נ' פרג מוחתסב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2DDA" w14:textId="77777777" w:rsidR="003A6B73" w:rsidRPr="006E4292" w:rsidRDefault="006E4292" w:rsidP="006E42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51504-02-20</w:t>
    </w:r>
    <w:r>
      <w:rPr>
        <w:rFonts w:ascii="David" w:hAnsi="David"/>
        <w:color w:val="000000"/>
        <w:sz w:val="22"/>
        <w:szCs w:val="22"/>
        <w:rtl/>
      </w:rPr>
      <w:tab/>
      <w:t xml:space="preserve"> מדינת ישראל נ' פרג מוחתסב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0CA9"/>
    <w:multiLevelType w:val="hybridMultilevel"/>
    <w:tmpl w:val="667AB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4446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4FA"/>
    <w:rsid w:val="00011DE9"/>
    <w:rsid w:val="000346BB"/>
    <w:rsid w:val="0005266D"/>
    <w:rsid w:val="00062E4E"/>
    <w:rsid w:val="001664FA"/>
    <w:rsid w:val="001B5A3B"/>
    <w:rsid w:val="0021213F"/>
    <w:rsid w:val="00346723"/>
    <w:rsid w:val="003A6B73"/>
    <w:rsid w:val="003D3227"/>
    <w:rsid w:val="006E4292"/>
    <w:rsid w:val="007D2385"/>
    <w:rsid w:val="009D7F80"/>
    <w:rsid w:val="00BE3119"/>
    <w:rsid w:val="00C669CA"/>
    <w:rsid w:val="00D41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14CDE9"/>
  <w15:chartTrackingRefBased/>
  <w15:docId w15:val="{075C7DBB-8DD1-42D6-A7E4-BB9E70D2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4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64FA"/>
    <w:pPr>
      <w:tabs>
        <w:tab w:val="center" w:pos="4153"/>
        <w:tab w:val="right" w:pos="8306"/>
      </w:tabs>
    </w:pPr>
  </w:style>
  <w:style w:type="character" w:customStyle="1" w:styleId="a4">
    <w:name w:val="כותרת עליונה תו"/>
    <w:link w:val="a3"/>
    <w:rsid w:val="001664FA"/>
    <w:rPr>
      <w:rFonts w:ascii="Times New Roman" w:eastAsia="Times New Roman" w:hAnsi="Times New Roman" w:cs="David"/>
      <w:sz w:val="24"/>
      <w:szCs w:val="24"/>
    </w:rPr>
  </w:style>
  <w:style w:type="paragraph" w:styleId="a5">
    <w:name w:val="footer"/>
    <w:basedOn w:val="a"/>
    <w:link w:val="a6"/>
    <w:rsid w:val="001664FA"/>
    <w:pPr>
      <w:tabs>
        <w:tab w:val="center" w:pos="4153"/>
        <w:tab w:val="right" w:pos="8306"/>
      </w:tabs>
    </w:pPr>
  </w:style>
  <w:style w:type="character" w:customStyle="1" w:styleId="a6">
    <w:name w:val="כותרת תחתונה תו"/>
    <w:link w:val="a5"/>
    <w:rsid w:val="001664FA"/>
    <w:rPr>
      <w:rFonts w:ascii="Times New Roman" w:eastAsia="Times New Roman" w:hAnsi="Times New Roman" w:cs="David"/>
      <w:sz w:val="24"/>
      <w:szCs w:val="24"/>
    </w:rPr>
  </w:style>
  <w:style w:type="table" w:styleId="a7">
    <w:name w:val="Table Grid"/>
    <w:basedOn w:val="a1"/>
    <w:rsid w:val="001664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64FA"/>
  </w:style>
  <w:style w:type="character" w:styleId="Hyperlink">
    <w:name w:val="Hyperlink"/>
    <w:rsid w:val="003A6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188514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507412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6668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3473522</vt:i4>
      </vt:variant>
      <vt:variant>
        <vt:i4>6</vt:i4>
      </vt:variant>
      <vt:variant>
        <vt:i4>0</vt:i4>
      </vt:variant>
      <vt:variant>
        <vt:i4>5</vt:i4>
      </vt:variant>
      <vt:variant>
        <vt:lpwstr>http://www.nevo.co.il/case/5074126</vt:lpwstr>
      </vt:variant>
      <vt:variant>
        <vt:lpwstr/>
      </vt:variant>
      <vt:variant>
        <vt:i4>3866748</vt:i4>
      </vt:variant>
      <vt:variant>
        <vt:i4>3</vt:i4>
      </vt:variant>
      <vt:variant>
        <vt:i4>0</vt:i4>
      </vt:variant>
      <vt:variant>
        <vt:i4>5</vt:i4>
      </vt:variant>
      <vt:variant>
        <vt:lpwstr>http://www.nevo.co.il/case/21885147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51504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פרג מוחתסב </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20220106</vt:lpwstr>
  </property>
  <property fmtid="{D5CDD505-2E9C-101B-9397-08002B2CF9AE}" pid="13" name="TYPE_N_DATE">
    <vt:lpwstr>38020220106</vt:lpwstr>
  </property>
  <property fmtid="{D5CDD505-2E9C-101B-9397-08002B2CF9AE}" pid="14" name="WORDNUMPAGES">
    <vt:lpwstr>4</vt:lpwstr>
  </property>
  <property fmtid="{D5CDD505-2E9C-101B-9397-08002B2CF9AE}" pid="15" name="TYPE_ABS_DATE">
    <vt:lpwstr>380020220106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21885147;5074126</vt:lpwstr>
  </property>
  <property fmtid="{D5CDD505-2E9C-101B-9397-08002B2CF9AE}" pid="36" name="LAWLISTTMP1">
    <vt:lpwstr>4216</vt:lpwstr>
  </property>
</Properties>
</file>