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46"/>
        <w:gridCol w:w="3577"/>
      </w:tblGrid>
      <w:tr w:rsidR="00AF20FE" w:rsidRPr="00AF20FE" w14:paraId="3E6654CB" w14:textId="77777777" w:rsidTr="006311F4">
        <w:trPr>
          <w:trHeight w:hRule="exact" w:val="418"/>
          <w:jc w:val="center"/>
        </w:trPr>
        <w:tc>
          <w:tcPr>
            <w:tcW w:w="8523" w:type="dxa"/>
            <w:gridSpan w:val="2"/>
          </w:tcPr>
          <w:p w14:paraId="0818E719" w14:textId="77777777" w:rsidR="00AF20FE" w:rsidRPr="00AF20FE" w:rsidRDefault="00AF20FE" w:rsidP="00372F3A">
            <w:pPr>
              <w:pStyle w:val="a3"/>
              <w:jc w:val="center"/>
              <w:rPr>
                <w:rFonts w:ascii="Tahoma" w:hAnsi="Tahoma" w:cs="Tahoma"/>
                <w:color w:val="000080"/>
                <w:rtl/>
              </w:rPr>
            </w:pPr>
            <w:bookmarkStart w:id="0" w:name="LastJudge"/>
            <w:r w:rsidRPr="00AF20FE">
              <w:rPr>
                <w:rFonts w:ascii="Tahoma" w:hAnsi="Tahoma" w:cs="Tahoma"/>
                <w:b/>
                <w:bCs/>
                <w:color w:val="000080"/>
                <w:rtl/>
              </w:rPr>
              <w:t>בית משפט השלום בנתניה</w:t>
            </w:r>
          </w:p>
        </w:tc>
      </w:tr>
      <w:tr w:rsidR="00AF20FE" w:rsidRPr="002A0820" w14:paraId="56411FAB" w14:textId="77777777" w:rsidTr="006311F4">
        <w:trPr>
          <w:trHeight w:val="337"/>
          <w:jc w:val="center"/>
        </w:trPr>
        <w:tc>
          <w:tcPr>
            <w:tcW w:w="4946" w:type="dxa"/>
          </w:tcPr>
          <w:p w14:paraId="76CFB7C0" w14:textId="77777777" w:rsidR="00AF20FE" w:rsidRPr="002A0820" w:rsidRDefault="00AF20FE" w:rsidP="002A0820">
            <w:pPr>
              <w:spacing w:before="120" w:after="120" w:line="240" w:lineRule="exact"/>
              <w:rPr>
                <w:rFonts w:ascii="David" w:hAnsi="David"/>
                <w:b/>
                <w:bCs/>
                <w:sz w:val="26"/>
                <w:szCs w:val="26"/>
                <w:rtl/>
              </w:rPr>
            </w:pPr>
            <w:r w:rsidRPr="002A0820">
              <w:rPr>
                <w:rFonts w:ascii="David" w:hAnsi="David"/>
                <w:b/>
                <w:bCs/>
                <w:sz w:val="26"/>
                <w:szCs w:val="26"/>
                <w:rtl/>
              </w:rPr>
              <w:t>ת"פ 56199-02-20 מדינת ישראל נ' עיסא</w:t>
            </w:r>
          </w:p>
        </w:tc>
        <w:tc>
          <w:tcPr>
            <w:tcW w:w="3577" w:type="dxa"/>
          </w:tcPr>
          <w:p w14:paraId="19C92FF2" w14:textId="77777777" w:rsidR="00AF20FE" w:rsidRPr="002A0820" w:rsidRDefault="00AF20FE" w:rsidP="002A0820">
            <w:pPr>
              <w:pStyle w:val="a3"/>
              <w:spacing w:before="120" w:after="120" w:line="240" w:lineRule="exact"/>
              <w:jc w:val="right"/>
              <w:rPr>
                <w:rFonts w:ascii="David" w:hAnsi="David"/>
                <w:b/>
                <w:bCs/>
                <w:sz w:val="26"/>
                <w:szCs w:val="26"/>
                <w:rtl/>
              </w:rPr>
            </w:pPr>
          </w:p>
        </w:tc>
      </w:tr>
    </w:tbl>
    <w:p w14:paraId="1B68CB46" w14:textId="77777777" w:rsidR="00AF20FE" w:rsidRPr="002A0820" w:rsidRDefault="00AF20FE" w:rsidP="002A0820">
      <w:pPr>
        <w:pStyle w:val="a3"/>
        <w:spacing w:before="120" w:after="120" w:line="240" w:lineRule="exact"/>
        <w:rPr>
          <w:rFonts w:ascii="David" w:hAnsi="David"/>
          <w:b/>
          <w:bCs/>
          <w:sz w:val="26"/>
          <w:szCs w:val="26"/>
          <w:rtl/>
        </w:rPr>
      </w:pPr>
      <w:r w:rsidRPr="002A0820">
        <w:rPr>
          <w:rFonts w:ascii="David" w:hAnsi="David"/>
          <w:b/>
          <w:bCs/>
          <w:sz w:val="26"/>
          <w:szCs w:val="26"/>
          <w:rtl/>
        </w:rPr>
        <w:t xml:space="preserve"> </w:t>
      </w:r>
    </w:p>
    <w:p w14:paraId="1E4B0257" w14:textId="77777777" w:rsidR="00A201C9" w:rsidRPr="002A0820" w:rsidRDefault="00A201C9" w:rsidP="002A0820">
      <w:pPr>
        <w:spacing w:before="120" w:after="120" w:line="240" w:lineRule="exact"/>
        <w:rPr>
          <w:rFonts w:ascii="David" w:hAnsi="David"/>
          <w:b/>
          <w:bCs/>
          <w:sz w:val="26"/>
          <w:szCs w:val="26"/>
        </w:rPr>
      </w:pPr>
      <w:r w:rsidRPr="002A0820">
        <w:rPr>
          <w:rFonts w:ascii="David" w:hAnsi="David"/>
          <w:b/>
          <w:bCs/>
          <w:sz w:val="26"/>
          <w:szCs w:val="26"/>
          <w:rtl/>
        </w:rPr>
        <w:softHyphen/>
      </w:r>
      <w:r w:rsidRPr="002A0820">
        <w:rPr>
          <w:rFonts w:ascii="David" w:hAnsi="David"/>
          <w:b/>
          <w:bCs/>
          <w:sz w:val="26"/>
          <w:szCs w:val="26"/>
          <w:rtl/>
        </w:rPr>
        <w:softHyphen/>
        <w:t>לפני:</w:t>
      </w:r>
      <w:r w:rsidRPr="002A0820">
        <w:rPr>
          <w:rFonts w:ascii="David" w:hAnsi="David"/>
          <w:b/>
          <w:bCs/>
          <w:sz w:val="26"/>
          <w:szCs w:val="26"/>
          <w:rtl/>
        </w:rPr>
        <w:tab/>
      </w:r>
      <w:r w:rsidRPr="002A0820">
        <w:rPr>
          <w:rFonts w:ascii="David" w:hAnsi="David"/>
          <w:b/>
          <w:bCs/>
          <w:sz w:val="26"/>
          <w:szCs w:val="26"/>
          <w:rtl/>
        </w:rPr>
        <w:tab/>
      </w:r>
      <w:r w:rsidRPr="002A0820">
        <w:rPr>
          <w:rFonts w:ascii="David" w:hAnsi="David"/>
          <w:b/>
          <w:bCs/>
          <w:sz w:val="26"/>
          <w:szCs w:val="26"/>
          <w:rtl/>
        </w:rPr>
        <w:tab/>
      </w:r>
      <w:r w:rsidRPr="002A0820">
        <w:rPr>
          <w:rFonts w:ascii="David" w:hAnsi="David"/>
          <w:b/>
          <w:bCs/>
          <w:sz w:val="26"/>
          <w:szCs w:val="26"/>
          <w:rtl/>
        </w:rPr>
        <w:tab/>
        <w:t>כבוד השופט גיא אבנון</w:t>
      </w:r>
    </w:p>
    <w:p w14:paraId="3EA58924" w14:textId="77777777" w:rsidR="00A201C9" w:rsidRPr="002A0820" w:rsidRDefault="00A201C9" w:rsidP="002A0820">
      <w:pPr>
        <w:spacing w:before="120" w:after="120" w:line="240" w:lineRule="exact"/>
        <w:rPr>
          <w:rFonts w:ascii="David" w:hAnsi="David"/>
          <w:b/>
          <w:bCs/>
          <w:sz w:val="26"/>
          <w:szCs w:val="26"/>
          <w:rtl/>
        </w:rPr>
      </w:pPr>
    </w:p>
    <w:p w14:paraId="6F8AF321" w14:textId="77777777" w:rsidR="00A201C9" w:rsidRPr="002A0820" w:rsidRDefault="00A201C9" w:rsidP="002A0820">
      <w:pPr>
        <w:spacing w:before="120" w:after="120" w:line="240" w:lineRule="exact"/>
        <w:rPr>
          <w:rFonts w:ascii="David" w:hAnsi="David"/>
          <w:b/>
          <w:bCs/>
          <w:sz w:val="26"/>
          <w:szCs w:val="26"/>
          <w:rtl/>
        </w:rPr>
      </w:pPr>
      <w:r w:rsidRPr="002A0820">
        <w:rPr>
          <w:rFonts w:ascii="David" w:hAnsi="David"/>
          <w:b/>
          <w:bCs/>
          <w:sz w:val="26"/>
          <w:szCs w:val="26"/>
          <w:rtl/>
        </w:rPr>
        <w:t>ה</w:t>
      </w:r>
      <w:bookmarkStart w:id="1" w:name="FirstAppellant"/>
      <w:r w:rsidRPr="002A0820">
        <w:rPr>
          <w:rFonts w:ascii="David" w:hAnsi="David"/>
          <w:b/>
          <w:bCs/>
          <w:sz w:val="26"/>
          <w:szCs w:val="26"/>
          <w:rtl/>
        </w:rPr>
        <w:t>מאשימ</w:t>
      </w:r>
      <w:bookmarkEnd w:id="1"/>
      <w:r w:rsidRPr="002A0820">
        <w:rPr>
          <w:rFonts w:ascii="David" w:hAnsi="David"/>
          <w:b/>
          <w:bCs/>
          <w:sz w:val="26"/>
          <w:szCs w:val="26"/>
          <w:rtl/>
        </w:rPr>
        <w:t>ה:</w:t>
      </w:r>
      <w:r w:rsidRPr="002A0820">
        <w:rPr>
          <w:rFonts w:ascii="David" w:hAnsi="David"/>
          <w:b/>
          <w:bCs/>
          <w:sz w:val="26"/>
          <w:szCs w:val="26"/>
          <w:rtl/>
        </w:rPr>
        <w:tab/>
      </w:r>
      <w:r w:rsidRPr="002A0820">
        <w:rPr>
          <w:rFonts w:ascii="David" w:hAnsi="David"/>
          <w:b/>
          <w:bCs/>
          <w:sz w:val="26"/>
          <w:szCs w:val="26"/>
          <w:rtl/>
        </w:rPr>
        <w:tab/>
      </w:r>
      <w:r w:rsidRPr="002A0820">
        <w:rPr>
          <w:rFonts w:ascii="David" w:hAnsi="David"/>
          <w:b/>
          <w:bCs/>
          <w:sz w:val="26"/>
          <w:szCs w:val="26"/>
          <w:rtl/>
        </w:rPr>
        <w:tab/>
        <w:t>מדינת ישראל</w:t>
      </w:r>
    </w:p>
    <w:p w14:paraId="409E3D03" w14:textId="77777777" w:rsidR="00A201C9" w:rsidRPr="002A0820" w:rsidRDefault="00A201C9" w:rsidP="002A0820">
      <w:pPr>
        <w:spacing w:before="120" w:after="120" w:line="240" w:lineRule="exact"/>
        <w:rPr>
          <w:rFonts w:ascii="David" w:hAnsi="David"/>
          <w:b/>
          <w:bCs/>
          <w:sz w:val="26"/>
          <w:szCs w:val="26"/>
          <w:rtl/>
        </w:rPr>
      </w:pPr>
      <w:r w:rsidRPr="002A0820">
        <w:rPr>
          <w:rFonts w:ascii="David" w:hAnsi="David"/>
          <w:b/>
          <w:bCs/>
          <w:sz w:val="26"/>
          <w:szCs w:val="26"/>
          <w:rtl/>
        </w:rPr>
        <w:tab/>
      </w:r>
      <w:r w:rsidRPr="002A0820">
        <w:rPr>
          <w:rFonts w:ascii="David" w:hAnsi="David"/>
          <w:b/>
          <w:bCs/>
          <w:sz w:val="26"/>
          <w:szCs w:val="26"/>
          <w:rtl/>
        </w:rPr>
        <w:tab/>
      </w:r>
      <w:r w:rsidRPr="002A0820">
        <w:rPr>
          <w:rFonts w:ascii="David" w:hAnsi="David"/>
          <w:b/>
          <w:bCs/>
          <w:sz w:val="26"/>
          <w:szCs w:val="26"/>
          <w:rtl/>
        </w:rPr>
        <w:tab/>
      </w:r>
      <w:r w:rsidRPr="002A0820">
        <w:rPr>
          <w:rFonts w:ascii="David" w:hAnsi="David"/>
          <w:b/>
          <w:bCs/>
          <w:sz w:val="26"/>
          <w:szCs w:val="26"/>
          <w:rtl/>
        </w:rPr>
        <w:tab/>
        <w:t>באמצעות תביעות מרכז – שלוחת נתניה</w:t>
      </w:r>
    </w:p>
    <w:p w14:paraId="11977808" w14:textId="77777777" w:rsidR="00A201C9" w:rsidRPr="002A0820" w:rsidRDefault="00A201C9" w:rsidP="002A0820">
      <w:pPr>
        <w:spacing w:before="120" w:after="120" w:line="240" w:lineRule="exact"/>
        <w:rPr>
          <w:rFonts w:ascii="David" w:hAnsi="David"/>
          <w:b/>
          <w:bCs/>
          <w:sz w:val="26"/>
          <w:szCs w:val="26"/>
          <w:rtl/>
        </w:rPr>
      </w:pPr>
    </w:p>
    <w:p w14:paraId="7AE47982" w14:textId="77777777" w:rsidR="00A201C9" w:rsidRPr="002A0820" w:rsidRDefault="00A201C9" w:rsidP="002A0820">
      <w:pPr>
        <w:spacing w:before="120" w:after="120" w:line="240" w:lineRule="exact"/>
        <w:rPr>
          <w:rFonts w:ascii="David" w:hAnsi="David"/>
          <w:b/>
          <w:bCs/>
          <w:sz w:val="26"/>
          <w:szCs w:val="26"/>
          <w:rtl/>
        </w:rPr>
      </w:pPr>
      <w:r w:rsidRPr="002A0820">
        <w:rPr>
          <w:rFonts w:ascii="David" w:hAnsi="David"/>
          <w:b/>
          <w:bCs/>
          <w:sz w:val="26"/>
          <w:szCs w:val="26"/>
          <w:rtl/>
        </w:rPr>
        <w:tab/>
      </w:r>
      <w:r w:rsidRPr="002A0820">
        <w:rPr>
          <w:rFonts w:ascii="David" w:hAnsi="David"/>
          <w:b/>
          <w:bCs/>
          <w:sz w:val="26"/>
          <w:szCs w:val="26"/>
          <w:rtl/>
        </w:rPr>
        <w:tab/>
      </w:r>
      <w:r w:rsidRPr="002A0820">
        <w:rPr>
          <w:rFonts w:ascii="David" w:hAnsi="David"/>
          <w:b/>
          <w:bCs/>
          <w:sz w:val="26"/>
          <w:szCs w:val="26"/>
          <w:rtl/>
        </w:rPr>
        <w:tab/>
      </w:r>
      <w:r w:rsidRPr="002A0820">
        <w:rPr>
          <w:rFonts w:ascii="David" w:hAnsi="David"/>
          <w:b/>
          <w:bCs/>
          <w:sz w:val="26"/>
          <w:szCs w:val="26"/>
          <w:rtl/>
        </w:rPr>
        <w:tab/>
      </w:r>
      <w:r w:rsidRPr="002A0820">
        <w:rPr>
          <w:rFonts w:ascii="David" w:hAnsi="David"/>
          <w:b/>
          <w:bCs/>
          <w:sz w:val="26"/>
          <w:szCs w:val="26"/>
          <w:rtl/>
        </w:rPr>
        <w:tab/>
      </w:r>
      <w:r w:rsidRPr="002A0820">
        <w:rPr>
          <w:rFonts w:ascii="David" w:hAnsi="David"/>
          <w:b/>
          <w:bCs/>
          <w:sz w:val="26"/>
          <w:szCs w:val="26"/>
          <w:rtl/>
        </w:rPr>
        <w:tab/>
        <w:t>נ ג ד</w:t>
      </w:r>
    </w:p>
    <w:p w14:paraId="2A166FAE" w14:textId="77777777" w:rsidR="00A201C9" w:rsidRPr="002A0820" w:rsidRDefault="00A201C9" w:rsidP="002A0820">
      <w:pPr>
        <w:spacing w:before="120" w:after="120" w:line="240" w:lineRule="exact"/>
        <w:rPr>
          <w:rFonts w:ascii="David" w:hAnsi="David"/>
          <w:b/>
          <w:bCs/>
          <w:sz w:val="26"/>
          <w:szCs w:val="26"/>
          <w:rtl/>
        </w:rPr>
      </w:pPr>
    </w:p>
    <w:p w14:paraId="39C73F00" w14:textId="77777777" w:rsidR="00A201C9" w:rsidRPr="002A0820" w:rsidRDefault="00A201C9" w:rsidP="002A0820">
      <w:pPr>
        <w:spacing w:before="120" w:after="120" w:line="240" w:lineRule="exact"/>
        <w:rPr>
          <w:rFonts w:ascii="David" w:hAnsi="David"/>
          <w:b/>
          <w:bCs/>
          <w:sz w:val="26"/>
          <w:szCs w:val="26"/>
          <w:rtl/>
        </w:rPr>
      </w:pPr>
      <w:r w:rsidRPr="002A0820">
        <w:rPr>
          <w:rFonts w:ascii="David" w:hAnsi="David"/>
          <w:b/>
          <w:bCs/>
          <w:sz w:val="26"/>
          <w:szCs w:val="26"/>
          <w:rtl/>
        </w:rPr>
        <w:t>הנאשם:</w:t>
      </w:r>
      <w:r w:rsidRPr="002A0820">
        <w:rPr>
          <w:rFonts w:ascii="David" w:hAnsi="David"/>
          <w:b/>
          <w:bCs/>
          <w:sz w:val="26"/>
          <w:szCs w:val="26"/>
          <w:rtl/>
        </w:rPr>
        <w:tab/>
      </w:r>
      <w:r w:rsidRPr="002A0820">
        <w:rPr>
          <w:rFonts w:ascii="David" w:hAnsi="David"/>
          <w:b/>
          <w:bCs/>
          <w:sz w:val="26"/>
          <w:szCs w:val="26"/>
          <w:rtl/>
        </w:rPr>
        <w:tab/>
      </w:r>
      <w:r w:rsidRPr="002A0820">
        <w:rPr>
          <w:rFonts w:ascii="David" w:hAnsi="David"/>
          <w:b/>
          <w:bCs/>
          <w:sz w:val="26"/>
          <w:szCs w:val="26"/>
          <w:rtl/>
        </w:rPr>
        <w:tab/>
        <w:t xml:space="preserve">אמיר עיסא </w:t>
      </w:r>
    </w:p>
    <w:p w14:paraId="2BC8C635" w14:textId="77777777" w:rsidR="00A201C9" w:rsidRPr="002A0820" w:rsidRDefault="00A201C9" w:rsidP="002A0820">
      <w:pPr>
        <w:spacing w:before="120" w:after="120" w:line="240" w:lineRule="exact"/>
        <w:rPr>
          <w:rFonts w:ascii="David" w:hAnsi="David"/>
          <w:b/>
          <w:bCs/>
          <w:sz w:val="26"/>
          <w:szCs w:val="26"/>
          <w:rtl/>
        </w:rPr>
      </w:pPr>
    </w:p>
    <w:p w14:paraId="5068A59C" w14:textId="77777777" w:rsidR="00A201C9" w:rsidRPr="002A0820" w:rsidRDefault="00A201C9" w:rsidP="002A0820">
      <w:pPr>
        <w:spacing w:before="120" w:after="120" w:line="240" w:lineRule="exact"/>
        <w:rPr>
          <w:rFonts w:ascii="David" w:hAnsi="David"/>
          <w:b/>
          <w:bCs/>
          <w:sz w:val="26"/>
          <w:szCs w:val="26"/>
          <w:rtl/>
        </w:rPr>
      </w:pPr>
      <w:bookmarkStart w:id="2" w:name="FirstLawyer"/>
      <w:r w:rsidRPr="002A0820">
        <w:rPr>
          <w:rFonts w:ascii="David" w:hAnsi="David"/>
          <w:b/>
          <w:bCs/>
          <w:sz w:val="26"/>
          <w:szCs w:val="26"/>
          <w:rtl/>
        </w:rPr>
        <w:t>בשם</w:t>
      </w:r>
      <w:bookmarkEnd w:id="2"/>
      <w:r w:rsidRPr="002A0820">
        <w:rPr>
          <w:rFonts w:ascii="David" w:hAnsi="David"/>
          <w:b/>
          <w:bCs/>
          <w:sz w:val="26"/>
          <w:szCs w:val="26"/>
          <w:rtl/>
        </w:rPr>
        <w:t xml:space="preserve"> המאשימה:</w:t>
      </w:r>
      <w:r w:rsidRPr="002A0820">
        <w:rPr>
          <w:rFonts w:ascii="David" w:hAnsi="David"/>
          <w:b/>
          <w:bCs/>
          <w:sz w:val="26"/>
          <w:szCs w:val="26"/>
          <w:rtl/>
        </w:rPr>
        <w:tab/>
      </w:r>
      <w:r w:rsidRPr="002A0820">
        <w:rPr>
          <w:rFonts w:ascii="David" w:hAnsi="David"/>
          <w:b/>
          <w:bCs/>
          <w:sz w:val="26"/>
          <w:szCs w:val="26"/>
          <w:rtl/>
        </w:rPr>
        <w:tab/>
        <w:t>עו"ד מור מלכה</w:t>
      </w:r>
    </w:p>
    <w:p w14:paraId="59A64104" w14:textId="77777777" w:rsidR="00A201C9" w:rsidRPr="002A0820" w:rsidRDefault="00A201C9" w:rsidP="002A0820">
      <w:pPr>
        <w:spacing w:before="120" w:after="120" w:line="240" w:lineRule="exact"/>
        <w:rPr>
          <w:rFonts w:ascii="David" w:hAnsi="David"/>
          <w:b/>
          <w:bCs/>
          <w:sz w:val="26"/>
          <w:szCs w:val="26"/>
          <w:rtl/>
        </w:rPr>
      </w:pPr>
      <w:r w:rsidRPr="002A0820">
        <w:rPr>
          <w:rFonts w:ascii="David" w:hAnsi="David"/>
          <w:b/>
          <w:bCs/>
          <w:sz w:val="26"/>
          <w:szCs w:val="26"/>
          <w:rtl/>
        </w:rPr>
        <w:t>בשם הנאשם:</w:t>
      </w:r>
      <w:r w:rsidRPr="002A0820">
        <w:rPr>
          <w:rFonts w:ascii="David" w:hAnsi="David"/>
          <w:b/>
          <w:bCs/>
          <w:sz w:val="26"/>
          <w:szCs w:val="26"/>
          <w:rtl/>
        </w:rPr>
        <w:tab/>
      </w:r>
      <w:r w:rsidRPr="002A0820">
        <w:rPr>
          <w:rFonts w:ascii="David" w:hAnsi="David"/>
          <w:b/>
          <w:bCs/>
          <w:sz w:val="26"/>
          <w:szCs w:val="26"/>
          <w:rtl/>
        </w:rPr>
        <w:tab/>
      </w:r>
      <w:r w:rsidRPr="002A0820">
        <w:rPr>
          <w:rFonts w:ascii="David" w:hAnsi="David"/>
          <w:b/>
          <w:bCs/>
          <w:sz w:val="26"/>
          <w:szCs w:val="26"/>
          <w:rtl/>
        </w:rPr>
        <w:tab/>
        <w:t>עו"ד רן שטרצר</w:t>
      </w:r>
    </w:p>
    <w:p w14:paraId="5A190D25" w14:textId="77777777" w:rsidR="00017AAD" w:rsidRPr="002A0820" w:rsidRDefault="00017AAD" w:rsidP="002A0820">
      <w:pPr>
        <w:spacing w:before="120" w:after="120" w:line="240" w:lineRule="exact"/>
        <w:jc w:val="center"/>
        <w:rPr>
          <w:rFonts w:ascii="David" w:hAnsi="David"/>
          <w:b/>
          <w:bCs/>
          <w:sz w:val="26"/>
          <w:szCs w:val="26"/>
          <w:rtl/>
        </w:rPr>
      </w:pPr>
    </w:p>
    <w:p w14:paraId="0E1A245A" w14:textId="77777777" w:rsidR="002A0820" w:rsidRPr="002A0820" w:rsidRDefault="002A0820" w:rsidP="002A0820">
      <w:pPr>
        <w:spacing w:before="120" w:after="120" w:line="240" w:lineRule="exact"/>
        <w:ind w:left="283" w:hanging="283"/>
        <w:jc w:val="both"/>
        <w:rPr>
          <w:rFonts w:ascii="FrankRuehl" w:hAnsi="FrankRuehl" w:cs="FrankRuehl"/>
          <w:rtl/>
        </w:rPr>
      </w:pPr>
      <w:bookmarkStart w:id="3" w:name="LawTable"/>
      <w:bookmarkEnd w:id="3"/>
    </w:p>
    <w:p w14:paraId="1BF1575B" w14:textId="77777777" w:rsidR="002A0820" w:rsidRPr="002A0820" w:rsidRDefault="002A0820" w:rsidP="002A0820">
      <w:pPr>
        <w:spacing w:before="120" w:after="120" w:line="240" w:lineRule="exact"/>
        <w:ind w:left="283" w:hanging="283"/>
        <w:jc w:val="both"/>
        <w:rPr>
          <w:rFonts w:ascii="FrankRuehl" w:hAnsi="FrankRuehl" w:cs="FrankRuehl"/>
          <w:rtl/>
        </w:rPr>
      </w:pPr>
      <w:r w:rsidRPr="002A0820">
        <w:rPr>
          <w:rFonts w:ascii="FrankRuehl" w:hAnsi="FrankRuehl" w:cs="FrankRuehl"/>
          <w:rtl/>
        </w:rPr>
        <w:t xml:space="preserve">חקיקה שאוזכרה: </w:t>
      </w:r>
    </w:p>
    <w:p w14:paraId="14B0FC8D" w14:textId="77777777" w:rsidR="002A0820" w:rsidRPr="002A0820" w:rsidRDefault="002A0820" w:rsidP="002A0820">
      <w:pPr>
        <w:spacing w:before="120" w:after="120" w:line="240" w:lineRule="exact"/>
        <w:ind w:left="283" w:hanging="283"/>
        <w:jc w:val="both"/>
        <w:rPr>
          <w:rFonts w:ascii="FrankRuehl" w:hAnsi="FrankRuehl" w:cs="FrankRuehl"/>
          <w:color w:val="0000FF"/>
          <w:rtl/>
        </w:rPr>
      </w:pPr>
      <w:hyperlink r:id="rId8" w:history="1">
        <w:r w:rsidRPr="002A0820">
          <w:rPr>
            <w:rStyle w:val="Hyperlink"/>
            <w:rFonts w:ascii="FrankRuehl" w:hAnsi="FrankRuehl" w:cs="FrankRuehl"/>
            <w:u w:val="none"/>
            <w:rtl/>
          </w:rPr>
          <w:t>פקודת בתי הסוהר [נוסח חדש], תשל"ב-1971</w:t>
        </w:r>
      </w:hyperlink>
      <w:r w:rsidRPr="002A0820">
        <w:rPr>
          <w:rFonts w:ascii="FrankRuehl" w:hAnsi="FrankRuehl" w:cs="FrankRuehl"/>
          <w:color w:val="0000FF"/>
          <w:rtl/>
        </w:rPr>
        <w:t xml:space="preserve">: סע'  </w:t>
      </w:r>
      <w:hyperlink r:id="rId9" w:history="1">
        <w:r w:rsidRPr="002A0820">
          <w:rPr>
            <w:rStyle w:val="Hyperlink"/>
            <w:rFonts w:ascii="FrankRuehl" w:hAnsi="FrankRuehl" w:cs="FrankRuehl"/>
            <w:u w:val="none"/>
          </w:rPr>
          <w:t>52</w:t>
        </w:r>
      </w:hyperlink>
      <w:r w:rsidRPr="002A0820">
        <w:rPr>
          <w:rFonts w:ascii="FrankRuehl" w:hAnsi="FrankRuehl" w:cs="FrankRuehl"/>
          <w:color w:val="0000FF"/>
          <w:rtl/>
        </w:rPr>
        <w:t xml:space="preserve">(ב)(1), </w:t>
      </w:r>
      <w:hyperlink r:id="rId10" w:history="1">
        <w:r w:rsidRPr="002A0820">
          <w:rPr>
            <w:rStyle w:val="Hyperlink"/>
            <w:rFonts w:ascii="FrankRuehl" w:hAnsi="FrankRuehl" w:cs="FrankRuehl"/>
            <w:u w:val="none"/>
          </w:rPr>
          <w:t>52.</w:t>
        </w:r>
        <w:r w:rsidRPr="002A0820">
          <w:rPr>
            <w:rStyle w:val="Hyperlink"/>
            <w:rFonts w:ascii="FrankRuehl" w:hAnsi="FrankRuehl" w:cs="FrankRuehl"/>
            <w:u w:val="none"/>
            <w:rtl/>
          </w:rPr>
          <w:t>ב.1.א</w:t>
        </w:r>
        <w:r w:rsidRPr="002A0820">
          <w:rPr>
            <w:rStyle w:val="Hyperlink"/>
            <w:rFonts w:ascii="FrankRuehl" w:hAnsi="FrankRuehl" w:cs="FrankRuehl"/>
            <w:u w:val="none"/>
          </w:rPr>
          <w:t>.</w:t>
        </w:r>
      </w:hyperlink>
      <w:r w:rsidRPr="002A0820">
        <w:rPr>
          <w:rFonts w:ascii="FrankRuehl" w:hAnsi="FrankRuehl" w:cs="FrankRuehl"/>
          <w:color w:val="0000FF"/>
          <w:rtl/>
        </w:rPr>
        <w:t xml:space="preserve">, </w:t>
      </w:r>
      <w:hyperlink r:id="rId11" w:history="1">
        <w:r w:rsidRPr="002A0820">
          <w:rPr>
            <w:rStyle w:val="Hyperlink"/>
            <w:rFonts w:ascii="FrankRuehl" w:hAnsi="FrankRuehl" w:cs="FrankRuehl"/>
            <w:u w:val="none"/>
          </w:rPr>
          <w:t>52.</w:t>
        </w:r>
        <w:r w:rsidRPr="002A0820">
          <w:rPr>
            <w:rStyle w:val="Hyperlink"/>
            <w:rFonts w:ascii="FrankRuehl" w:hAnsi="FrankRuehl" w:cs="FrankRuehl"/>
            <w:u w:val="none"/>
            <w:rtl/>
          </w:rPr>
          <w:t>ב.1.ב</w:t>
        </w:r>
        <w:r w:rsidRPr="002A0820">
          <w:rPr>
            <w:rStyle w:val="Hyperlink"/>
            <w:rFonts w:ascii="FrankRuehl" w:hAnsi="FrankRuehl" w:cs="FrankRuehl"/>
            <w:u w:val="none"/>
          </w:rPr>
          <w:t>.</w:t>
        </w:r>
      </w:hyperlink>
      <w:r w:rsidRPr="002A0820">
        <w:rPr>
          <w:rFonts w:ascii="FrankRuehl" w:hAnsi="FrankRuehl" w:cs="FrankRuehl"/>
          <w:color w:val="0000FF"/>
          <w:rtl/>
        </w:rPr>
        <w:t xml:space="preserve">, </w:t>
      </w:r>
      <w:hyperlink r:id="rId12" w:history="1">
        <w:r w:rsidRPr="002A0820">
          <w:rPr>
            <w:rStyle w:val="Hyperlink"/>
            <w:rFonts w:ascii="FrankRuehl" w:hAnsi="FrankRuehl" w:cs="FrankRuehl"/>
            <w:u w:val="none"/>
          </w:rPr>
          <w:t>52.</w:t>
        </w:r>
        <w:r w:rsidRPr="002A0820">
          <w:rPr>
            <w:rStyle w:val="Hyperlink"/>
            <w:rFonts w:ascii="FrankRuehl" w:hAnsi="FrankRuehl" w:cs="FrankRuehl"/>
            <w:u w:val="none"/>
            <w:rtl/>
          </w:rPr>
          <w:t>ב.1.ג</w:t>
        </w:r>
      </w:hyperlink>
      <w:r w:rsidRPr="002A0820">
        <w:rPr>
          <w:rFonts w:ascii="FrankRuehl" w:hAnsi="FrankRuehl" w:cs="FrankRuehl"/>
          <w:color w:val="0000FF"/>
          <w:rtl/>
        </w:rPr>
        <w:t xml:space="preserve">, </w:t>
      </w:r>
      <w:hyperlink r:id="rId13" w:history="1">
        <w:r w:rsidRPr="002A0820">
          <w:rPr>
            <w:rStyle w:val="Hyperlink"/>
            <w:rFonts w:ascii="FrankRuehl" w:hAnsi="FrankRuehl" w:cs="FrankRuehl"/>
            <w:u w:val="none"/>
          </w:rPr>
          <w:t>52.</w:t>
        </w:r>
        <w:r w:rsidRPr="002A0820">
          <w:rPr>
            <w:rStyle w:val="Hyperlink"/>
            <w:rFonts w:ascii="FrankRuehl" w:hAnsi="FrankRuehl" w:cs="FrankRuehl"/>
            <w:u w:val="none"/>
            <w:rtl/>
          </w:rPr>
          <w:t>ב.1.ד</w:t>
        </w:r>
        <w:r w:rsidRPr="002A0820">
          <w:rPr>
            <w:rStyle w:val="Hyperlink"/>
            <w:rFonts w:ascii="FrankRuehl" w:hAnsi="FrankRuehl" w:cs="FrankRuehl"/>
            <w:u w:val="none"/>
          </w:rPr>
          <w:t>.</w:t>
        </w:r>
      </w:hyperlink>
    </w:p>
    <w:p w14:paraId="64D5736E" w14:textId="77777777" w:rsidR="002A0820" w:rsidRPr="002A0820" w:rsidRDefault="002A0820" w:rsidP="002A0820">
      <w:pPr>
        <w:spacing w:before="120" w:after="120" w:line="240" w:lineRule="exact"/>
        <w:ind w:left="283" w:hanging="283"/>
        <w:jc w:val="both"/>
        <w:rPr>
          <w:rFonts w:ascii="FrankRuehl" w:hAnsi="FrankRuehl" w:cs="FrankRuehl"/>
          <w:color w:val="0000FF"/>
          <w:rtl/>
        </w:rPr>
      </w:pPr>
      <w:hyperlink r:id="rId14" w:history="1">
        <w:r w:rsidRPr="002A0820">
          <w:rPr>
            <w:rStyle w:val="Hyperlink"/>
            <w:rFonts w:ascii="FrankRuehl" w:hAnsi="FrankRuehl" w:cs="FrankRuehl"/>
            <w:u w:val="none"/>
            <w:rtl/>
          </w:rPr>
          <w:t>פקודת הסמים המסוכנים [נוסח חדש], תשל"ג-1973</w:t>
        </w:r>
      </w:hyperlink>
      <w:r w:rsidRPr="002A0820">
        <w:rPr>
          <w:rFonts w:ascii="FrankRuehl" w:hAnsi="FrankRuehl" w:cs="FrankRuehl"/>
          <w:color w:val="0000FF"/>
          <w:rtl/>
        </w:rPr>
        <w:t xml:space="preserve">: סע'  </w:t>
      </w:r>
      <w:hyperlink r:id="rId15" w:history="1">
        <w:r w:rsidRPr="002A0820">
          <w:rPr>
            <w:rStyle w:val="Hyperlink"/>
            <w:rFonts w:ascii="FrankRuehl" w:hAnsi="FrankRuehl" w:cs="FrankRuehl"/>
            <w:u w:val="none"/>
          </w:rPr>
          <w:t>7</w:t>
        </w:r>
      </w:hyperlink>
      <w:r w:rsidRPr="002A0820">
        <w:rPr>
          <w:rFonts w:ascii="FrankRuehl" w:hAnsi="FrankRuehl" w:cs="FrankRuehl"/>
          <w:color w:val="0000FF"/>
          <w:rtl/>
        </w:rPr>
        <w:t xml:space="preserve">(א), </w:t>
      </w:r>
      <w:hyperlink r:id="rId16" w:history="1">
        <w:r w:rsidRPr="002A0820">
          <w:rPr>
            <w:rStyle w:val="Hyperlink"/>
            <w:rFonts w:ascii="FrankRuehl" w:hAnsi="FrankRuehl" w:cs="FrankRuehl"/>
            <w:u w:val="none"/>
          </w:rPr>
          <w:t>7</w:t>
        </w:r>
      </w:hyperlink>
      <w:r w:rsidRPr="002A0820">
        <w:rPr>
          <w:rFonts w:ascii="FrankRuehl" w:hAnsi="FrankRuehl" w:cs="FrankRuehl"/>
          <w:color w:val="0000FF"/>
          <w:rtl/>
        </w:rPr>
        <w:t xml:space="preserve">(ג), </w:t>
      </w:r>
      <w:hyperlink r:id="rId17" w:history="1">
        <w:r w:rsidRPr="002A0820">
          <w:rPr>
            <w:rStyle w:val="Hyperlink"/>
            <w:rFonts w:ascii="FrankRuehl" w:hAnsi="FrankRuehl" w:cs="FrankRuehl"/>
            <w:u w:val="none"/>
          </w:rPr>
          <w:t>13</w:t>
        </w:r>
      </w:hyperlink>
      <w:r w:rsidRPr="002A0820">
        <w:rPr>
          <w:rFonts w:ascii="FrankRuehl" w:hAnsi="FrankRuehl" w:cs="FrankRuehl"/>
          <w:color w:val="0000FF"/>
          <w:rtl/>
        </w:rPr>
        <w:t xml:space="preserve">, </w:t>
      </w:r>
      <w:hyperlink r:id="rId18" w:history="1">
        <w:r w:rsidRPr="002A0820">
          <w:rPr>
            <w:rStyle w:val="Hyperlink"/>
            <w:rFonts w:ascii="FrankRuehl" w:hAnsi="FrankRuehl" w:cs="FrankRuehl"/>
            <w:u w:val="none"/>
          </w:rPr>
          <w:t>19</w:t>
        </w:r>
        <w:r w:rsidRPr="002A0820">
          <w:rPr>
            <w:rStyle w:val="Hyperlink"/>
            <w:rFonts w:ascii="FrankRuehl" w:hAnsi="FrankRuehl" w:cs="FrankRuehl"/>
            <w:u w:val="none"/>
            <w:rtl/>
          </w:rPr>
          <w:t>א</w:t>
        </w:r>
      </w:hyperlink>
    </w:p>
    <w:p w14:paraId="6BBA245E" w14:textId="77777777" w:rsidR="002A0820" w:rsidRPr="002A0820" w:rsidRDefault="002A0820" w:rsidP="002A0820">
      <w:pPr>
        <w:spacing w:before="120" w:after="120" w:line="240" w:lineRule="exact"/>
        <w:ind w:left="283" w:hanging="283"/>
        <w:jc w:val="both"/>
        <w:rPr>
          <w:rFonts w:ascii="FrankRuehl" w:hAnsi="FrankRuehl" w:cs="FrankRuehl"/>
          <w:color w:val="0000FF"/>
          <w:rtl/>
        </w:rPr>
      </w:pPr>
      <w:hyperlink r:id="rId19" w:history="1">
        <w:r w:rsidRPr="002A0820">
          <w:rPr>
            <w:rStyle w:val="Hyperlink"/>
            <w:rFonts w:ascii="FrankRuehl" w:hAnsi="FrankRuehl" w:cs="FrankRuehl"/>
            <w:u w:val="none"/>
            <w:rtl/>
          </w:rPr>
          <w:t>פקודת סדר הדין הפלילי (מעצר וחיפוש) [נוסח חדש], תשכ"ט-1969</w:t>
        </w:r>
      </w:hyperlink>
      <w:r w:rsidRPr="002A0820">
        <w:rPr>
          <w:rFonts w:ascii="FrankRuehl" w:hAnsi="FrankRuehl" w:cs="FrankRuehl"/>
          <w:color w:val="0000FF"/>
          <w:rtl/>
        </w:rPr>
        <w:t xml:space="preserve">: סע'  </w:t>
      </w:r>
      <w:hyperlink r:id="rId20" w:history="1">
        <w:r w:rsidRPr="002A0820">
          <w:rPr>
            <w:rStyle w:val="Hyperlink"/>
            <w:rFonts w:ascii="FrankRuehl" w:hAnsi="FrankRuehl" w:cs="FrankRuehl"/>
            <w:u w:val="none"/>
          </w:rPr>
          <w:t>47</w:t>
        </w:r>
      </w:hyperlink>
      <w:r w:rsidRPr="002A0820">
        <w:rPr>
          <w:rFonts w:ascii="FrankRuehl" w:hAnsi="FrankRuehl" w:cs="FrankRuehl"/>
          <w:color w:val="0000FF"/>
          <w:rtl/>
        </w:rPr>
        <w:t>(א)</w:t>
      </w:r>
    </w:p>
    <w:p w14:paraId="5F120915" w14:textId="77777777" w:rsidR="00AF20FE" w:rsidRDefault="00AF20FE" w:rsidP="001C163E">
      <w:pPr>
        <w:spacing w:line="360" w:lineRule="auto"/>
        <w:rPr>
          <w:rFonts w:ascii="David" w:hAnsi="David" w:hint="cs"/>
          <w:sz w:val="28"/>
          <w:szCs w:val="28"/>
          <w:rtl/>
        </w:rPr>
      </w:pPr>
      <w:bookmarkStart w:id="4" w:name="LawTable_End"/>
      <w:bookmarkEnd w:id="4"/>
    </w:p>
    <w:p w14:paraId="51F349DD" w14:textId="77777777" w:rsidR="001C163E" w:rsidRDefault="001C163E" w:rsidP="001C163E">
      <w:pPr>
        <w:spacing w:line="360" w:lineRule="auto"/>
        <w:rPr>
          <w:rFonts w:ascii="David" w:hAnsi="David" w:hint="cs"/>
          <w:sz w:val="28"/>
          <w:szCs w:val="28"/>
          <w:rtl/>
        </w:rPr>
      </w:pPr>
    </w:p>
    <w:p w14:paraId="7D6577F3" w14:textId="77777777" w:rsidR="00F2779A" w:rsidRDefault="00F2779A" w:rsidP="00F2779A">
      <w:pPr>
        <w:pBdr>
          <w:top w:val="single" w:sz="4" w:space="1" w:color="auto"/>
          <w:bottom w:val="single" w:sz="4" w:space="1" w:color="auto"/>
        </w:pBdr>
        <w:spacing w:after="120" w:line="320" w:lineRule="exact"/>
        <w:jc w:val="both"/>
        <w:rPr>
          <w:rFonts w:eastAsia="Calibri" w:cs="FrankRuehl" w:hint="cs"/>
          <w:szCs w:val="26"/>
          <w:rtl/>
        </w:rPr>
      </w:pPr>
      <w:bookmarkStart w:id="5" w:name="ABSTRACT_START"/>
      <w:bookmarkEnd w:id="5"/>
      <w:r>
        <w:rPr>
          <w:rFonts w:eastAsia="Calibri" w:cs="FrankRuehl"/>
          <w:szCs w:val="26"/>
          <w:rtl/>
        </w:rPr>
        <w:t>מיני-רציו:</w:t>
      </w:r>
    </w:p>
    <w:p w14:paraId="38B7AF39" w14:textId="77777777" w:rsidR="00F2779A" w:rsidRDefault="00F2779A" w:rsidP="00F2779A">
      <w:pPr>
        <w:pBdr>
          <w:top w:val="single" w:sz="4" w:space="1" w:color="auto"/>
          <w:bottom w:val="single" w:sz="4" w:space="1" w:color="auto"/>
        </w:pBdr>
        <w:spacing w:after="120" w:line="320" w:lineRule="exact"/>
        <w:jc w:val="both"/>
        <w:rPr>
          <w:rFonts w:eastAsia="Calibri" w:cs="FrankRuehl" w:hint="cs"/>
          <w:szCs w:val="26"/>
          <w:rtl/>
        </w:rPr>
      </w:pPr>
      <w:r w:rsidRPr="00F2779A">
        <w:rPr>
          <w:rFonts w:eastAsia="Calibri" w:cs="FrankRuehl" w:hint="cs"/>
          <w:szCs w:val="26"/>
          <w:rtl/>
        </w:rPr>
        <w:t xml:space="preserve">* ביהמ"ש גזר את דינו של נאשם שהורשע בעבירות של </w:t>
      </w:r>
      <w:r w:rsidRPr="00F2779A">
        <w:rPr>
          <w:rFonts w:eastAsia="Calibri" w:cs="FrankRuehl"/>
          <w:szCs w:val="26"/>
          <w:rtl/>
        </w:rPr>
        <w:t>ביצוע פעולה בחפץ אסור בבית הסוהר</w:t>
      </w:r>
      <w:r w:rsidRPr="00F2779A">
        <w:rPr>
          <w:rFonts w:cs="FrankRuehl" w:hint="cs"/>
          <w:szCs w:val="26"/>
          <w:rtl/>
        </w:rPr>
        <w:t xml:space="preserve">, </w:t>
      </w:r>
      <w:r w:rsidRPr="00F2779A">
        <w:rPr>
          <w:rFonts w:eastAsia="Calibri" w:cs="FrankRuehl"/>
          <w:szCs w:val="26"/>
          <w:rtl/>
        </w:rPr>
        <w:t>החזקת סמים לצריכה עצמית</w:t>
      </w:r>
      <w:r w:rsidRPr="00F2779A">
        <w:rPr>
          <w:rFonts w:eastAsia="Calibri" w:cs="FrankRuehl" w:hint="cs"/>
          <w:szCs w:val="26"/>
          <w:rtl/>
        </w:rPr>
        <w:t xml:space="preserve"> ו</w:t>
      </w:r>
      <w:r w:rsidRPr="00F2779A">
        <w:rPr>
          <w:rFonts w:eastAsia="Calibri" w:cs="FrankRuehl"/>
          <w:szCs w:val="26"/>
          <w:rtl/>
        </w:rPr>
        <w:t>התנגדות למעצר.</w:t>
      </w:r>
      <w:r w:rsidRPr="00F2779A">
        <w:rPr>
          <w:rFonts w:eastAsia="Calibri" w:cs="FrankRuehl" w:hint="cs"/>
          <w:szCs w:val="26"/>
          <w:rtl/>
        </w:rPr>
        <w:t xml:space="preserve"> הוטלו</w:t>
      </w:r>
      <w:r w:rsidRPr="00F2779A">
        <w:rPr>
          <w:rFonts w:eastAsia="Calibri" w:cs="FrankRuehl"/>
          <w:szCs w:val="26"/>
          <w:rtl/>
        </w:rPr>
        <w:t xml:space="preserve"> </w:t>
      </w:r>
      <w:r w:rsidRPr="00F2779A">
        <w:rPr>
          <w:rFonts w:eastAsia="Calibri" w:cs="FrankRuehl" w:hint="cs"/>
          <w:szCs w:val="26"/>
          <w:rtl/>
        </w:rPr>
        <w:t xml:space="preserve">על </w:t>
      </w:r>
      <w:r w:rsidRPr="00F2779A">
        <w:rPr>
          <w:rFonts w:eastAsia="Calibri" w:cs="FrankRuehl"/>
          <w:szCs w:val="26"/>
          <w:rtl/>
        </w:rPr>
        <w:t xml:space="preserve">הנאשם </w:t>
      </w:r>
      <w:r w:rsidRPr="00F2779A">
        <w:rPr>
          <w:rFonts w:cs="FrankRuehl"/>
          <w:szCs w:val="26"/>
          <w:rtl/>
        </w:rPr>
        <w:t xml:space="preserve">14 חודשי מאסר בפועל, </w:t>
      </w:r>
      <w:r w:rsidRPr="00F2779A">
        <w:rPr>
          <w:rFonts w:cs="FrankRuehl" w:hint="cs"/>
          <w:szCs w:val="26"/>
          <w:rtl/>
        </w:rPr>
        <w:t>לצד ענישה נלווית</w:t>
      </w:r>
      <w:r w:rsidRPr="00F2779A">
        <w:rPr>
          <w:rFonts w:cs="FrankRuehl"/>
          <w:szCs w:val="26"/>
          <w:rtl/>
        </w:rPr>
        <w:t>.</w:t>
      </w:r>
    </w:p>
    <w:p w14:paraId="79C9E09D" w14:textId="77777777" w:rsidR="001C163E" w:rsidRPr="00F2779A" w:rsidRDefault="00F2779A" w:rsidP="00F2779A">
      <w:pPr>
        <w:pBdr>
          <w:top w:val="single" w:sz="4" w:space="1" w:color="auto"/>
          <w:bottom w:val="single" w:sz="4" w:space="1" w:color="auto"/>
        </w:pBdr>
        <w:spacing w:after="120" w:line="320" w:lineRule="exact"/>
        <w:jc w:val="both"/>
        <w:rPr>
          <w:rFonts w:eastAsia="Calibri" w:cs="FrankRuehl" w:hint="cs"/>
          <w:szCs w:val="26"/>
          <w:rtl/>
        </w:rPr>
      </w:pPr>
      <w:r>
        <w:rPr>
          <w:rFonts w:eastAsia="Calibri" w:cs="FrankRuehl"/>
          <w:szCs w:val="26"/>
          <w:rtl/>
        </w:rPr>
        <w:t>* עונשין – ענישה – מדיניות ענישה: עבירות סמים</w:t>
      </w:r>
    </w:p>
    <w:p w14:paraId="50BAEF1B" w14:textId="77777777" w:rsidR="001C163E" w:rsidRPr="00F2779A" w:rsidRDefault="00F2779A" w:rsidP="00F2779A">
      <w:pPr>
        <w:pBdr>
          <w:top w:val="single" w:sz="4" w:space="1" w:color="auto"/>
          <w:bottom w:val="single" w:sz="4" w:space="1" w:color="auto"/>
        </w:pBdr>
        <w:spacing w:after="120" w:line="320" w:lineRule="exact"/>
        <w:jc w:val="both"/>
        <w:rPr>
          <w:rFonts w:eastAsia="Calibri" w:cs="FrankRuehl" w:hint="cs"/>
          <w:szCs w:val="26"/>
          <w:rtl/>
        </w:rPr>
      </w:pPr>
      <w:r>
        <w:rPr>
          <w:rFonts w:eastAsia="Calibri" w:cs="FrankRuehl" w:hint="cs"/>
          <w:szCs w:val="26"/>
          <w:rtl/>
        </w:rPr>
        <w:t>.</w:t>
      </w:r>
    </w:p>
    <w:p w14:paraId="2E73B341" w14:textId="77777777" w:rsidR="001C163E" w:rsidRPr="00F2779A" w:rsidRDefault="001C163E" w:rsidP="00F2779A">
      <w:pPr>
        <w:pBdr>
          <w:top w:val="single" w:sz="4" w:space="1" w:color="auto"/>
          <w:bottom w:val="single" w:sz="4" w:space="1" w:color="auto"/>
        </w:pBdr>
        <w:spacing w:after="120" w:line="320" w:lineRule="exact"/>
        <w:jc w:val="both"/>
        <w:rPr>
          <w:rFonts w:eastAsia="Calibri" w:cs="FrankRuehl"/>
          <w:szCs w:val="26"/>
          <w:rtl/>
        </w:rPr>
      </w:pPr>
      <w:r w:rsidRPr="00F2779A">
        <w:rPr>
          <w:rFonts w:eastAsia="Calibri" w:cs="FrankRuehl"/>
          <w:szCs w:val="26"/>
          <w:rtl/>
        </w:rPr>
        <w:t>מה דינו של נאשם אשר בעודו מרצה עונש מאסר בגין הרשעה קודמת, קיבל סמים וחומר אסור מעורכת דין שהגיעה פעמיים כדי לבקרו – למטרה זו בלבד, ולאחר שנתפסו הסמים התנגד באלימות למעצרו?</w:t>
      </w:r>
    </w:p>
    <w:p w14:paraId="27B0934A" w14:textId="77777777" w:rsidR="001C163E" w:rsidRPr="00F2779A" w:rsidRDefault="00F2779A" w:rsidP="00F2779A">
      <w:pPr>
        <w:pBdr>
          <w:top w:val="single" w:sz="4" w:space="1" w:color="auto"/>
          <w:bottom w:val="single" w:sz="4" w:space="1" w:color="auto"/>
        </w:pBdr>
        <w:spacing w:after="120" w:line="320" w:lineRule="exact"/>
        <w:jc w:val="both"/>
        <w:rPr>
          <w:rFonts w:eastAsia="Calibri" w:cs="FrankRuehl" w:hint="cs"/>
          <w:szCs w:val="26"/>
          <w:rtl/>
        </w:rPr>
      </w:pPr>
      <w:r>
        <w:rPr>
          <w:rFonts w:eastAsia="Calibri" w:cs="FrankRuehl" w:hint="cs"/>
          <w:szCs w:val="26"/>
          <w:rtl/>
        </w:rPr>
        <w:t>.</w:t>
      </w:r>
    </w:p>
    <w:p w14:paraId="3C0F4D15" w14:textId="77777777" w:rsidR="001C163E" w:rsidRPr="00F2779A" w:rsidRDefault="001C163E" w:rsidP="00F2779A">
      <w:pPr>
        <w:pBdr>
          <w:top w:val="single" w:sz="4" w:space="1" w:color="auto"/>
          <w:bottom w:val="single" w:sz="4" w:space="1" w:color="auto"/>
        </w:pBdr>
        <w:spacing w:after="120" w:line="320" w:lineRule="exact"/>
        <w:jc w:val="both"/>
        <w:rPr>
          <w:rFonts w:eastAsia="Calibri" w:cs="FrankRuehl" w:hint="cs"/>
          <w:szCs w:val="26"/>
          <w:rtl/>
        </w:rPr>
      </w:pPr>
      <w:r w:rsidRPr="00F2779A">
        <w:rPr>
          <w:rFonts w:eastAsia="Calibri" w:cs="FrankRuehl" w:hint="cs"/>
          <w:szCs w:val="26"/>
          <w:rtl/>
        </w:rPr>
        <w:t>בית המשפט פסק כלהלן:</w:t>
      </w:r>
    </w:p>
    <w:p w14:paraId="320CF83F" w14:textId="77777777" w:rsidR="001C163E" w:rsidRPr="00F2779A" w:rsidRDefault="001C163E" w:rsidP="00F2779A">
      <w:pPr>
        <w:pBdr>
          <w:top w:val="single" w:sz="4" w:space="1" w:color="auto"/>
          <w:bottom w:val="single" w:sz="4" w:space="1" w:color="auto"/>
        </w:pBdr>
        <w:spacing w:after="120" w:line="320" w:lineRule="exact"/>
        <w:jc w:val="both"/>
        <w:rPr>
          <w:rFonts w:eastAsia="Calibri" w:cs="FrankRuehl"/>
          <w:szCs w:val="26"/>
          <w:rtl/>
        </w:rPr>
      </w:pPr>
      <w:r w:rsidRPr="00F2779A">
        <w:rPr>
          <w:rFonts w:eastAsia="Calibri" w:cs="FrankRuehl"/>
          <w:szCs w:val="26"/>
          <w:rtl/>
        </w:rPr>
        <w:t xml:space="preserve">צודק ב"כ הנאשם בטענתו כי </w:t>
      </w:r>
      <w:r w:rsidRPr="00F2779A">
        <w:rPr>
          <w:rFonts w:eastAsia="Calibri" w:cs="FrankRuehl" w:hint="cs"/>
          <w:szCs w:val="26"/>
          <w:rtl/>
        </w:rPr>
        <w:t>עורכת הדין</w:t>
      </w:r>
      <w:r w:rsidRPr="00F2779A">
        <w:rPr>
          <w:rFonts w:eastAsia="Calibri" w:cs="FrankRuehl"/>
          <w:szCs w:val="26"/>
          <w:rtl/>
        </w:rPr>
        <w:t xml:space="preserve"> היא שהכניסה את הסמים אל בין כותלי בית הסוהר, וביצעה עבירה שלא יוחסה לנאשם, של אספקת סמים מסוכנים. עוד צודק ב"כ הנאשם בטענתו, כי בגזר דינה של עו</w:t>
      </w:r>
      <w:r w:rsidRPr="00F2779A">
        <w:rPr>
          <w:rFonts w:eastAsia="Calibri" w:cs="FrankRuehl" w:hint="cs"/>
          <w:szCs w:val="26"/>
          <w:rtl/>
        </w:rPr>
        <w:t>רכת הדין</w:t>
      </w:r>
      <w:r w:rsidRPr="00F2779A">
        <w:rPr>
          <w:rFonts w:eastAsia="Calibri" w:cs="FrankRuehl"/>
          <w:szCs w:val="26"/>
          <w:rtl/>
        </w:rPr>
        <w:t xml:space="preserve"> ניתן משקל לא מבוטל לאופן ביצוע המעשים על ידי מי שניצלה את מעמדה כעורכת </w:t>
      </w:r>
      <w:r w:rsidRPr="00F2779A">
        <w:rPr>
          <w:rFonts w:eastAsia="Calibri" w:cs="FrankRuehl"/>
          <w:szCs w:val="26"/>
          <w:rtl/>
        </w:rPr>
        <w:lastRenderedPageBreak/>
        <w:t>דין. מנגד, לא ניתן להתעלם ממגוון נתונים העומדים לחובתו של הנאשם, ומצדיקים קביעת מתחם ענישה חמור יותר מזה שנקבע בעני</w:t>
      </w:r>
      <w:r w:rsidRPr="00F2779A">
        <w:rPr>
          <w:rFonts w:eastAsia="Calibri" w:cs="FrankRuehl" w:hint="cs"/>
          <w:szCs w:val="26"/>
          <w:rtl/>
        </w:rPr>
        <w:t>י</w:t>
      </w:r>
      <w:r w:rsidRPr="00F2779A">
        <w:rPr>
          <w:rFonts w:eastAsia="Calibri" w:cs="FrankRuehl"/>
          <w:szCs w:val="26"/>
          <w:rtl/>
        </w:rPr>
        <w:t>נה של עו</w:t>
      </w:r>
      <w:r w:rsidRPr="00F2779A">
        <w:rPr>
          <w:rFonts w:eastAsia="Calibri" w:cs="FrankRuehl" w:hint="cs"/>
          <w:szCs w:val="26"/>
          <w:rtl/>
        </w:rPr>
        <w:t>רכת הדין</w:t>
      </w:r>
      <w:r w:rsidRPr="00F2779A">
        <w:rPr>
          <w:rFonts w:eastAsia="Calibri" w:cs="FrankRuehl"/>
          <w:szCs w:val="26"/>
          <w:rtl/>
        </w:rPr>
        <w:t>.</w:t>
      </w:r>
    </w:p>
    <w:p w14:paraId="369C45A8" w14:textId="77777777" w:rsidR="001C163E" w:rsidRPr="00F2779A" w:rsidRDefault="001C163E" w:rsidP="00F2779A">
      <w:pPr>
        <w:pBdr>
          <w:top w:val="single" w:sz="4" w:space="1" w:color="auto"/>
          <w:bottom w:val="single" w:sz="4" w:space="1" w:color="auto"/>
        </w:pBdr>
        <w:spacing w:after="120" w:line="320" w:lineRule="exact"/>
        <w:jc w:val="both"/>
        <w:rPr>
          <w:rFonts w:eastAsia="Calibri" w:cs="FrankRuehl"/>
          <w:szCs w:val="26"/>
          <w:rtl/>
        </w:rPr>
      </w:pPr>
      <w:r w:rsidRPr="00F2779A">
        <w:rPr>
          <w:rFonts w:eastAsia="Calibri" w:cs="FrankRuehl"/>
          <w:szCs w:val="26"/>
          <w:rtl/>
        </w:rPr>
        <w:t>התנהגותו האלימה של הנאשם כלפי הסוהרים כשאלו הגיעו כדי לעוצרו ולתפוס ממנו את הסמים, אך ממחישה את השפעות הלוואי של ביצוע עבירות סמים בין כותלי בית הסוהר. לטענת ההגנה, בהינתן העונש המרבי שבצדה של עבירת התנגדות למעצר – 6 חודשי מאסר, הרי שאין בהרשעת הנאשם בעבירה זו כדי להשפיע על מתחם העונש. אין להסכים</w:t>
      </w:r>
      <w:r w:rsidRPr="00F2779A">
        <w:rPr>
          <w:rFonts w:eastAsia="Calibri" w:cs="FrankRuehl" w:hint="cs"/>
          <w:szCs w:val="26"/>
          <w:rtl/>
        </w:rPr>
        <w:t xml:space="preserve"> לעמדה זו</w:t>
      </w:r>
      <w:r w:rsidRPr="00F2779A">
        <w:rPr>
          <w:rFonts w:eastAsia="Calibri" w:cs="FrankRuehl"/>
          <w:szCs w:val="26"/>
          <w:rtl/>
        </w:rPr>
        <w:t>. א</w:t>
      </w:r>
      <w:r w:rsidRPr="00F2779A">
        <w:rPr>
          <w:rFonts w:eastAsia="Calibri" w:cs="FrankRuehl" w:hint="cs"/>
          <w:szCs w:val="26"/>
          <w:rtl/>
        </w:rPr>
        <w:t>ו</w:t>
      </w:r>
      <w:r w:rsidRPr="00F2779A">
        <w:rPr>
          <w:rFonts w:eastAsia="Calibri" w:cs="FrankRuehl"/>
          <w:szCs w:val="26"/>
          <w:rtl/>
        </w:rPr>
        <w:t>מנם, מובן כי בית המשפט לא יתחשב בעבירה החמורה יותר של תקיפת עובד ציבור, אשר נמחקה מכתב האישום המתוקן. מנגד, התנגדות למעצר, לבטח בריבוי עבירות, בנסיבות המפורטות בכתב האישום, מחייבת התייחסות עונשית מחמירה. הנאשם עשה כל שלאל ידו על מנת לחמ</w:t>
      </w:r>
      <w:r w:rsidRPr="00F2779A">
        <w:rPr>
          <w:rFonts w:eastAsia="Calibri" w:cs="FrankRuehl" w:hint="cs"/>
          <w:szCs w:val="26"/>
          <w:rtl/>
        </w:rPr>
        <w:t>ו</w:t>
      </w:r>
      <w:r w:rsidRPr="00F2779A">
        <w:rPr>
          <w:rFonts w:eastAsia="Calibri" w:cs="FrankRuehl"/>
          <w:szCs w:val="26"/>
          <w:rtl/>
        </w:rPr>
        <w:t xml:space="preserve">ק מתפיסת הסמים, והיה נכון לפגוע לשם </w:t>
      </w:r>
      <w:r w:rsidRPr="00F2779A">
        <w:rPr>
          <w:rFonts w:eastAsia="Calibri" w:cs="FrankRuehl" w:hint="cs"/>
          <w:szCs w:val="26"/>
          <w:rtl/>
        </w:rPr>
        <w:t xml:space="preserve">כך </w:t>
      </w:r>
      <w:r w:rsidRPr="00F2779A">
        <w:rPr>
          <w:rFonts w:eastAsia="Calibri" w:cs="FrankRuehl"/>
          <w:szCs w:val="26"/>
          <w:rtl/>
        </w:rPr>
        <w:t>בסובבים אותו, תוך השתוללות והפעלת אלימות בלתי מרוסנת, עד כי שלושה סוהרים התקשו להשתלט עליו, ונחבלו פיזית במהלך מעצר</w:t>
      </w:r>
      <w:r w:rsidRPr="00F2779A">
        <w:rPr>
          <w:rFonts w:eastAsia="Calibri" w:cs="FrankRuehl" w:hint="cs"/>
          <w:szCs w:val="26"/>
          <w:rtl/>
        </w:rPr>
        <w:t>ו</w:t>
      </w:r>
      <w:r w:rsidRPr="00F2779A">
        <w:rPr>
          <w:rFonts w:eastAsia="Calibri" w:cs="FrankRuehl"/>
          <w:szCs w:val="26"/>
          <w:rtl/>
        </w:rPr>
        <w:t>.</w:t>
      </w:r>
    </w:p>
    <w:p w14:paraId="2428FD6C" w14:textId="77777777" w:rsidR="001C163E" w:rsidRPr="00F2779A" w:rsidRDefault="001C163E" w:rsidP="00F2779A">
      <w:pPr>
        <w:pBdr>
          <w:top w:val="single" w:sz="4" w:space="1" w:color="auto"/>
          <w:bottom w:val="single" w:sz="4" w:space="1" w:color="auto"/>
        </w:pBdr>
        <w:spacing w:after="120" w:line="320" w:lineRule="exact"/>
        <w:jc w:val="both"/>
        <w:rPr>
          <w:rFonts w:eastAsia="Calibri" w:cs="FrankRuehl"/>
          <w:szCs w:val="26"/>
          <w:rtl/>
        </w:rPr>
      </w:pPr>
      <w:r w:rsidRPr="00F2779A">
        <w:rPr>
          <w:rFonts w:eastAsia="Calibri" w:cs="FrankRuehl"/>
          <w:szCs w:val="26"/>
          <w:rtl/>
        </w:rPr>
        <w:t xml:space="preserve">בהינתן שיקולים </w:t>
      </w:r>
      <w:r w:rsidRPr="00F2779A">
        <w:rPr>
          <w:rFonts w:eastAsia="Calibri" w:cs="FrankRuehl" w:hint="cs"/>
          <w:szCs w:val="26"/>
          <w:rtl/>
        </w:rPr>
        <w:t>אלה</w:t>
      </w:r>
      <w:r w:rsidRPr="00F2779A">
        <w:rPr>
          <w:rFonts w:eastAsia="Calibri" w:cs="FrankRuehl"/>
          <w:szCs w:val="26"/>
          <w:rtl/>
        </w:rPr>
        <w:t xml:space="preserve">, ולאחר </w:t>
      </w:r>
      <w:r w:rsidRPr="00F2779A">
        <w:rPr>
          <w:rFonts w:eastAsia="Calibri" w:cs="FrankRuehl" w:hint="cs"/>
          <w:szCs w:val="26"/>
          <w:rtl/>
        </w:rPr>
        <w:t>בחינת</w:t>
      </w:r>
      <w:r w:rsidRPr="00F2779A">
        <w:rPr>
          <w:rFonts w:eastAsia="Calibri" w:cs="FrankRuehl"/>
          <w:szCs w:val="26"/>
          <w:rtl/>
        </w:rPr>
        <w:t xml:space="preserve"> את מדיניות הענישה הנוהגת, </w:t>
      </w:r>
      <w:r w:rsidRPr="00F2779A">
        <w:rPr>
          <w:rFonts w:eastAsia="Calibri" w:cs="FrankRuehl" w:hint="cs"/>
          <w:szCs w:val="26"/>
          <w:rtl/>
        </w:rPr>
        <w:t>נ</w:t>
      </w:r>
      <w:r w:rsidRPr="00F2779A">
        <w:rPr>
          <w:rFonts w:eastAsia="Calibri" w:cs="FrankRuehl"/>
          <w:szCs w:val="26"/>
          <w:rtl/>
        </w:rPr>
        <w:t xml:space="preserve">מצא כי בהתחשב בריבוי המעשים בהם הורשע הנאשם, ראוי היה לקבוע את מתחם עונשו כך שלא יפחת מ-15 חודשי מאסר בפועל. המאשימה, ביקשה לקבוע מתחם עונש מקל יותר, ודומה שבכך נפלה לכדי שגגה. עם זאת, לא </w:t>
      </w:r>
      <w:r w:rsidRPr="00F2779A">
        <w:rPr>
          <w:rFonts w:eastAsia="Calibri" w:cs="FrankRuehl" w:hint="cs"/>
          <w:szCs w:val="26"/>
          <w:rtl/>
        </w:rPr>
        <w:t>נ</w:t>
      </w:r>
      <w:r w:rsidRPr="00F2779A">
        <w:rPr>
          <w:rFonts w:eastAsia="Calibri" w:cs="FrankRuehl"/>
          <w:szCs w:val="26"/>
          <w:rtl/>
        </w:rPr>
        <w:t>מצא כי עסקינן בנסיבות חריגות עד כדי קביעת מתחם חמור יותר מ</w:t>
      </w:r>
      <w:r w:rsidRPr="00F2779A">
        <w:rPr>
          <w:rFonts w:eastAsia="Calibri" w:cs="FrankRuehl" w:hint="cs"/>
          <w:szCs w:val="26"/>
          <w:rtl/>
        </w:rPr>
        <w:t xml:space="preserve">המתחם </w:t>
      </w:r>
      <w:r w:rsidRPr="00F2779A">
        <w:rPr>
          <w:rFonts w:eastAsia="Calibri" w:cs="FrankRuehl"/>
          <w:szCs w:val="26"/>
          <w:rtl/>
        </w:rPr>
        <w:t>לו עתרה המאשימה, ומשכך החלטתי לאמצו, ולהעמיד את מתחם העונש על מאסר בפועל בין 22-11 חודשים.</w:t>
      </w:r>
    </w:p>
    <w:p w14:paraId="538EE556" w14:textId="77777777" w:rsidR="001C163E" w:rsidRPr="002A0820" w:rsidRDefault="001C163E" w:rsidP="00F2779A">
      <w:pPr>
        <w:pBdr>
          <w:top w:val="single" w:sz="4" w:space="1" w:color="auto"/>
          <w:bottom w:val="single" w:sz="4" w:space="1" w:color="auto"/>
        </w:pBdr>
        <w:spacing w:after="120" w:line="320" w:lineRule="exact"/>
        <w:jc w:val="both"/>
        <w:rPr>
          <w:rFonts w:ascii="David" w:hAnsi="David" w:hint="cs"/>
          <w:sz w:val="28"/>
          <w:szCs w:val="28"/>
          <w:rtl/>
        </w:rPr>
      </w:pPr>
      <w:r w:rsidRPr="00F2779A">
        <w:rPr>
          <w:rFonts w:eastAsia="Calibri" w:cs="FrankRuehl"/>
          <w:szCs w:val="26"/>
          <w:rtl/>
        </w:rPr>
        <w:t>בגזירת העונש בתוך המתחם</w:t>
      </w:r>
      <w:r w:rsidRPr="00F2779A">
        <w:rPr>
          <w:rFonts w:eastAsia="Calibri" w:cs="FrankRuehl" w:hint="cs"/>
          <w:szCs w:val="26"/>
          <w:rtl/>
        </w:rPr>
        <w:t>, יש ל</w:t>
      </w:r>
      <w:r w:rsidRPr="00F2779A">
        <w:rPr>
          <w:rFonts w:eastAsia="Calibri" w:cs="FrankRuehl"/>
          <w:szCs w:val="26"/>
          <w:rtl/>
        </w:rPr>
        <w:t xml:space="preserve">התחשב בהודייתו של הנאשם במיוחס לו, בהבעת החרטה, וכפועל יוצא מאלו, בחיסכון בזמן שיפוטי. עוד </w:t>
      </w:r>
      <w:r w:rsidRPr="00F2779A">
        <w:rPr>
          <w:rFonts w:eastAsia="Calibri" w:cs="FrankRuehl" w:hint="cs"/>
          <w:szCs w:val="26"/>
          <w:rtl/>
        </w:rPr>
        <w:t>יש ל</w:t>
      </w:r>
      <w:r w:rsidRPr="00F2779A">
        <w:rPr>
          <w:rFonts w:eastAsia="Calibri" w:cs="FrankRuehl"/>
          <w:szCs w:val="26"/>
          <w:rtl/>
        </w:rPr>
        <w:t xml:space="preserve">התחשב בדבריו של הנאשם, אשר הצהיר כי פניו לדרך חיים חדשה. </w:t>
      </w:r>
      <w:r w:rsidRPr="00F2779A">
        <w:rPr>
          <w:rFonts w:eastAsia="Calibri" w:cs="FrankRuehl" w:hint="cs"/>
          <w:szCs w:val="26"/>
          <w:rtl/>
        </w:rPr>
        <w:t>יש ל</w:t>
      </w:r>
      <w:r w:rsidRPr="00F2779A">
        <w:rPr>
          <w:rFonts w:eastAsia="Calibri" w:cs="FrankRuehl"/>
          <w:szCs w:val="26"/>
          <w:rtl/>
        </w:rPr>
        <w:t>שק</w:t>
      </w:r>
      <w:r w:rsidRPr="00F2779A">
        <w:rPr>
          <w:rFonts w:eastAsia="Calibri" w:cs="FrankRuehl" w:hint="cs"/>
          <w:szCs w:val="26"/>
          <w:rtl/>
        </w:rPr>
        <w:t>ו</w:t>
      </w:r>
      <w:r w:rsidRPr="00F2779A">
        <w:rPr>
          <w:rFonts w:eastAsia="Calibri" w:cs="FrankRuehl"/>
          <w:szCs w:val="26"/>
          <w:rtl/>
        </w:rPr>
        <w:t>ל את חלוף הזמן מאז מועד ביצוע העבירות (כשנתיים), את העובדה שמדובר היה במאסרו הראשון של הנאשם (מאחורי סורג ובריח), ואת הפגיעה הצפויה בחייהם של הנאשם והסובבים אותו (בת זוגו ובני משפחתו הגרעינית) כתוצאה מגזירת עונש מאסר ממש.</w:t>
      </w:r>
      <w:r w:rsidRPr="00F2779A">
        <w:rPr>
          <w:rFonts w:eastAsia="Calibri" w:cs="FrankRuehl" w:hint="cs"/>
          <w:szCs w:val="26"/>
          <w:rtl/>
        </w:rPr>
        <w:t xml:space="preserve"> </w:t>
      </w:r>
      <w:r w:rsidRPr="00F2779A">
        <w:rPr>
          <w:rFonts w:eastAsia="Calibri" w:cs="FrankRuehl"/>
          <w:szCs w:val="26"/>
          <w:rtl/>
        </w:rPr>
        <w:t xml:space="preserve">מנגד, לא ניתן להתעלם מעברו הפלילי הרלוונטי והמכביד של הנאשם, גם אם לא בעבירות סמים. </w:t>
      </w:r>
      <w:r w:rsidRPr="00F2779A">
        <w:rPr>
          <w:rFonts w:eastAsia="Calibri" w:cs="FrankRuehl" w:hint="cs"/>
          <w:szCs w:val="26"/>
          <w:rtl/>
        </w:rPr>
        <w:t xml:space="preserve">יש </w:t>
      </w:r>
      <w:r w:rsidRPr="00F2779A">
        <w:rPr>
          <w:rFonts w:eastAsia="Calibri" w:cs="FrankRuehl"/>
          <w:szCs w:val="26"/>
          <w:rtl/>
        </w:rPr>
        <w:t xml:space="preserve">לגזור </w:t>
      </w:r>
      <w:r w:rsidRPr="00F2779A">
        <w:rPr>
          <w:rFonts w:eastAsia="Calibri" w:cs="FrankRuehl" w:hint="cs"/>
          <w:szCs w:val="26"/>
          <w:rtl/>
        </w:rPr>
        <w:t xml:space="preserve">על </w:t>
      </w:r>
      <w:r w:rsidRPr="00F2779A">
        <w:rPr>
          <w:rFonts w:eastAsia="Calibri" w:cs="FrankRuehl"/>
          <w:szCs w:val="26"/>
          <w:rtl/>
        </w:rPr>
        <w:t xml:space="preserve">הנאשם </w:t>
      </w:r>
      <w:r w:rsidRPr="00F2779A">
        <w:rPr>
          <w:rFonts w:cs="FrankRuehl"/>
          <w:szCs w:val="26"/>
          <w:rtl/>
        </w:rPr>
        <w:t xml:space="preserve">14 חודשי מאסר בפועל, </w:t>
      </w:r>
      <w:r w:rsidRPr="00F2779A">
        <w:rPr>
          <w:rFonts w:cs="FrankRuehl" w:hint="cs"/>
          <w:szCs w:val="26"/>
          <w:rtl/>
        </w:rPr>
        <w:t>שלושה מאסרים על תנאי ו</w:t>
      </w:r>
      <w:r w:rsidRPr="00F2779A">
        <w:rPr>
          <w:rFonts w:cs="FrankRuehl"/>
          <w:szCs w:val="26"/>
          <w:rtl/>
        </w:rPr>
        <w:t>קנס בסך 2,000 ₪.</w:t>
      </w:r>
      <w:bookmarkStart w:id="6" w:name="ABSTRACT_END"/>
      <w:bookmarkEnd w:id="6"/>
    </w:p>
    <w:p w14:paraId="2C00EA90" w14:textId="77777777" w:rsidR="00F2779A" w:rsidRDefault="00F2779A" w:rsidP="00AF20FE">
      <w:pPr>
        <w:spacing w:line="360" w:lineRule="auto"/>
        <w:jc w:val="center"/>
        <w:rPr>
          <w:rFonts w:ascii="David" w:hAnsi="David" w:hint="cs"/>
          <w:bCs/>
          <w:sz w:val="28"/>
          <w:szCs w:val="28"/>
          <w:u w:val="single"/>
          <w:rtl/>
        </w:rPr>
      </w:pPr>
      <w:bookmarkStart w:id="7" w:name="PsakDin"/>
      <w:bookmarkEnd w:id="0"/>
    </w:p>
    <w:p w14:paraId="3A335361" w14:textId="77777777" w:rsidR="00F2779A" w:rsidRDefault="00F2779A" w:rsidP="00AF20FE">
      <w:pPr>
        <w:spacing w:line="360" w:lineRule="auto"/>
        <w:jc w:val="center"/>
        <w:rPr>
          <w:rFonts w:ascii="David" w:hAnsi="David" w:hint="cs"/>
          <w:bCs/>
          <w:sz w:val="28"/>
          <w:szCs w:val="28"/>
          <w:u w:val="single"/>
          <w:rtl/>
        </w:rPr>
      </w:pPr>
    </w:p>
    <w:p w14:paraId="5E128B80" w14:textId="77777777" w:rsidR="00AF20FE" w:rsidRPr="00AF20FE" w:rsidRDefault="00AF20FE" w:rsidP="00AF20FE">
      <w:pPr>
        <w:spacing w:line="360" w:lineRule="auto"/>
        <w:jc w:val="center"/>
        <w:rPr>
          <w:rFonts w:ascii="David" w:hAnsi="David"/>
          <w:bCs/>
          <w:sz w:val="28"/>
          <w:szCs w:val="28"/>
          <w:u w:val="single"/>
          <w:rtl/>
        </w:rPr>
      </w:pPr>
      <w:r w:rsidRPr="00AF20FE">
        <w:rPr>
          <w:rFonts w:ascii="David" w:hAnsi="David"/>
          <w:bCs/>
          <w:sz w:val="28"/>
          <w:szCs w:val="28"/>
          <w:u w:val="single"/>
          <w:rtl/>
        </w:rPr>
        <w:t>גזר דין</w:t>
      </w:r>
    </w:p>
    <w:bookmarkEnd w:id="7"/>
    <w:p w14:paraId="087E907C" w14:textId="77777777" w:rsidR="001C2F80" w:rsidRDefault="00A201C9" w:rsidP="00A201C9">
      <w:pPr>
        <w:spacing w:line="360" w:lineRule="auto"/>
        <w:jc w:val="both"/>
        <w:rPr>
          <w:rFonts w:ascii="FrankRuehl" w:eastAsia="Calibri" w:hAnsi="FrankRuehl" w:cs="FrankRuehl"/>
          <w:sz w:val="28"/>
          <w:szCs w:val="28"/>
          <w:rtl/>
        </w:rPr>
      </w:pPr>
      <w:r w:rsidRPr="00A201C9">
        <w:rPr>
          <w:rFonts w:ascii="FrankRuehl" w:eastAsia="Calibri" w:hAnsi="FrankRuehl" w:cs="FrankRuehl"/>
          <w:sz w:val="28"/>
          <w:szCs w:val="28"/>
          <w:rtl/>
        </w:rPr>
        <w:tab/>
      </w:r>
    </w:p>
    <w:p w14:paraId="7A79967F" w14:textId="77777777" w:rsidR="00A201C9" w:rsidRPr="00A201C9" w:rsidRDefault="00A201C9" w:rsidP="001C2F80">
      <w:pPr>
        <w:spacing w:line="360" w:lineRule="auto"/>
        <w:ind w:firstLine="720"/>
        <w:jc w:val="both"/>
        <w:rPr>
          <w:rFonts w:ascii="FrankRuehl" w:eastAsia="Calibri" w:hAnsi="FrankRuehl" w:cs="FrankRuehl"/>
          <w:sz w:val="28"/>
          <w:szCs w:val="28"/>
          <w:rtl/>
        </w:rPr>
      </w:pPr>
      <w:r w:rsidRPr="00A201C9">
        <w:rPr>
          <w:rFonts w:ascii="FrankRuehl" w:eastAsia="Calibri" w:hAnsi="FrankRuehl" w:cs="FrankRuehl"/>
          <w:sz w:val="28"/>
          <w:szCs w:val="28"/>
          <w:rtl/>
        </w:rPr>
        <w:t>מה דינו של נאשם אשר בעודו מרצה עונש מאסר בגין הרשעה קודמת, קיבל סמים וחומר אסור מעורכת דין שהגיעה פעמיים כדי לבקרו – למטרה זו בלבד, ולאחר שנתפסו הסמים התנגד באלימות למעצרו?</w:t>
      </w:r>
    </w:p>
    <w:p w14:paraId="258F81D8" w14:textId="77777777" w:rsidR="00A201C9" w:rsidRPr="00A201C9" w:rsidRDefault="00A201C9" w:rsidP="00A201C9">
      <w:pPr>
        <w:spacing w:line="360" w:lineRule="auto"/>
        <w:jc w:val="both"/>
        <w:rPr>
          <w:rFonts w:ascii="FrankRuehl" w:eastAsia="Calibri" w:hAnsi="FrankRuehl" w:cs="FrankRuehl"/>
          <w:sz w:val="28"/>
          <w:szCs w:val="28"/>
          <w:rtl/>
        </w:rPr>
      </w:pPr>
    </w:p>
    <w:p w14:paraId="0D75111D" w14:textId="77777777" w:rsidR="00A201C9" w:rsidRPr="00A201C9" w:rsidRDefault="00A201C9" w:rsidP="00A201C9">
      <w:pPr>
        <w:spacing w:line="360" w:lineRule="auto"/>
        <w:jc w:val="both"/>
        <w:rPr>
          <w:rFonts w:ascii="FrankRuehl" w:eastAsia="Calibri" w:hAnsi="FrankRuehl" w:cs="FrankRuehl"/>
          <w:sz w:val="28"/>
          <w:szCs w:val="28"/>
          <w:rtl/>
        </w:rPr>
      </w:pPr>
      <w:r w:rsidRPr="00A201C9">
        <w:rPr>
          <w:rFonts w:ascii="FrankRuehl" w:eastAsia="Calibri" w:hAnsi="FrankRuehl" w:cs="Miriam"/>
          <w:b/>
          <w:sz w:val="28"/>
          <w:rtl/>
        </w:rPr>
        <w:t>כתב אישום מתוקן (בשנית)</w:t>
      </w:r>
    </w:p>
    <w:p w14:paraId="5F1E509D" w14:textId="77777777" w:rsidR="00A201C9" w:rsidRPr="00A201C9" w:rsidRDefault="00A201C9" w:rsidP="00A201C9">
      <w:pPr>
        <w:spacing w:line="360" w:lineRule="auto"/>
        <w:jc w:val="both"/>
        <w:rPr>
          <w:rFonts w:ascii="FrankRuehl" w:eastAsia="Calibri" w:hAnsi="FrankRuehl" w:cs="FrankRuehl"/>
          <w:sz w:val="28"/>
          <w:szCs w:val="28"/>
          <w:rtl/>
        </w:rPr>
      </w:pPr>
    </w:p>
    <w:p w14:paraId="29077107" w14:textId="77777777" w:rsidR="00A201C9" w:rsidRPr="00A201C9" w:rsidRDefault="00A201C9" w:rsidP="00E73BBD">
      <w:pPr>
        <w:spacing w:line="360" w:lineRule="auto"/>
        <w:jc w:val="both"/>
        <w:rPr>
          <w:rFonts w:ascii="FrankRuehl" w:eastAsia="Calibri" w:hAnsi="FrankRuehl" w:cs="FrankRuehl"/>
          <w:sz w:val="28"/>
          <w:szCs w:val="28"/>
          <w:rtl/>
        </w:rPr>
      </w:pPr>
      <w:r w:rsidRPr="00A201C9">
        <w:rPr>
          <w:rFonts w:ascii="FrankRuehl" w:eastAsia="Calibri" w:hAnsi="FrankRuehl" w:cs="FrankRuehl"/>
          <w:sz w:val="28"/>
          <w:szCs w:val="28"/>
          <w:rtl/>
        </w:rPr>
        <w:t>1.</w:t>
      </w:r>
      <w:r w:rsidRPr="00A201C9">
        <w:rPr>
          <w:rFonts w:ascii="FrankRuehl" w:eastAsia="Calibri" w:hAnsi="FrankRuehl" w:cs="FrankRuehl"/>
          <w:sz w:val="28"/>
          <w:szCs w:val="28"/>
          <w:rtl/>
        </w:rPr>
        <w:tab/>
      </w:r>
      <w:r w:rsidRPr="00A201C9">
        <w:rPr>
          <w:rFonts w:ascii="FrankRuehl" w:eastAsia="Calibri" w:hAnsi="FrankRuehl" w:cs="Miriam"/>
          <w:b/>
          <w:sz w:val="28"/>
          <w:rtl/>
        </w:rPr>
        <w:t>אישום ראשון:</w:t>
      </w:r>
      <w:r w:rsidRPr="00A201C9">
        <w:rPr>
          <w:rFonts w:ascii="FrankRuehl" w:eastAsia="Calibri" w:hAnsi="FrankRuehl" w:cs="FrankRuehl"/>
          <w:sz w:val="28"/>
          <w:szCs w:val="28"/>
          <w:rtl/>
        </w:rPr>
        <w:t xml:space="preserve"> במועדים הרלוונטיים לכתב האישום שהה הנאשם במשמורת חוקית בבית הסוהר "רימונים" (להלן: </w:t>
      </w:r>
      <w:r w:rsidRPr="00A201C9">
        <w:rPr>
          <w:rFonts w:ascii="FrankRuehl" w:eastAsia="Calibri" w:hAnsi="FrankRuehl" w:cs="Miriam"/>
          <w:b/>
          <w:sz w:val="28"/>
          <w:rtl/>
        </w:rPr>
        <w:t>בית הסוהר</w:t>
      </w:r>
      <w:r w:rsidRPr="00A201C9">
        <w:rPr>
          <w:rFonts w:ascii="FrankRuehl" w:eastAsia="Calibri" w:hAnsi="FrankRuehl" w:cs="FrankRuehl"/>
          <w:sz w:val="28"/>
          <w:szCs w:val="28"/>
          <w:rtl/>
        </w:rPr>
        <w:t xml:space="preserve">). במהלך חודש דצמבר 2019 יצר אחר קשר עם עו"ד שיר סנדלר, על מנת ליתן בידה "כסף" אותו תעביר "לבחור" (להלן בהתאמה: </w:t>
      </w:r>
      <w:r w:rsidRPr="00A201C9">
        <w:rPr>
          <w:rFonts w:ascii="FrankRuehl" w:eastAsia="Calibri" w:hAnsi="FrankRuehl" w:cs="Miriam"/>
          <w:b/>
          <w:sz w:val="28"/>
          <w:rtl/>
        </w:rPr>
        <w:t>האחר</w:t>
      </w:r>
      <w:r w:rsidRPr="00A201C9">
        <w:rPr>
          <w:rFonts w:ascii="FrankRuehl" w:eastAsia="Calibri" w:hAnsi="FrankRuehl" w:cs="FrankRuehl"/>
          <w:sz w:val="28"/>
          <w:szCs w:val="28"/>
          <w:rtl/>
        </w:rPr>
        <w:t xml:space="preserve">, </w:t>
      </w:r>
      <w:r w:rsidRPr="00A201C9">
        <w:rPr>
          <w:rFonts w:ascii="FrankRuehl" w:eastAsia="Calibri" w:hAnsi="FrankRuehl" w:cs="Miriam"/>
          <w:b/>
          <w:sz w:val="28"/>
          <w:rtl/>
        </w:rPr>
        <w:t>עו"ד סנדלר</w:t>
      </w:r>
      <w:r w:rsidRPr="00A201C9">
        <w:rPr>
          <w:rFonts w:ascii="FrankRuehl" w:eastAsia="Calibri" w:hAnsi="FrankRuehl" w:cs="FrankRuehl"/>
          <w:sz w:val="28"/>
          <w:szCs w:val="28"/>
          <w:rtl/>
        </w:rPr>
        <w:t>. שמה של עו"ד סנדלר נזכר בכתב האישו</w:t>
      </w:r>
      <w:r w:rsidR="00F73F22">
        <w:rPr>
          <w:rFonts w:ascii="FrankRuehl" w:eastAsia="Calibri" w:hAnsi="FrankRuehl" w:cs="FrankRuehl"/>
          <w:sz w:val="28"/>
          <w:szCs w:val="28"/>
          <w:rtl/>
        </w:rPr>
        <w:t xml:space="preserve">ם בראשי תיבות, </w:t>
      </w:r>
      <w:r w:rsidR="001B284C">
        <w:rPr>
          <w:rFonts w:ascii="FrankRuehl" w:eastAsia="Calibri" w:hAnsi="FrankRuehl" w:cs="FrankRuehl" w:hint="cs"/>
          <w:sz w:val="28"/>
          <w:szCs w:val="28"/>
          <w:rtl/>
        </w:rPr>
        <w:t xml:space="preserve">אך הליך נפרד בענינה </w:t>
      </w:r>
      <w:r w:rsidR="001B284C">
        <w:rPr>
          <w:rFonts w:ascii="FrankRuehl" w:eastAsia="Calibri" w:hAnsi="FrankRuehl" w:cs="FrankRuehl" w:hint="cs"/>
          <w:sz w:val="28"/>
          <w:szCs w:val="28"/>
          <w:rtl/>
        </w:rPr>
        <w:lastRenderedPageBreak/>
        <w:t xml:space="preserve">נוהל בפומבי (לפני מותב זה </w:t>
      </w:r>
      <w:r w:rsidR="00E73BBD">
        <w:rPr>
          <w:rFonts w:ascii="FrankRuehl" w:eastAsia="Calibri" w:hAnsi="FrankRuehl" w:cs="FrankRuehl" w:hint="cs"/>
          <w:sz w:val="28"/>
          <w:szCs w:val="28"/>
          <w:rtl/>
        </w:rPr>
        <w:t>וע</w:t>
      </w:r>
      <w:r w:rsidR="001B284C">
        <w:rPr>
          <w:rFonts w:ascii="FrankRuehl" w:eastAsia="Calibri" w:hAnsi="FrankRuehl" w:cs="FrankRuehl" w:hint="cs"/>
          <w:sz w:val="28"/>
          <w:szCs w:val="28"/>
          <w:rtl/>
        </w:rPr>
        <w:t xml:space="preserve">רכאות </w:t>
      </w:r>
      <w:r w:rsidR="00E73BBD">
        <w:rPr>
          <w:rFonts w:ascii="FrankRuehl" w:eastAsia="Calibri" w:hAnsi="FrankRuehl" w:cs="FrankRuehl" w:hint="cs"/>
          <w:sz w:val="28"/>
          <w:szCs w:val="28"/>
          <w:rtl/>
        </w:rPr>
        <w:t>שמעליו)</w:t>
      </w:r>
      <w:r w:rsidR="001B284C">
        <w:rPr>
          <w:rFonts w:ascii="FrankRuehl" w:eastAsia="Calibri" w:hAnsi="FrankRuehl" w:cs="FrankRuehl" w:hint="cs"/>
          <w:sz w:val="28"/>
          <w:szCs w:val="28"/>
          <w:rtl/>
        </w:rPr>
        <w:t>)</w:t>
      </w:r>
      <w:r w:rsidRPr="00A201C9">
        <w:rPr>
          <w:rFonts w:ascii="FrankRuehl" w:eastAsia="Calibri" w:hAnsi="FrankRuehl" w:cs="FrankRuehl"/>
          <w:sz w:val="28"/>
          <w:szCs w:val="28"/>
          <w:rtl/>
        </w:rPr>
        <w:t xml:space="preserve">. בחלוף מספר ימים נפגשו עו"ד סנדלר והאחר בסמוך לביתה. בנסיבות אלו העביר האחר לעו"ד סנדלר אריזה ובה נייר מגולגל, אשר הכיל חומר אסור מסוכן, שסוגו ומשקלו אינם ידועים למאשימה (להלן: </w:t>
      </w:r>
      <w:r w:rsidRPr="00A201C9">
        <w:rPr>
          <w:rFonts w:ascii="FrankRuehl" w:eastAsia="Calibri" w:hAnsi="FrankRuehl" w:cs="Miriam"/>
          <w:b/>
          <w:sz w:val="28"/>
          <w:rtl/>
        </w:rPr>
        <w:t>החומר האסור</w:t>
      </w:r>
      <w:r w:rsidRPr="00A201C9">
        <w:rPr>
          <w:rFonts w:ascii="FrankRuehl" w:eastAsia="Calibri" w:hAnsi="FrankRuehl" w:cs="FrankRuehl"/>
          <w:sz w:val="28"/>
          <w:szCs w:val="28"/>
          <w:rtl/>
        </w:rPr>
        <w:t xml:space="preserve">). ביום 13.1.20 הגיעה עו"ד סנדלר לבית הסוהר מתוקף עבודתה כעורכת דין, כשבאמתחתה החומר האסור, במטרה לפגוש את הנאשם. במהלך המפגש בין השניים העבירה עו"ד סנדלר לנאשם את החומר האסור, זאת בתמורה לסך של 2,981 ₪ אשר שולם לה בהמשך. בגין אישום זה הורשע הנאשם בהתאם להודאתו </w:t>
      </w:r>
      <w:r w:rsidRPr="00A201C9">
        <w:rPr>
          <w:rFonts w:ascii="FrankRuehl" w:eastAsia="Calibri" w:hAnsi="FrankRuehl" w:cs="Miriam"/>
          <w:b/>
          <w:sz w:val="28"/>
          <w:rtl/>
        </w:rPr>
        <w:t>בביצוע פעולה בחפץ אסור בבית הסוהר</w:t>
      </w:r>
      <w:r w:rsidRPr="00A201C9">
        <w:rPr>
          <w:rFonts w:ascii="FrankRuehl" w:eastAsia="Calibri" w:hAnsi="FrankRuehl" w:cs="FrankRuehl"/>
          <w:sz w:val="28"/>
          <w:szCs w:val="28"/>
          <w:rtl/>
        </w:rPr>
        <w:t xml:space="preserve">, לפי </w:t>
      </w:r>
      <w:hyperlink r:id="rId21" w:history="1">
        <w:r w:rsidR="006311F4" w:rsidRPr="006311F4">
          <w:rPr>
            <w:rStyle w:val="Hyperlink"/>
            <w:rFonts w:ascii="FrankRuehl" w:eastAsia="Calibri" w:hAnsi="FrankRuehl" w:cs="FrankRuehl"/>
            <w:sz w:val="28"/>
            <w:szCs w:val="28"/>
            <w:rtl/>
          </w:rPr>
          <w:t>סעיף 52(ב)(1)(א)-(ד)</w:t>
        </w:r>
      </w:hyperlink>
      <w:r w:rsidRPr="00A201C9">
        <w:rPr>
          <w:rFonts w:ascii="FrankRuehl" w:eastAsia="Calibri" w:hAnsi="FrankRuehl" w:cs="FrankRuehl"/>
          <w:sz w:val="28"/>
          <w:szCs w:val="28"/>
          <w:rtl/>
        </w:rPr>
        <w:t xml:space="preserve"> ל</w:t>
      </w:r>
      <w:hyperlink r:id="rId22" w:history="1">
        <w:r w:rsidR="00AF20FE" w:rsidRPr="00AF20FE">
          <w:rPr>
            <w:rFonts w:ascii="FrankRuehl" w:eastAsia="Calibri" w:hAnsi="FrankRuehl" w:cs="FrankRuehl"/>
            <w:color w:val="0000FF"/>
            <w:sz w:val="28"/>
            <w:szCs w:val="28"/>
            <w:u w:val="single"/>
            <w:rtl/>
          </w:rPr>
          <w:t>פקודת בתי הסוהר</w:t>
        </w:r>
      </w:hyperlink>
      <w:r w:rsidRPr="00A201C9">
        <w:rPr>
          <w:rFonts w:ascii="FrankRuehl" w:eastAsia="Calibri" w:hAnsi="FrankRuehl" w:cs="FrankRuehl"/>
          <w:sz w:val="28"/>
          <w:szCs w:val="28"/>
          <w:rtl/>
        </w:rPr>
        <w:t xml:space="preserve"> [נוסח חדש], תשל"ב-1971 (להלן: </w:t>
      </w:r>
      <w:r w:rsidRPr="00A201C9">
        <w:rPr>
          <w:rFonts w:ascii="FrankRuehl" w:eastAsia="Calibri" w:hAnsi="FrankRuehl" w:cs="Miriam"/>
          <w:b/>
          <w:sz w:val="28"/>
          <w:rtl/>
        </w:rPr>
        <w:t>פקודת בתי הסוהר</w:t>
      </w:r>
      <w:r w:rsidRPr="00A201C9">
        <w:rPr>
          <w:rFonts w:ascii="FrankRuehl" w:eastAsia="Calibri" w:hAnsi="FrankRuehl" w:cs="FrankRuehl"/>
          <w:sz w:val="28"/>
          <w:szCs w:val="28"/>
          <w:rtl/>
        </w:rPr>
        <w:t>).</w:t>
      </w:r>
    </w:p>
    <w:p w14:paraId="1D87D2CA" w14:textId="77777777" w:rsidR="00A201C9" w:rsidRPr="00A201C9" w:rsidRDefault="00A201C9" w:rsidP="00A201C9">
      <w:pPr>
        <w:spacing w:line="360" w:lineRule="auto"/>
        <w:jc w:val="both"/>
        <w:rPr>
          <w:rFonts w:ascii="FrankRuehl" w:eastAsia="Calibri" w:hAnsi="FrankRuehl" w:cs="FrankRuehl"/>
          <w:sz w:val="28"/>
          <w:szCs w:val="28"/>
          <w:rtl/>
        </w:rPr>
      </w:pPr>
    </w:p>
    <w:p w14:paraId="7EAE6087" w14:textId="77777777" w:rsidR="00A201C9" w:rsidRPr="00A201C9" w:rsidRDefault="00A201C9" w:rsidP="00A201C9">
      <w:pPr>
        <w:spacing w:line="360" w:lineRule="auto"/>
        <w:jc w:val="both"/>
        <w:rPr>
          <w:rFonts w:ascii="FrankRuehl" w:eastAsia="Calibri" w:hAnsi="FrankRuehl" w:cs="FrankRuehl"/>
          <w:sz w:val="28"/>
          <w:szCs w:val="28"/>
          <w:rtl/>
        </w:rPr>
      </w:pPr>
      <w:r w:rsidRPr="00A201C9">
        <w:rPr>
          <w:rFonts w:ascii="FrankRuehl" w:eastAsia="Calibri" w:hAnsi="FrankRuehl" w:cs="FrankRuehl"/>
          <w:sz w:val="28"/>
          <w:szCs w:val="28"/>
          <w:rtl/>
        </w:rPr>
        <w:tab/>
      </w:r>
      <w:r w:rsidRPr="00A201C9">
        <w:rPr>
          <w:rFonts w:ascii="FrankRuehl" w:eastAsia="Calibri" w:hAnsi="FrankRuehl" w:cs="Miriam"/>
          <w:b/>
          <w:sz w:val="28"/>
          <w:rtl/>
        </w:rPr>
        <w:t>אישום שני:</w:t>
      </w:r>
      <w:r w:rsidRPr="00A201C9">
        <w:rPr>
          <w:rFonts w:ascii="FrankRuehl" w:eastAsia="Calibri" w:hAnsi="FrankRuehl" w:cs="FrankRuehl"/>
          <w:sz w:val="28"/>
          <w:szCs w:val="28"/>
          <w:rtl/>
        </w:rPr>
        <w:t xml:space="preserve"> כשבוע עובר למועד הרלוונטי לאישום זה נפגשה עו"ד סנדלר עם האחר ועם אדם נוסף בכפר קאסם. האדם הנוסף מסר לעו"ד סנדלר מעטפה ובה שתי אריזות, האחת הכילה סם מסוכן מסוג חשיש במשל 38.17 גרם, והשנייה סם מסוכן מסוג קנאביס במשקל 3.48 גרם (להלן: </w:t>
      </w:r>
      <w:r w:rsidRPr="00A201C9">
        <w:rPr>
          <w:rFonts w:ascii="FrankRuehl" w:eastAsia="Calibri" w:hAnsi="FrankRuehl" w:cs="Miriam"/>
          <w:b/>
          <w:sz w:val="28"/>
          <w:rtl/>
        </w:rPr>
        <w:t>הסמים</w:t>
      </w:r>
      <w:r w:rsidRPr="00A201C9">
        <w:rPr>
          <w:rFonts w:ascii="FrankRuehl" w:eastAsia="Calibri" w:hAnsi="FrankRuehl" w:cs="FrankRuehl"/>
          <w:sz w:val="28"/>
          <w:szCs w:val="28"/>
          <w:rtl/>
        </w:rPr>
        <w:t xml:space="preserve">). ביום 12.2.20 הגיעה עו"ד סנדלר לבית הסוהר מתוקף עבודתה כעורכת דין כשהסמים בחזקתה, כדי לפגוש בנאשם. השניים נפגשו בחדר המיועד למפגשי עורכי דין ואסירים (להלן: </w:t>
      </w:r>
      <w:r w:rsidRPr="00A201C9">
        <w:rPr>
          <w:rFonts w:ascii="FrankRuehl" w:eastAsia="Calibri" w:hAnsi="FrankRuehl" w:cs="Miriam"/>
          <w:b/>
          <w:sz w:val="28"/>
          <w:rtl/>
        </w:rPr>
        <w:t>חדר המפגש</w:t>
      </w:r>
      <w:r w:rsidRPr="00A201C9">
        <w:rPr>
          <w:rFonts w:ascii="FrankRuehl" w:eastAsia="Calibri" w:hAnsi="FrankRuehl" w:cs="FrankRuehl"/>
          <w:sz w:val="28"/>
          <w:szCs w:val="28"/>
          <w:rtl/>
        </w:rPr>
        <w:t xml:space="preserve">), ובמהלך הפגישה העבירה עו"ד סנדלר את הסמים לידי הנאשם, אשר הכניסם לתחתוניו. עם תום הפגישה ולאחר שדבר העברת הסמים נודע לגורמי האכיפה, הגיעו שלושה סוהרים (מיכאל רבינוביץ', מתנאל חבני, דימיטרי פסחוב, להלן בהתאמה: </w:t>
      </w:r>
      <w:r w:rsidRPr="00A201C9">
        <w:rPr>
          <w:rFonts w:ascii="FrankRuehl" w:eastAsia="Calibri" w:hAnsi="FrankRuehl" w:cs="Miriam"/>
          <w:b/>
          <w:sz w:val="28"/>
          <w:rtl/>
        </w:rPr>
        <w:t xml:space="preserve">מיכאל, מתנאל, דימיטרי, </w:t>
      </w:r>
      <w:r w:rsidRPr="00A201C9">
        <w:rPr>
          <w:rFonts w:ascii="FrankRuehl" w:eastAsia="Calibri" w:hAnsi="FrankRuehl" w:cs="FrankRuehl"/>
          <w:sz w:val="28"/>
          <w:szCs w:val="28"/>
          <w:rtl/>
        </w:rPr>
        <w:t xml:space="preserve">ובצוותא: </w:t>
      </w:r>
      <w:r w:rsidRPr="00A201C9">
        <w:rPr>
          <w:rFonts w:ascii="FrankRuehl" w:eastAsia="Calibri" w:hAnsi="FrankRuehl" w:cs="Miriam"/>
          <w:b/>
          <w:sz w:val="28"/>
          <w:rtl/>
        </w:rPr>
        <w:t>הסוהרים</w:t>
      </w:r>
      <w:r w:rsidRPr="00A201C9">
        <w:rPr>
          <w:rFonts w:ascii="FrankRuehl" w:eastAsia="Calibri" w:hAnsi="FrankRuehl" w:cs="FrankRuehl"/>
          <w:sz w:val="28"/>
          <w:szCs w:val="28"/>
          <w:rtl/>
        </w:rPr>
        <w:t xml:space="preserve">) לחדר המפגש, על מנת לערוך חיפוש על גופו של הנאשם. לאחר שהנאשם החל להוריד את ידו לעבר מפשעתו, הודיע לו מיכאל על מעצרו. הנאשם המשיך בתנועת ידו מטה, והסוהרים אחזו בידיו על מנת לאזקו. אז היכה הנאשם באגרוף בידו של מיכאל, באגרוף בפניו ובחזהו של דימיטרי, הניף ידיו לכל עבר, גידף את הסוהרים, השתולל וניסה למנוע מהם מלאוזקו. הסוהרים הובילו את הנאשם לחדר שירותים סמוך, ומתנאל הסיר את האזיק מידו הימנית של הנאשם כדי לאפשר את ביצוע החיפוש. או אז דחף הנאשם את מיכאל, אשר נהדף בגבו לעבר קיר במקום. הנאשם הניף את ידו לעבר חזהו של דימיטרי ומשך בחולצתו שנקרעה. כן משך בשרשרת שנקרעה מצווארו. כמו כן שרט הנאשם את מתנאל בכף ידו, והיכה אותו בחוזקה באגודלו. בהמשך לכך ניסה הנאשם פעם נוספת להכניס את ידו למפשעתו. בתגובה הורידו הסוהרים את הנאשם ארצה, דימיטרי הוריד את מכנסיו ותחתוניו, ותפס את הסמים. בתוצאה ממעשיו של הנאשם נגרמו לסוהרים חבלות: רגישות בגפה עליונה שמאלית של מיכאל ושריטות בגבו; שריטות בכפות ידיו של מתנאל, מכאוב בידו השמאלית ונפיחות בזרת; שריטות שטחיות ורגישות בידו השמאלית של דימיטרי, נפיחות ודימום בשפה העליונה, אדמומיות קלה ורגישות בחזה. בגין אישום זה הורשע הנאשם בהתאם להודאתו בעבירות </w:t>
      </w:r>
      <w:r w:rsidRPr="00A201C9">
        <w:rPr>
          <w:rFonts w:ascii="FrankRuehl" w:eastAsia="Calibri" w:hAnsi="FrankRuehl" w:cs="Miriam"/>
          <w:b/>
          <w:sz w:val="28"/>
          <w:rtl/>
        </w:rPr>
        <w:t>החזקת סמים לצריכה עצמית</w:t>
      </w:r>
      <w:r w:rsidRPr="00A201C9">
        <w:rPr>
          <w:rFonts w:ascii="FrankRuehl" w:eastAsia="Calibri" w:hAnsi="FrankRuehl" w:cs="FrankRuehl"/>
          <w:sz w:val="28"/>
          <w:szCs w:val="28"/>
          <w:rtl/>
        </w:rPr>
        <w:t xml:space="preserve">, לפי </w:t>
      </w:r>
      <w:hyperlink r:id="rId23" w:history="1">
        <w:r w:rsidR="006311F4" w:rsidRPr="006311F4">
          <w:rPr>
            <w:rStyle w:val="Hyperlink"/>
            <w:rFonts w:ascii="FrankRuehl" w:eastAsia="Calibri" w:hAnsi="FrankRuehl" w:cs="FrankRuehl"/>
            <w:sz w:val="28"/>
            <w:szCs w:val="28"/>
            <w:rtl/>
          </w:rPr>
          <w:t>סעיפים 7(א)</w:t>
        </w:r>
      </w:hyperlink>
      <w:r w:rsidRPr="00A201C9">
        <w:rPr>
          <w:rFonts w:ascii="FrankRuehl" w:eastAsia="Calibri" w:hAnsi="FrankRuehl" w:cs="FrankRuehl"/>
          <w:sz w:val="28"/>
          <w:szCs w:val="28"/>
          <w:rtl/>
        </w:rPr>
        <w:t xml:space="preserve"> ו-</w:t>
      </w:r>
      <w:hyperlink r:id="rId24" w:history="1">
        <w:r w:rsidR="006311F4" w:rsidRPr="006311F4">
          <w:rPr>
            <w:rStyle w:val="Hyperlink"/>
            <w:rFonts w:ascii="FrankRuehl" w:eastAsia="Calibri" w:hAnsi="FrankRuehl" w:cs="FrankRuehl"/>
            <w:sz w:val="28"/>
            <w:szCs w:val="28"/>
            <w:rtl/>
          </w:rPr>
          <w:t>7(ג)</w:t>
        </w:r>
      </w:hyperlink>
      <w:r w:rsidRPr="00A201C9">
        <w:rPr>
          <w:rFonts w:ascii="FrankRuehl" w:eastAsia="Calibri" w:hAnsi="FrankRuehl" w:cs="FrankRuehl"/>
          <w:sz w:val="28"/>
          <w:szCs w:val="28"/>
          <w:rtl/>
        </w:rPr>
        <w:t xml:space="preserve"> סיפא ל</w:t>
      </w:r>
      <w:hyperlink r:id="rId25" w:history="1">
        <w:r w:rsidR="00AF20FE" w:rsidRPr="00AF20FE">
          <w:rPr>
            <w:rFonts w:ascii="FrankRuehl" w:eastAsia="Calibri" w:hAnsi="FrankRuehl" w:cs="FrankRuehl"/>
            <w:color w:val="0000FF"/>
            <w:sz w:val="28"/>
            <w:szCs w:val="28"/>
            <w:u w:val="single"/>
            <w:rtl/>
          </w:rPr>
          <w:t>פקודת הסמים המסוכנים</w:t>
        </w:r>
      </w:hyperlink>
      <w:r w:rsidRPr="00A201C9">
        <w:rPr>
          <w:rFonts w:ascii="FrankRuehl" w:eastAsia="Calibri" w:hAnsi="FrankRuehl" w:cs="FrankRuehl"/>
          <w:sz w:val="28"/>
          <w:szCs w:val="28"/>
          <w:rtl/>
        </w:rPr>
        <w:t xml:space="preserve"> [נוסח חדש], תשל"ג-1973 (להלן: </w:t>
      </w:r>
      <w:r w:rsidRPr="00A201C9">
        <w:rPr>
          <w:rFonts w:ascii="FrankRuehl" w:eastAsia="Calibri" w:hAnsi="FrankRuehl" w:cs="Miriam"/>
          <w:b/>
          <w:sz w:val="28"/>
          <w:rtl/>
        </w:rPr>
        <w:t>פקודת הסמים</w:t>
      </w:r>
      <w:r w:rsidRPr="00A201C9">
        <w:rPr>
          <w:rFonts w:ascii="FrankRuehl" w:eastAsia="Calibri" w:hAnsi="FrankRuehl" w:cs="FrankRuehl"/>
          <w:sz w:val="28"/>
          <w:szCs w:val="28"/>
          <w:rtl/>
        </w:rPr>
        <w:t xml:space="preserve">); </w:t>
      </w:r>
      <w:r w:rsidRPr="00A201C9">
        <w:rPr>
          <w:rFonts w:ascii="FrankRuehl" w:eastAsia="Calibri" w:hAnsi="FrankRuehl" w:cs="Miriam"/>
          <w:b/>
          <w:sz w:val="28"/>
          <w:rtl/>
        </w:rPr>
        <w:t>ביצוע פעולה בחפץ אסור בבית הסוהר</w:t>
      </w:r>
      <w:r w:rsidRPr="00A201C9">
        <w:rPr>
          <w:rFonts w:ascii="FrankRuehl" w:eastAsia="Calibri" w:hAnsi="FrankRuehl" w:cs="FrankRuehl"/>
          <w:sz w:val="28"/>
          <w:szCs w:val="28"/>
          <w:rtl/>
        </w:rPr>
        <w:t xml:space="preserve">, לפי </w:t>
      </w:r>
      <w:hyperlink r:id="rId26" w:history="1">
        <w:r w:rsidR="00784FDB" w:rsidRPr="00784FDB">
          <w:rPr>
            <w:rStyle w:val="Hyperlink"/>
            <w:rFonts w:ascii="FrankRuehl" w:eastAsia="Calibri" w:hAnsi="FrankRuehl" w:cs="FrankRuehl"/>
            <w:sz w:val="28"/>
            <w:szCs w:val="28"/>
            <w:rtl/>
          </w:rPr>
          <w:t>סעיף 52(ב)(1)(א)-(ד)</w:t>
        </w:r>
      </w:hyperlink>
      <w:r w:rsidRPr="00A201C9">
        <w:rPr>
          <w:rFonts w:ascii="FrankRuehl" w:eastAsia="Calibri" w:hAnsi="FrankRuehl" w:cs="FrankRuehl"/>
          <w:sz w:val="28"/>
          <w:szCs w:val="28"/>
          <w:rtl/>
        </w:rPr>
        <w:t xml:space="preserve"> ל</w:t>
      </w:r>
      <w:hyperlink r:id="rId27" w:history="1">
        <w:r w:rsidR="00AF20FE" w:rsidRPr="00AF20FE">
          <w:rPr>
            <w:rFonts w:ascii="FrankRuehl" w:eastAsia="Calibri" w:hAnsi="FrankRuehl" w:cs="FrankRuehl"/>
            <w:color w:val="0000FF"/>
            <w:sz w:val="28"/>
            <w:szCs w:val="28"/>
            <w:u w:val="single"/>
            <w:rtl/>
          </w:rPr>
          <w:t>פקודת בתי הסוהר</w:t>
        </w:r>
      </w:hyperlink>
      <w:r w:rsidRPr="00A201C9">
        <w:rPr>
          <w:rFonts w:ascii="FrankRuehl" w:eastAsia="Calibri" w:hAnsi="FrankRuehl" w:cs="FrankRuehl"/>
          <w:sz w:val="28"/>
          <w:szCs w:val="28"/>
          <w:rtl/>
        </w:rPr>
        <w:t xml:space="preserve">; </w:t>
      </w:r>
      <w:r w:rsidRPr="00A201C9">
        <w:rPr>
          <w:rFonts w:ascii="FrankRuehl" w:eastAsia="Calibri" w:hAnsi="FrankRuehl" w:cs="Miriam"/>
          <w:b/>
          <w:sz w:val="28"/>
          <w:rtl/>
        </w:rPr>
        <w:t>התנגדות למעצר</w:t>
      </w:r>
      <w:r w:rsidRPr="00A201C9">
        <w:rPr>
          <w:rFonts w:ascii="FrankRuehl" w:eastAsia="Calibri" w:hAnsi="FrankRuehl" w:cs="FrankRuehl"/>
          <w:sz w:val="28"/>
          <w:szCs w:val="28"/>
          <w:rtl/>
        </w:rPr>
        <w:t xml:space="preserve"> (ריבוי עבירות), לפי </w:t>
      </w:r>
      <w:hyperlink r:id="rId28" w:history="1">
        <w:r w:rsidR="00784FDB" w:rsidRPr="00784FDB">
          <w:rPr>
            <w:rStyle w:val="Hyperlink"/>
            <w:rFonts w:ascii="FrankRuehl" w:eastAsia="Calibri" w:hAnsi="FrankRuehl" w:cs="FrankRuehl"/>
            <w:sz w:val="28"/>
            <w:szCs w:val="28"/>
            <w:rtl/>
          </w:rPr>
          <w:t>סעיף 47(א)</w:t>
        </w:r>
      </w:hyperlink>
      <w:r w:rsidRPr="00A201C9">
        <w:rPr>
          <w:rFonts w:ascii="FrankRuehl" w:eastAsia="Calibri" w:hAnsi="FrankRuehl" w:cs="FrankRuehl"/>
          <w:sz w:val="28"/>
          <w:szCs w:val="28"/>
          <w:rtl/>
        </w:rPr>
        <w:t xml:space="preserve"> ל</w:t>
      </w:r>
      <w:hyperlink r:id="rId29" w:history="1">
        <w:r w:rsidR="00AF20FE" w:rsidRPr="00AF20FE">
          <w:rPr>
            <w:rFonts w:ascii="FrankRuehl" w:eastAsia="Calibri" w:hAnsi="FrankRuehl" w:cs="FrankRuehl"/>
            <w:color w:val="0000FF"/>
            <w:sz w:val="28"/>
            <w:szCs w:val="28"/>
            <w:u w:val="single"/>
            <w:rtl/>
          </w:rPr>
          <w:t>פקודת סדר הדין הפלילי (מעצר וחיפוש)</w:t>
        </w:r>
      </w:hyperlink>
      <w:r w:rsidRPr="00A201C9">
        <w:rPr>
          <w:rFonts w:ascii="FrankRuehl" w:eastAsia="Calibri" w:hAnsi="FrankRuehl" w:cs="FrankRuehl"/>
          <w:sz w:val="28"/>
          <w:szCs w:val="28"/>
          <w:rtl/>
        </w:rPr>
        <w:t xml:space="preserve"> [נוסח חדש], תשכ"ט-1969.</w:t>
      </w:r>
    </w:p>
    <w:p w14:paraId="02BA1062" w14:textId="77777777" w:rsidR="00A201C9" w:rsidRPr="00A201C9" w:rsidRDefault="00A201C9" w:rsidP="00A201C9">
      <w:pPr>
        <w:spacing w:line="360" w:lineRule="auto"/>
        <w:jc w:val="both"/>
        <w:rPr>
          <w:rFonts w:ascii="FrankRuehl" w:eastAsia="Calibri" w:hAnsi="FrankRuehl" w:cs="FrankRuehl"/>
          <w:sz w:val="28"/>
          <w:szCs w:val="28"/>
          <w:rtl/>
        </w:rPr>
      </w:pPr>
    </w:p>
    <w:p w14:paraId="37134476" w14:textId="77777777" w:rsidR="00A201C9" w:rsidRPr="00A201C9" w:rsidRDefault="00A201C9" w:rsidP="00A201C9">
      <w:pPr>
        <w:spacing w:line="360" w:lineRule="auto"/>
        <w:jc w:val="both"/>
        <w:rPr>
          <w:rFonts w:ascii="FrankRuehl" w:eastAsia="Calibri" w:hAnsi="FrankRuehl" w:cs="FrankRuehl"/>
          <w:sz w:val="28"/>
          <w:szCs w:val="28"/>
          <w:rtl/>
        </w:rPr>
      </w:pPr>
      <w:r w:rsidRPr="00A201C9">
        <w:rPr>
          <w:rFonts w:ascii="FrankRuehl" w:eastAsia="Calibri" w:hAnsi="FrankRuehl" w:cs="Miriam"/>
          <w:b/>
          <w:sz w:val="28"/>
          <w:rtl/>
        </w:rPr>
        <w:t>טיעוני הצדדים לעונש</w:t>
      </w:r>
    </w:p>
    <w:p w14:paraId="793639EF" w14:textId="77777777" w:rsidR="00A201C9" w:rsidRPr="00A201C9" w:rsidRDefault="00A201C9" w:rsidP="00A201C9">
      <w:pPr>
        <w:spacing w:line="360" w:lineRule="auto"/>
        <w:jc w:val="both"/>
        <w:rPr>
          <w:rFonts w:ascii="FrankRuehl" w:eastAsia="Calibri" w:hAnsi="FrankRuehl" w:cs="FrankRuehl"/>
          <w:sz w:val="28"/>
          <w:szCs w:val="28"/>
          <w:rtl/>
        </w:rPr>
      </w:pPr>
    </w:p>
    <w:p w14:paraId="30597937" w14:textId="77777777" w:rsidR="00A201C9" w:rsidRPr="00A201C9" w:rsidRDefault="00A201C9" w:rsidP="00496AA4">
      <w:pPr>
        <w:spacing w:line="360" w:lineRule="auto"/>
        <w:jc w:val="both"/>
        <w:rPr>
          <w:rFonts w:ascii="FrankRuehl" w:eastAsia="Calibri" w:hAnsi="FrankRuehl" w:cs="FrankRuehl"/>
          <w:sz w:val="28"/>
          <w:szCs w:val="28"/>
          <w:rtl/>
        </w:rPr>
      </w:pPr>
      <w:r w:rsidRPr="00A201C9">
        <w:rPr>
          <w:rFonts w:ascii="FrankRuehl" w:eastAsia="Calibri" w:hAnsi="FrankRuehl" w:cs="FrankRuehl"/>
          <w:sz w:val="28"/>
          <w:szCs w:val="28"/>
          <w:rtl/>
        </w:rPr>
        <w:t>2.</w:t>
      </w:r>
      <w:r w:rsidRPr="00A201C9">
        <w:rPr>
          <w:rFonts w:ascii="FrankRuehl" w:eastAsia="Calibri" w:hAnsi="FrankRuehl" w:cs="FrankRuehl"/>
          <w:sz w:val="28"/>
          <w:szCs w:val="28"/>
          <w:rtl/>
        </w:rPr>
        <w:tab/>
        <w:t xml:space="preserve">זה המקום </w:t>
      </w:r>
      <w:r w:rsidR="00E7334C">
        <w:rPr>
          <w:rFonts w:ascii="FrankRuehl" w:eastAsia="Calibri" w:hAnsi="FrankRuehl" w:cs="FrankRuehl" w:hint="cs"/>
          <w:sz w:val="28"/>
          <w:szCs w:val="28"/>
          <w:rtl/>
        </w:rPr>
        <w:t>לעדכן</w:t>
      </w:r>
      <w:r w:rsidRPr="00A201C9">
        <w:rPr>
          <w:rFonts w:ascii="FrankRuehl" w:eastAsia="Calibri" w:hAnsi="FrankRuehl" w:cs="FrankRuehl"/>
          <w:sz w:val="28"/>
          <w:szCs w:val="28"/>
          <w:rtl/>
        </w:rPr>
        <w:t xml:space="preserve"> כי עובר לשמיעת הטיעונים לעונש הורשעה עו"ד סנדלר בהתאם להודאתה בגין חלקה במעשים, בשתי עבירות של ביצוע פעולה בחפץ אסור בבית הסוהר, ובעבירה של אספקת סמים מסוכנים, לפי </w:t>
      </w:r>
      <w:hyperlink r:id="rId30" w:history="1">
        <w:r w:rsidR="00784FDB" w:rsidRPr="00784FDB">
          <w:rPr>
            <w:rStyle w:val="Hyperlink"/>
            <w:rFonts w:ascii="FrankRuehl" w:eastAsia="Calibri" w:hAnsi="FrankRuehl" w:cs="FrankRuehl"/>
            <w:sz w:val="28"/>
            <w:szCs w:val="28"/>
            <w:rtl/>
          </w:rPr>
          <w:t>סעיפים 13</w:t>
        </w:r>
      </w:hyperlink>
      <w:r w:rsidRPr="00A201C9">
        <w:rPr>
          <w:rFonts w:ascii="FrankRuehl" w:eastAsia="Calibri" w:hAnsi="FrankRuehl" w:cs="FrankRuehl"/>
          <w:sz w:val="28"/>
          <w:szCs w:val="28"/>
          <w:rtl/>
        </w:rPr>
        <w:t xml:space="preserve"> ו-</w:t>
      </w:r>
      <w:hyperlink r:id="rId31" w:history="1">
        <w:r w:rsidR="00784FDB" w:rsidRPr="00784FDB">
          <w:rPr>
            <w:rStyle w:val="Hyperlink"/>
            <w:rFonts w:ascii="FrankRuehl" w:eastAsia="Calibri" w:hAnsi="FrankRuehl" w:cs="FrankRuehl"/>
            <w:sz w:val="28"/>
            <w:szCs w:val="28"/>
            <w:rtl/>
          </w:rPr>
          <w:t>19א</w:t>
        </w:r>
      </w:hyperlink>
      <w:r w:rsidRPr="00A201C9">
        <w:rPr>
          <w:rFonts w:ascii="FrankRuehl" w:eastAsia="Calibri" w:hAnsi="FrankRuehl" w:cs="FrankRuehl"/>
          <w:sz w:val="28"/>
          <w:szCs w:val="28"/>
          <w:rtl/>
        </w:rPr>
        <w:t xml:space="preserve"> לפקודת הסמים. מתחם העונש נקבע בין 24-12 חודשי מאסר בפועל, ודינה נגזר בחריגה מתונה מן המתחם ל-10 חודשי מאסר בפועל (</w:t>
      </w:r>
      <w:hyperlink r:id="rId32" w:history="1">
        <w:r w:rsidR="00AF20FE" w:rsidRPr="00AF20FE">
          <w:rPr>
            <w:rFonts w:ascii="FrankRuehl" w:eastAsia="Calibri" w:hAnsi="FrankRuehl" w:cs="FrankRuehl"/>
            <w:color w:val="0000FF"/>
            <w:sz w:val="28"/>
            <w:szCs w:val="28"/>
            <w:u w:val="single"/>
            <w:rtl/>
          </w:rPr>
          <w:t>ת"פ 4904</w:t>
        </w:r>
        <w:r w:rsidR="00AF20FE" w:rsidRPr="00AF20FE">
          <w:rPr>
            <w:rFonts w:ascii="FrankRuehl" w:eastAsia="Calibri" w:hAnsi="FrankRuehl" w:cs="FrankRuehl"/>
            <w:color w:val="0000FF"/>
            <w:sz w:val="28"/>
            <w:szCs w:val="28"/>
            <w:u w:val="single"/>
            <w:rtl/>
          </w:rPr>
          <w:t>2</w:t>
        </w:r>
        <w:r w:rsidR="00AF20FE" w:rsidRPr="00AF20FE">
          <w:rPr>
            <w:rFonts w:ascii="FrankRuehl" w:eastAsia="Calibri" w:hAnsi="FrankRuehl" w:cs="FrankRuehl"/>
            <w:color w:val="0000FF"/>
            <w:sz w:val="28"/>
            <w:szCs w:val="28"/>
            <w:u w:val="single"/>
            <w:rtl/>
          </w:rPr>
          <w:t>-02-20</w:t>
        </w:r>
      </w:hyperlink>
      <w:r w:rsidRPr="00A201C9">
        <w:rPr>
          <w:rFonts w:ascii="FrankRuehl" w:eastAsia="Calibri" w:hAnsi="FrankRuehl" w:cs="FrankRuehl"/>
          <w:sz w:val="28"/>
          <w:szCs w:val="28"/>
          <w:rtl/>
        </w:rPr>
        <w:t xml:space="preserve">,  </w:t>
      </w:r>
      <w:r w:rsidR="002A0820" w:rsidRPr="002A0820">
        <w:rPr>
          <w:rFonts w:eastAsia="Calibri"/>
          <w:sz w:val="22"/>
          <w:rtl/>
        </w:rPr>
        <w:t xml:space="preserve">[פורסם בנבו] </w:t>
      </w:r>
      <w:r w:rsidRPr="00A201C9">
        <w:rPr>
          <w:rFonts w:ascii="FrankRuehl" w:eastAsia="Calibri" w:hAnsi="FrankRuehl" w:cs="FrankRuehl"/>
          <w:sz w:val="28"/>
          <w:szCs w:val="28"/>
          <w:rtl/>
        </w:rPr>
        <w:t>מיום 29.3.22). ערעורה על חומרת העונש נדחה בדעת רוב (</w:t>
      </w:r>
      <w:hyperlink r:id="rId33" w:history="1">
        <w:r w:rsidR="00AF20FE" w:rsidRPr="00AF20FE">
          <w:rPr>
            <w:rFonts w:ascii="FrankRuehl" w:eastAsia="Calibri" w:hAnsi="FrankRuehl" w:cs="FrankRuehl"/>
            <w:color w:val="0000FF"/>
            <w:sz w:val="28"/>
            <w:szCs w:val="28"/>
            <w:u w:val="single"/>
            <w:rtl/>
          </w:rPr>
          <w:t>עפ"ג 647</w:t>
        </w:r>
        <w:r w:rsidR="00AF20FE" w:rsidRPr="00AF20FE">
          <w:rPr>
            <w:rFonts w:ascii="FrankRuehl" w:eastAsia="Calibri" w:hAnsi="FrankRuehl" w:cs="FrankRuehl"/>
            <w:color w:val="0000FF"/>
            <w:sz w:val="28"/>
            <w:szCs w:val="28"/>
            <w:u w:val="single"/>
            <w:rtl/>
          </w:rPr>
          <w:t>3</w:t>
        </w:r>
        <w:r w:rsidR="00AF20FE" w:rsidRPr="00AF20FE">
          <w:rPr>
            <w:rFonts w:ascii="FrankRuehl" w:eastAsia="Calibri" w:hAnsi="FrankRuehl" w:cs="FrankRuehl"/>
            <w:color w:val="0000FF"/>
            <w:sz w:val="28"/>
            <w:szCs w:val="28"/>
            <w:u w:val="single"/>
            <w:rtl/>
          </w:rPr>
          <w:t>-05-22</w:t>
        </w:r>
      </w:hyperlink>
      <w:r w:rsidRPr="00A201C9">
        <w:rPr>
          <w:rFonts w:ascii="FrankRuehl" w:eastAsia="Calibri" w:hAnsi="FrankRuehl" w:cs="FrankRuehl"/>
          <w:sz w:val="28"/>
          <w:szCs w:val="28"/>
          <w:rtl/>
        </w:rPr>
        <w:t xml:space="preserve">, </w:t>
      </w:r>
      <w:r w:rsidR="002A0820" w:rsidRPr="002A0820">
        <w:rPr>
          <w:rFonts w:eastAsia="Calibri"/>
          <w:sz w:val="22"/>
          <w:rtl/>
        </w:rPr>
        <w:t xml:space="preserve">[פורסם בנבו] </w:t>
      </w:r>
      <w:r w:rsidRPr="00A201C9">
        <w:rPr>
          <w:rFonts w:ascii="FrankRuehl" w:eastAsia="Calibri" w:hAnsi="FrankRuehl" w:cs="FrankRuehl"/>
          <w:sz w:val="28"/>
          <w:szCs w:val="28"/>
          <w:rtl/>
        </w:rPr>
        <w:t>מיום 19.9.22). בקשת</w:t>
      </w:r>
      <w:r w:rsidR="00496AA4">
        <w:rPr>
          <w:rFonts w:ascii="FrankRuehl" w:eastAsia="Calibri" w:hAnsi="FrankRuehl" w:cs="FrankRuehl" w:hint="cs"/>
          <w:sz w:val="28"/>
          <w:szCs w:val="28"/>
          <w:rtl/>
        </w:rPr>
        <w:t>ה</w:t>
      </w:r>
      <w:r w:rsidRPr="00A201C9">
        <w:rPr>
          <w:rFonts w:ascii="FrankRuehl" w:eastAsia="Calibri" w:hAnsi="FrankRuehl" w:cs="FrankRuehl"/>
          <w:sz w:val="28"/>
          <w:szCs w:val="28"/>
          <w:rtl/>
        </w:rPr>
        <w:t xml:space="preserve"> </w:t>
      </w:r>
      <w:r w:rsidR="00496AA4">
        <w:rPr>
          <w:rFonts w:ascii="FrankRuehl" w:eastAsia="Calibri" w:hAnsi="FrankRuehl" w:cs="FrankRuehl" w:hint="cs"/>
          <w:sz w:val="28"/>
          <w:szCs w:val="28"/>
          <w:rtl/>
        </w:rPr>
        <w:t>ל</w:t>
      </w:r>
      <w:r w:rsidRPr="00A201C9">
        <w:rPr>
          <w:rFonts w:ascii="FrankRuehl" w:eastAsia="Calibri" w:hAnsi="FrankRuehl" w:cs="FrankRuehl"/>
          <w:sz w:val="28"/>
          <w:szCs w:val="28"/>
          <w:rtl/>
        </w:rPr>
        <w:t xml:space="preserve">רשות ערעור </w:t>
      </w:r>
      <w:r w:rsidR="001B284C">
        <w:rPr>
          <w:rFonts w:ascii="FrankRuehl" w:eastAsia="Calibri" w:hAnsi="FrankRuehl" w:cs="FrankRuehl" w:hint="cs"/>
          <w:sz w:val="28"/>
          <w:szCs w:val="28"/>
          <w:rtl/>
        </w:rPr>
        <w:t>נדחתה אף היא (</w:t>
      </w:r>
      <w:hyperlink r:id="rId34" w:history="1">
        <w:r w:rsidR="00AF20FE" w:rsidRPr="00AF20FE">
          <w:rPr>
            <w:rFonts w:ascii="FrankRuehl" w:eastAsia="Calibri" w:hAnsi="FrankRuehl" w:cs="FrankRuehl"/>
            <w:color w:val="0000FF"/>
            <w:sz w:val="28"/>
            <w:szCs w:val="28"/>
            <w:u w:val="single"/>
            <w:rtl/>
          </w:rPr>
          <w:t>רע"פ 7356/2</w:t>
        </w:r>
        <w:r w:rsidR="00AF20FE" w:rsidRPr="00AF20FE">
          <w:rPr>
            <w:rFonts w:ascii="FrankRuehl" w:eastAsia="Calibri" w:hAnsi="FrankRuehl" w:cs="FrankRuehl"/>
            <w:color w:val="0000FF"/>
            <w:sz w:val="28"/>
            <w:szCs w:val="28"/>
            <w:u w:val="single"/>
            <w:rtl/>
          </w:rPr>
          <w:t>2</w:t>
        </w:r>
      </w:hyperlink>
      <w:r w:rsidR="001B284C">
        <w:rPr>
          <w:rFonts w:ascii="FrankRuehl" w:eastAsia="Calibri" w:hAnsi="FrankRuehl" w:cs="FrankRuehl" w:hint="cs"/>
          <w:sz w:val="28"/>
          <w:szCs w:val="28"/>
          <w:rtl/>
        </w:rPr>
        <w:t xml:space="preserve">, </w:t>
      </w:r>
      <w:r w:rsidR="002A0820" w:rsidRPr="002A0820">
        <w:rPr>
          <w:rFonts w:eastAsia="Calibri"/>
          <w:sz w:val="22"/>
          <w:rtl/>
        </w:rPr>
        <w:t xml:space="preserve">[פורסם בנבו] </w:t>
      </w:r>
      <w:r w:rsidR="001B284C">
        <w:rPr>
          <w:rFonts w:ascii="FrankRuehl" w:eastAsia="Calibri" w:hAnsi="FrankRuehl" w:cs="FrankRuehl" w:hint="cs"/>
          <w:sz w:val="28"/>
          <w:szCs w:val="28"/>
          <w:rtl/>
        </w:rPr>
        <w:t>מיום 20.11.22)</w:t>
      </w:r>
      <w:r w:rsidRPr="00A201C9">
        <w:rPr>
          <w:rFonts w:ascii="FrankRuehl" w:eastAsia="Calibri" w:hAnsi="FrankRuehl" w:cs="FrankRuehl"/>
          <w:sz w:val="28"/>
          <w:szCs w:val="28"/>
          <w:rtl/>
        </w:rPr>
        <w:t>. להשלמת התמונה אוסיף כי ביום שמיעת הטיעונים לעונש, נגזר בהסכמה דינו של האחר. כתב האישום נגדו תוקן באופן משמעותי על רקע קושי ראייתי, ונמחקו ממנו העובדות הכרוכות בביקוריה של עו"ד סנדלר בבית הסוהר. דינו נגזר בהסכמה למאסר בפועל למשך 5.5 חודשים, תוך שהובהר כי אלמלא התיקונים בכתב האישום, צפוי היה לעונש חמור במידה ניכרת (</w:t>
      </w:r>
      <w:hyperlink r:id="rId35" w:history="1">
        <w:r w:rsidR="00AF20FE" w:rsidRPr="00AF20FE">
          <w:rPr>
            <w:rFonts w:ascii="FrankRuehl" w:eastAsia="Calibri" w:hAnsi="FrankRuehl" w:cs="FrankRuehl"/>
            <w:color w:val="0000FF"/>
            <w:sz w:val="28"/>
            <w:szCs w:val="28"/>
            <w:u w:val="single"/>
            <w:rtl/>
          </w:rPr>
          <w:t>ת"פ 22048-03-2</w:t>
        </w:r>
        <w:r w:rsidR="00AF20FE" w:rsidRPr="00AF20FE">
          <w:rPr>
            <w:rFonts w:ascii="FrankRuehl" w:eastAsia="Calibri" w:hAnsi="FrankRuehl" w:cs="FrankRuehl"/>
            <w:color w:val="0000FF"/>
            <w:sz w:val="28"/>
            <w:szCs w:val="28"/>
            <w:u w:val="single"/>
            <w:rtl/>
          </w:rPr>
          <w:t>0</w:t>
        </w:r>
      </w:hyperlink>
      <w:r w:rsidRPr="00A201C9">
        <w:rPr>
          <w:rFonts w:ascii="FrankRuehl" w:eastAsia="Calibri" w:hAnsi="FrankRuehl" w:cs="FrankRuehl"/>
          <w:sz w:val="28"/>
          <w:szCs w:val="28"/>
          <w:rtl/>
        </w:rPr>
        <w:t xml:space="preserve"> </w:t>
      </w:r>
      <w:r w:rsidRPr="00A201C9">
        <w:rPr>
          <w:rFonts w:ascii="FrankRuehl" w:eastAsia="Calibri" w:hAnsi="FrankRuehl" w:cs="Miriam"/>
          <w:b/>
          <w:sz w:val="28"/>
          <w:rtl/>
        </w:rPr>
        <w:t>מדינת ישראל נ' עיסה</w:t>
      </w:r>
      <w:r w:rsidRPr="00A201C9">
        <w:rPr>
          <w:rFonts w:ascii="FrankRuehl" w:eastAsia="Calibri" w:hAnsi="FrankRuehl" w:cs="FrankRuehl"/>
          <w:sz w:val="28"/>
          <w:szCs w:val="28"/>
          <w:rtl/>
        </w:rPr>
        <w:t xml:space="preserve">, מיום 29.9.22, </w:t>
      </w:r>
      <w:r w:rsidR="00A9434D">
        <w:rPr>
          <w:rFonts w:ascii="FrankRuehl" w:eastAsia="Calibri" w:hAnsi="FrankRuehl" w:cs="FrankRuehl" w:hint="cs"/>
          <w:sz w:val="28"/>
          <w:szCs w:val="28"/>
          <w:rtl/>
        </w:rPr>
        <w:t>לא</w:t>
      </w:r>
      <w:r w:rsidRPr="00A201C9">
        <w:rPr>
          <w:rFonts w:ascii="FrankRuehl" w:eastAsia="Calibri" w:hAnsi="FrankRuehl" w:cs="FrankRuehl"/>
          <w:sz w:val="28"/>
          <w:szCs w:val="28"/>
          <w:rtl/>
        </w:rPr>
        <w:t xml:space="preserve"> פורסם).</w:t>
      </w:r>
    </w:p>
    <w:p w14:paraId="738C0254" w14:textId="77777777" w:rsidR="00A201C9" w:rsidRPr="00A201C9" w:rsidRDefault="00A201C9" w:rsidP="00A201C9">
      <w:pPr>
        <w:spacing w:line="360" w:lineRule="auto"/>
        <w:jc w:val="both"/>
        <w:rPr>
          <w:rFonts w:ascii="FrankRuehl" w:eastAsia="Calibri" w:hAnsi="FrankRuehl" w:cs="FrankRuehl"/>
          <w:sz w:val="28"/>
          <w:szCs w:val="28"/>
          <w:rtl/>
        </w:rPr>
      </w:pPr>
    </w:p>
    <w:p w14:paraId="5D423811" w14:textId="77777777" w:rsidR="00A201C9" w:rsidRPr="00A201C9" w:rsidRDefault="00A201C9" w:rsidP="00A201C9">
      <w:pPr>
        <w:spacing w:line="360" w:lineRule="auto"/>
        <w:jc w:val="both"/>
        <w:rPr>
          <w:rFonts w:ascii="FrankRuehl" w:eastAsia="Calibri" w:hAnsi="FrankRuehl" w:cs="FrankRuehl"/>
          <w:sz w:val="28"/>
          <w:szCs w:val="28"/>
          <w:rtl/>
        </w:rPr>
      </w:pPr>
      <w:r w:rsidRPr="00A201C9">
        <w:rPr>
          <w:rFonts w:ascii="FrankRuehl" w:eastAsia="Calibri" w:hAnsi="FrankRuehl" w:cs="FrankRuehl"/>
          <w:sz w:val="28"/>
          <w:szCs w:val="28"/>
          <w:rtl/>
        </w:rPr>
        <w:tab/>
        <w:t>ב"כ הצדדים ביקשו במשותף לראות במתחם העונש אשר נקבע בענינה של עו"ד סנדלר, כנקודת המוצא לצורך קביעת המתחם המתאים לנאשם. ב"כ המאשימה עמדה על חומרתן של עבירות המתבצעות בין כותלי הסוהר, החדרת חפצים אסורים בכלל, וסמים בפרט. לשיטתה, הגם שיש לראות בחומרה יתרה את מעשיו של עורך דין העושה שימוש במעמדו ובתפקידו כדי לאפשר את ביצוע העבירה, לא ניתן להתעלם מהאופן בו ניצל הנאשם את זכותם של אסירים ועצורים להיפגש עם באי כוחם ביחידות. החזקת הסמים בין כותלי בית הסוהר מקימה פוטנציאל נזק ייחודי, בדמות עמדת כוח הניתנת לעבריין, כמו גם חשש מפני מעגל פשיעה נוסף, שקיבל ביטוי בהתנהגותו האלימה של הנאשם לאחר שנתפס. היא הפנתה לפסיקה להמחשת מדיניות הענישה, וביקשה לקבוע מתחם עונש נמוך במעט מזה שנקבע בענינה של עו"ד סנדלר, קרי, בין 22-11 חודשי מאסר בפועל. ב"כ המאשימה הגישה את גיליון הרישום הפלילי של הנאשם (עת/1), ממנו עולה כי במועד ביצוע העבירות ריצה עונש מאסר בן שנתיים בגין ביצוע חבלה חמורה, וכי לחובתו הרשעה נוספת משנת 2017 בגין עבירות בנשק, אז נדון ל-6 חודשי מאסר שרוצו בדרך של עבודות שירות. משכך ביקשה לגזור את עונשו של הנאשם למאסר בפועל שלא יפחת מאמצע המתחם, בניכוי ימי מעצרו, ובתוספת מאסר על-תנאי וקנס.</w:t>
      </w:r>
    </w:p>
    <w:p w14:paraId="506DBF37" w14:textId="77777777" w:rsidR="00A201C9" w:rsidRPr="00A201C9" w:rsidRDefault="00A201C9" w:rsidP="00A201C9">
      <w:pPr>
        <w:spacing w:line="360" w:lineRule="auto"/>
        <w:jc w:val="both"/>
        <w:rPr>
          <w:rFonts w:ascii="FrankRuehl" w:eastAsia="Calibri" w:hAnsi="FrankRuehl" w:cs="FrankRuehl"/>
          <w:sz w:val="28"/>
          <w:szCs w:val="28"/>
          <w:rtl/>
        </w:rPr>
      </w:pPr>
    </w:p>
    <w:p w14:paraId="1D4D6F0F" w14:textId="77777777" w:rsidR="00A201C9" w:rsidRPr="00A201C9" w:rsidRDefault="00A201C9" w:rsidP="00A201C9">
      <w:pPr>
        <w:spacing w:line="360" w:lineRule="auto"/>
        <w:jc w:val="both"/>
        <w:rPr>
          <w:rFonts w:ascii="FrankRuehl" w:eastAsia="Calibri" w:hAnsi="FrankRuehl" w:cs="FrankRuehl"/>
          <w:sz w:val="28"/>
          <w:szCs w:val="28"/>
          <w:rtl/>
        </w:rPr>
      </w:pPr>
      <w:r w:rsidRPr="00A201C9">
        <w:rPr>
          <w:rFonts w:ascii="FrankRuehl" w:eastAsia="Calibri" w:hAnsi="FrankRuehl" w:cs="FrankRuehl"/>
          <w:sz w:val="28"/>
          <w:szCs w:val="28"/>
          <w:rtl/>
        </w:rPr>
        <w:tab/>
        <w:t xml:space="preserve">ב"כ הנאשם ביקש לקבוע כי מידת החומרה שיש לייחס למעשיה של עו"ד סנדלר עולה במידה ניכרת על זו שיש לייחס לנאשם. לדבריו, מניסיונו האישי ניתן ללמוד על הפגיעה המתמשכת בציבור עורכי הדין כתוצאה ממעשיהם של עורכי דין שניצלו לרעה את האמון שניתן בהם. כך למשל, הצביע על מגמת ההחמרה באופן בו נערכות בדיקות בכליהם (ועל גופם) של עורכי הדין המבצעים עבודתם נאמנה ומבקרים את לקוחותיהם בין כותלי בתי הסוהר. לשאלת בית המשפט האם מעשיו של הנאשם אינם מהווים אף הם משום שימוש לרעה באמון המערכת, השיב כי לא ניתן לגזור גזירה שווה בין עבירות שמבוצעות על ידי אסיר או עצור, לכאלו המבוצעות על ידי עו"ד – </w:t>
      </w:r>
      <w:r w:rsidRPr="00A201C9">
        <w:rPr>
          <w:rFonts w:ascii="FrankRuehl" w:eastAsia="Calibri" w:hAnsi="FrankRuehl" w:cs="FrankRuehl"/>
          <w:sz w:val="22"/>
          <w:szCs w:val="22"/>
        </w:rPr>
        <w:t>Officer of court</w:t>
      </w:r>
      <w:r w:rsidRPr="00A201C9">
        <w:rPr>
          <w:rFonts w:ascii="FrankRuehl" w:eastAsia="Calibri" w:hAnsi="FrankRuehl" w:cs="FrankRuehl"/>
          <w:sz w:val="28"/>
          <w:szCs w:val="28"/>
          <w:rtl/>
        </w:rPr>
        <w:t>. כן ביקש להבחין בין חומרת עבירת הסמים שביצעה עו"ד סנדלר – אספקת סמים, לזו שבגינה הורשע הנאשם – החזקת סמים לצריכה עצמית. אשר למעשיו האלימים של הנאשם במהלך התנגדותו למעצר, ביקש ליתן משקל מכריע לעונש המקל שנקבע בחוק בצדה של העבירה – עד שישה חודשי מאסר. מכאן, לשיטתו, התנהגותו האלימה של הנאשם אינה צריכה להשפיע על מתחם העונש, אשר צריך להיקבע בין מספר חודשי מאסר שניתן לרצות בעבודות שירות, לבין שנת מאסר בפועל. ב"כ הנאשם הפנה לפסיקה לתמיכה בטיעוניו. בקביעת העונש בתוך המתחם ביקש להיזהר ממתן משקל משמעותי להרשעתו האחרונה, שכן אותו המאסר ממש קשור בנסיבות ביצוע העבירה, וממילא נלקח בחשבון בקביעת המתחם. הנאשם שוחרר ממאסרו בחודש מרץ 2020, התארס, הקים עסק לעבודות אלומיניום, עובד לפרנסתו "ומנסה להשאיר את העבר מאחוריו". כן עמד על כך שהנאשם מחזיק בשנתיים האחרונות היתר לצריכת קנאביס (ענ/1), על רקע פגיעה עצבית ברגלו. הנאשם הודה במיוחס לו וקיבל אחריות על מעשיו, ובמכלול השיקולים ביקש לגזור את עונשו בתחתית המתחם, באופן שיאפשר לרצותו בדרך של עבודות שירות.</w:t>
      </w:r>
    </w:p>
    <w:p w14:paraId="3EAA5044" w14:textId="77777777" w:rsidR="00A201C9" w:rsidRPr="00A201C9" w:rsidRDefault="00A201C9" w:rsidP="00A201C9">
      <w:pPr>
        <w:spacing w:line="360" w:lineRule="auto"/>
        <w:jc w:val="both"/>
        <w:rPr>
          <w:rFonts w:ascii="FrankRuehl" w:eastAsia="Calibri" w:hAnsi="FrankRuehl" w:cs="FrankRuehl"/>
          <w:sz w:val="28"/>
          <w:szCs w:val="28"/>
          <w:rtl/>
        </w:rPr>
      </w:pPr>
    </w:p>
    <w:p w14:paraId="26D614ED" w14:textId="77777777" w:rsidR="00A201C9" w:rsidRPr="00A201C9" w:rsidRDefault="00A201C9" w:rsidP="00A201C9">
      <w:pPr>
        <w:spacing w:line="360" w:lineRule="auto"/>
        <w:jc w:val="both"/>
        <w:rPr>
          <w:rFonts w:ascii="FrankRuehl" w:eastAsia="Calibri" w:hAnsi="FrankRuehl" w:cs="FrankRuehl"/>
          <w:sz w:val="28"/>
          <w:szCs w:val="28"/>
          <w:rtl/>
        </w:rPr>
      </w:pPr>
      <w:r w:rsidRPr="00A201C9">
        <w:rPr>
          <w:rFonts w:ascii="FrankRuehl" w:eastAsia="Calibri" w:hAnsi="FrankRuehl" w:cs="FrankRuehl"/>
          <w:sz w:val="28"/>
          <w:szCs w:val="28"/>
          <w:rtl/>
        </w:rPr>
        <w:tab/>
        <w:t>הנאשם ביקש את סליחת בית המשפט. לדבריו, מאז שחרורו ממאסר החליט לשנות מדרכיו. "היום אני בוחר ללכת בדרך הנכונה, להתחתן ולהמשיך בעסקים שלי... בחרתי בדרך לא נכונה. כשהשתחררתי הבנתי שהחיים יותר שווים מכל הדאווינים. אני רוצה לפתוח דף חדש, להתחתן, לגדל ילדים, ואני מודה לבית המשפט שנתן לי הרבה זמן לנהל את התיק. השתקמתי בזמן הזה ואני מבטיח שאני לא חוזר לשום עבירה. מספיק. תודה".</w:t>
      </w:r>
    </w:p>
    <w:p w14:paraId="7DED81DD" w14:textId="77777777" w:rsidR="00A201C9" w:rsidRPr="00A201C9" w:rsidRDefault="00A201C9" w:rsidP="00A201C9">
      <w:pPr>
        <w:spacing w:line="360" w:lineRule="auto"/>
        <w:jc w:val="both"/>
        <w:rPr>
          <w:rFonts w:ascii="FrankRuehl" w:eastAsia="Calibri" w:hAnsi="FrankRuehl" w:cs="FrankRuehl"/>
          <w:sz w:val="28"/>
          <w:szCs w:val="28"/>
          <w:rtl/>
        </w:rPr>
      </w:pPr>
    </w:p>
    <w:p w14:paraId="1B9BFD37" w14:textId="77777777" w:rsidR="00A201C9" w:rsidRPr="00A201C9" w:rsidRDefault="00A201C9" w:rsidP="00A201C9">
      <w:pPr>
        <w:spacing w:line="360" w:lineRule="auto"/>
        <w:jc w:val="both"/>
        <w:rPr>
          <w:rFonts w:ascii="FrankRuehl" w:eastAsia="Calibri" w:hAnsi="FrankRuehl" w:cs="Miriam"/>
          <w:b/>
          <w:sz w:val="28"/>
          <w:rtl/>
        </w:rPr>
      </w:pPr>
      <w:r w:rsidRPr="00A201C9">
        <w:rPr>
          <w:rFonts w:ascii="FrankRuehl" w:eastAsia="Calibri" w:hAnsi="FrankRuehl" w:cs="Miriam"/>
          <w:b/>
          <w:sz w:val="28"/>
          <w:rtl/>
        </w:rPr>
        <w:t>דיון</w:t>
      </w:r>
    </w:p>
    <w:p w14:paraId="4A4DD942" w14:textId="77777777" w:rsidR="00A201C9" w:rsidRPr="00A201C9" w:rsidRDefault="00A201C9" w:rsidP="00A201C9">
      <w:pPr>
        <w:spacing w:line="360" w:lineRule="auto"/>
        <w:jc w:val="both"/>
        <w:rPr>
          <w:rFonts w:ascii="FrankRuehl" w:eastAsia="Calibri" w:hAnsi="FrankRuehl" w:cs="Miriam"/>
          <w:b/>
          <w:sz w:val="28"/>
          <w:rtl/>
        </w:rPr>
      </w:pPr>
    </w:p>
    <w:p w14:paraId="27948E3F" w14:textId="77777777" w:rsidR="00A201C9" w:rsidRPr="00A201C9" w:rsidRDefault="00A201C9" w:rsidP="00A201C9">
      <w:pPr>
        <w:spacing w:line="360" w:lineRule="auto"/>
        <w:jc w:val="both"/>
        <w:rPr>
          <w:rFonts w:ascii="FrankRuehl" w:eastAsia="Calibri" w:hAnsi="FrankRuehl" w:cs="FrankRuehl"/>
          <w:sz w:val="28"/>
          <w:szCs w:val="28"/>
          <w:rtl/>
        </w:rPr>
      </w:pPr>
      <w:r w:rsidRPr="00A201C9">
        <w:rPr>
          <w:rFonts w:ascii="FrankRuehl" w:eastAsia="Calibri" w:hAnsi="FrankRuehl" w:cs="Miriam"/>
          <w:b/>
          <w:sz w:val="28"/>
          <w:rtl/>
        </w:rPr>
        <w:t>מתחם העונש ההולם</w:t>
      </w:r>
    </w:p>
    <w:p w14:paraId="0921D57D" w14:textId="77777777" w:rsidR="00A201C9" w:rsidRPr="00A201C9" w:rsidRDefault="00A201C9" w:rsidP="00A201C9">
      <w:pPr>
        <w:spacing w:line="360" w:lineRule="auto"/>
        <w:jc w:val="both"/>
        <w:rPr>
          <w:rFonts w:ascii="FrankRuehl" w:eastAsia="Calibri" w:hAnsi="FrankRuehl" w:cs="FrankRuehl"/>
          <w:sz w:val="28"/>
          <w:szCs w:val="28"/>
          <w:rtl/>
        </w:rPr>
      </w:pPr>
    </w:p>
    <w:p w14:paraId="7207E4A3" w14:textId="77777777" w:rsidR="00A201C9" w:rsidRPr="00A201C9" w:rsidRDefault="00A201C9" w:rsidP="00A201C9">
      <w:pPr>
        <w:spacing w:line="360" w:lineRule="auto"/>
        <w:jc w:val="both"/>
        <w:rPr>
          <w:rFonts w:ascii="FrankRuehl" w:eastAsia="Calibri" w:hAnsi="FrankRuehl" w:cs="FrankRuehl"/>
          <w:sz w:val="28"/>
          <w:szCs w:val="28"/>
          <w:rtl/>
        </w:rPr>
      </w:pPr>
      <w:r w:rsidRPr="00A201C9">
        <w:rPr>
          <w:rFonts w:ascii="FrankRuehl" w:eastAsia="Calibri" w:hAnsi="FrankRuehl" w:cs="FrankRuehl"/>
          <w:sz w:val="28"/>
          <w:szCs w:val="28"/>
          <w:rtl/>
        </w:rPr>
        <w:t>3.</w:t>
      </w:r>
      <w:r w:rsidRPr="00A201C9">
        <w:rPr>
          <w:rFonts w:ascii="FrankRuehl" w:eastAsia="Calibri" w:hAnsi="FrankRuehl" w:cs="FrankRuehl"/>
          <w:sz w:val="28"/>
          <w:szCs w:val="28"/>
          <w:rtl/>
        </w:rPr>
        <w:tab/>
        <w:t>כאמור, ב"כ הצדדים ביקשו לראות במתחם העונש שנקבע בענינה של עו"ד סנדלר משום נקודת מוצא, אשר ביחס אליה יש לקבוע את מתחם העונש הראוי לנאשם. דעתי שונה. אמנם, חלק מן השיקולים דומים, וברי כי יש ליתן משקל מסוים לעונש שנגזר על עו"ד סנדלר, אך מן העבר האחר קיימים שיקולים הנוגעים במישרין בנאשם ובסטטוס בו היה נתון, בחלקו השונה בביצוע העבירות, ובהתנהגותו האלימה בסמוך לאחר שהתבררו מעשיו.</w:t>
      </w:r>
    </w:p>
    <w:p w14:paraId="33DB4551" w14:textId="77777777" w:rsidR="00A201C9" w:rsidRPr="00A201C9" w:rsidRDefault="00A201C9" w:rsidP="00A201C9">
      <w:pPr>
        <w:spacing w:line="360" w:lineRule="auto"/>
        <w:jc w:val="both"/>
        <w:rPr>
          <w:rFonts w:ascii="FrankRuehl" w:eastAsia="Calibri" w:hAnsi="FrankRuehl" w:cs="FrankRuehl"/>
          <w:sz w:val="28"/>
          <w:szCs w:val="28"/>
          <w:rtl/>
        </w:rPr>
      </w:pPr>
    </w:p>
    <w:p w14:paraId="7DFEF0E4" w14:textId="77777777" w:rsidR="00A201C9" w:rsidRPr="00A201C9" w:rsidRDefault="00A201C9" w:rsidP="00D54905">
      <w:pPr>
        <w:spacing w:line="360" w:lineRule="auto"/>
        <w:jc w:val="both"/>
        <w:rPr>
          <w:rFonts w:ascii="FrankRuehl" w:eastAsia="Calibri" w:hAnsi="FrankRuehl" w:cs="FrankRuehl"/>
          <w:sz w:val="28"/>
          <w:szCs w:val="28"/>
          <w:rtl/>
        </w:rPr>
      </w:pPr>
      <w:r w:rsidRPr="00A201C9">
        <w:rPr>
          <w:rFonts w:ascii="FrankRuehl" w:eastAsia="Calibri" w:hAnsi="FrankRuehl" w:cs="FrankRuehl"/>
          <w:sz w:val="28"/>
          <w:szCs w:val="28"/>
          <w:rtl/>
        </w:rPr>
        <w:tab/>
        <w:t>צודק ב"כ הנאשם בטענתו כי עו"ד סנדלר היא שהכניסה את הסמים אל בין כותלי בית הסוהר, וביצעה עבירה שלא יוחסה לנאשם, של אספקת סמים מסוכנים. עוד צודק ב"כ הנאשם בטענתו, כי בגזר דינה של עו"ד סנדלר ניתן משקל לא מבוטל לאופן ביצוע המעשים על ידי מי שניצלה את מעמדה כעורכת דין. לפירוט הנסיבות המחמירות בענינה ראו פסקה 7 לגזר הדין</w:t>
      </w:r>
      <w:r w:rsidR="008E00B5">
        <w:rPr>
          <w:rFonts w:ascii="FrankRuehl" w:eastAsia="Calibri" w:hAnsi="FrankRuehl" w:cs="FrankRuehl" w:hint="cs"/>
          <w:sz w:val="28"/>
          <w:szCs w:val="28"/>
          <w:rtl/>
        </w:rPr>
        <w:t>. אלו</w:t>
      </w:r>
      <w:r w:rsidRPr="00A201C9">
        <w:rPr>
          <w:rFonts w:ascii="FrankRuehl" w:eastAsia="Calibri" w:hAnsi="FrankRuehl" w:cs="FrankRuehl"/>
          <w:sz w:val="28"/>
          <w:szCs w:val="28"/>
          <w:rtl/>
        </w:rPr>
        <w:t xml:space="preserve"> </w:t>
      </w:r>
      <w:r w:rsidR="008E00B5">
        <w:rPr>
          <w:rFonts w:ascii="FrankRuehl" w:eastAsia="Calibri" w:hAnsi="FrankRuehl" w:cs="FrankRuehl" w:hint="cs"/>
          <w:sz w:val="28"/>
          <w:szCs w:val="28"/>
          <w:rtl/>
        </w:rPr>
        <w:t>אושררו ע"י בית המשפט המחוזי (בדעת רוב)</w:t>
      </w:r>
      <w:r w:rsidR="00BF1A05">
        <w:rPr>
          <w:rFonts w:ascii="FrankRuehl" w:eastAsia="Calibri" w:hAnsi="FrankRuehl" w:cs="FrankRuehl" w:hint="cs"/>
          <w:sz w:val="28"/>
          <w:szCs w:val="28"/>
          <w:rtl/>
        </w:rPr>
        <w:t xml:space="preserve"> ובית המשפט העליון</w:t>
      </w:r>
      <w:r w:rsidRPr="00A201C9">
        <w:rPr>
          <w:rFonts w:ascii="FrankRuehl" w:eastAsia="Calibri" w:hAnsi="FrankRuehl" w:cs="FrankRuehl"/>
          <w:sz w:val="28"/>
          <w:szCs w:val="28"/>
          <w:rtl/>
        </w:rPr>
        <w:t>. מנגד, לא ניתן להתעלם ממגוון נתונים העומדים לחובתו של הנאשם, ומצדיקים קביעת מתחם ענישה חמור יותר מזה שנקבע בענינה של עו"ד סנדלר.</w:t>
      </w:r>
    </w:p>
    <w:p w14:paraId="386C4B12" w14:textId="77777777" w:rsidR="00A201C9" w:rsidRPr="00A201C9" w:rsidRDefault="00A201C9" w:rsidP="00A201C9">
      <w:pPr>
        <w:spacing w:line="360" w:lineRule="auto"/>
        <w:jc w:val="both"/>
        <w:rPr>
          <w:rFonts w:ascii="FrankRuehl" w:eastAsia="Calibri" w:hAnsi="FrankRuehl" w:cs="FrankRuehl"/>
          <w:sz w:val="28"/>
          <w:szCs w:val="28"/>
          <w:rtl/>
        </w:rPr>
      </w:pPr>
    </w:p>
    <w:p w14:paraId="2D88CF47" w14:textId="77777777" w:rsidR="00A201C9" w:rsidRPr="00A201C9" w:rsidRDefault="00A201C9" w:rsidP="00D310A6">
      <w:pPr>
        <w:spacing w:line="360" w:lineRule="auto"/>
        <w:jc w:val="both"/>
        <w:rPr>
          <w:rFonts w:ascii="FrankRuehl" w:eastAsia="Calibri" w:hAnsi="FrankRuehl" w:cs="FrankRuehl"/>
          <w:sz w:val="28"/>
          <w:szCs w:val="28"/>
          <w:rtl/>
        </w:rPr>
      </w:pPr>
      <w:r w:rsidRPr="00A201C9">
        <w:rPr>
          <w:rFonts w:ascii="FrankRuehl" w:eastAsia="Calibri" w:hAnsi="FrankRuehl" w:cs="FrankRuehl"/>
          <w:sz w:val="28"/>
          <w:szCs w:val="28"/>
          <w:rtl/>
        </w:rPr>
        <w:tab/>
        <w:t>א.</w:t>
      </w:r>
      <w:r w:rsidRPr="00A201C9">
        <w:rPr>
          <w:rFonts w:ascii="FrankRuehl" w:eastAsia="Calibri" w:hAnsi="FrankRuehl" w:cs="FrankRuehl"/>
          <w:sz w:val="28"/>
          <w:szCs w:val="28"/>
          <w:rtl/>
        </w:rPr>
        <w:tab/>
        <w:t>מדובר במי שהיה נתון במשמורת חוקית בבית הסוהר, וככזה כפוף לכללי התנהגות מחמירים אשר נועדו לאפשר ניהול תקין של שגרת החיים בכלא. הנאשם מודע לכללים, מודע לאיסור בדבר הכנסת חפצים לבית הסוהר, קל וחומר סמים מסוכנים, ופעל מתוך אינטרסים אישיים צרים, מבלי להתחשב בנזק שעלול להיגרם כתוצאה ממעשיו. מובן כי עבירה של החזקת סמים לצריכה עצמית חמורה פחות מעבירה של אספקת סמים מסוכנים, אך החזקת סמים בין כותלי הכלא, ולו לשימושו של המחזיק, מקימה כשלעצמה משנה חומרה. ראו מתוך גזר דינה של עו"ד סנדלר</w:t>
      </w:r>
      <w:r w:rsidR="0002389D">
        <w:rPr>
          <w:rFonts w:ascii="FrankRuehl" w:eastAsia="Calibri" w:hAnsi="FrankRuehl" w:cs="FrankRuehl" w:hint="cs"/>
          <w:sz w:val="28"/>
          <w:szCs w:val="28"/>
          <w:rtl/>
        </w:rPr>
        <w:t xml:space="preserve"> (ו</w:t>
      </w:r>
      <w:r w:rsidR="00D310A6">
        <w:rPr>
          <w:rFonts w:ascii="FrankRuehl" w:eastAsia="Calibri" w:hAnsi="FrankRuehl" w:cs="FrankRuehl" w:hint="cs"/>
          <w:sz w:val="28"/>
          <w:szCs w:val="28"/>
          <w:rtl/>
        </w:rPr>
        <w:t xml:space="preserve">כן </w:t>
      </w:r>
      <w:r w:rsidR="0002389D">
        <w:rPr>
          <w:rFonts w:ascii="FrankRuehl" w:eastAsia="Calibri" w:hAnsi="FrankRuehl" w:cs="FrankRuehl" w:hint="cs"/>
          <w:sz w:val="28"/>
          <w:szCs w:val="28"/>
          <w:rtl/>
        </w:rPr>
        <w:t>פסק הדין בערעור והחלטת בית המשפט העליון)</w:t>
      </w:r>
      <w:r w:rsidRPr="00A201C9">
        <w:rPr>
          <w:rFonts w:ascii="FrankRuehl" w:eastAsia="Calibri" w:hAnsi="FrankRuehl" w:cs="FrankRuehl"/>
          <w:sz w:val="28"/>
          <w:szCs w:val="28"/>
          <w:rtl/>
        </w:rPr>
        <w:t>:</w:t>
      </w:r>
    </w:p>
    <w:p w14:paraId="7484932F" w14:textId="77777777" w:rsidR="00A201C9" w:rsidRPr="00A201C9" w:rsidRDefault="00A201C9" w:rsidP="00A201C9">
      <w:pPr>
        <w:spacing w:line="360" w:lineRule="auto"/>
        <w:jc w:val="both"/>
        <w:rPr>
          <w:rFonts w:ascii="FrankRuehl" w:eastAsia="Calibri" w:hAnsi="FrankRuehl" w:cs="FrankRuehl"/>
          <w:sz w:val="28"/>
          <w:szCs w:val="28"/>
          <w:rtl/>
        </w:rPr>
      </w:pPr>
    </w:p>
    <w:p w14:paraId="1D0F5B5A" w14:textId="77777777" w:rsidR="00A201C9" w:rsidRPr="00A201C9" w:rsidRDefault="00A201C9" w:rsidP="00A201C9">
      <w:pPr>
        <w:ind w:left="1644" w:right="1247"/>
        <w:jc w:val="both"/>
        <w:rPr>
          <w:rFonts w:ascii="FrankRuehl" w:eastAsia="Calibri" w:hAnsi="FrankRuehl" w:cs="FrankRuehl"/>
          <w:sz w:val="28"/>
          <w:szCs w:val="28"/>
          <w:rtl/>
        </w:rPr>
      </w:pPr>
      <w:r w:rsidRPr="00A201C9">
        <w:rPr>
          <w:rFonts w:ascii="FrankRuehl" w:eastAsia="Calibri" w:hAnsi="FrankRuehl" w:cs="FrankRuehl"/>
          <w:sz w:val="28"/>
          <w:szCs w:val="28"/>
          <w:rtl/>
        </w:rPr>
        <w:t xml:space="preserve">החדרת סמים אל בין כותלי בית הסוהר, קל וחומר אספקתם לכלואים, טומנת בחובה השלכות קשות נוספות, בפוגען בניהולו התקין של בית הסוהר, בהגברת פשיעה ואלימות בין כתליו, ובהשלכה ישירה על המעמד וההיררכיה של אלו המחזיקים בסם, היכולים לעשות בו שימוש משני לצורך השפעה על אסירים אחרים. </w:t>
      </w:r>
      <w:r w:rsidRPr="00A201C9">
        <w:rPr>
          <w:rFonts w:ascii="FrankRuehl" w:eastAsia="Calibri" w:hAnsi="FrankRuehl" w:cs="Miriam"/>
          <w:b/>
          <w:sz w:val="28"/>
          <w:rtl/>
        </w:rPr>
        <w:t>"ההלכה הפסוקה קבעה לא אחת כי יש להחמיר בענישתם של עברייני סם, ומקל וחומר שיש לנהוג כך במי שמנסה להחדיר סמים אל תוך בתי-הכלא"</w:t>
      </w:r>
      <w:r w:rsidRPr="00A201C9">
        <w:rPr>
          <w:rFonts w:ascii="FrankRuehl" w:eastAsia="Calibri" w:hAnsi="FrankRuehl" w:cs="FrankRuehl"/>
          <w:sz w:val="28"/>
          <w:szCs w:val="28"/>
          <w:rtl/>
        </w:rPr>
        <w:t xml:space="preserve"> – </w:t>
      </w:r>
      <w:hyperlink r:id="rId36" w:history="1">
        <w:r w:rsidR="00AF20FE" w:rsidRPr="00AF20FE">
          <w:rPr>
            <w:rFonts w:ascii="FrankRuehl" w:eastAsia="Calibri" w:hAnsi="FrankRuehl" w:cs="FrankRuehl"/>
            <w:color w:val="0000FF"/>
            <w:sz w:val="28"/>
            <w:szCs w:val="28"/>
            <w:u w:val="single"/>
            <w:rtl/>
          </w:rPr>
          <w:t>רע"פ 10361/08</w:t>
        </w:r>
      </w:hyperlink>
      <w:r w:rsidRPr="00A201C9">
        <w:rPr>
          <w:rFonts w:ascii="FrankRuehl" w:eastAsia="Calibri" w:hAnsi="FrankRuehl" w:cs="FrankRuehl"/>
          <w:sz w:val="28"/>
          <w:szCs w:val="28"/>
          <w:rtl/>
        </w:rPr>
        <w:t xml:space="preserve"> </w:t>
      </w:r>
      <w:r w:rsidRPr="00A201C9">
        <w:rPr>
          <w:rFonts w:ascii="FrankRuehl" w:eastAsia="Calibri" w:hAnsi="FrankRuehl" w:cs="Miriam"/>
          <w:b/>
          <w:sz w:val="28"/>
          <w:rtl/>
        </w:rPr>
        <w:t xml:space="preserve">איגור זלוצבסקי נ' מדינת ישראל </w:t>
      </w:r>
      <w:r w:rsidR="002A0820" w:rsidRPr="002A0820">
        <w:rPr>
          <w:rFonts w:eastAsia="Calibri"/>
          <w:sz w:val="22"/>
          <w:rtl/>
        </w:rPr>
        <w:t xml:space="preserve">[פורסם בנבו] </w:t>
      </w:r>
      <w:r w:rsidRPr="00A201C9">
        <w:rPr>
          <w:rFonts w:ascii="FrankRuehl" w:eastAsia="Calibri" w:hAnsi="FrankRuehl" w:cs="FrankRuehl"/>
          <w:sz w:val="28"/>
          <w:szCs w:val="28"/>
          <w:rtl/>
        </w:rPr>
        <w:t xml:space="preserve">(14.12.08, להלן: </w:t>
      </w:r>
      <w:r w:rsidRPr="00A201C9">
        <w:rPr>
          <w:rFonts w:ascii="FrankRuehl" w:eastAsia="Calibri" w:hAnsi="FrankRuehl" w:cs="Miriam"/>
          <w:b/>
          <w:sz w:val="28"/>
          <w:rtl/>
        </w:rPr>
        <w:t>ענין זלוצבסקי</w:t>
      </w:r>
      <w:r w:rsidRPr="00A201C9">
        <w:rPr>
          <w:rFonts w:ascii="FrankRuehl" w:eastAsia="Calibri" w:hAnsi="FrankRuehl" w:cs="FrankRuehl"/>
          <w:sz w:val="28"/>
          <w:szCs w:val="28"/>
          <w:rtl/>
        </w:rPr>
        <w:t>).</w:t>
      </w:r>
    </w:p>
    <w:p w14:paraId="7130471C" w14:textId="77777777" w:rsidR="00A201C9" w:rsidRPr="00A201C9" w:rsidRDefault="00A201C9" w:rsidP="00A201C9">
      <w:pPr>
        <w:spacing w:line="360" w:lineRule="auto"/>
        <w:jc w:val="both"/>
        <w:rPr>
          <w:rFonts w:ascii="FrankRuehl" w:eastAsia="Calibri" w:hAnsi="FrankRuehl" w:cs="FrankRuehl"/>
          <w:sz w:val="28"/>
          <w:szCs w:val="28"/>
          <w:rtl/>
        </w:rPr>
      </w:pPr>
    </w:p>
    <w:p w14:paraId="6424FEF2" w14:textId="77777777" w:rsidR="00A201C9" w:rsidRPr="00A201C9" w:rsidRDefault="00A201C9" w:rsidP="00A201C9">
      <w:pPr>
        <w:spacing w:line="360" w:lineRule="auto"/>
        <w:jc w:val="both"/>
        <w:rPr>
          <w:rFonts w:ascii="FrankRuehl" w:eastAsia="Calibri" w:hAnsi="FrankRuehl" w:cs="FrankRuehl"/>
          <w:sz w:val="28"/>
          <w:szCs w:val="28"/>
          <w:rtl/>
        </w:rPr>
      </w:pPr>
      <w:r w:rsidRPr="00A201C9">
        <w:rPr>
          <w:rFonts w:ascii="FrankRuehl" w:eastAsia="Calibri" w:hAnsi="FrankRuehl" w:cs="FrankRuehl"/>
          <w:sz w:val="28"/>
          <w:szCs w:val="28"/>
          <w:rtl/>
        </w:rPr>
        <w:tab/>
        <w:t>ב.</w:t>
      </w:r>
      <w:r w:rsidRPr="00A201C9">
        <w:rPr>
          <w:rFonts w:ascii="FrankRuehl" w:eastAsia="Calibri" w:hAnsi="FrankRuehl" w:cs="FrankRuehl"/>
          <w:sz w:val="28"/>
          <w:szCs w:val="28"/>
          <w:rtl/>
        </w:rPr>
        <w:tab/>
        <w:t>עו"ד סנדלר ניצלה אמנם את מעמדה כעורכת דין, אך הנאשם ניצל את הזכות הניתנת לאסירים ולעצורים להיפגש ביחידות עם באי כוחם, לצורך קבלת שירות מקצועי. במעשיו פגע הנאשם הן באוכלוסיית האסירים, הזכאים לקבל ייצוג הולם, והן בציבור עורכי הדין, המגיעים לבתי הסוהר על מנת לבצע את עבודתם. ב"כ הנאשם, בהגינותו, תיאר מנקודת מבטו את החמרת המגבלות שמטיל שב"ס על עורכי הדין, כתוצאה ממעשים דוגמת אלו בהם הורשע הנאשם.</w:t>
      </w:r>
    </w:p>
    <w:p w14:paraId="7A557AD4" w14:textId="77777777" w:rsidR="00A201C9" w:rsidRPr="00A201C9" w:rsidRDefault="00A201C9" w:rsidP="00A201C9">
      <w:pPr>
        <w:spacing w:line="360" w:lineRule="auto"/>
        <w:jc w:val="both"/>
        <w:rPr>
          <w:rFonts w:ascii="FrankRuehl" w:eastAsia="Calibri" w:hAnsi="FrankRuehl" w:cs="FrankRuehl"/>
          <w:sz w:val="28"/>
          <w:szCs w:val="28"/>
          <w:rtl/>
        </w:rPr>
      </w:pPr>
    </w:p>
    <w:p w14:paraId="3C560CF4" w14:textId="77777777" w:rsidR="00A201C9" w:rsidRPr="00A201C9" w:rsidRDefault="00A201C9" w:rsidP="00280B43">
      <w:pPr>
        <w:spacing w:line="360" w:lineRule="auto"/>
        <w:jc w:val="both"/>
        <w:rPr>
          <w:rFonts w:ascii="FrankRuehl" w:eastAsia="Calibri" w:hAnsi="FrankRuehl" w:cs="FrankRuehl"/>
          <w:sz w:val="28"/>
          <w:szCs w:val="28"/>
          <w:rtl/>
        </w:rPr>
      </w:pPr>
      <w:r w:rsidRPr="00A201C9">
        <w:rPr>
          <w:rFonts w:ascii="FrankRuehl" w:eastAsia="Calibri" w:hAnsi="FrankRuehl" w:cs="FrankRuehl"/>
          <w:sz w:val="28"/>
          <w:szCs w:val="28"/>
          <w:rtl/>
        </w:rPr>
        <w:tab/>
        <w:t>ג.</w:t>
      </w:r>
      <w:r w:rsidRPr="00A201C9">
        <w:rPr>
          <w:rFonts w:ascii="FrankRuehl" w:eastAsia="Calibri" w:hAnsi="FrankRuehl" w:cs="FrankRuehl"/>
          <w:sz w:val="28"/>
          <w:szCs w:val="28"/>
          <w:rtl/>
        </w:rPr>
        <w:tab/>
        <w:t xml:space="preserve"> הגם שעו"ד סנדלר היא שעברה את דלתות הכניסה לבית הסוהר כשחפץ אסור וסמים בכליה, הנאשם במעשיו ה</w:t>
      </w:r>
      <w:r w:rsidR="00280B43">
        <w:rPr>
          <w:rFonts w:ascii="FrankRuehl" w:eastAsia="Calibri" w:hAnsi="FrankRuehl" w:cs="FrankRuehl" w:hint="cs"/>
          <w:sz w:val="28"/>
          <w:szCs w:val="28"/>
          <w:rtl/>
        </w:rPr>
        <w:t xml:space="preserve">יה זה </w:t>
      </w:r>
      <w:r w:rsidRPr="00A201C9">
        <w:rPr>
          <w:rFonts w:ascii="FrankRuehl" w:eastAsia="Calibri" w:hAnsi="FrankRuehl" w:cs="FrankRuehl"/>
          <w:sz w:val="28"/>
          <w:szCs w:val="28"/>
          <w:rtl/>
        </w:rPr>
        <w:t>שאיפשר את השלמת ביצוע העבירה, כשקיבל לידיו את הסמים והחפץ האסור. בכך הפך עצמו הנאשם לשותף מלא בביצוע העבירות, בהן אכן הורשע בהתאם להודאתו.</w:t>
      </w:r>
    </w:p>
    <w:p w14:paraId="4C3BC2E2" w14:textId="77777777" w:rsidR="00A201C9" w:rsidRPr="00A201C9" w:rsidRDefault="00A201C9" w:rsidP="00A201C9">
      <w:pPr>
        <w:spacing w:line="360" w:lineRule="auto"/>
        <w:jc w:val="both"/>
        <w:rPr>
          <w:rFonts w:ascii="FrankRuehl" w:eastAsia="Calibri" w:hAnsi="FrankRuehl" w:cs="FrankRuehl"/>
          <w:sz w:val="28"/>
          <w:szCs w:val="28"/>
          <w:rtl/>
        </w:rPr>
      </w:pPr>
    </w:p>
    <w:p w14:paraId="2BB03491" w14:textId="77777777" w:rsidR="00A201C9" w:rsidRPr="00A201C9" w:rsidRDefault="00A201C9" w:rsidP="00A201C9">
      <w:pPr>
        <w:spacing w:line="360" w:lineRule="auto"/>
        <w:jc w:val="both"/>
        <w:rPr>
          <w:rFonts w:ascii="FrankRuehl" w:eastAsia="Calibri" w:hAnsi="FrankRuehl" w:cs="FrankRuehl"/>
          <w:sz w:val="28"/>
          <w:szCs w:val="28"/>
          <w:rtl/>
        </w:rPr>
      </w:pPr>
      <w:r w:rsidRPr="00A201C9">
        <w:rPr>
          <w:rFonts w:ascii="FrankRuehl" w:eastAsia="Calibri" w:hAnsi="FrankRuehl" w:cs="FrankRuehl"/>
          <w:sz w:val="28"/>
          <w:szCs w:val="28"/>
          <w:rtl/>
        </w:rPr>
        <w:tab/>
        <w:t>ד.</w:t>
      </w:r>
      <w:r w:rsidRPr="00A201C9">
        <w:rPr>
          <w:rFonts w:ascii="FrankRuehl" w:eastAsia="Calibri" w:hAnsi="FrankRuehl" w:cs="FrankRuehl"/>
          <w:sz w:val="28"/>
          <w:szCs w:val="28"/>
          <w:rtl/>
        </w:rPr>
        <w:tab/>
        <w:t>הנאשם ביצע את מעשיו בשתי הזדמנויות שונות. בפעם האחת קיבל לידיו חפץ אסור שטיבו איננו ידוע, ובפעם השניה הסלים את התנהגותו, וקיבל לידיו סמים מסוכנים.</w:t>
      </w:r>
    </w:p>
    <w:p w14:paraId="21DD57B3" w14:textId="77777777" w:rsidR="00A201C9" w:rsidRPr="00A201C9" w:rsidRDefault="00A201C9" w:rsidP="00A201C9">
      <w:pPr>
        <w:spacing w:line="360" w:lineRule="auto"/>
        <w:jc w:val="both"/>
        <w:rPr>
          <w:rFonts w:ascii="FrankRuehl" w:eastAsia="Calibri" w:hAnsi="FrankRuehl" w:cs="FrankRuehl"/>
          <w:sz w:val="28"/>
          <w:szCs w:val="28"/>
          <w:rtl/>
        </w:rPr>
      </w:pPr>
    </w:p>
    <w:p w14:paraId="437A2A45" w14:textId="77777777" w:rsidR="00A201C9" w:rsidRPr="00A201C9" w:rsidRDefault="00A201C9" w:rsidP="00496AA4">
      <w:pPr>
        <w:spacing w:line="360" w:lineRule="auto"/>
        <w:jc w:val="both"/>
        <w:rPr>
          <w:rFonts w:ascii="FrankRuehl" w:eastAsia="Calibri" w:hAnsi="FrankRuehl" w:cs="FrankRuehl"/>
          <w:sz w:val="28"/>
          <w:szCs w:val="28"/>
          <w:rtl/>
        </w:rPr>
      </w:pPr>
      <w:r w:rsidRPr="00A201C9">
        <w:rPr>
          <w:rFonts w:ascii="FrankRuehl" w:eastAsia="Calibri" w:hAnsi="FrankRuehl" w:cs="FrankRuehl"/>
          <w:sz w:val="28"/>
          <w:szCs w:val="28"/>
          <w:rtl/>
        </w:rPr>
        <w:tab/>
        <w:t>ה.</w:t>
      </w:r>
      <w:r w:rsidRPr="00A201C9">
        <w:rPr>
          <w:rFonts w:ascii="FrankRuehl" w:eastAsia="Calibri" w:hAnsi="FrankRuehl" w:cs="FrankRuehl"/>
          <w:sz w:val="28"/>
          <w:szCs w:val="28"/>
          <w:rtl/>
        </w:rPr>
        <w:tab/>
        <w:t>התנהגותו האלימה של הנאשם כלפי הסוהרים כשאלו הגיעו כדי לעוצרו ולתפוס ממנו את הסמים, אך ממחישה את השפעות הלוואי של ביצוע עבירות סמים בין כותלי בית הסוהר. לטענת ההגנה, בהינתן העונש המרבי שבצדה של עבירת התנגדות למעצר – 6 חודשי מאסר, הרי שאין בהרשעת הנאשם בעבירה זו כדי להשפיע על מתחם העונש. אין בידי להסכים. אמנם, מובן כי בית המשפט לא יתחשב בעבירה החמורה יותר של תקיפת עובד ציבור, אשר נמחקה מכתב האישום המתוקן. מנגד, התנגדות למעצר, לבטח בריבוי עבירות, בנסיבות המפורטות בכתב האישום, מחייבת התייחסות עונשית מחמירה. הנאשם עשה כל שלאל ידו על מנת לחמ</w:t>
      </w:r>
      <w:r w:rsidR="00012373">
        <w:rPr>
          <w:rFonts w:ascii="FrankRuehl" w:eastAsia="Calibri" w:hAnsi="FrankRuehl" w:cs="FrankRuehl" w:hint="cs"/>
          <w:sz w:val="28"/>
          <w:szCs w:val="28"/>
          <w:rtl/>
        </w:rPr>
        <w:t>ו</w:t>
      </w:r>
      <w:r w:rsidRPr="00A201C9">
        <w:rPr>
          <w:rFonts w:ascii="FrankRuehl" w:eastAsia="Calibri" w:hAnsi="FrankRuehl" w:cs="FrankRuehl"/>
          <w:sz w:val="28"/>
          <w:szCs w:val="28"/>
          <w:rtl/>
        </w:rPr>
        <w:t xml:space="preserve">ק מתפיסת הסמים, והיה נכון לפגוע לשם </w:t>
      </w:r>
      <w:r w:rsidR="00012373">
        <w:rPr>
          <w:rFonts w:ascii="FrankRuehl" w:eastAsia="Calibri" w:hAnsi="FrankRuehl" w:cs="FrankRuehl" w:hint="cs"/>
          <w:sz w:val="28"/>
          <w:szCs w:val="28"/>
          <w:rtl/>
        </w:rPr>
        <w:t xml:space="preserve">כך </w:t>
      </w:r>
      <w:r w:rsidRPr="00A201C9">
        <w:rPr>
          <w:rFonts w:ascii="FrankRuehl" w:eastAsia="Calibri" w:hAnsi="FrankRuehl" w:cs="FrankRuehl"/>
          <w:sz w:val="28"/>
          <w:szCs w:val="28"/>
          <w:rtl/>
        </w:rPr>
        <w:t>בסובבים אותו, תוך השתוללות והפעלת אלימות בלתי מרוסנת, עד כי שלושה סוהרים התקשו להשתלט עליו, ונחבלו פיזית במהלך מעצר</w:t>
      </w:r>
      <w:r w:rsidR="00496AA4">
        <w:rPr>
          <w:rFonts w:ascii="FrankRuehl" w:eastAsia="Calibri" w:hAnsi="FrankRuehl" w:cs="FrankRuehl" w:hint="cs"/>
          <w:sz w:val="28"/>
          <w:szCs w:val="28"/>
          <w:rtl/>
        </w:rPr>
        <w:t>ו</w:t>
      </w:r>
      <w:r w:rsidRPr="00A201C9">
        <w:rPr>
          <w:rFonts w:ascii="FrankRuehl" w:eastAsia="Calibri" w:hAnsi="FrankRuehl" w:cs="FrankRuehl"/>
          <w:sz w:val="28"/>
          <w:szCs w:val="28"/>
          <w:rtl/>
        </w:rPr>
        <w:t>.</w:t>
      </w:r>
    </w:p>
    <w:p w14:paraId="40B47467" w14:textId="77777777" w:rsidR="00A201C9" w:rsidRPr="00A201C9" w:rsidRDefault="00A201C9" w:rsidP="00A201C9">
      <w:pPr>
        <w:spacing w:line="360" w:lineRule="auto"/>
        <w:jc w:val="both"/>
        <w:rPr>
          <w:rFonts w:ascii="FrankRuehl" w:eastAsia="Calibri" w:hAnsi="FrankRuehl" w:cs="FrankRuehl"/>
          <w:sz w:val="28"/>
          <w:szCs w:val="28"/>
          <w:rtl/>
        </w:rPr>
      </w:pPr>
    </w:p>
    <w:p w14:paraId="65E27D5D" w14:textId="77777777" w:rsidR="00A201C9" w:rsidRPr="00A201C9" w:rsidRDefault="00A201C9" w:rsidP="00A201C9">
      <w:pPr>
        <w:spacing w:line="360" w:lineRule="auto"/>
        <w:jc w:val="both"/>
        <w:rPr>
          <w:rFonts w:ascii="FrankRuehl" w:eastAsia="Calibri" w:hAnsi="FrankRuehl" w:cs="FrankRuehl"/>
          <w:sz w:val="28"/>
          <w:szCs w:val="28"/>
          <w:rtl/>
        </w:rPr>
      </w:pPr>
      <w:r w:rsidRPr="00A201C9">
        <w:rPr>
          <w:rFonts w:ascii="FrankRuehl" w:eastAsia="Calibri" w:hAnsi="FrankRuehl" w:cs="FrankRuehl"/>
          <w:sz w:val="28"/>
          <w:szCs w:val="28"/>
          <w:rtl/>
        </w:rPr>
        <w:t>4.</w:t>
      </w:r>
      <w:r w:rsidRPr="00A201C9">
        <w:rPr>
          <w:rFonts w:ascii="FrankRuehl" w:eastAsia="Calibri" w:hAnsi="FrankRuehl" w:cs="FrankRuehl"/>
          <w:sz w:val="28"/>
          <w:szCs w:val="28"/>
          <w:rtl/>
        </w:rPr>
        <w:tab/>
        <w:t>לבחינת מדיניות הענישה בעבירות סמים בין כותלי בית הסוהר, ראו פסקי הדין שלהלן:</w:t>
      </w:r>
    </w:p>
    <w:p w14:paraId="3CF052D8" w14:textId="77777777" w:rsidR="00A201C9" w:rsidRPr="00A201C9" w:rsidRDefault="00A201C9" w:rsidP="00A201C9">
      <w:pPr>
        <w:spacing w:line="360" w:lineRule="auto"/>
        <w:jc w:val="both"/>
        <w:rPr>
          <w:rFonts w:ascii="FrankRuehl" w:eastAsia="Calibri" w:hAnsi="FrankRuehl" w:cs="FrankRuehl"/>
          <w:sz w:val="28"/>
          <w:szCs w:val="28"/>
          <w:rtl/>
        </w:rPr>
      </w:pPr>
    </w:p>
    <w:p w14:paraId="6AA6FE2F" w14:textId="77777777" w:rsidR="00496AA4" w:rsidRPr="00E7596F" w:rsidRDefault="00496AA4" w:rsidP="00A201C9">
      <w:pPr>
        <w:tabs>
          <w:tab w:val="left" w:pos="800"/>
        </w:tabs>
        <w:overflowPunct w:val="0"/>
        <w:autoSpaceDE w:val="0"/>
        <w:autoSpaceDN w:val="0"/>
        <w:adjustRightInd w:val="0"/>
        <w:spacing w:line="360" w:lineRule="auto"/>
        <w:jc w:val="both"/>
        <w:rPr>
          <w:rFonts w:ascii="FrankRuehl" w:hAnsi="FrankRuehl" w:cs="FrankRuehl"/>
          <w:spacing w:val="10"/>
          <w:sz w:val="28"/>
          <w:szCs w:val="28"/>
          <w:rtl/>
        </w:rPr>
      </w:pPr>
      <w:r>
        <w:rPr>
          <w:rFonts w:ascii="FrankRuehl" w:hAnsi="FrankRuehl" w:cs="FrankRuehl"/>
          <w:spacing w:val="10"/>
          <w:sz w:val="28"/>
          <w:szCs w:val="28"/>
          <w:rtl/>
        </w:rPr>
        <w:tab/>
      </w:r>
      <w:r>
        <w:rPr>
          <w:rFonts w:ascii="FrankRuehl" w:hAnsi="FrankRuehl" w:cs="FrankRuehl" w:hint="cs"/>
          <w:spacing w:val="10"/>
          <w:sz w:val="28"/>
          <w:szCs w:val="28"/>
          <w:rtl/>
        </w:rPr>
        <w:t xml:space="preserve">(-) </w:t>
      </w:r>
      <w:hyperlink r:id="rId37" w:history="1">
        <w:r w:rsidR="00AF20FE" w:rsidRPr="00AF20FE">
          <w:rPr>
            <w:rFonts w:ascii="FrankRuehl" w:hAnsi="FrankRuehl" w:cs="FrankRuehl"/>
            <w:color w:val="0000FF"/>
            <w:spacing w:val="10"/>
            <w:sz w:val="28"/>
            <w:szCs w:val="28"/>
            <w:u w:val="single"/>
            <w:rtl/>
          </w:rPr>
          <w:t>רע"פ 7356/22</w:t>
        </w:r>
      </w:hyperlink>
      <w:r w:rsidR="00E7596F">
        <w:rPr>
          <w:rFonts w:ascii="FrankRuehl" w:hAnsi="FrankRuehl" w:cs="FrankRuehl" w:hint="cs"/>
          <w:spacing w:val="10"/>
          <w:sz w:val="28"/>
          <w:szCs w:val="28"/>
          <w:rtl/>
        </w:rPr>
        <w:t xml:space="preserve"> </w:t>
      </w:r>
      <w:r w:rsidR="00E7596F" w:rsidRPr="00E7596F">
        <w:rPr>
          <w:rFonts w:ascii="Miriam" w:hAnsi="Miriam" w:cs="Miriam"/>
          <w:spacing w:val="10"/>
          <w:rtl/>
        </w:rPr>
        <w:t>שיר סנדלר נ' מדינת ישראל</w:t>
      </w:r>
      <w:r w:rsidR="00E7596F">
        <w:rPr>
          <w:rFonts w:ascii="FrankRuehl" w:hAnsi="FrankRuehl" w:cs="FrankRuehl" w:hint="cs"/>
          <w:b/>
          <w:bCs/>
          <w:spacing w:val="10"/>
          <w:sz w:val="28"/>
          <w:szCs w:val="28"/>
          <w:rtl/>
        </w:rPr>
        <w:t xml:space="preserve"> </w:t>
      </w:r>
      <w:r w:rsidR="002A0820" w:rsidRPr="002A0820">
        <w:rPr>
          <w:rFonts w:eastAsia="Calibri"/>
          <w:sz w:val="22"/>
          <w:rtl/>
        </w:rPr>
        <w:t xml:space="preserve">[פורסם בנבו] </w:t>
      </w:r>
      <w:r w:rsidR="00E7596F">
        <w:rPr>
          <w:rFonts w:ascii="FrankRuehl" w:hAnsi="FrankRuehl" w:cs="FrankRuehl" w:hint="cs"/>
          <w:spacing w:val="10"/>
          <w:sz w:val="28"/>
          <w:szCs w:val="28"/>
          <w:rtl/>
        </w:rPr>
        <w:t>(</w:t>
      </w:r>
      <w:r w:rsidR="00E7596F">
        <w:rPr>
          <w:rFonts w:ascii="FrankRuehl" w:hAnsi="FrankRuehl" w:cs="FrankRuehl"/>
          <w:spacing w:val="10"/>
          <w:sz w:val="28"/>
          <w:szCs w:val="28"/>
        </w:rPr>
        <w:t>20.11.22</w:t>
      </w:r>
      <w:r w:rsidR="00E7596F">
        <w:rPr>
          <w:rFonts w:ascii="FrankRuehl" w:hAnsi="FrankRuehl" w:cs="FrankRuehl" w:hint="cs"/>
          <w:spacing w:val="10"/>
          <w:sz w:val="28"/>
          <w:szCs w:val="28"/>
          <w:rtl/>
        </w:rPr>
        <w:t>, לעיל).</w:t>
      </w:r>
    </w:p>
    <w:p w14:paraId="2372497C" w14:textId="77777777" w:rsidR="00496AA4" w:rsidRDefault="00496AA4" w:rsidP="00A201C9">
      <w:pPr>
        <w:tabs>
          <w:tab w:val="left" w:pos="800"/>
        </w:tabs>
        <w:overflowPunct w:val="0"/>
        <w:autoSpaceDE w:val="0"/>
        <w:autoSpaceDN w:val="0"/>
        <w:adjustRightInd w:val="0"/>
        <w:spacing w:line="360" w:lineRule="auto"/>
        <w:jc w:val="both"/>
        <w:rPr>
          <w:rFonts w:ascii="FrankRuehl" w:hAnsi="FrankRuehl" w:cs="FrankRuehl"/>
          <w:spacing w:val="10"/>
          <w:sz w:val="28"/>
          <w:szCs w:val="28"/>
          <w:rtl/>
        </w:rPr>
      </w:pPr>
    </w:p>
    <w:p w14:paraId="7279EFE9" w14:textId="77777777" w:rsidR="00A201C9" w:rsidRPr="00A201C9" w:rsidRDefault="00A201C9" w:rsidP="00A201C9">
      <w:pPr>
        <w:tabs>
          <w:tab w:val="left" w:pos="800"/>
        </w:tabs>
        <w:overflowPunct w:val="0"/>
        <w:autoSpaceDE w:val="0"/>
        <w:autoSpaceDN w:val="0"/>
        <w:adjustRightInd w:val="0"/>
        <w:spacing w:line="360" w:lineRule="auto"/>
        <w:jc w:val="both"/>
        <w:rPr>
          <w:rFonts w:ascii="Century" w:hAnsi="Century" w:cs="FrankRuehl"/>
          <w:spacing w:val="10"/>
          <w:sz w:val="22"/>
          <w:szCs w:val="28"/>
          <w:rtl/>
        </w:rPr>
      </w:pPr>
      <w:r w:rsidRPr="00A201C9">
        <w:rPr>
          <w:rFonts w:ascii="FrankRuehl" w:hAnsi="FrankRuehl" w:cs="FrankRuehl"/>
          <w:spacing w:val="10"/>
          <w:sz w:val="28"/>
          <w:szCs w:val="28"/>
          <w:rtl/>
        </w:rPr>
        <w:t xml:space="preserve"> </w:t>
      </w:r>
      <w:r w:rsidRPr="00A201C9">
        <w:rPr>
          <w:rFonts w:ascii="FrankRuehl" w:hAnsi="FrankRuehl" w:cs="FrankRuehl"/>
          <w:spacing w:val="10"/>
          <w:sz w:val="28"/>
          <w:szCs w:val="28"/>
          <w:rtl/>
        </w:rPr>
        <w:tab/>
        <w:t xml:space="preserve">(-) </w:t>
      </w:r>
      <w:hyperlink r:id="rId38" w:history="1">
        <w:r w:rsidR="00AF20FE" w:rsidRPr="00AF20FE">
          <w:rPr>
            <w:rFonts w:ascii="FrankRuehl" w:hAnsi="FrankRuehl" w:cs="FrankRuehl"/>
            <w:color w:val="0000FF"/>
            <w:spacing w:val="10"/>
            <w:sz w:val="28"/>
            <w:szCs w:val="28"/>
            <w:u w:val="single"/>
            <w:rtl/>
          </w:rPr>
          <w:t>רע"פ 4144/15</w:t>
        </w:r>
      </w:hyperlink>
      <w:r w:rsidRPr="00A201C9">
        <w:rPr>
          <w:rFonts w:ascii="FrankRuehl" w:hAnsi="FrankRuehl" w:cs="FrankRuehl"/>
          <w:spacing w:val="10"/>
          <w:sz w:val="28"/>
          <w:szCs w:val="28"/>
          <w:rtl/>
        </w:rPr>
        <w:t xml:space="preserve"> </w:t>
      </w:r>
      <w:r w:rsidRPr="00A201C9">
        <w:rPr>
          <w:rFonts w:ascii="FrankRuehl" w:hAnsi="FrankRuehl" w:cs="Miriam"/>
          <w:b/>
          <w:spacing w:val="10"/>
          <w:sz w:val="28"/>
          <w:rtl/>
        </w:rPr>
        <w:t xml:space="preserve">אדם אבו אלטיף נ' מדינת ישראל </w:t>
      </w:r>
      <w:r w:rsidR="002A0820" w:rsidRPr="002A0820">
        <w:rPr>
          <w:rFonts w:eastAsia="Calibri"/>
          <w:sz w:val="22"/>
          <w:rtl/>
        </w:rPr>
        <w:t xml:space="preserve">[פורסם בנבו] </w:t>
      </w:r>
      <w:r w:rsidRPr="00A201C9">
        <w:rPr>
          <w:rFonts w:ascii="FrankRuehl" w:hAnsi="FrankRuehl" w:cs="FrankRuehl"/>
          <w:spacing w:val="10"/>
          <w:sz w:val="28"/>
          <w:szCs w:val="28"/>
          <w:rtl/>
        </w:rPr>
        <w:t xml:space="preserve">(16.6.15, להלן: </w:t>
      </w:r>
      <w:r w:rsidRPr="00A201C9">
        <w:rPr>
          <w:rFonts w:ascii="FrankRuehl" w:hAnsi="FrankRuehl" w:cs="Miriam"/>
          <w:b/>
          <w:spacing w:val="10"/>
          <w:sz w:val="28"/>
          <w:rtl/>
        </w:rPr>
        <w:t>ענין אבו אלטיף</w:t>
      </w:r>
      <w:r w:rsidRPr="00A201C9">
        <w:rPr>
          <w:rFonts w:ascii="FrankRuehl" w:hAnsi="FrankRuehl" w:cs="FrankRuehl"/>
          <w:spacing w:val="10"/>
          <w:sz w:val="28"/>
          <w:szCs w:val="28"/>
          <w:rtl/>
        </w:rPr>
        <w:t xml:space="preserve">). המבקש הורשע בהתאם להודאתו בניסיון לאספקת סמים מסוכנים, זאת לאחר שהגיע לבקר אסיר כשבכליו </w:t>
      </w:r>
      <w:r w:rsidRPr="00A201C9">
        <w:rPr>
          <w:rFonts w:ascii="Century" w:hAnsi="Century" w:cs="FrankRuehl"/>
          <w:spacing w:val="10"/>
          <w:sz w:val="20"/>
          <w:szCs w:val="28"/>
          <w:rtl/>
        </w:rPr>
        <w:t>סם מסוג חשיש במשקל 26.2 גרם וסם מסוג קנבוס במשקל 1.6 גרם. הסמים נתפסו בעת בדיקה שנערכה על המבקש בכניסתו לכלא. בית משפט השלום קבע מתחם עונש בין 18-6 חודשי מאסר לריצוי מאחורי סורג ובריח, ובהינתן נתוניו החיוביים של הנאשם גזר את עונשו בקצה הנמוך של המתחם, במאסר ממש, בתוספת מאסר על-תנאי, קנס בסך 12,000 ₪ ופסילת רישיון נהיגה למשך שנה. ערעורו לבית המשפט המחוזי נדחה, וכך גם בקשתו למתן רשות ערעור.</w:t>
      </w:r>
    </w:p>
    <w:p w14:paraId="4AF5C3FE" w14:textId="77777777" w:rsidR="00A201C9" w:rsidRPr="00A201C9" w:rsidRDefault="00A201C9" w:rsidP="00A201C9">
      <w:pPr>
        <w:tabs>
          <w:tab w:val="left" w:pos="800"/>
        </w:tabs>
        <w:overflowPunct w:val="0"/>
        <w:autoSpaceDE w:val="0"/>
        <w:autoSpaceDN w:val="0"/>
        <w:adjustRightInd w:val="0"/>
        <w:spacing w:line="360" w:lineRule="auto"/>
        <w:jc w:val="both"/>
        <w:rPr>
          <w:rFonts w:ascii="Century" w:hAnsi="Century" w:cs="FrankRuehl"/>
          <w:spacing w:val="10"/>
          <w:sz w:val="20"/>
          <w:szCs w:val="28"/>
          <w:rtl/>
        </w:rPr>
      </w:pPr>
    </w:p>
    <w:p w14:paraId="516CB4F9" w14:textId="77777777" w:rsidR="00A201C9" w:rsidRPr="00A201C9" w:rsidRDefault="00A201C9" w:rsidP="00A201C9">
      <w:pPr>
        <w:tabs>
          <w:tab w:val="left" w:pos="800"/>
        </w:tabs>
        <w:overflowPunct w:val="0"/>
        <w:autoSpaceDE w:val="0"/>
        <w:autoSpaceDN w:val="0"/>
        <w:adjustRightInd w:val="0"/>
        <w:spacing w:line="360" w:lineRule="auto"/>
        <w:jc w:val="both"/>
        <w:rPr>
          <w:rFonts w:ascii="FrankRuehl" w:hAnsi="FrankRuehl" w:cs="FrankRuehl"/>
          <w:sz w:val="28"/>
          <w:szCs w:val="28"/>
          <w:rtl/>
        </w:rPr>
      </w:pPr>
      <w:r w:rsidRPr="00A201C9">
        <w:rPr>
          <w:rFonts w:ascii="Century" w:hAnsi="Century" w:cs="FrankRuehl"/>
          <w:spacing w:val="10"/>
          <w:sz w:val="20"/>
          <w:szCs w:val="28"/>
          <w:rtl/>
        </w:rPr>
        <w:tab/>
        <w:t xml:space="preserve">(-) </w:t>
      </w:r>
      <w:hyperlink r:id="rId39" w:history="1">
        <w:r w:rsidR="00AF20FE" w:rsidRPr="00AF20FE">
          <w:rPr>
            <w:rFonts w:ascii="FrankRuehl" w:hAnsi="FrankRuehl" w:cs="FrankRuehl"/>
            <w:color w:val="0000FF"/>
            <w:sz w:val="28"/>
            <w:szCs w:val="28"/>
            <w:u w:val="single"/>
            <w:rtl/>
          </w:rPr>
          <w:t>רע"פ 1485/10</w:t>
        </w:r>
      </w:hyperlink>
      <w:r w:rsidRPr="00A201C9">
        <w:rPr>
          <w:rFonts w:ascii="FrankRuehl" w:hAnsi="FrankRuehl" w:cs="FrankRuehl"/>
          <w:sz w:val="28"/>
          <w:szCs w:val="28"/>
          <w:rtl/>
        </w:rPr>
        <w:t xml:space="preserve"> </w:t>
      </w:r>
      <w:r w:rsidRPr="00A201C9">
        <w:rPr>
          <w:rFonts w:ascii="FrankRuehl" w:hAnsi="FrankRuehl" w:cs="Miriam"/>
          <w:b/>
          <w:sz w:val="28"/>
          <w:rtl/>
        </w:rPr>
        <w:t xml:space="preserve">אודליה סתוי זאן נ' מדינת ישראל </w:t>
      </w:r>
      <w:r w:rsidR="002A0820" w:rsidRPr="002A0820">
        <w:rPr>
          <w:rFonts w:eastAsia="Calibri"/>
          <w:sz w:val="22"/>
          <w:rtl/>
        </w:rPr>
        <w:t xml:space="preserve">[פורסם בנבו] </w:t>
      </w:r>
      <w:r w:rsidRPr="00A201C9">
        <w:rPr>
          <w:rFonts w:ascii="FrankRuehl" w:hAnsi="FrankRuehl" w:cs="FrankRuehl"/>
          <w:sz w:val="28"/>
          <w:szCs w:val="28"/>
          <w:rtl/>
        </w:rPr>
        <w:t>(2.3.10). המבקשת הורשעה בהתאם להודאתה בהחזקת סמים שלא לצריכה עצמית, זאת בגין כך ששהתה במתחם המבקרים של בית סוהר איילון כשסמים מסוג הרואין וחשיש מוסלקים באיבר מינה. היא נדונה ל-8 חודשי מאסר בפועל, תוך שבית המשפט הדגיש כי במצב דברים רגיל היה מקום לגזור את עונשה באופן חמור יותר, אלא שנסיבותיה האישיות החריגות הביאו לתוצאה מקלה. ערעורה לבית המשפט המחוזי נדחה, וכך גם בקשתה למתן רשות ערעור.</w:t>
      </w:r>
    </w:p>
    <w:p w14:paraId="52679C28" w14:textId="77777777" w:rsidR="00A201C9" w:rsidRPr="00A201C9" w:rsidRDefault="00A201C9" w:rsidP="00A201C9">
      <w:pPr>
        <w:tabs>
          <w:tab w:val="left" w:pos="800"/>
        </w:tabs>
        <w:overflowPunct w:val="0"/>
        <w:autoSpaceDE w:val="0"/>
        <w:autoSpaceDN w:val="0"/>
        <w:adjustRightInd w:val="0"/>
        <w:spacing w:line="360" w:lineRule="auto"/>
        <w:jc w:val="both"/>
        <w:rPr>
          <w:rFonts w:ascii="FrankRuehl" w:hAnsi="FrankRuehl" w:cs="FrankRuehl"/>
          <w:sz w:val="28"/>
          <w:szCs w:val="28"/>
          <w:rtl/>
        </w:rPr>
      </w:pPr>
    </w:p>
    <w:p w14:paraId="6BDE935B" w14:textId="77777777" w:rsidR="00A201C9" w:rsidRPr="00A201C9" w:rsidRDefault="00A201C9" w:rsidP="00A201C9">
      <w:pPr>
        <w:tabs>
          <w:tab w:val="left" w:pos="800"/>
        </w:tabs>
        <w:overflowPunct w:val="0"/>
        <w:autoSpaceDE w:val="0"/>
        <w:autoSpaceDN w:val="0"/>
        <w:adjustRightInd w:val="0"/>
        <w:spacing w:line="360" w:lineRule="auto"/>
        <w:jc w:val="both"/>
        <w:rPr>
          <w:rFonts w:ascii="Century" w:hAnsi="Century" w:cs="FrankRuehl"/>
          <w:spacing w:val="10"/>
          <w:sz w:val="22"/>
          <w:szCs w:val="28"/>
        </w:rPr>
      </w:pPr>
      <w:r w:rsidRPr="00A201C9">
        <w:rPr>
          <w:rFonts w:ascii="FrankRuehl" w:hAnsi="FrankRuehl" w:cs="FrankRuehl"/>
          <w:sz w:val="28"/>
          <w:szCs w:val="28"/>
        </w:rPr>
        <w:tab/>
      </w:r>
      <w:r w:rsidRPr="00A201C9">
        <w:rPr>
          <w:rFonts w:ascii="FrankRuehl" w:hAnsi="FrankRuehl" w:cs="FrankRuehl"/>
          <w:sz w:val="28"/>
          <w:szCs w:val="28"/>
          <w:rtl/>
        </w:rPr>
        <w:t xml:space="preserve">(-) </w:t>
      </w:r>
      <w:hyperlink r:id="rId40" w:history="1">
        <w:r w:rsidR="00AF20FE" w:rsidRPr="00AF20FE">
          <w:rPr>
            <w:rFonts w:ascii="FrankRuehl" w:hAnsi="FrankRuehl" w:cs="FrankRuehl"/>
            <w:color w:val="0000FF"/>
            <w:sz w:val="28"/>
            <w:szCs w:val="28"/>
            <w:u w:val="single"/>
            <w:rtl/>
          </w:rPr>
          <w:t>רע"פ 2408/09</w:t>
        </w:r>
      </w:hyperlink>
      <w:r w:rsidRPr="00A201C9">
        <w:rPr>
          <w:rFonts w:ascii="FrankRuehl" w:hAnsi="FrankRuehl" w:cs="FrankRuehl"/>
          <w:sz w:val="28"/>
          <w:szCs w:val="28"/>
          <w:rtl/>
        </w:rPr>
        <w:t xml:space="preserve"> </w:t>
      </w:r>
      <w:r w:rsidRPr="00A201C9">
        <w:rPr>
          <w:rFonts w:ascii="FrankRuehl" w:hAnsi="FrankRuehl" w:cs="Miriam"/>
          <w:b/>
          <w:sz w:val="28"/>
          <w:rtl/>
        </w:rPr>
        <w:t>קאיד סלאמה נ' מדינת ישראל</w:t>
      </w:r>
      <w:r w:rsidRPr="00A201C9">
        <w:rPr>
          <w:rFonts w:ascii="FrankRuehl" w:hAnsi="FrankRuehl" w:cs="FrankRuehl"/>
          <w:sz w:val="28"/>
          <w:szCs w:val="28"/>
          <w:rtl/>
        </w:rPr>
        <w:t xml:space="preserve"> </w:t>
      </w:r>
      <w:r w:rsidR="002A0820" w:rsidRPr="002A0820">
        <w:rPr>
          <w:rFonts w:eastAsia="Calibri"/>
          <w:sz w:val="22"/>
          <w:rtl/>
        </w:rPr>
        <w:t xml:space="preserve">[פורסם בנבו] </w:t>
      </w:r>
      <w:r w:rsidRPr="00A201C9">
        <w:rPr>
          <w:rFonts w:ascii="FrankRuehl" w:hAnsi="FrankRuehl" w:cs="FrankRuehl"/>
          <w:sz w:val="28"/>
          <w:szCs w:val="28"/>
          <w:rtl/>
        </w:rPr>
        <w:t>(</w:t>
      </w:r>
      <w:r w:rsidRPr="00A201C9">
        <w:rPr>
          <w:rFonts w:ascii="FrankRuehl" w:hAnsi="FrankRuehl" w:cs="FrankRuehl"/>
          <w:sz w:val="28"/>
          <w:szCs w:val="28"/>
        </w:rPr>
        <w:t>28.7.09</w:t>
      </w:r>
      <w:r w:rsidRPr="00A201C9">
        <w:rPr>
          <w:rFonts w:ascii="FrankRuehl" w:hAnsi="FrankRuehl" w:cs="FrankRuehl"/>
          <w:sz w:val="28"/>
          <w:szCs w:val="28"/>
          <w:rtl/>
        </w:rPr>
        <w:t>). המבקש הורשע בהתאם להודאתו בכך שבעודו אסיר בבית סוהר שטה, החזיק בכליו סם מסוכן מסוג הרואין במשקל 0.202 גרם לצריכתו העצמית. בית משפט השלום גזר את עונשו של הנאשם ל-8 חודשי מאסר בפועל, עליהם הפעיל בהצטברות חלקית שני עונשי מאסר על-תנאי בני מחצית השנה כל אחד, כך שהנאשם נדון סה"כ לעונש מאסר בפועל בן 13 חודשים, מאסרים על-תנאי ופסילת רישיון נהיגה למשך שנה. ערעורו של הנאשם לבית המשפט המחוזי נדחה, וכך גם בקשתו לרשות ערעור.</w:t>
      </w:r>
    </w:p>
    <w:p w14:paraId="54C7E851" w14:textId="77777777" w:rsidR="00A201C9" w:rsidRPr="00A201C9" w:rsidRDefault="00A201C9" w:rsidP="00A201C9">
      <w:pPr>
        <w:tabs>
          <w:tab w:val="left" w:pos="800"/>
        </w:tabs>
        <w:overflowPunct w:val="0"/>
        <w:autoSpaceDE w:val="0"/>
        <w:autoSpaceDN w:val="0"/>
        <w:adjustRightInd w:val="0"/>
        <w:spacing w:line="360" w:lineRule="auto"/>
        <w:jc w:val="both"/>
        <w:rPr>
          <w:rFonts w:ascii="Century" w:hAnsi="Century" w:cs="FrankRuehl"/>
          <w:spacing w:val="10"/>
          <w:sz w:val="20"/>
          <w:szCs w:val="28"/>
          <w:rtl/>
        </w:rPr>
      </w:pPr>
    </w:p>
    <w:p w14:paraId="142858C0" w14:textId="77777777" w:rsidR="00A201C9" w:rsidRPr="00A201C9" w:rsidRDefault="00A201C9" w:rsidP="00A201C9">
      <w:pPr>
        <w:spacing w:line="360" w:lineRule="auto"/>
        <w:ind w:firstLine="720"/>
        <w:jc w:val="both"/>
        <w:rPr>
          <w:rFonts w:ascii="FrankRuehl" w:eastAsia="Calibri" w:hAnsi="FrankRuehl" w:cs="FrankRuehl"/>
          <w:sz w:val="28"/>
          <w:szCs w:val="28"/>
          <w:rtl/>
        </w:rPr>
      </w:pPr>
      <w:r w:rsidRPr="00A201C9">
        <w:rPr>
          <w:rFonts w:ascii="FrankRuehl" w:eastAsia="Calibri" w:hAnsi="FrankRuehl" w:cs="FrankRuehl"/>
          <w:sz w:val="28"/>
          <w:szCs w:val="28"/>
          <w:rtl/>
        </w:rPr>
        <w:t>(-) ענין זלוצבסקי (לעיל)</w:t>
      </w:r>
      <w:r w:rsidRPr="00A201C9">
        <w:rPr>
          <w:rFonts w:ascii="FrankRuehl" w:eastAsia="Calibri" w:hAnsi="FrankRuehl" w:cs="Miriam"/>
          <w:b/>
          <w:sz w:val="28"/>
          <w:rtl/>
        </w:rPr>
        <w:t xml:space="preserve"> </w:t>
      </w:r>
      <w:r w:rsidRPr="00A201C9">
        <w:rPr>
          <w:rFonts w:ascii="FrankRuehl" w:eastAsia="Calibri" w:hAnsi="FrankRuehl" w:cs="FrankRuehl"/>
          <w:sz w:val="28"/>
          <w:szCs w:val="28"/>
          <w:rtl/>
        </w:rPr>
        <w:t>(14.12.08). המבקש הורשע בהתאם להודאתו בהחזקת סם שלא לצריכה עצמית, ניסיון לסחר בסם מסוכן וקשירת קשר לפשע, זאת לאחר שניסה להבריח 3.2 גרם סם מסוג הרואין לאסיר בכלא צלמון. בית משפט השלום גזר עליו 18 חודשי מאסר בפועל, עליהם הפעיל במצטבר מאסר על-תנאי בן 9 חודשים. ערעורו לבית המשפט המחוזי נדחה, וכך גם בקשתו לרשות ערעור, תוך שבית המשפט עמד על חומרת העבירה של החדרת סמים אל בין כותלי בית הסוהר.</w:t>
      </w:r>
    </w:p>
    <w:p w14:paraId="6AE171BF" w14:textId="77777777" w:rsidR="00A201C9" w:rsidRPr="00A201C9" w:rsidRDefault="00A201C9" w:rsidP="00A201C9">
      <w:pPr>
        <w:spacing w:line="360" w:lineRule="auto"/>
        <w:ind w:firstLine="720"/>
        <w:jc w:val="both"/>
        <w:rPr>
          <w:rFonts w:ascii="FrankRuehl" w:eastAsia="Calibri" w:hAnsi="FrankRuehl" w:cs="FrankRuehl"/>
          <w:sz w:val="28"/>
          <w:szCs w:val="28"/>
          <w:rtl/>
        </w:rPr>
      </w:pPr>
    </w:p>
    <w:p w14:paraId="65D5AED6" w14:textId="77777777" w:rsidR="00A201C9" w:rsidRPr="00A201C9" w:rsidRDefault="00A201C9" w:rsidP="00A201C9">
      <w:pPr>
        <w:spacing w:line="360" w:lineRule="auto"/>
        <w:ind w:firstLine="720"/>
        <w:jc w:val="both"/>
        <w:rPr>
          <w:rFonts w:ascii="FrankRuehl" w:eastAsia="Calibri" w:hAnsi="FrankRuehl" w:cs="FrankRuehl"/>
          <w:sz w:val="28"/>
          <w:szCs w:val="28"/>
          <w:rtl/>
        </w:rPr>
      </w:pPr>
      <w:r w:rsidRPr="00A201C9">
        <w:rPr>
          <w:rFonts w:ascii="FrankRuehl" w:eastAsia="Calibri" w:hAnsi="FrankRuehl" w:cs="FrankRuehl"/>
          <w:sz w:val="28"/>
          <w:szCs w:val="28"/>
          <w:rtl/>
        </w:rPr>
        <w:t xml:space="preserve">(-) </w:t>
      </w:r>
      <w:hyperlink r:id="rId41" w:history="1">
        <w:r w:rsidR="00AF20FE" w:rsidRPr="00AF20FE">
          <w:rPr>
            <w:rFonts w:ascii="FrankRuehl" w:eastAsia="Calibri" w:hAnsi="FrankRuehl" w:cs="FrankRuehl"/>
            <w:color w:val="0000FF"/>
            <w:sz w:val="28"/>
            <w:szCs w:val="28"/>
            <w:u w:val="single"/>
            <w:rtl/>
          </w:rPr>
          <w:t>עפ"ג (מחוזי ב"ש) 12574-11-12</w:t>
        </w:r>
      </w:hyperlink>
      <w:r w:rsidRPr="00A201C9">
        <w:rPr>
          <w:rFonts w:ascii="FrankRuehl" w:eastAsia="Calibri" w:hAnsi="FrankRuehl" w:cs="FrankRuehl"/>
          <w:sz w:val="28"/>
          <w:szCs w:val="28"/>
          <w:rtl/>
        </w:rPr>
        <w:t xml:space="preserve"> </w:t>
      </w:r>
      <w:r w:rsidRPr="00A201C9">
        <w:rPr>
          <w:rFonts w:ascii="FrankRuehl" w:eastAsia="Calibri" w:hAnsi="FrankRuehl" w:cs="Miriam"/>
          <w:b/>
          <w:sz w:val="28"/>
          <w:rtl/>
        </w:rPr>
        <w:t xml:space="preserve">דוד גבאי נ' מדינת ישראל </w:t>
      </w:r>
      <w:r w:rsidR="002A0820" w:rsidRPr="002A0820">
        <w:rPr>
          <w:rFonts w:eastAsia="Calibri"/>
          <w:sz w:val="22"/>
          <w:rtl/>
        </w:rPr>
        <w:t xml:space="preserve">[פורסם בנבו] </w:t>
      </w:r>
      <w:r w:rsidRPr="00A201C9">
        <w:rPr>
          <w:rFonts w:ascii="FrankRuehl" w:eastAsia="Calibri" w:hAnsi="FrankRuehl" w:cs="FrankRuehl"/>
          <w:sz w:val="28"/>
          <w:szCs w:val="28"/>
          <w:rtl/>
        </w:rPr>
        <w:t>(16.1.13). המערער הורשע לאחר שמיעת ראיות בכך שהחדיר לבית הסוהר עם חזרתו מחופשה סם מסוכן מסוג קוקאין במשקל 2.131 גרם. בית משפט השלום קבע כי הסם הוחזק לצריכתו העצמית של המערער, קבע מתחם ענישה בין 18-6 חודשי מאסר בפועל, וגזר את עונשו לשנת מאסר בפועל, בתוספת הפעלת מאסר על-תנאי בן 4 חודשים, מחציתו במצטבר, כך שהמערער נדון ל-14 חודשי מאסר בפועל. כן נגזרו עליו מאסר על-תנאי וקנס בסך 5,000 ₪ או 3 חודשי מאסר תמורתו. הערעור התקבל אך באשר לגובה הקנס והמאסר שבצדו, כך שבית המשפט המחוזי הורה על הפחתת הקנס לסך של 2,000 ₪ או 20 ימי מאסר תמורתו.</w:t>
      </w:r>
    </w:p>
    <w:p w14:paraId="51A12AB9" w14:textId="77777777" w:rsidR="00A201C9" w:rsidRPr="00A201C9" w:rsidRDefault="00A201C9" w:rsidP="00A201C9">
      <w:pPr>
        <w:spacing w:line="360" w:lineRule="auto"/>
        <w:ind w:firstLine="720"/>
        <w:jc w:val="both"/>
        <w:rPr>
          <w:rFonts w:ascii="FrankRuehl" w:eastAsia="Calibri" w:hAnsi="FrankRuehl" w:cs="FrankRuehl"/>
          <w:sz w:val="28"/>
          <w:szCs w:val="28"/>
          <w:rtl/>
        </w:rPr>
      </w:pPr>
    </w:p>
    <w:p w14:paraId="2EF0D306" w14:textId="77777777" w:rsidR="00A201C9" w:rsidRPr="00A201C9" w:rsidRDefault="00A201C9" w:rsidP="0072781C">
      <w:pPr>
        <w:spacing w:line="360" w:lineRule="auto"/>
        <w:ind w:firstLine="720"/>
        <w:jc w:val="both"/>
        <w:rPr>
          <w:rFonts w:ascii="FrankRuehl" w:eastAsia="Calibri" w:hAnsi="FrankRuehl" w:cs="FrankRuehl"/>
          <w:sz w:val="28"/>
          <w:szCs w:val="28"/>
          <w:rtl/>
        </w:rPr>
      </w:pPr>
      <w:r w:rsidRPr="00A201C9">
        <w:rPr>
          <w:rFonts w:ascii="FrankRuehl" w:eastAsia="Calibri" w:hAnsi="FrankRuehl" w:cs="FrankRuehl"/>
          <w:sz w:val="28"/>
          <w:szCs w:val="28"/>
          <w:rtl/>
        </w:rPr>
        <w:t xml:space="preserve">בחנתי את פסקי הדין אליהם הפנו הצדדים. המאשימה הפנתה, בין השאר, לענין אבו אלטיף שהוזכר לעיל. ב"כ הנאשם הפנה למספר פסקי דין של בית משפט השלום, לרבות גזר הדין שניתן ע"י הח"מ במסגרת </w:t>
      </w:r>
      <w:hyperlink r:id="rId42" w:history="1">
        <w:r w:rsidR="00AF20FE" w:rsidRPr="00AF20FE">
          <w:rPr>
            <w:rFonts w:ascii="FrankRuehl" w:eastAsia="Calibri" w:hAnsi="FrankRuehl" w:cs="FrankRuehl"/>
            <w:color w:val="0000FF"/>
            <w:sz w:val="28"/>
            <w:szCs w:val="28"/>
            <w:u w:val="single"/>
            <w:rtl/>
          </w:rPr>
          <w:t>ת"פ 62073-03-19</w:t>
        </w:r>
      </w:hyperlink>
      <w:r w:rsidRPr="00A201C9">
        <w:rPr>
          <w:rFonts w:ascii="FrankRuehl" w:eastAsia="Calibri" w:hAnsi="FrankRuehl" w:cs="FrankRuehl"/>
          <w:sz w:val="28"/>
          <w:szCs w:val="28"/>
          <w:rtl/>
        </w:rPr>
        <w:t xml:space="preserve"> </w:t>
      </w:r>
      <w:r w:rsidRPr="00A201C9">
        <w:rPr>
          <w:rFonts w:ascii="FrankRuehl" w:eastAsia="Calibri" w:hAnsi="FrankRuehl" w:cs="Miriam"/>
          <w:b/>
          <w:sz w:val="28"/>
          <w:rtl/>
        </w:rPr>
        <w:t>מדינת ישראל נ' בלאל שווכי</w:t>
      </w:r>
      <w:r w:rsidRPr="00A201C9">
        <w:rPr>
          <w:rFonts w:ascii="FrankRuehl" w:eastAsia="Calibri" w:hAnsi="FrankRuehl" w:cs="FrankRuehl"/>
          <w:sz w:val="28"/>
          <w:szCs w:val="28"/>
          <w:rtl/>
        </w:rPr>
        <w:t xml:space="preserve"> </w:t>
      </w:r>
      <w:r w:rsidR="002A0820" w:rsidRPr="002A0820">
        <w:rPr>
          <w:rFonts w:eastAsia="Calibri"/>
          <w:sz w:val="22"/>
          <w:rtl/>
        </w:rPr>
        <w:t xml:space="preserve">[פורסם בנבו] </w:t>
      </w:r>
      <w:r w:rsidRPr="00A201C9">
        <w:rPr>
          <w:rFonts w:ascii="FrankRuehl" w:eastAsia="Calibri" w:hAnsi="FrankRuehl" w:cs="FrankRuehl"/>
          <w:sz w:val="28"/>
          <w:szCs w:val="28"/>
          <w:rtl/>
        </w:rPr>
        <w:t xml:space="preserve">(29.3.22), שם נדון אסיר לשנת מאסר בפועל בגין החזקת 50 בולי </w:t>
      </w:r>
      <w:r w:rsidRPr="00A201C9">
        <w:rPr>
          <w:rFonts w:ascii="FrankRuehl" w:eastAsia="Calibri" w:hAnsi="FrankRuehl" w:cs="FrankRuehl"/>
          <w:sz w:val="22"/>
          <w:szCs w:val="22"/>
        </w:rPr>
        <w:t>LSD</w:t>
      </w:r>
      <w:r w:rsidRPr="00A201C9">
        <w:rPr>
          <w:rFonts w:ascii="FrankRuehl" w:eastAsia="Calibri" w:hAnsi="FrankRuehl" w:cs="FrankRuehl"/>
          <w:sz w:val="28"/>
          <w:szCs w:val="28"/>
          <w:rtl/>
        </w:rPr>
        <w:t xml:space="preserve"> לא לצריכה עצמית, ולאחר שנקבע מתחם עונש בין 20-8 חודשי מאסר. </w:t>
      </w:r>
      <w:r w:rsidR="0072781C">
        <w:rPr>
          <w:rFonts w:ascii="FrankRuehl" w:eastAsia="Calibri" w:hAnsi="FrankRuehl" w:cs="FrankRuehl" w:hint="cs"/>
          <w:sz w:val="28"/>
          <w:szCs w:val="28"/>
          <w:rtl/>
        </w:rPr>
        <w:t>יצוין כי פסק הדין איננו חלוט. הנאשם ערער לבית המשפט המחוזי, וערעורו טרם נדון</w:t>
      </w:r>
      <w:r w:rsidRPr="00A201C9">
        <w:rPr>
          <w:rFonts w:ascii="FrankRuehl" w:eastAsia="Calibri" w:hAnsi="FrankRuehl" w:cs="FrankRuehl"/>
          <w:sz w:val="28"/>
          <w:szCs w:val="28"/>
          <w:rtl/>
        </w:rPr>
        <w:t xml:space="preserve"> (</w:t>
      </w:r>
      <w:hyperlink r:id="rId43" w:history="1">
        <w:r w:rsidR="00AF20FE" w:rsidRPr="00AF20FE">
          <w:rPr>
            <w:rFonts w:ascii="FrankRuehl" w:eastAsia="Calibri" w:hAnsi="FrankRuehl" w:cs="FrankRuehl"/>
            <w:color w:val="0000FF"/>
            <w:sz w:val="28"/>
            <w:szCs w:val="28"/>
            <w:u w:val="single"/>
            <w:rtl/>
          </w:rPr>
          <w:t>עפ"ג 10121-</w:t>
        </w:r>
        <w:r w:rsidR="00AF20FE" w:rsidRPr="00AF20FE">
          <w:rPr>
            <w:rFonts w:ascii="FrankRuehl" w:eastAsia="Calibri" w:hAnsi="FrankRuehl" w:cs="FrankRuehl"/>
            <w:color w:val="0000FF"/>
            <w:sz w:val="28"/>
            <w:szCs w:val="28"/>
            <w:u w:val="single"/>
            <w:rtl/>
          </w:rPr>
          <w:t>0</w:t>
        </w:r>
        <w:r w:rsidR="00AF20FE" w:rsidRPr="00AF20FE">
          <w:rPr>
            <w:rFonts w:ascii="FrankRuehl" w:eastAsia="Calibri" w:hAnsi="FrankRuehl" w:cs="FrankRuehl"/>
            <w:color w:val="0000FF"/>
            <w:sz w:val="28"/>
            <w:szCs w:val="28"/>
            <w:u w:val="single"/>
            <w:rtl/>
          </w:rPr>
          <w:t>5-22</w:t>
        </w:r>
      </w:hyperlink>
      <w:r w:rsidRPr="00A201C9">
        <w:rPr>
          <w:rFonts w:ascii="FrankRuehl" w:eastAsia="Calibri" w:hAnsi="FrankRuehl" w:cs="FrankRuehl"/>
          <w:sz w:val="28"/>
          <w:szCs w:val="28"/>
          <w:rtl/>
        </w:rPr>
        <w:t>).</w:t>
      </w:r>
    </w:p>
    <w:p w14:paraId="67DC6285" w14:textId="77777777" w:rsidR="00A201C9" w:rsidRPr="00A201C9" w:rsidRDefault="00A201C9" w:rsidP="00A201C9">
      <w:pPr>
        <w:spacing w:line="360" w:lineRule="auto"/>
        <w:ind w:firstLine="720"/>
        <w:jc w:val="both"/>
        <w:rPr>
          <w:rFonts w:ascii="FrankRuehl" w:eastAsia="Calibri" w:hAnsi="FrankRuehl" w:cs="FrankRuehl"/>
          <w:sz w:val="28"/>
          <w:szCs w:val="28"/>
          <w:rtl/>
        </w:rPr>
      </w:pPr>
    </w:p>
    <w:p w14:paraId="0CBC8440" w14:textId="77777777" w:rsidR="00A201C9" w:rsidRPr="00A201C9" w:rsidRDefault="00A201C9" w:rsidP="00774801">
      <w:pPr>
        <w:spacing w:line="360" w:lineRule="auto"/>
        <w:jc w:val="both"/>
        <w:rPr>
          <w:rFonts w:ascii="FrankRuehl" w:eastAsia="Calibri" w:hAnsi="FrankRuehl" w:cs="FrankRuehl"/>
          <w:sz w:val="28"/>
          <w:szCs w:val="28"/>
          <w:rtl/>
        </w:rPr>
      </w:pPr>
      <w:r w:rsidRPr="00A201C9">
        <w:rPr>
          <w:rFonts w:ascii="FrankRuehl" w:eastAsia="Calibri" w:hAnsi="FrankRuehl" w:cs="FrankRuehl"/>
          <w:sz w:val="28"/>
          <w:szCs w:val="28"/>
          <w:rtl/>
        </w:rPr>
        <w:t>5.</w:t>
      </w:r>
      <w:r w:rsidRPr="00A201C9">
        <w:rPr>
          <w:rFonts w:ascii="FrankRuehl" w:eastAsia="Calibri" w:hAnsi="FrankRuehl" w:cs="FrankRuehl"/>
          <w:sz w:val="28"/>
          <w:szCs w:val="28"/>
          <w:rtl/>
        </w:rPr>
        <w:tab/>
        <w:t>בהינתן השיקולים עליהם עמדתי לעיל, ולאחר שבחנתי את מדיניות הענישה הנוהגת, מצאתי כי בהתחשב בריבוי המעשים בהם הורשע הנאשם, ראוי היה לקבוע את מתחם עונשו כך שלא יפחת מ-15 חודשי מאסר בפועל. המאשימה, כאמור, ביקשה לקבוע מתחם עונש מקל יותר, ודומה שבכך נפלה לכדי שגגה. עם זאת, לא מצאתי כי עסקינן בנסיבות חריגות עד כדי קביעת מתחם חמור יותר מ</w:t>
      </w:r>
      <w:r w:rsidR="00774801">
        <w:rPr>
          <w:rFonts w:ascii="FrankRuehl" w:eastAsia="Calibri" w:hAnsi="FrankRuehl" w:cs="FrankRuehl" w:hint="cs"/>
          <w:sz w:val="28"/>
          <w:szCs w:val="28"/>
          <w:rtl/>
        </w:rPr>
        <w:t xml:space="preserve">המתחם </w:t>
      </w:r>
      <w:r w:rsidRPr="00A201C9">
        <w:rPr>
          <w:rFonts w:ascii="FrankRuehl" w:eastAsia="Calibri" w:hAnsi="FrankRuehl" w:cs="FrankRuehl"/>
          <w:sz w:val="28"/>
          <w:szCs w:val="28"/>
          <w:rtl/>
        </w:rPr>
        <w:t>לו עתרה המאשימה, ומשכך החלטתי לאמצו, ולהעמיד את מתחם העונש על מאסר בפועל בין 22-11 חודשים.</w:t>
      </w:r>
    </w:p>
    <w:p w14:paraId="372A4F5C" w14:textId="77777777" w:rsidR="00A201C9" w:rsidRPr="00A201C9" w:rsidRDefault="00A201C9" w:rsidP="00A201C9">
      <w:pPr>
        <w:spacing w:line="360" w:lineRule="auto"/>
        <w:jc w:val="both"/>
        <w:rPr>
          <w:rFonts w:ascii="FrankRuehl" w:eastAsia="Calibri" w:hAnsi="FrankRuehl" w:cs="FrankRuehl"/>
          <w:sz w:val="28"/>
          <w:szCs w:val="28"/>
          <w:rtl/>
        </w:rPr>
      </w:pPr>
    </w:p>
    <w:p w14:paraId="6D335A88" w14:textId="77777777" w:rsidR="00A201C9" w:rsidRPr="00A201C9" w:rsidRDefault="00A201C9" w:rsidP="00A201C9">
      <w:pPr>
        <w:spacing w:line="360" w:lineRule="auto"/>
        <w:jc w:val="both"/>
        <w:rPr>
          <w:rFonts w:ascii="FrankRuehl" w:eastAsia="Calibri" w:hAnsi="FrankRuehl" w:cs="Miriam"/>
          <w:b/>
          <w:sz w:val="28"/>
          <w:rtl/>
        </w:rPr>
      </w:pPr>
      <w:r w:rsidRPr="00A201C9">
        <w:rPr>
          <w:rFonts w:ascii="FrankRuehl" w:eastAsia="Calibri" w:hAnsi="FrankRuehl" w:cs="Miriam"/>
          <w:b/>
          <w:sz w:val="28"/>
          <w:rtl/>
        </w:rPr>
        <w:t>גזירת העונש המתאים לנאשם</w:t>
      </w:r>
    </w:p>
    <w:p w14:paraId="6624F2A3" w14:textId="77777777" w:rsidR="00A201C9" w:rsidRPr="00A201C9" w:rsidRDefault="00A201C9" w:rsidP="00A201C9">
      <w:pPr>
        <w:spacing w:line="360" w:lineRule="auto"/>
        <w:jc w:val="both"/>
        <w:rPr>
          <w:rFonts w:ascii="FrankRuehl" w:eastAsia="Calibri" w:hAnsi="FrankRuehl" w:cs="Miriam"/>
          <w:b/>
          <w:sz w:val="28"/>
          <w:rtl/>
        </w:rPr>
      </w:pPr>
    </w:p>
    <w:p w14:paraId="327D5253" w14:textId="77777777" w:rsidR="00A201C9" w:rsidRPr="00A201C9" w:rsidRDefault="00A201C9" w:rsidP="00A201C9">
      <w:pPr>
        <w:spacing w:line="360" w:lineRule="auto"/>
        <w:jc w:val="both"/>
        <w:rPr>
          <w:rFonts w:ascii="FrankRuehl" w:eastAsia="Calibri" w:hAnsi="FrankRuehl" w:cs="FrankRuehl"/>
          <w:sz w:val="28"/>
          <w:szCs w:val="28"/>
          <w:rtl/>
        </w:rPr>
      </w:pPr>
      <w:r w:rsidRPr="00A201C9">
        <w:rPr>
          <w:rFonts w:ascii="FrankRuehl" w:eastAsia="Calibri" w:hAnsi="FrankRuehl" w:cs="FrankRuehl"/>
          <w:sz w:val="28"/>
          <w:szCs w:val="28"/>
          <w:rtl/>
        </w:rPr>
        <w:t>6.</w:t>
      </w:r>
      <w:r w:rsidRPr="00A201C9">
        <w:rPr>
          <w:rFonts w:ascii="FrankRuehl" w:eastAsia="Calibri" w:hAnsi="FrankRuehl" w:cs="FrankRuehl"/>
          <w:sz w:val="28"/>
          <w:szCs w:val="28"/>
          <w:rtl/>
        </w:rPr>
        <w:tab/>
        <w:t>בגזירת העונש בתוך המתחם התחשבתי בהודייתו של הנאשם במיוחס לו, בהבעת החרטה, וכפועל יוצא מאלו, בחיסכון בזמן שיפוטי. עוד התחשבתי בדבריו של הנאשם לפניי, אשר הצהיר כי פניו לדרך חיים חדשה. שקלתי את חלוף הזמן מאז מועד ביצוע העבירות (כשנתיים), את העובדה שמדובר היה במאסרו הראשון של הנאשם (מאחורי סורג ובריח), ואת הפגיעה הצפויה בחייהם של הנאשם והסובבים אותו (בת זוגו ובני משפחתו הגרעינית) כתוצאה מגזירת עונש מאסר ממש.</w:t>
      </w:r>
    </w:p>
    <w:p w14:paraId="0CCBFE57" w14:textId="77777777" w:rsidR="00A201C9" w:rsidRPr="00A201C9" w:rsidRDefault="00A201C9" w:rsidP="00A201C9">
      <w:pPr>
        <w:spacing w:line="360" w:lineRule="auto"/>
        <w:ind w:firstLine="720"/>
        <w:jc w:val="both"/>
        <w:rPr>
          <w:rFonts w:ascii="FrankRuehl" w:eastAsia="Calibri" w:hAnsi="FrankRuehl" w:cs="FrankRuehl"/>
          <w:sz w:val="28"/>
          <w:szCs w:val="28"/>
          <w:rtl/>
        </w:rPr>
      </w:pPr>
    </w:p>
    <w:p w14:paraId="08E90E53" w14:textId="77777777" w:rsidR="00A201C9" w:rsidRPr="00A201C9" w:rsidRDefault="00A201C9" w:rsidP="00A201C9">
      <w:pPr>
        <w:spacing w:line="360" w:lineRule="auto"/>
        <w:ind w:firstLine="720"/>
        <w:jc w:val="both"/>
        <w:rPr>
          <w:rFonts w:ascii="FrankRuehl" w:eastAsia="Calibri" w:hAnsi="FrankRuehl" w:cs="FrankRuehl"/>
          <w:sz w:val="28"/>
          <w:szCs w:val="28"/>
          <w:rtl/>
        </w:rPr>
      </w:pPr>
      <w:r w:rsidRPr="00A201C9">
        <w:rPr>
          <w:rFonts w:ascii="FrankRuehl" w:eastAsia="Calibri" w:hAnsi="FrankRuehl" w:cs="FrankRuehl"/>
          <w:sz w:val="28"/>
          <w:szCs w:val="28"/>
          <w:rtl/>
        </w:rPr>
        <w:t>מנגד, לא ניתן להתעלם מעברו הפלילי הרלוונטי והמכביד של הנאשם, גם אם לא בעבירות סמים. חרף גילו הצעיר (יליד 1996) נדון הנאשם פעמיים בגין עבירות חמורות – בשני המקרים בבית המשפט המחוזי. ביום 23.11.17 נגזרו עליו 6 חודשי מאסר בפועל (לריצוי בעבודות שירות) ועונשים נלווים בגין נשיאת נשק, רכישת/החזקת נשק, רכישת/החזקת חלק של נשק או תחמושת. ביום 9.1.19 נדון הנאשם לשנתיים מאסר בפועל ועונשים נלווים בגין גרימת חבלה חמורה. בחלוף כשנה מהרשעתו האחרונה, ובעודו מרצה את עונשו, ביצע הנאשם את העבירות עליהן הוא נותן עתה את הדין. מכאן, לא רק שעונשי המאסר שנגזרו עליו קודם לכן לא הרתיעוהו, אלא שהתנהגותו אף הסלימה – הנאשם הֵהין לבצע עבירות בין כותלי בית הסוהר, תחת עינם הפקוחה של סוהריו, בעודו מנצל לרעה את זכותו להיפגש ביחידות עם עורכת דין (הגם שבשום שלב לא קיבל ממנה שירות מקצועי), והוסיף לפשעו כשהתנגד באלימות למעצרו. לא למותר לציין כי מאסר על-תנאי בן 5 חודשים שנגזר על הנאשם בהרשעתו האחרונה בגין עבירות אלימות מסוג עוון, איננו בר הפעלה בעניננו, הואיל ונכנס לתוקף רק לאחר שהנאשם שוחרר ממאסרו. אוסיף, כי אין בידי לקבל את טענת ההגנה לפיה אין לתת משקל להרשעתו האחרונה של הנאשם, שבעטיה מצא עצמו בין כותלי בית המאסר, נתון בלעדיו אַיִן לביצוע העבירות בהן הורשע. הנתון העובדתי – ביצוע המעשים בין כותלי בית הסוהר – רלוונטי לקביעת המתחם. מנגד – הרשעתו הקודמת של הנאשם, העונש שנגזר עליו, והעובדה כי לא נתן אותותיו בנאשם ולא הרתיעו ממעשיו – רלוונטי כשיקול לחומרה בגזירת עונשו בתוך המתחם.</w:t>
      </w:r>
    </w:p>
    <w:p w14:paraId="6FD73AE6" w14:textId="77777777" w:rsidR="00A201C9" w:rsidRPr="00A201C9" w:rsidRDefault="00A201C9" w:rsidP="00A201C9">
      <w:pPr>
        <w:spacing w:line="360" w:lineRule="auto"/>
        <w:ind w:firstLine="720"/>
        <w:jc w:val="both"/>
        <w:rPr>
          <w:rFonts w:ascii="FrankRuehl" w:eastAsia="Calibri" w:hAnsi="FrankRuehl" w:cs="FrankRuehl"/>
          <w:sz w:val="28"/>
          <w:szCs w:val="28"/>
          <w:rtl/>
        </w:rPr>
      </w:pPr>
    </w:p>
    <w:p w14:paraId="2EFB84F7" w14:textId="77777777" w:rsidR="00A201C9" w:rsidRPr="00A201C9" w:rsidRDefault="00A201C9" w:rsidP="00A201C9">
      <w:pPr>
        <w:spacing w:line="360" w:lineRule="auto"/>
        <w:jc w:val="both"/>
        <w:rPr>
          <w:rFonts w:ascii="FrankRuehl" w:eastAsia="Calibri" w:hAnsi="FrankRuehl" w:cs="FrankRuehl"/>
          <w:sz w:val="28"/>
          <w:szCs w:val="28"/>
          <w:rtl/>
        </w:rPr>
      </w:pPr>
      <w:r w:rsidRPr="00A201C9">
        <w:rPr>
          <w:rFonts w:ascii="FrankRuehl" w:eastAsia="Calibri" w:hAnsi="FrankRuehl" w:cs="FrankRuehl"/>
          <w:sz w:val="28"/>
          <w:szCs w:val="28"/>
          <w:rtl/>
        </w:rPr>
        <w:t>7.</w:t>
      </w:r>
      <w:r w:rsidRPr="00A201C9">
        <w:rPr>
          <w:rFonts w:ascii="FrankRuehl" w:eastAsia="Calibri" w:hAnsi="FrankRuehl" w:cs="FrankRuehl"/>
          <w:sz w:val="28"/>
          <w:szCs w:val="28"/>
          <w:rtl/>
        </w:rPr>
        <w:tab/>
        <w:t>אחר כל אלה, מצאתי לגזור את עונשו של הנאשם לעונשים הבאים:</w:t>
      </w:r>
    </w:p>
    <w:p w14:paraId="0228B181" w14:textId="77777777" w:rsidR="00A201C9" w:rsidRPr="00A201C9" w:rsidRDefault="00A201C9" w:rsidP="00A201C9">
      <w:pPr>
        <w:spacing w:line="360" w:lineRule="auto"/>
        <w:ind w:left="1440" w:hanging="720"/>
        <w:jc w:val="both"/>
        <w:rPr>
          <w:rFonts w:ascii="FrankRuehl" w:hAnsi="FrankRuehl" w:cs="FrankRuehl"/>
          <w:sz w:val="28"/>
          <w:szCs w:val="28"/>
          <w:rtl/>
        </w:rPr>
      </w:pPr>
      <w:r w:rsidRPr="00A201C9">
        <w:rPr>
          <w:rFonts w:ascii="FrankRuehl" w:hAnsi="FrankRuehl" w:cs="FrankRuehl"/>
          <w:sz w:val="28"/>
          <w:szCs w:val="28"/>
          <w:rtl/>
        </w:rPr>
        <w:t>א.</w:t>
      </w:r>
      <w:r w:rsidRPr="00A201C9">
        <w:rPr>
          <w:rFonts w:ascii="FrankRuehl" w:hAnsi="FrankRuehl" w:cs="FrankRuehl"/>
          <w:sz w:val="28"/>
          <w:szCs w:val="28"/>
          <w:rtl/>
        </w:rPr>
        <w:tab/>
        <w:t>14 חודשי מאסר בפועל, בניכוי תקופת מעצרו מיום 12.2.20 עד יום 16.3.20.</w:t>
      </w:r>
    </w:p>
    <w:p w14:paraId="6E2E570F" w14:textId="77777777" w:rsidR="00A201C9" w:rsidRPr="00A201C9" w:rsidRDefault="00A201C9" w:rsidP="00DE0E8E">
      <w:pPr>
        <w:spacing w:line="360" w:lineRule="auto"/>
        <w:ind w:left="1440" w:hanging="720"/>
        <w:jc w:val="both"/>
        <w:rPr>
          <w:rFonts w:ascii="FrankRuehl" w:hAnsi="FrankRuehl" w:cs="FrankRuehl"/>
          <w:sz w:val="28"/>
          <w:szCs w:val="28"/>
          <w:rtl/>
        </w:rPr>
      </w:pPr>
      <w:r w:rsidRPr="00A201C9">
        <w:rPr>
          <w:rFonts w:ascii="FrankRuehl" w:hAnsi="FrankRuehl" w:cs="FrankRuehl"/>
          <w:sz w:val="28"/>
          <w:szCs w:val="28"/>
          <w:rtl/>
        </w:rPr>
        <w:t>ב.</w:t>
      </w:r>
      <w:r w:rsidRPr="00A201C9">
        <w:rPr>
          <w:rFonts w:ascii="FrankRuehl" w:hAnsi="FrankRuehl" w:cs="FrankRuehl"/>
          <w:sz w:val="28"/>
          <w:szCs w:val="28"/>
          <w:rtl/>
        </w:rPr>
        <w:tab/>
        <w:t>8 חודשי מאסר אותם לא ירצה הנאשם אלא אם יעבור תוך שלוש שנים מ</w:t>
      </w:r>
      <w:r w:rsidR="00DE0E8E">
        <w:rPr>
          <w:rFonts w:ascii="FrankRuehl" w:hAnsi="FrankRuehl" w:cs="FrankRuehl" w:hint="cs"/>
          <w:sz w:val="28"/>
          <w:szCs w:val="28"/>
          <w:rtl/>
        </w:rPr>
        <w:t xml:space="preserve">מועד תחילת ריצוי עונש המאסר בפועל, </w:t>
      </w:r>
      <w:r w:rsidRPr="00A201C9">
        <w:rPr>
          <w:rFonts w:ascii="FrankRuehl" w:hAnsi="FrankRuehl" w:cs="FrankRuehl"/>
          <w:sz w:val="28"/>
          <w:szCs w:val="28"/>
          <w:rtl/>
        </w:rPr>
        <w:t>עבירה על פקודת הסמים מסוג פשע, או עבירת אלימות מסוג פשע.</w:t>
      </w:r>
    </w:p>
    <w:p w14:paraId="02CED94F" w14:textId="77777777" w:rsidR="00A201C9" w:rsidRPr="00A201C9" w:rsidRDefault="00A201C9" w:rsidP="00DE0E8E">
      <w:pPr>
        <w:spacing w:line="360" w:lineRule="auto"/>
        <w:ind w:left="1440" w:hanging="720"/>
        <w:jc w:val="both"/>
        <w:rPr>
          <w:rFonts w:ascii="FrankRuehl" w:hAnsi="FrankRuehl" w:cs="FrankRuehl"/>
          <w:sz w:val="28"/>
          <w:szCs w:val="28"/>
          <w:rtl/>
        </w:rPr>
      </w:pPr>
      <w:r w:rsidRPr="00A201C9">
        <w:rPr>
          <w:rFonts w:ascii="FrankRuehl" w:hAnsi="FrankRuehl" w:cs="FrankRuehl"/>
          <w:sz w:val="28"/>
          <w:szCs w:val="28"/>
          <w:rtl/>
        </w:rPr>
        <w:tab/>
        <w:t xml:space="preserve">6 חודשי מאסר אותם לא ירצה הנאשם אלא אם יעבור תוך שלוש שנים </w:t>
      </w:r>
      <w:r w:rsidR="00DE0E8E">
        <w:rPr>
          <w:rFonts w:ascii="FrankRuehl" w:hAnsi="FrankRuehl" w:cs="FrankRuehl" w:hint="cs"/>
          <w:sz w:val="28"/>
          <w:szCs w:val="28"/>
          <w:rtl/>
        </w:rPr>
        <w:t>ממועד תחילת ריצוי עונש המאסר בפועל,</w:t>
      </w:r>
      <w:r w:rsidR="00DE0E8E">
        <w:rPr>
          <w:rFonts w:ascii="FrankRuehl" w:hAnsi="FrankRuehl" w:cs="Miriam" w:hint="cs"/>
          <w:b/>
          <w:sz w:val="28"/>
          <w:rtl/>
        </w:rPr>
        <w:t xml:space="preserve"> </w:t>
      </w:r>
      <w:r w:rsidRPr="00A201C9">
        <w:rPr>
          <w:rFonts w:ascii="FrankRuehl" w:hAnsi="FrankRuehl" w:cs="FrankRuehl"/>
          <w:sz w:val="28"/>
          <w:szCs w:val="28"/>
          <w:rtl/>
        </w:rPr>
        <w:t xml:space="preserve">עבירה על </w:t>
      </w:r>
      <w:hyperlink r:id="rId44" w:history="1">
        <w:r w:rsidR="00784FDB" w:rsidRPr="00784FDB">
          <w:rPr>
            <w:rStyle w:val="Hyperlink"/>
            <w:rFonts w:ascii="FrankRuehl" w:hAnsi="FrankRuehl" w:cs="FrankRuehl"/>
            <w:sz w:val="28"/>
            <w:szCs w:val="28"/>
            <w:rtl/>
          </w:rPr>
          <w:t>סעיף 52(ב)(1)</w:t>
        </w:r>
      </w:hyperlink>
      <w:r w:rsidRPr="00A201C9">
        <w:rPr>
          <w:rFonts w:ascii="FrankRuehl" w:hAnsi="FrankRuehl" w:cs="FrankRuehl"/>
          <w:sz w:val="28"/>
          <w:szCs w:val="28"/>
          <w:rtl/>
        </w:rPr>
        <w:t xml:space="preserve"> ל</w:t>
      </w:r>
      <w:hyperlink r:id="rId45" w:history="1">
        <w:r w:rsidR="00AF20FE" w:rsidRPr="00AF20FE">
          <w:rPr>
            <w:rFonts w:ascii="FrankRuehl" w:hAnsi="FrankRuehl" w:cs="FrankRuehl"/>
            <w:color w:val="0000FF"/>
            <w:sz w:val="28"/>
            <w:szCs w:val="28"/>
            <w:u w:val="single"/>
            <w:rtl/>
          </w:rPr>
          <w:t>פקודת בתי הסוהר</w:t>
        </w:r>
      </w:hyperlink>
      <w:r w:rsidRPr="00A201C9">
        <w:rPr>
          <w:rFonts w:ascii="FrankRuehl" w:hAnsi="FrankRuehl" w:cs="FrankRuehl"/>
          <w:sz w:val="28"/>
          <w:szCs w:val="28"/>
          <w:rtl/>
        </w:rPr>
        <w:t>.</w:t>
      </w:r>
    </w:p>
    <w:p w14:paraId="547363AB" w14:textId="77777777" w:rsidR="00A201C9" w:rsidRPr="00A201C9" w:rsidRDefault="00A201C9" w:rsidP="0042641F">
      <w:pPr>
        <w:spacing w:line="360" w:lineRule="auto"/>
        <w:ind w:left="1440" w:hanging="720"/>
        <w:jc w:val="both"/>
        <w:rPr>
          <w:rFonts w:ascii="FrankRuehl" w:hAnsi="FrankRuehl" w:cs="FrankRuehl"/>
          <w:sz w:val="28"/>
          <w:szCs w:val="28"/>
          <w:rtl/>
        </w:rPr>
      </w:pPr>
      <w:r w:rsidRPr="00A201C9">
        <w:rPr>
          <w:rFonts w:ascii="FrankRuehl" w:hAnsi="FrankRuehl" w:cs="FrankRuehl"/>
          <w:sz w:val="28"/>
          <w:szCs w:val="28"/>
          <w:rtl/>
        </w:rPr>
        <w:tab/>
        <w:t xml:space="preserve">3 חודשי מאסר אותם לא ירצה הנאשם אלא אם יעבור תוך שלוש שנים </w:t>
      </w:r>
      <w:r w:rsidR="0042641F">
        <w:rPr>
          <w:rFonts w:ascii="FrankRuehl" w:hAnsi="FrankRuehl" w:cs="FrankRuehl" w:hint="cs"/>
          <w:sz w:val="28"/>
          <w:szCs w:val="28"/>
          <w:rtl/>
        </w:rPr>
        <w:t>ממועד תחילת ריצוי עונש המאסר בפועל,</w:t>
      </w:r>
      <w:r w:rsidR="0042641F" w:rsidRPr="00A201C9">
        <w:rPr>
          <w:rFonts w:ascii="FrankRuehl" w:hAnsi="FrankRuehl" w:cs="FrankRuehl"/>
          <w:sz w:val="28"/>
          <w:szCs w:val="28"/>
          <w:rtl/>
        </w:rPr>
        <w:t xml:space="preserve"> </w:t>
      </w:r>
      <w:r w:rsidRPr="00A201C9">
        <w:rPr>
          <w:rFonts w:ascii="FrankRuehl" w:hAnsi="FrankRuehl" w:cs="FrankRuehl"/>
          <w:sz w:val="28"/>
          <w:szCs w:val="28"/>
          <w:rtl/>
        </w:rPr>
        <w:t>עבירה על פקודת הסמים מסוג עוון, או עבירת אלימות מסוג עוון, לרבות איומים, ולרבות התנגדות למעצר.</w:t>
      </w:r>
    </w:p>
    <w:p w14:paraId="69C38B43" w14:textId="77777777" w:rsidR="00A201C9" w:rsidRPr="00A201C9" w:rsidRDefault="00AF20FE" w:rsidP="00414190">
      <w:pPr>
        <w:spacing w:line="360" w:lineRule="auto"/>
        <w:ind w:left="1440" w:hanging="720"/>
        <w:jc w:val="both"/>
        <w:rPr>
          <w:rFonts w:ascii="FrankRuehl" w:hAnsi="FrankRuehl" w:cs="FrankRuehl"/>
          <w:sz w:val="28"/>
          <w:szCs w:val="28"/>
          <w:rtl/>
        </w:rPr>
      </w:pPr>
      <w:r w:rsidRPr="00AF20FE">
        <w:rPr>
          <w:rFonts w:ascii="FrankRuehl" w:hAnsi="FrankRuehl" w:cs="FrankRuehl"/>
          <w:color w:val="FFFFFF"/>
          <w:sz w:val="2"/>
          <w:szCs w:val="2"/>
          <w:rtl/>
        </w:rPr>
        <w:t>5129371</w:t>
      </w:r>
      <w:r w:rsidR="00A201C9" w:rsidRPr="00A201C9">
        <w:rPr>
          <w:rFonts w:ascii="FrankRuehl" w:hAnsi="FrankRuehl" w:cs="FrankRuehl"/>
          <w:sz w:val="28"/>
          <w:szCs w:val="28"/>
          <w:rtl/>
        </w:rPr>
        <w:t>ג.</w:t>
      </w:r>
      <w:r w:rsidR="00A201C9" w:rsidRPr="00A201C9">
        <w:rPr>
          <w:rFonts w:ascii="FrankRuehl" w:hAnsi="FrankRuehl" w:cs="FrankRuehl"/>
          <w:sz w:val="28"/>
          <w:szCs w:val="28"/>
          <w:rtl/>
        </w:rPr>
        <w:tab/>
        <w:t>קנס בסך 2,000 ₪ או 10 ימי מאסר תמורתו. הקנס ישולם ב-4 תשלומים חודשיים שווים ורצופים, החל מיום 10.</w:t>
      </w:r>
      <w:r w:rsidR="00414190">
        <w:rPr>
          <w:rFonts w:ascii="FrankRuehl" w:hAnsi="FrankRuehl" w:cs="FrankRuehl" w:hint="cs"/>
          <w:sz w:val="28"/>
          <w:szCs w:val="28"/>
          <w:rtl/>
        </w:rPr>
        <w:t>2</w:t>
      </w:r>
      <w:r w:rsidR="00A201C9" w:rsidRPr="00A201C9">
        <w:rPr>
          <w:rFonts w:ascii="FrankRuehl" w:hAnsi="FrankRuehl" w:cs="FrankRuehl"/>
          <w:sz w:val="28"/>
          <w:szCs w:val="28"/>
          <w:rtl/>
        </w:rPr>
        <w:t xml:space="preserve">.23 ובכל 10 בחודש שלאחריו. לא ישולם איזה מהתשלומים במועדו, תעמוד יתרת הקנס לפירעון מידי. </w:t>
      </w:r>
    </w:p>
    <w:p w14:paraId="0DC268A7" w14:textId="77777777" w:rsidR="00A201C9" w:rsidRPr="00AF20FE" w:rsidRDefault="00AF20FE" w:rsidP="00A201C9">
      <w:pPr>
        <w:spacing w:line="360" w:lineRule="auto"/>
        <w:jc w:val="both"/>
        <w:rPr>
          <w:rFonts w:ascii="FrankRuehl" w:hAnsi="FrankRuehl" w:cs="FrankRuehl"/>
          <w:color w:val="FFFFFF"/>
          <w:sz w:val="2"/>
          <w:szCs w:val="2"/>
          <w:rtl/>
        </w:rPr>
      </w:pPr>
      <w:r w:rsidRPr="00AF20FE">
        <w:rPr>
          <w:rFonts w:ascii="FrankRuehl" w:hAnsi="FrankRuehl" w:cs="FrankRuehl"/>
          <w:color w:val="FFFFFF"/>
          <w:sz w:val="2"/>
          <w:szCs w:val="2"/>
          <w:rtl/>
        </w:rPr>
        <w:t>54678313</w:t>
      </w:r>
    </w:p>
    <w:p w14:paraId="763583F0" w14:textId="77777777" w:rsidR="00A201C9" w:rsidRPr="00A201C9" w:rsidRDefault="00A201C9" w:rsidP="00A201C9">
      <w:pPr>
        <w:spacing w:line="360" w:lineRule="auto"/>
        <w:jc w:val="both"/>
        <w:rPr>
          <w:rFonts w:ascii="FrankRuehl" w:hAnsi="FrankRuehl" w:cs="Miriam"/>
          <w:b/>
          <w:sz w:val="28"/>
          <w:u w:val="single"/>
          <w:rtl/>
        </w:rPr>
      </w:pPr>
      <w:r w:rsidRPr="00A201C9">
        <w:rPr>
          <w:rFonts w:ascii="FrankRuehl" w:hAnsi="FrankRuehl" w:cs="Miriam"/>
          <w:b/>
          <w:sz w:val="28"/>
          <w:u w:val="single"/>
          <w:rtl/>
        </w:rPr>
        <w:t>זכות ערעור לבית המשפט המחוזי תוך 45 ימים מהיום.</w:t>
      </w:r>
    </w:p>
    <w:p w14:paraId="7E139402" w14:textId="77777777" w:rsidR="00507694" w:rsidRPr="000F2247" w:rsidRDefault="00507694">
      <w:pPr>
        <w:rPr>
          <w:rFonts w:ascii="Arial" w:hAnsi="Arial"/>
          <w:b/>
          <w:bCs/>
          <w:sz w:val="26"/>
          <w:szCs w:val="26"/>
          <w:rtl/>
        </w:rPr>
      </w:pPr>
    </w:p>
    <w:p w14:paraId="5021FA73" w14:textId="77777777" w:rsidR="00507694" w:rsidRPr="002A0820" w:rsidRDefault="00AF20FE">
      <w:pPr>
        <w:rPr>
          <w:rFonts w:ascii="Arial" w:hAnsi="Arial"/>
          <w:b/>
          <w:bCs/>
          <w:sz w:val="26"/>
          <w:szCs w:val="26"/>
          <w:rtl/>
        </w:rPr>
      </w:pPr>
      <w:bookmarkStart w:id="8" w:name="Nitan"/>
      <w:r w:rsidRPr="002A0820">
        <w:rPr>
          <w:rFonts w:ascii="FrankRuehl" w:hAnsi="FrankRuehl" w:cs="FrankRuehl"/>
          <w:b/>
          <w:bCs/>
          <w:sz w:val="28"/>
          <w:szCs w:val="28"/>
          <w:rtl/>
        </w:rPr>
        <w:t xml:space="preserve">ניתן היום,  כ"ז כסלו תשפ"ג, 21 דצמבר 2022, במעמד הצדדים. </w:t>
      </w:r>
      <w:bookmarkEnd w:id="8"/>
    </w:p>
    <w:p w14:paraId="4291F301" w14:textId="77777777" w:rsidR="00507694" w:rsidRPr="000F2247" w:rsidRDefault="003E0C9F" w:rsidP="00AF20FE">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74245669" w14:textId="77777777" w:rsidR="00507694" w:rsidRPr="00AF20FE" w:rsidRDefault="00507694" w:rsidP="00AF20FE">
      <w:pPr>
        <w:keepNext/>
        <w:rPr>
          <w:rFonts w:ascii="David" w:hAnsi="David"/>
          <w:color w:val="000000"/>
          <w:sz w:val="22"/>
          <w:szCs w:val="22"/>
          <w:rtl/>
        </w:rPr>
      </w:pPr>
    </w:p>
    <w:p w14:paraId="3113ED50" w14:textId="77777777" w:rsidR="00AF20FE" w:rsidRPr="00AF20FE" w:rsidRDefault="00AF20FE" w:rsidP="00AF20FE">
      <w:pPr>
        <w:keepNext/>
        <w:rPr>
          <w:rFonts w:ascii="David" w:hAnsi="David"/>
          <w:color w:val="000000"/>
          <w:sz w:val="22"/>
          <w:szCs w:val="22"/>
          <w:rtl/>
        </w:rPr>
      </w:pPr>
      <w:r w:rsidRPr="00AF20FE">
        <w:rPr>
          <w:rFonts w:ascii="David" w:hAnsi="David"/>
          <w:color w:val="000000"/>
          <w:sz w:val="22"/>
          <w:szCs w:val="22"/>
          <w:rtl/>
        </w:rPr>
        <w:t>גיא אבנון 54678313</w:t>
      </w:r>
    </w:p>
    <w:p w14:paraId="6483D094" w14:textId="77777777" w:rsidR="00AF20FE" w:rsidRDefault="00AF20FE" w:rsidP="00AF20FE">
      <w:pPr>
        <w:rPr>
          <w:rFonts w:ascii="Arial" w:hAnsi="Arial"/>
          <w:b/>
          <w:bCs/>
          <w:sz w:val="26"/>
          <w:szCs w:val="26"/>
          <w:rtl/>
        </w:rPr>
      </w:pPr>
      <w:r w:rsidRPr="00AF20FE">
        <w:rPr>
          <w:rFonts w:ascii="Arial" w:hAnsi="Arial"/>
          <w:b/>
          <w:bCs/>
          <w:color w:val="000000"/>
          <w:sz w:val="26"/>
          <w:szCs w:val="26"/>
          <w:rtl/>
        </w:rPr>
        <w:t>נוסח מסמך זה כפוף לשינויי ניסוח ועריכה</w:t>
      </w:r>
    </w:p>
    <w:p w14:paraId="2FE5B8A6" w14:textId="77777777" w:rsidR="00AF20FE" w:rsidRDefault="00AF20FE" w:rsidP="00AF20FE">
      <w:pPr>
        <w:rPr>
          <w:rFonts w:ascii="Arial" w:hAnsi="Arial"/>
          <w:b/>
          <w:bCs/>
          <w:sz w:val="26"/>
          <w:szCs w:val="26"/>
          <w:rtl/>
        </w:rPr>
      </w:pPr>
    </w:p>
    <w:p w14:paraId="1AE98DF3" w14:textId="77777777" w:rsidR="00AF20FE" w:rsidRDefault="00AF20FE" w:rsidP="00AF20FE">
      <w:pPr>
        <w:jc w:val="center"/>
        <w:rPr>
          <w:rFonts w:ascii="Arial" w:hAnsi="Arial"/>
          <w:b/>
          <w:bCs/>
          <w:color w:val="0000FF"/>
          <w:sz w:val="26"/>
          <w:u w:val="single"/>
          <w:rtl/>
        </w:rPr>
      </w:pPr>
      <w:hyperlink r:id="rId46" w:history="1">
        <w:r>
          <w:rPr>
            <w:rFonts w:ascii="Arial" w:hAnsi="Arial"/>
            <w:b/>
            <w:bCs/>
            <w:color w:val="0000FF"/>
            <w:sz w:val="26"/>
            <w:u w:val="single"/>
            <w:rtl/>
          </w:rPr>
          <w:t>בעניין עריכה ושינויים במסמכי פסיקה, חקיקה ועוד באתר נבו – הקש כאן</w:t>
        </w:r>
      </w:hyperlink>
    </w:p>
    <w:p w14:paraId="0CF76E5C" w14:textId="77777777" w:rsidR="00AF20FE" w:rsidRPr="00AF20FE" w:rsidRDefault="00AF20FE" w:rsidP="00AF20FE">
      <w:pPr>
        <w:jc w:val="center"/>
        <w:rPr>
          <w:rFonts w:ascii="Arial" w:hAnsi="Arial"/>
          <w:b/>
          <w:bCs/>
          <w:color w:val="0000FF"/>
          <w:sz w:val="26"/>
          <w:u w:val="single"/>
          <w:rtl/>
        </w:rPr>
      </w:pPr>
    </w:p>
    <w:sectPr w:rsidR="00AF20FE" w:rsidRPr="00AF20FE" w:rsidSect="00AF20FE">
      <w:headerReference w:type="even" r:id="rId47"/>
      <w:headerReference w:type="default" r:id="rId48"/>
      <w:footerReference w:type="even" r:id="rId49"/>
      <w:footerReference w:type="default" r:id="rId50"/>
      <w:pgSz w:w="11907" w:h="16840" w:code="9"/>
      <w:pgMar w:top="1701" w:right="1800" w:bottom="1440" w:left="1800" w:header="187" w:footer="720" w:gutter="0"/>
      <w:pgNumType w:start="1"/>
      <w:cols w:space="720"/>
      <w:bidi/>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4A817D" w14:textId="77777777" w:rsidR="0054362C" w:rsidRDefault="0054362C">
      <w:r>
        <w:separator/>
      </w:r>
    </w:p>
  </w:endnote>
  <w:endnote w:type="continuationSeparator" w:id="0">
    <w:p w14:paraId="4FCB8E86" w14:textId="77777777" w:rsidR="0054362C" w:rsidRDefault="00543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5E441E" w14:textId="77777777" w:rsidR="00AF20FE" w:rsidRDefault="00AF20FE" w:rsidP="00AF20FE">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96803AD" w14:textId="77777777" w:rsidR="00BD67E7" w:rsidRPr="00AF20FE" w:rsidRDefault="00AF20FE" w:rsidP="00AF20FE">
    <w:pPr>
      <w:pStyle w:val="a4"/>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A90980" w14:textId="77777777" w:rsidR="00AF20FE" w:rsidRDefault="00AF20FE" w:rsidP="00AF20FE">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2779A">
      <w:rPr>
        <w:rFonts w:ascii="FrankRuehl" w:hAnsi="FrankRuehl" w:cs="FrankRuehl"/>
        <w:noProof/>
        <w:rtl/>
      </w:rPr>
      <w:t>2</w:t>
    </w:r>
    <w:r>
      <w:rPr>
        <w:rFonts w:ascii="FrankRuehl" w:hAnsi="FrankRuehl" w:cs="FrankRuehl"/>
        <w:rtl/>
      </w:rPr>
      <w:fldChar w:fldCharType="end"/>
    </w:r>
  </w:p>
  <w:p w14:paraId="1BDE3AC2" w14:textId="77777777" w:rsidR="00BD67E7" w:rsidRPr="00AF20FE" w:rsidRDefault="00AF20FE" w:rsidP="00AF20FE">
    <w:pPr>
      <w:pStyle w:val="a4"/>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EB804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B772F8" w14:textId="77777777" w:rsidR="0054362C" w:rsidRDefault="0054362C">
      <w:r>
        <w:separator/>
      </w:r>
    </w:p>
  </w:footnote>
  <w:footnote w:type="continuationSeparator" w:id="0">
    <w:p w14:paraId="32B2CA80" w14:textId="77777777" w:rsidR="0054362C" w:rsidRDefault="005436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021DBF" w14:textId="77777777" w:rsidR="00AF20FE" w:rsidRPr="00AF20FE" w:rsidRDefault="00AF20FE" w:rsidP="00AF20F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(נת') 56199-02-20</w:t>
    </w:r>
    <w:r>
      <w:rPr>
        <w:rFonts w:ascii="David" w:hAnsi="David"/>
        <w:color w:val="000000"/>
        <w:sz w:val="22"/>
        <w:szCs w:val="22"/>
        <w:rtl/>
      </w:rPr>
      <w:tab/>
      <w:t xml:space="preserve"> מדינת ישראל נ' אמיר עיסא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5F9D12" w14:textId="77777777" w:rsidR="00507694" w:rsidRPr="00AF20FE" w:rsidRDefault="00AF20FE" w:rsidP="00AF20F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(נת') 56199-02-20</w:t>
    </w:r>
    <w:r>
      <w:rPr>
        <w:rFonts w:ascii="David" w:hAnsi="David"/>
        <w:color w:val="000000"/>
        <w:sz w:val="22"/>
        <w:szCs w:val="22"/>
        <w:rtl/>
      </w:rPr>
      <w:tab/>
      <w:t xml:space="preserve"> מדינת ישראל נ' אמיר עיסא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343167670">
    <w:abstractNumId w:val="1"/>
  </w:num>
  <w:num w:numId="2" w16cid:durableId="1146583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07694"/>
    <w:rsid w:val="0000752B"/>
    <w:rsid w:val="00012373"/>
    <w:rsid w:val="00017AAD"/>
    <w:rsid w:val="0002389D"/>
    <w:rsid w:val="00031F8A"/>
    <w:rsid w:val="000454A8"/>
    <w:rsid w:val="00054FC4"/>
    <w:rsid w:val="0006726A"/>
    <w:rsid w:val="000A0AF0"/>
    <w:rsid w:val="000F2247"/>
    <w:rsid w:val="00100577"/>
    <w:rsid w:val="001352F8"/>
    <w:rsid w:val="00176845"/>
    <w:rsid w:val="001B284C"/>
    <w:rsid w:val="001C163E"/>
    <w:rsid w:val="001C2F80"/>
    <w:rsid w:val="00212125"/>
    <w:rsid w:val="00224AC0"/>
    <w:rsid w:val="00280B43"/>
    <w:rsid w:val="002A0820"/>
    <w:rsid w:val="002B03EF"/>
    <w:rsid w:val="002B7D23"/>
    <w:rsid w:val="002D6C61"/>
    <w:rsid w:val="00343F7D"/>
    <w:rsid w:val="00367565"/>
    <w:rsid w:val="00372F3A"/>
    <w:rsid w:val="003D23F7"/>
    <w:rsid w:val="003D7D8A"/>
    <w:rsid w:val="003E0C9F"/>
    <w:rsid w:val="00414190"/>
    <w:rsid w:val="004215DC"/>
    <w:rsid w:val="0042641F"/>
    <w:rsid w:val="00496AA4"/>
    <w:rsid w:val="00507694"/>
    <w:rsid w:val="0054362C"/>
    <w:rsid w:val="00574504"/>
    <w:rsid w:val="005C7B0B"/>
    <w:rsid w:val="006311F4"/>
    <w:rsid w:val="00683ABD"/>
    <w:rsid w:val="00684E84"/>
    <w:rsid w:val="00693C05"/>
    <w:rsid w:val="006C2095"/>
    <w:rsid w:val="0072781C"/>
    <w:rsid w:val="00757983"/>
    <w:rsid w:val="00774801"/>
    <w:rsid w:val="00784FDB"/>
    <w:rsid w:val="007E0F73"/>
    <w:rsid w:val="007E37D5"/>
    <w:rsid w:val="007F72C6"/>
    <w:rsid w:val="00821F29"/>
    <w:rsid w:val="00822550"/>
    <w:rsid w:val="00832D73"/>
    <w:rsid w:val="008819B4"/>
    <w:rsid w:val="008A4AC3"/>
    <w:rsid w:val="008E00B5"/>
    <w:rsid w:val="0093665F"/>
    <w:rsid w:val="009705CC"/>
    <w:rsid w:val="009A730D"/>
    <w:rsid w:val="009E35A7"/>
    <w:rsid w:val="009E49A1"/>
    <w:rsid w:val="009F504D"/>
    <w:rsid w:val="00A157F0"/>
    <w:rsid w:val="00A201C9"/>
    <w:rsid w:val="00A504C4"/>
    <w:rsid w:val="00A60291"/>
    <w:rsid w:val="00A9434D"/>
    <w:rsid w:val="00AF20FE"/>
    <w:rsid w:val="00B05847"/>
    <w:rsid w:val="00B22E0A"/>
    <w:rsid w:val="00BD67E7"/>
    <w:rsid w:val="00BE0015"/>
    <w:rsid w:val="00BF1A05"/>
    <w:rsid w:val="00C02463"/>
    <w:rsid w:val="00C55E62"/>
    <w:rsid w:val="00C572E8"/>
    <w:rsid w:val="00C6224D"/>
    <w:rsid w:val="00D202F4"/>
    <w:rsid w:val="00D310A6"/>
    <w:rsid w:val="00D3203D"/>
    <w:rsid w:val="00D54905"/>
    <w:rsid w:val="00D61530"/>
    <w:rsid w:val="00DE0E8E"/>
    <w:rsid w:val="00E70F9C"/>
    <w:rsid w:val="00E7334C"/>
    <w:rsid w:val="00E73BBD"/>
    <w:rsid w:val="00E7596F"/>
    <w:rsid w:val="00F07F31"/>
    <w:rsid w:val="00F2779A"/>
    <w:rsid w:val="00F73F22"/>
    <w:rsid w:val="00F75AFC"/>
    <w:rsid w:val="00FE71F8"/>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006A1BF"/>
  <w15:chartTrackingRefBased/>
  <w15:docId w15:val="{BD1C6343-1BC1-482D-807E-C001ADBB8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A7B41"/>
    <w:pPr>
      <w:bidi/>
    </w:pPr>
    <w:rPr>
      <w:rFonts w:cs="David"/>
      <w:sz w:val="24"/>
      <w:szCs w:val="24"/>
    </w:rPr>
  </w:style>
  <w:style w:type="paragraph" w:styleId="1">
    <w:name w:val="heading 1"/>
    <w:basedOn w:val="a"/>
    <w:next w:val="a"/>
    <w:qFormat/>
    <w:rsid w:val="003A7B41"/>
    <w:pPr>
      <w:keepNext/>
      <w:spacing w:before="240" w:after="60"/>
      <w:outlineLvl w:val="0"/>
    </w:pPr>
    <w:rPr>
      <w:rFonts w:ascii="Arial" w:hAnsi="Arial" w:cs="Arial"/>
      <w:b/>
      <w:bCs/>
      <w:kern w:val="32"/>
      <w:sz w:val="32"/>
      <w:szCs w:val="32"/>
    </w:rPr>
  </w:style>
  <w:style w:type="paragraph" w:styleId="4">
    <w:name w:val="heading 4"/>
    <w:basedOn w:val="a"/>
    <w:next w:val="a"/>
    <w:qFormat/>
    <w:rsid w:val="003A7B41"/>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3A7B41"/>
    <w:pPr>
      <w:tabs>
        <w:tab w:val="center" w:pos="4153"/>
        <w:tab w:val="right" w:pos="8306"/>
      </w:tabs>
    </w:pPr>
  </w:style>
  <w:style w:type="paragraph" w:styleId="a4">
    <w:name w:val="footer"/>
    <w:basedOn w:val="a"/>
    <w:rsid w:val="003A7B41"/>
    <w:pPr>
      <w:tabs>
        <w:tab w:val="center" w:pos="4153"/>
        <w:tab w:val="right" w:pos="8306"/>
      </w:tabs>
    </w:pPr>
  </w:style>
  <w:style w:type="character" w:styleId="a5">
    <w:name w:val="annotation reference"/>
    <w:semiHidden/>
    <w:rsid w:val="003A7B41"/>
    <w:rPr>
      <w:sz w:val="16"/>
      <w:szCs w:val="16"/>
    </w:rPr>
  </w:style>
  <w:style w:type="paragraph" w:styleId="a6">
    <w:name w:val="annotation text"/>
    <w:basedOn w:val="a"/>
    <w:semiHidden/>
    <w:rsid w:val="003A7B41"/>
    <w:rPr>
      <w:rFonts w:cs="Times New Roman"/>
      <w:lang w:eastAsia="he-IL"/>
    </w:rPr>
  </w:style>
  <w:style w:type="paragraph" w:styleId="a7">
    <w:name w:val="Balloon Text"/>
    <w:basedOn w:val="a"/>
    <w:semiHidden/>
    <w:rsid w:val="003A7B41"/>
    <w:rPr>
      <w:rFonts w:ascii="Tahoma" w:hAnsi="Tahoma" w:cs="Tahoma"/>
      <w:sz w:val="16"/>
      <w:szCs w:val="16"/>
    </w:rPr>
  </w:style>
  <w:style w:type="table" w:styleId="a8">
    <w:name w:val="Table Grid"/>
    <w:basedOn w:val="a1"/>
    <w:rsid w:val="003A7B4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BD67E7"/>
  </w:style>
  <w:style w:type="character" w:styleId="aa">
    <w:name w:val="Placeholder Text"/>
    <w:uiPriority w:val="99"/>
    <w:semiHidden/>
    <w:rsid w:val="003D7D8A"/>
    <w:rPr>
      <w:color w:val="808080"/>
    </w:rPr>
  </w:style>
  <w:style w:type="character" w:styleId="Hyperlink">
    <w:name w:val="Hyperlink"/>
    <w:unhideWhenUsed/>
    <w:rsid w:val="00AF20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981484">
      <w:bodyDiv w:val="1"/>
      <w:marLeft w:val="0"/>
      <w:marRight w:val="0"/>
      <w:marTop w:val="0"/>
      <w:marBottom w:val="0"/>
      <w:divBdr>
        <w:top w:val="none" w:sz="0" w:space="0" w:color="auto"/>
        <w:left w:val="none" w:sz="0" w:space="0" w:color="auto"/>
        <w:bottom w:val="none" w:sz="0" w:space="0" w:color="auto"/>
        <w:right w:val="none" w:sz="0" w:space="0" w:color="auto"/>
      </w:divBdr>
    </w:div>
    <w:div w:id="395974773">
      <w:bodyDiv w:val="1"/>
      <w:marLeft w:val="0"/>
      <w:marRight w:val="0"/>
      <w:marTop w:val="0"/>
      <w:marBottom w:val="0"/>
      <w:divBdr>
        <w:top w:val="none" w:sz="0" w:space="0" w:color="auto"/>
        <w:left w:val="none" w:sz="0" w:space="0" w:color="auto"/>
        <w:bottom w:val="none" w:sz="0" w:space="0" w:color="auto"/>
        <w:right w:val="none" w:sz="0" w:space="0" w:color="auto"/>
      </w:divBdr>
    </w:div>
    <w:div w:id="1242985817">
      <w:bodyDiv w:val="1"/>
      <w:marLeft w:val="0"/>
      <w:marRight w:val="0"/>
      <w:marTop w:val="0"/>
      <w:marBottom w:val="0"/>
      <w:divBdr>
        <w:top w:val="none" w:sz="0" w:space="0" w:color="auto"/>
        <w:left w:val="none" w:sz="0" w:space="0" w:color="auto"/>
        <w:bottom w:val="none" w:sz="0" w:space="0" w:color="auto"/>
        <w:right w:val="none" w:sz="0" w:space="0" w:color="auto"/>
      </w:divBdr>
    </w:div>
    <w:div w:id="1377268971">
      <w:bodyDiv w:val="1"/>
      <w:marLeft w:val="0"/>
      <w:marRight w:val="0"/>
      <w:marTop w:val="0"/>
      <w:marBottom w:val="0"/>
      <w:divBdr>
        <w:top w:val="none" w:sz="0" w:space="0" w:color="auto"/>
        <w:left w:val="none" w:sz="0" w:space="0" w:color="auto"/>
        <w:bottom w:val="none" w:sz="0" w:space="0" w:color="auto"/>
        <w:right w:val="none" w:sz="0" w:space="0" w:color="auto"/>
      </w:divBdr>
    </w:div>
    <w:div w:id="1431194347">
      <w:bodyDiv w:val="1"/>
      <w:marLeft w:val="0"/>
      <w:marRight w:val="0"/>
      <w:marTop w:val="0"/>
      <w:marBottom w:val="0"/>
      <w:divBdr>
        <w:top w:val="none" w:sz="0" w:space="0" w:color="auto"/>
        <w:left w:val="none" w:sz="0" w:space="0" w:color="auto"/>
        <w:bottom w:val="none" w:sz="0" w:space="0" w:color="auto"/>
        <w:right w:val="none" w:sz="0" w:space="0" w:color="auto"/>
      </w:divBdr>
    </w:div>
    <w:div w:id="1733968590">
      <w:bodyDiv w:val="1"/>
      <w:marLeft w:val="0"/>
      <w:marRight w:val="0"/>
      <w:marTop w:val="0"/>
      <w:marBottom w:val="0"/>
      <w:divBdr>
        <w:top w:val="none" w:sz="0" w:space="0" w:color="auto"/>
        <w:left w:val="none" w:sz="0" w:space="0" w:color="auto"/>
        <w:bottom w:val="none" w:sz="0" w:space="0" w:color="auto"/>
        <w:right w:val="none" w:sz="0" w:space="0" w:color="auto"/>
      </w:divBdr>
    </w:div>
    <w:div w:id="174922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nevo.co.il/law/75015/52.b.1.d." TargetMode="External"/><Relationship Id="rId18" Type="http://schemas.openxmlformats.org/officeDocument/2006/relationships/hyperlink" Target="http://www.nevo.co.il/law/4216/19a" TargetMode="External"/><Relationship Id="rId26" Type="http://schemas.openxmlformats.org/officeDocument/2006/relationships/hyperlink" Target="http://www.nevo.co.il/law/75015/52.b.1.a.;52.b.1.d.;52.b.1.c.;52.b.1.b" TargetMode="External"/><Relationship Id="rId39" Type="http://schemas.openxmlformats.org/officeDocument/2006/relationships/hyperlink" Target="http://www.nevo.co.il/case/5772368" TargetMode="External"/><Relationship Id="rId21" Type="http://schemas.openxmlformats.org/officeDocument/2006/relationships/hyperlink" Target="http://www.nevo.co.il/law/75015/52.b.1.a.;52.b.1.d.;52.b.1.b.;52.b.1.c" TargetMode="External"/><Relationship Id="rId34" Type="http://schemas.openxmlformats.org/officeDocument/2006/relationships/hyperlink" Target="http://www.nevo.co.il/case/29103940" TargetMode="External"/><Relationship Id="rId42" Type="http://schemas.openxmlformats.org/officeDocument/2006/relationships/hyperlink" Target="http://www.nevo.co.il/case/25573464"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nevo.co.il/law/4216/7.c" TargetMode="External"/><Relationship Id="rId29" Type="http://schemas.openxmlformats.org/officeDocument/2006/relationships/hyperlink" Target="http://www.nevo.co.il/law/74918" TargetMode="External"/><Relationship Id="rId11" Type="http://schemas.openxmlformats.org/officeDocument/2006/relationships/hyperlink" Target="http://www.nevo.co.il/law/75015/52.b.1.b." TargetMode="External"/><Relationship Id="rId24" Type="http://schemas.openxmlformats.org/officeDocument/2006/relationships/hyperlink" Target="http://www.nevo.co.il/law/4216/7.c" TargetMode="External"/><Relationship Id="rId32" Type="http://schemas.openxmlformats.org/officeDocument/2006/relationships/hyperlink" Target="http://www.nevo.co.il/case/26474830" TargetMode="External"/><Relationship Id="rId37" Type="http://schemas.openxmlformats.org/officeDocument/2006/relationships/hyperlink" Target="http://www.nevo.co.il/case/29103940" TargetMode="External"/><Relationship Id="rId40" Type="http://schemas.openxmlformats.org/officeDocument/2006/relationships/hyperlink" Target="http://www.nevo.co.il/case/5831191" TargetMode="External"/><Relationship Id="rId45" Type="http://schemas.openxmlformats.org/officeDocument/2006/relationships/hyperlink" Target="http://www.nevo.co.il/law/75015" TargetMode="External"/><Relationship Id="rId5" Type="http://schemas.openxmlformats.org/officeDocument/2006/relationships/webSettings" Target="webSettings.xml"/><Relationship Id="rId15" Type="http://schemas.openxmlformats.org/officeDocument/2006/relationships/hyperlink" Target="http://www.nevo.co.il/law/4216/7.a" TargetMode="External"/><Relationship Id="rId23" Type="http://schemas.openxmlformats.org/officeDocument/2006/relationships/hyperlink" Target="http://www.nevo.co.il/law/4216/7.a" TargetMode="External"/><Relationship Id="rId28" Type="http://schemas.openxmlformats.org/officeDocument/2006/relationships/hyperlink" Target="http://www.nevo.co.il/law/74918/47.a" TargetMode="External"/><Relationship Id="rId36" Type="http://schemas.openxmlformats.org/officeDocument/2006/relationships/hyperlink" Target="http://www.nevo.co.il/case/6169070" TargetMode="External"/><Relationship Id="rId49" Type="http://schemas.openxmlformats.org/officeDocument/2006/relationships/footer" Target="footer1.xml"/><Relationship Id="rId10" Type="http://schemas.openxmlformats.org/officeDocument/2006/relationships/hyperlink" Target="http://www.nevo.co.il/law/75015/52.b.1.a." TargetMode="External"/><Relationship Id="rId19" Type="http://schemas.openxmlformats.org/officeDocument/2006/relationships/hyperlink" Target="http://www.nevo.co.il/law/74918" TargetMode="External"/><Relationship Id="rId31" Type="http://schemas.openxmlformats.org/officeDocument/2006/relationships/hyperlink" Target="http://www.nevo.co.il/law/4216/19a" TargetMode="External"/><Relationship Id="rId44" Type="http://schemas.openxmlformats.org/officeDocument/2006/relationships/hyperlink" Target="http://www.nevo.co.il/law/75015/52.b.1"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nevo.co.il/law/75015/52.b.1" TargetMode="External"/><Relationship Id="rId14" Type="http://schemas.openxmlformats.org/officeDocument/2006/relationships/hyperlink" Target="http://www.nevo.co.il/law/4216" TargetMode="External"/><Relationship Id="rId22" Type="http://schemas.openxmlformats.org/officeDocument/2006/relationships/hyperlink" Target="http://www.nevo.co.il/law/75015" TargetMode="External"/><Relationship Id="rId27" Type="http://schemas.openxmlformats.org/officeDocument/2006/relationships/hyperlink" Target="http://www.nevo.co.il/law/75015" TargetMode="External"/><Relationship Id="rId30" Type="http://schemas.openxmlformats.org/officeDocument/2006/relationships/hyperlink" Target="http://www.nevo.co.il/law/4216/13" TargetMode="External"/><Relationship Id="rId35" Type="http://schemas.openxmlformats.org/officeDocument/2006/relationships/hyperlink" Target="http://www.nevo.co.il/case/26529374" TargetMode="External"/><Relationship Id="rId43" Type="http://schemas.openxmlformats.org/officeDocument/2006/relationships/hyperlink" Target="http://www.nevo.co.il/case/28578768" TargetMode="External"/><Relationship Id="rId48" Type="http://schemas.openxmlformats.org/officeDocument/2006/relationships/header" Target="header2.xml"/><Relationship Id="rId8" Type="http://schemas.openxmlformats.org/officeDocument/2006/relationships/hyperlink" Target="http://www.nevo.co.il/law/75015"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www.nevo.co.il/law/75015/52.b.1.c" TargetMode="External"/><Relationship Id="rId17" Type="http://schemas.openxmlformats.org/officeDocument/2006/relationships/hyperlink" Target="http://www.nevo.co.il/law/4216/13" TargetMode="External"/><Relationship Id="rId25" Type="http://schemas.openxmlformats.org/officeDocument/2006/relationships/hyperlink" Target="http://www.nevo.co.il/law/4216" TargetMode="External"/><Relationship Id="rId33" Type="http://schemas.openxmlformats.org/officeDocument/2006/relationships/hyperlink" Target="http://www.nevo.co.il/case/28574290" TargetMode="External"/><Relationship Id="rId38" Type="http://schemas.openxmlformats.org/officeDocument/2006/relationships/hyperlink" Target="http://www.nevo.co.il/case/20356752" TargetMode="External"/><Relationship Id="rId46" Type="http://schemas.openxmlformats.org/officeDocument/2006/relationships/hyperlink" Target="http://www.nevo.co.il/advertisements/nevo-100.doc" TargetMode="External"/><Relationship Id="rId20" Type="http://schemas.openxmlformats.org/officeDocument/2006/relationships/hyperlink" Target="http://www.nevo.co.il/law/74918/47.a" TargetMode="External"/><Relationship Id="rId41" Type="http://schemas.openxmlformats.org/officeDocument/2006/relationships/hyperlink" Target="http://www.nevo.co.il/case/4027950" TargetMode="External"/><Relationship Id="rId1" Type="http://schemas.microsoft.com/office/2006/relationships/keyMapCustomizations" Target="customizations.xml"/><Relationship Id="rId6"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3682</Words>
  <Characters>18413</Characters>
  <Application>Microsoft Office Word</Application>
  <DocSecurity>0</DocSecurity>
  <Lines>153</Lines>
  <Paragraphs>44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22051</CharactersWithSpaces>
  <SharedDoc>false</SharedDoc>
  <HLinks>
    <vt:vector size="234" baseType="variant">
      <vt:variant>
        <vt:i4>393283</vt:i4>
      </vt:variant>
      <vt:variant>
        <vt:i4>114</vt:i4>
      </vt:variant>
      <vt:variant>
        <vt:i4>0</vt:i4>
      </vt:variant>
      <vt:variant>
        <vt:i4>5</vt:i4>
      </vt:variant>
      <vt:variant>
        <vt:lpwstr>http://www.nevo.co.il/advertisements/nevo-100.doc</vt:lpwstr>
      </vt:variant>
      <vt:variant>
        <vt:lpwstr/>
      </vt:variant>
      <vt:variant>
        <vt:i4>8257639</vt:i4>
      </vt:variant>
      <vt:variant>
        <vt:i4>111</vt:i4>
      </vt:variant>
      <vt:variant>
        <vt:i4>0</vt:i4>
      </vt:variant>
      <vt:variant>
        <vt:i4>5</vt:i4>
      </vt:variant>
      <vt:variant>
        <vt:lpwstr>http://www.nevo.co.il/law/75015</vt:lpwstr>
      </vt:variant>
      <vt:variant>
        <vt:lpwstr/>
      </vt:variant>
      <vt:variant>
        <vt:i4>3145831</vt:i4>
      </vt:variant>
      <vt:variant>
        <vt:i4>108</vt:i4>
      </vt:variant>
      <vt:variant>
        <vt:i4>0</vt:i4>
      </vt:variant>
      <vt:variant>
        <vt:i4>5</vt:i4>
      </vt:variant>
      <vt:variant>
        <vt:lpwstr>http://www.nevo.co.il/law/75015/52.b.1</vt:lpwstr>
      </vt:variant>
      <vt:variant>
        <vt:lpwstr/>
      </vt:variant>
      <vt:variant>
        <vt:i4>3735676</vt:i4>
      </vt:variant>
      <vt:variant>
        <vt:i4>105</vt:i4>
      </vt:variant>
      <vt:variant>
        <vt:i4>0</vt:i4>
      </vt:variant>
      <vt:variant>
        <vt:i4>5</vt:i4>
      </vt:variant>
      <vt:variant>
        <vt:lpwstr>http://www.nevo.co.il/case/28578768</vt:lpwstr>
      </vt:variant>
      <vt:variant>
        <vt:lpwstr/>
      </vt:variant>
      <vt:variant>
        <vt:i4>3276914</vt:i4>
      </vt:variant>
      <vt:variant>
        <vt:i4>102</vt:i4>
      </vt:variant>
      <vt:variant>
        <vt:i4>0</vt:i4>
      </vt:variant>
      <vt:variant>
        <vt:i4>5</vt:i4>
      </vt:variant>
      <vt:variant>
        <vt:lpwstr>http://www.nevo.co.il/case/25573464</vt:lpwstr>
      </vt:variant>
      <vt:variant>
        <vt:lpwstr/>
      </vt:variant>
      <vt:variant>
        <vt:i4>4128886</vt:i4>
      </vt:variant>
      <vt:variant>
        <vt:i4>99</vt:i4>
      </vt:variant>
      <vt:variant>
        <vt:i4>0</vt:i4>
      </vt:variant>
      <vt:variant>
        <vt:i4>5</vt:i4>
      </vt:variant>
      <vt:variant>
        <vt:lpwstr>http://www.nevo.co.il/case/4027950</vt:lpwstr>
      </vt:variant>
      <vt:variant>
        <vt:lpwstr/>
      </vt:variant>
      <vt:variant>
        <vt:i4>3539060</vt:i4>
      </vt:variant>
      <vt:variant>
        <vt:i4>96</vt:i4>
      </vt:variant>
      <vt:variant>
        <vt:i4>0</vt:i4>
      </vt:variant>
      <vt:variant>
        <vt:i4>5</vt:i4>
      </vt:variant>
      <vt:variant>
        <vt:lpwstr>http://www.nevo.co.il/case/5831191</vt:lpwstr>
      </vt:variant>
      <vt:variant>
        <vt:lpwstr/>
      </vt:variant>
      <vt:variant>
        <vt:i4>3735671</vt:i4>
      </vt:variant>
      <vt:variant>
        <vt:i4>93</vt:i4>
      </vt:variant>
      <vt:variant>
        <vt:i4>0</vt:i4>
      </vt:variant>
      <vt:variant>
        <vt:i4>5</vt:i4>
      </vt:variant>
      <vt:variant>
        <vt:lpwstr>http://www.nevo.co.il/case/5772368</vt:lpwstr>
      </vt:variant>
      <vt:variant>
        <vt:lpwstr/>
      </vt:variant>
      <vt:variant>
        <vt:i4>3276918</vt:i4>
      </vt:variant>
      <vt:variant>
        <vt:i4>90</vt:i4>
      </vt:variant>
      <vt:variant>
        <vt:i4>0</vt:i4>
      </vt:variant>
      <vt:variant>
        <vt:i4>5</vt:i4>
      </vt:variant>
      <vt:variant>
        <vt:lpwstr>http://www.nevo.co.il/case/20356752</vt:lpwstr>
      </vt:variant>
      <vt:variant>
        <vt:lpwstr/>
      </vt:variant>
      <vt:variant>
        <vt:i4>3407988</vt:i4>
      </vt:variant>
      <vt:variant>
        <vt:i4>87</vt:i4>
      </vt:variant>
      <vt:variant>
        <vt:i4>0</vt:i4>
      </vt:variant>
      <vt:variant>
        <vt:i4>5</vt:i4>
      </vt:variant>
      <vt:variant>
        <vt:lpwstr>http://www.nevo.co.il/case/29103940</vt:lpwstr>
      </vt:variant>
      <vt:variant>
        <vt:lpwstr/>
      </vt:variant>
      <vt:variant>
        <vt:i4>3145851</vt:i4>
      </vt:variant>
      <vt:variant>
        <vt:i4>84</vt:i4>
      </vt:variant>
      <vt:variant>
        <vt:i4>0</vt:i4>
      </vt:variant>
      <vt:variant>
        <vt:i4>5</vt:i4>
      </vt:variant>
      <vt:variant>
        <vt:lpwstr>http://www.nevo.co.il/case/6169070</vt:lpwstr>
      </vt:variant>
      <vt:variant>
        <vt:lpwstr/>
      </vt:variant>
      <vt:variant>
        <vt:i4>3735667</vt:i4>
      </vt:variant>
      <vt:variant>
        <vt:i4>81</vt:i4>
      </vt:variant>
      <vt:variant>
        <vt:i4>0</vt:i4>
      </vt:variant>
      <vt:variant>
        <vt:i4>5</vt:i4>
      </vt:variant>
      <vt:variant>
        <vt:lpwstr>http://www.nevo.co.il/case/26529374</vt:lpwstr>
      </vt:variant>
      <vt:variant>
        <vt:lpwstr/>
      </vt:variant>
      <vt:variant>
        <vt:i4>3407988</vt:i4>
      </vt:variant>
      <vt:variant>
        <vt:i4>78</vt:i4>
      </vt:variant>
      <vt:variant>
        <vt:i4>0</vt:i4>
      </vt:variant>
      <vt:variant>
        <vt:i4>5</vt:i4>
      </vt:variant>
      <vt:variant>
        <vt:lpwstr>http://www.nevo.co.il/case/29103940</vt:lpwstr>
      </vt:variant>
      <vt:variant>
        <vt:lpwstr/>
      </vt:variant>
      <vt:variant>
        <vt:i4>3801209</vt:i4>
      </vt:variant>
      <vt:variant>
        <vt:i4>75</vt:i4>
      </vt:variant>
      <vt:variant>
        <vt:i4>0</vt:i4>
      </vt:variant>
      <vt:variant>
        <vt:i4>5</vt:i4>
      </vt:variant>
      <vt:variant>
        <vt:lpwstr>http://www.nevo.co.il/case/28574290</vt:lpwstr>
      </vt:variant>
      <vt:variant>
        <vt:lpwstr/>
      </vt:variant>
      <vt:variant>
        <vt:i4>3211389</vt:i4>
      </vt:variant>
      <vt:variant>
        <vt:i4>72</vt:i4>
      </vt:variant>
      <vt:variant>
        <vt:i4>0</vt:i4>
      </vt:variant>
      <vt:variant>
        <vt:i4>5</vt:i4>
      </vt:variant>
      <vt:variant>
        <vt:lpwstr>http://www.nevo.co.il/case/26474830</vt:lpwstr>
      </vt:variant>
      <vt:variant>
        <vt:lpwstr/>
      </vt:variant>
      <vt:variant>
        <vt:i4>3014771</vt:i4>
      </vt:variant>
      <vt:variant>
        <vt:i4>69</vt:i4>
      </vt:variant>
      <vt:variant>
        <vt:i4>0</vt:i4>
      </vt:variant>
      <vt:variant>
        <vt:i4>5</vt:i4>
      </vt:variant>
      <vt:variant>
        <vt:lpwstr>http://www.nevo.co.il/law/4216/19a</vt:lpwstr>
      </vt:variant>
      <vt:variant>
        <vt:lpwstr/>
      </vt:variant>
      <vt:variant>
        <vt:i4>5177418</vt:i4>
      </vt:variant>
      <vt:variant>
        <vt:i4>66</vt:i4>
      </vt:variant>
      <vt:variant>
        <vt:i4>0</vt:i4>
      </vt:variant>
      <vt:variant>
        <vt:i4>5</vt:i4>
      </vt:variant>
      <vt:variant>
        <vt:lpwstr>http://www.nevo.co.il/law/4216/13</vt:lpwstr>
      </vt:variant>
      <vt:variant>
        <vt:lpwstr/>
      </vt:variant>
      <vt:variant>
        <vt:i4>8323182</vt:i4>
      </vt:variant>
      <vt:variant>
        <vt:i4>63</vt:i4>
      </vt:variant>
      <vt:variant>
        <vt:i4>0</vt:i4>
      </vt:variant>
      <vt:variant>
        <vt:i4>5</vt:i4>
      </vt:variant>
      <vt:variant>
        <vt:lpwstr>http://www.nevo.co.il/law/74918</vt:lpwstr>
      </vt:variant>
      <vt:variant>
        <vt:lpwstr/>
      </vt:variant>
      <vt:variant>
        <vt:i4>393292</vt:i4>
      </vt:variant>
      <vt:variant>
        <vt:i4>60</vt:i4>
      </vt:variant>
      <vt:variant>
        <vt:i4>0</vt:i4>
      </vt:variant>
      <vt:variant>
        <vt:i4>5</vt:i4>
      </vt:variant>
      <vt:variant>
        <vt:lpwstr>http://www.nevo.co.il/law/74918/47.a</vt:lpwstr>
      </vt:variant>
      <vt:variant>
        <vt:lpwstr/>
      </vt:variant>
      <vt:variant>
        <vt:i4>8257639</vt:i4>
      </vt:variant>
      <vt:variant>
        <vt:i4>57</vt:i4>
      </vt:variant>
      <vt:variant>
        <vt:i4>0</vt:i4>
      </vt:variant>
      <vt:variant>
        <vt:i4>5</vt:i4>
      </vt:variant>
      <vt:variant>
        <vt:lpwstr>http://www.nevo.co.il/law/75015</vt:lpwstr>
      </vt:variant>
      <vt:variant>
        <vt:lpwstr/>
      </vt:variant>
      <vt:variant>
        <vt:i4>7209084</vt:i4>
      </vt:variant>
      <vt:variant>
        <vt:i4>54</vt:i4>
      </vt:variant>
      <vt:variant>
        <vt:i4>0</vt:i4>
      </vt:variant>
      <vt:variant>
        <vt:i4>5</vt:i4>
      </vt:variant>
      <vt:variant>
        <vt:lpwstr>http://www.nevo.co.il/law/75015/52.b.1.a.;52.b.1.d.;52.b.1.c.;52.b.1.b</vt:lpwstr>
      </vt:variant>
      <vt:variant>
        <vt:lpwstr/>
      </vt:variant>
      <vt:variant>
        <vt:i4>8257637</vt:i4>
      </vt:variant>
      <vt:variant>
        <vt:i4>51</vt:i4>
      </vt:variant>
      <vt:variant>
        <vt:i4>0</vt:i4>
      </vt:variant>
      <vt:variant>
        <vt:i4>5</vt:i4>
      </vt:variant>
      <vt:variant>
        <vt:lpwstr>http://www.nevo.co.il/law/4216</vt:lpwstr>
      </vt:variant>
      <vt:variant>
        <vt:lpwstr/>
      </vt:variant>
      <vt:variant>
        <vt:i4>2752612</vt:i4>
      </vt:variant>
      <vt:variant>
        <vt:i4>48</vt:i4>
      </vt:variant>
      <vt:variant>
        <vt:i4>0</vt:i4>
      </vt:variant>
      <vt:variant>
        <vt:i4>5</vt:i4>
      </vt:variant>
      <vt:variant>
        <vt:lpwstr>http://www.nevo.co.il/law/4216/7.c</vt:lpwstr>
      </vt:variant>
      <vt:variant>
        <vt:lpwstr/>
      </vt:variant>
      <vt:variant>
        <vt:i4>2621540</vt:i4>
      </vt:variant>
      <vt:variant>
        <vt:i4>45</vt:i4>
      </vt:variant>
      <vt:variant>
        <vt:i4>0</vt:i4>
      </vt:variant>
      <vt:variant>
        <vt:i4>5</vt:i4>
      </vt:variant>
      <vt:variant>
        <vt:lpwstr>http://www.nevo.co.il/law/4216/7.a</vt:lpwstr>
      </vt:variant>
      <vt:variant>
        <vt:lpwstr/>
      </vt:variant>
      <vt:variant>
        <vt:i4>8257639</vt:i4>
      </vt:variant>
      <vt:variant>
        <vt:i4>42</vt:i4>
      </vt:variant>
      <vt:variant>
        <vt:i4>0</vt:i4>
      </vt:variant>
      <vt:variant>
        <vt:i4>5</vt:i4>
      </vt:variant>
      <vt:variant>
        <vt:lpwstr>http://www.nevo.co.il/law/75015</vt:lpwstr>
      </vt:variant>
      <vt:variant>
        <vt:lpwstr/>
      </vt:variant>
      <vt:variant>
        <vt:i4>7209084</vt:i4>
      </vt:variant>
      <vt:variant>
        <vt:i4>39</vt:i4>
      </vt:variant>
      <vt:variant>
        <vt:i4>0</vt:i4>
      </vt:variant>
      <vt:variant>
        <vt:i4>5</vt:i4>
      </vt:variant>
      <vt:variant>
        <vt:lpwstr>http://www.nevo.co.il/law/75015/52.b.1.a.;52.b.1.d.;52.b.1.b.;52.b.1.c</vt:lpwstr>
      </vt:variant>
      <vt:variant>
        <vt:lpwstr/>
      </vt:variant>
      <vt:variant>
        <vt:i4>393292</vt:i4>
      </vt:variant>
      <vt:variant>
        <vt:i4>36</vt:i4>
      </vt:variant>
      <vt:variant>
        <vt:i4>0</vt:i4>
      </vt:variant>
      <vt:variant>
        <vt:i4>5</vt:i4>
      </vt:variant>
      <vt:variant>
        <vt:lpwstr>http://www.nevo.co.il/law/74918/47.a</vt:lpwstr>
      </vt:variant>
      <vt:variant>
        <vt:lpwstr/>
      </vt:variant>
      <vt:variant>
        <vt:i4>8323182</vt:i4>
      </vt:variant>
      <vt:variant>
        <vt:i4>33</vt:i4>
      </vt:variant>
      <vt:variant>
        <vt:i4>0</vt:i4>
      </vt:variant>
      <vt:variant>
        <vt:i4>5</vt:i4>
      </vt:variant>
      <vt:variant>
        <vt:lpwstr>http://www.nevo.co.il/law/74918</vt:lpwstr>
      </vt:variant>
      <vt:variant>
        <vt:lpwstr/>
      </vt:variant>
      <vt:variant>
        <vt:i4>3014771</vt:i4>
      </vt:variant>
      <vt:variant>
        <vt:i4>30</vt:i4>
      </vt:variant>
      <vt:variant>
        <vt:i4>0</vt:i4>
      </vt:variant>
      <vt:variant>
        <vt:i4>5</vt:i4>
      </vt:variant>
      <vt:variant>
        <vt:lpwstr>http://www.nevo.co.il/law/4216/19a</vt:lpwstr>
      </vt:variant>
      <vt:variant>
        <vt:lpwstr/>
      </vt:variant>
      <vt:variant>
        <vt:i4>5177418</vt:i4>
      </vt:variant>
      <vt:variant>
        <vt:i4>27</vt:i4>
      </vt:variant>
      <vt:variant>
        <vt:i4>0</vt:i4>
      </vt:variant>
      <vt:variant>
        <vt:i4>5</vt:i4>
      </vt:variant>
      <vt:variant>
        <vt:lpwstr>http://www.nevo.co.il/law/4216/13</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8257637</vt:i4>
      </vt:variant>
      <vt:variant>
        <vt:i4>18</vt:i4>
      </vt:variant>
      <vt:variant>
        <vt:i4>0</vt:i4>
      </vt:variant>
      <vt:variant>
        <vt:i4>5</vt:i4>
      </vt:variant>
      <vt:variant>
        <vt:lpwstr>http://www.nevo.co.il/law/4216</vt:lpwstr>
      </vt:variant>
      <vt:variant>
        <vt:lpwstr/>
      </vt:variant>
      <vt:variant>
        <vt:i4>5505097</vt:i4>
      </vt:variant>
      <vt:variant>
        <vt:i4>15</vt:i4>
      </vt:variant>
      <vt:variant>
        <vt:i4>0</vt:i4>
      </vt:variant>
      <vt:variant>
        <vt:i4>5</vt:i4>
      </vt:variant>
      <vt:variant>
        <vt:lpwstr>http://www.nevo.co.il/law/75015/52.b.1.d.</vt:lpwstr>
      </vt:variant>
      <vt:variant>
        <vt:lpwstr/>
      </vt:variant>
      <vt:variant>
        <vt:i4>5439561</vt:i4>
      </vt:variant>
      <vt:variant>
        <vt:i4>12</vt:i4>
      </vt:variant>
      <vt:variant>
        <vt:i4>0</vt:i4>
      </vt:variant>
      <vt:variant>
        <vt:i4>5</vt:i4>
      </vt:variant>
      <vt:variant>
        <vt:lpwstr>http://www.nevo.co.il/law/75015/52.b.1.c</vt:lpwstr>
      </vt:variant>
      <vt:variant>
        <vt:lpwstr/>
      </vt:variant>
      <vt:variant>
        <vt:i4>5374025</vt:i4>
      </vt:variant>
      <vt:variant>
        <vt:i4>9</vt:i4>
      </vt:variant>
      <vt:variant>
        <vt:i4>0</vt:i4>
      </vt:variant>
      <vt:variant>
        <vt:i4>5</vt:i4>
      </vt:variant>
      <vt:variant>
        <vt:lpwstr>http://www.nevo.co.il/law/75015/52.b.1.b.</vt:lpwstr>
      </vt:variant>
      <vt:variant>
        <vt:lpwstr/>
      </vt:variant>
      <vt:variant>
        <vt:i4>5308489</vt:i4>
      </vt:variant>
      <vt:variant>
        <vt:i4>6</vt:i4>
      </vt:variant>
      <vt:variant>
        <vt:i4>0</vt:i4>
      </vt:variant>
      <vt:variant>
        <vt:i4>5</vt:i4>
      </vt:variant>
      <vt:variant>
        <vt:lpwstr>http://www.nevo.co.il/law/75015/52.b.1.a.</vt:lpwstr>
      </vt:variant>
      <vt:variant>
        <vt:lpwstr/>
      </vt:variant>
      <vt:variant>
        <vt:i4>3145831</vt:i4>
      </vt:variant>
      <vt:variant>
        <vt:i4>3</vt:i4>
      </vt:variant>
      <vt:variant>
        <vt:i4>0</vt:i4>
      </vt:variant>
      <vt:variant>
        <vt:i4>5</vt:i4>
      </vt:variant>
      <vt:variant>
        <vt:lpwstr>http://www.nevo.co.il/law/75015/52.b.1</vt:lpwstr>
      </vt:variant>
      <vt:variant>
        <vt:lpwstr/>
      </vt:variant>
      <vt:variant>
        <vt:i4>8257639</vt:i4>
      </vt:variant>
      <vt:variant>
        <vt:i4>0</vt:i4>
      </vt:variant>
      <vt:variant>
        <vt:i4>0</vt:i4>
      </vt:variant>
      <vt:variant>
        <vt:i4>5</vt:i4>
      </vt:variant>
      <vt:variant>
        <vt:lpwstr>http://www.nevo.co.il/law/75015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2025-04-23T00:30:00Z</dcterms:created>
  <dcterms:modified xsi:type="dcterms:W3CDTF">2025-04-23T00:30:00Z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56199</vt:lpwstr>
  </property>
  <property fmtid="{D5CDD505-2E9C-101B-9397-08002B2CF9AE}" pid="6" name="NEWPARTB">
    <vt:lpwstr>02</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אמיר עיסא</vt:lpwstr>
  </property>
  <property fmtid="{D5CDD505-2E9C-101B-9397-08002B2CF9AE}" pid="10" name="LAWYER">
    <vt:lpwstr>מור מלכה;רן שטרצר</vt:lpwstr>
  </property>
  <property fmtid="{D5CDD505-2E9C-101B-9397-08002B2CF9AE}" pid="11" name="JUDGE">
    <vt:lpwstr>גיא אבנון</vt:lpwstr>
  </property>
  <property fmtid="{D5CDD505-2E9C-101B-9397-08002B2CF9AE}" pid="12" name="CITY">
    <vt:lpwstr>נת'</vt:lpwstr>
  </property>
  <property fmtid="{D5CDD505-2E9C-101B-9397-08002B2CF9AE}" pid="13" name="DATE">
    <vt:lpwstr>20221221</vt:lpwstr>
  </property>
  <property fmtid="{D5CDD505-2E9C-101B-9397-08002B2CF9AE}" pid="14" name="TYPE_N_DATE">
    <vt:lpwstr>38020221221</vt:lpwstr>
  </property>
  <property fmtid="{D5CDD505-2E9C-101B-9397-08002B2CF9AE}" pid="15" name="WORDNUMPAGES">
    <vt:lpwstr>11</vt:lpwstr>
  </property>
  <property fmtid="{D5CDD505-2E9C-101B-9397-08002B2CF9AE}" pid="16" name="TYPE_ABS_DATE">
    <vt:lpwstr>380120221221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26474830;28574290;29103940:2;26529374;6169070;20356752;5772368;5831191;4027950;25573464;28578768</vt:lpwstr>
  </property>
  <property fmtid="{D5CDD505-2E9C-101B-9397-08002B2CF9AE}" pid="36" name="LAWLISTTMP1">
    <vt:lpwstr>75015/052.b.1.a:2;052.b.1.d:2;052.b.1.b:2;052.b.1.c:2;052.b.1</vt:lpwstr>
  </property>
  <property fmtid="{D5CDD505-2E9C-101B-9397-08002B2CF9AE}" pid="37" name="LAWLISTTMP2">
    <vt:lpwstr>4216/007.a;007.c;013;019a</vt:lpwstr>
  </property>
  <property fmtid="{D5CDD505-2E9C-101B-9397-08002B2CF9AE}" pid="38" name="LAWLISTTMP3">
    <vt:lpwstr>74918/047.a</vt:lpwstr>
  </property>
  <property fmtid="{D5CDD505-2E9C-101B-9397-08002B2CF9AE}" pid="39" name="METAKZER">
    <vt:lpwstr>שירי</vt:lpwstr>
  </property>
  <property fmtid="{D5CDD505-2E9C-101B-9397-08002B2CF9AE}" pid="40" name="NOSE1ID">
    <vt:lpwstr>77</vt:lpwstr>
  </property>
  <property fmtid="{D5CDD505-2E9C-101B-9397-08002B2CF9AE}" pid="41" name="NOSE2ID">
    <vt:lpwstr>1446</vt:lpwstr>
  </property>
  <property fmtid="{D5CDD505-2E9C-101B-9397-08002B2CF9AE}" pid="42" name="NOSE3ID">
    <vt:lpwstr>8991</vt:lpwstr>
  </property>
  <property fmtid="{D5CDD505-2E9C-101B-9397-08002B2CF9AE}" pid="43" name="NOSE11">
    <vt:lpwstr>עונשין</vt:lpwstr>
  </property>
  <property fmtid="{D5CDD505-2E9C-101B-9397-08002B2CF9AE}" pid="44" name="NOSE21">
    <vt:lpwstr>ענישה</vt:lpwstr>
  </property>
  <property fmtid="{D5CDD505-2E9C-101B-9397-08002B2CF9AE}" pid="45" name="NOSE31">
    <vt:lpwstr>מדיניות ענישה: עבירות סמים</vt:lpwstr>
  </property>
  <property fmtid="{D5CDD505-2E9C-101B-9397-08002B2CF9AE}" pid="46" name="NOSE12">
    <vt:lpwstr/>
  </property>
  <property fmtid="{D5CDD505-2E9C-101B-9397-08002B2CF9AE}" pid="47" name="NOSE22">
    <vt:lpwstr/>
  </property>
  <property fmtid="{D5CDD505-2E9C-101B-9397-08002B2CF9AE}" pid="48" name="NOSE32">
    <vt:lpwstr/>
  </property>
  <property fmtid="{D5CDD505-2E9C-101B-9397-08002B2CF9AE}" pid="49" name="NOSE13">
    <vt:lpwstr/>
  </property>
  <property fmtid="{D5CDD505-2E9C-101B-9397-08002B2CF9AE}" pid="50" name="NOSE23">
    <vt:lpwstr/>
  </property>
  <property fmtid="{D5CDD505-2E9C-101B-9397-08002B2CF9AE}" pid="51" name="NOSE33">
    <vt:lpwstr/>
  </property>
  <property fmtid="{D5CDD505-2E9C-101B-9397-08002B2CF9AE}" pid="52" name="NOSE14">
    <vt:lpwstr/>
  </property>
  <property fmtid="{D5CDD505-2E9C-101B-9397-08002B2CF9AE}" pid="53" name="NOSE24">
    <vt:lpwstr/>
  </property>
  <property fmtid="{D5CDD505-2E9C-101B-9397-08002B2CF9AE}" pid="54" name="NOSE34">
    <vt:lpwstr/>
  </property>
  <property fmtid="{D5CDD505-2E9C-101B-9397-08002B2CF9AE}" pid="55" name="NOSE15">
    <vt:lpwstr/>
  </property>
  <property fmtid="{D5CDD505-2E9C-101B-9397-08002B2CF9AE}" pid="56" name="NOSE25">
    <vt:lpwstr/>
  </property>
  <property fmtid="{D5CDD505-2E9C-101B-9397-08002B2CF9AE}" pid="57" name="NOSE35">
    <vt:lpwstr/>
  </property>
  <property fmtid="{D5CDD505-2E9C-101B-9397-08002B2CF9AE}" pid="58" name="NOSE16">
    <vt:lpwstr/>
  </property>
  <property fmtid="{D5CDD505-2E9C-101B-9397-08002B2CF9AE}" pid="59" name="NOSE26">
    <vt:lpwstr/>
  </property>
  <property fmtid="{D5CDD505-2E9C-101B-9397-08002B2CF9AE}" pid="60" name="NOSE36">
    <vt:lpwstr/>
  </property>
  <property fmtid="{D5CDD505-2E9C-101B-9397-08002B2CF9AE}" pid="61" name="NOSE17">
    <vt:lpwstr/>
  </property>
  <property fmtid="{D5CDD505-2E9C-101B-9397-08002B2CF9AE}" pid="62" name="NOSE27">
    <vt:lpwstr/>
  </property>
  <property fmtid="{D5CDD505-2E9C-101B-9397-08002B2CF9AE}" pid="63" name="NOSE37">
    <vt:lpwstr/>
  </property>
  <property fmtid="{D5CDD505-2E9C-101B-9397-08002B2CF9AE}" pid="64" name="NOSE18">
    <vt:lpwstr/>
  </property>
  <property fmtid="{D5CDD505-2E9C-101B-9397-08002B2CF9AE}" pid="65" name="NOSE28">
    <vt:lpwstr/>
  </property>
  <property fmtid="{D5CDD505-2E9C-101B-9397-08002B2CF9AE}" pid="66" name="NOSE38">
    <vt:lpwstr/>
  </property>
  <property fmtid="{D5CDD505-2E9C-101B-9397-08002B2CF9AE}" pid="67" name="NOSE19">
    <vt:lpwstr/>
  </property>
  <property fmtid="{D5CDD505-2E9C-101B-9397-08002B2CF9AE}" pid="68" name="NOSE29">
    <vt:lpwstr/>
  </property>
  <property fmtid="{D5CDD505-2E9C-101B-9397-08002B2CF9AE}" pid="69" name="NOSE39">
    <vt:lpwstr/>
  </property>
  <property fmtid="{D5CDD505-2E9C-101B-9397-08002B2CF9AE}" pid="70" name="NOSE110">
    <vt:lpwstr/>
  </property>
  <property fmtid="{D5CDD505-2E9C-101B-9397-08002B2CF9AE}" pid="71" name="NOSE210">
    <vt:lpwstr/>
  </property>
  <property fmtid="{D5CDD505-2E9C-101B-9397-08002B2CF9AE}" pid="72" name="NOSE310">
    <vt:lpwstr/>
  </property>
  <property fmtid="{D5CDD505-2E9C-101B-9397-08002B2CF9AE}" pid="73" name="PADIDATE">
    <vt:lpwstr>20221225</vt:lpwstr>
  </property>
</Properties>
</file>