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9680" w:type="dxa"/>
        <w:jc w:val="center"/>
        <w:tblLook w:val="0000" w:firstRow="0" w:lastRow="0" w:firstColumn="0" w:lastColumn="0" w:noHBand="0" w:noVBand="0"/>
      </w:tblPr>
      <w:tblGrid>
        <w:gridCol w:w="347"/>
        <w:gridCol w:w="5068"/>
        <w:gridCol w:w="3913"/>
        <w:gridCol w:w="352"/>
      </w:tblGrid>
      <w:tr w:rsidR="006256AD" w:rsidRPr="00DC0445" w14:paraId="133565B7" w14:textId="77777777" w:rsidTr="00870FA1">
        <w:trPr>
          <w:gridBefore w:val="1"/>
          <w:wBefore w:w="347" w:type="dxa"/>
          <w:trHeight w:hRule="exact" w:val="584"/>
          <w:jc w:val="center"/>
        </w:trPr>
        <w:tc>
          <w:tcPr>
            <w:tcW w:w="9333" w:type="dxa"/>
            <w:gridSpan w:val="3"/>
          </w:tcPr>
          <w:p w14:paraId="05F1401E" w14:textId="77777777" w:rsidR="006256AD" w:rsidRPr="00DC0445" w:rsidRDefault="006256AD" w:rsidP="00870FA1">
            <w:pPr>
              <w:pStyle w:val="a3"/>
              <w:jc w:val="center"/>
              <w:rPr>
                <w:rFonts w:ascii="Tahoma" w:hAnsi="Tahoma" w:cs="Tahoma"/>
                <w:color w:val="000080"/>
                <w:rtl/>
              </w:rPr>
            </w:pPr>
            <w:bookmarkStart w:id="0" w:name="LastJudge"/>
            <w:r w:rsidRPr="00DC0445">
              <w:rPr>
                <w:rFonts w:ascii="Tahoma" w:hAnsi="Tahoma" w:cs="Tahoma"/>
                <w:b/>
                <w:bCs/>
                <w:color w:val="000080"/>
                <w:rtl/>
              </w:rPr>
              <w:t>בית משפט השלום ברמלה</w:t>
            </w:r>
          </w:p>
        </w:tc>
      </w:tr>
      <w:tr w:rsidR="006256AD" w:rsidRPr="00DC0445" w14:paraId="6BCD38B7" w14:textId="77777777" w:rsidTr="00870FA1">
        <w:trPr>
          <w:gridAfter w:val="1"/>
          <w:wAfter w:w="352" w:type="dxa"/>
          <w:trHeight w:val="471"/>
          <w:jc w:val="center"/>
        </w:trPr>
        <w:tc>
          <w:tcPr>
            <w:tcW w:w="5415" w:type="dxa"/>
            <w:gridSpan w:val="2"/>
          </w:tcPr>
          <w:p w14:paraId="028BD468" w14:textId="77777777" w:rsidR="006256AD" w:rsidRPr="00DC0445" w:rsidRDefault="006256AD" w:rsidP="00870FA1">
            <w:pPr>
              <w:rPr>
                <w:rFonts w:cs="FrankRuehl"/>
                <w:sz w:val="28"/>
                <w:szCs w:val="28"/>
                <w:rtl/>
              </w:rPr>
            </w:pPr>
            <w:r w:rsidRPr="00DC0445">
              <w:rPr>
                <w:rFonts w:ascii="David" w:hAnsi="David"/>
                <w:b/>
                <w:bCs/>
                <w:sz w:val="28"/>
                <w:szCs w:val="28"/>
                <w:rtl/>
              </w:rPr>
              <w:t>תפ"ק 58050-02-20 מדינת ישראל נ' הלה</w:t>
            </w:r>
          </w:p>
          <w:p w14:paraId="496052BA" w14:textId="77777777" w:rsidR="006256AD" w:rsidRPr="00DC0445" w:rsidRDefault="006256AD" w:rsidP="00870FA1">
            <w:pPr>
              <w:pStyle w:val="a3"/>
              <w:rPr>
                <w:rFonts w:cs="FrankRuehl"/>
                <w:sz w:val="28"/>
                <w:szCs w:val="28"/>
                <w:rtl/>
              </w:rPr>
            </w:pPr>
          </w:p>
        </w:tc>
        <w:tc>
          <w:tcPr>
            <w:tcW w:w="3913" w:type="dxa"/>
          </w:tcPr>
          <w:p w14:paraId="0F528537" w14:textId="77777777" w:rsidR="006256AD" w:rsidRPr="00DC0445" w:rsidRDefault="006256AD" w:rsidP="00870FA1">
            <w:pPr>
              <w:pStyle w:val="a3"/>
              <w:jc w:val="right"/>
              <w:rPr>
                <w:rFonts w:ascii="David" w:hAnsi="David"/>
                <w:b/>
                <w:bCs/>
                <w:sz w:val="28"/>
                <w:szCs w:val="28"/>
                <w:rtl/>
              </w:rPr>
            </w:pPr>
            <w:r w:rsidRPr="00DC0445">
              <w:rPr>
                <w:rFonts w:ascii="David" w:hAnsi="David"/>
                <w:b/>
                <w:bCs/>
                <w:sz w:val="28"/>
                <w:szCs w:val="28"/>
                <w:rtl/>
              </w:rPr>
              <w:t>30 מרץ 2023</w:t>
            </w:r>
          </w:p>
        </w:tc>
      </w:tr>
    </w:tbl>
    <w:p w14:paraId="3B05A4FD" w14:textId="77777777" w:rsidR="006256AD" w:rsidRPr="00DC0445" w:rsidRDefault="006256AD" w:rsidP="006256AD">
      <w:pPr>
        <w:pStyle w:val="a3"/>
        <w:rPr>
          <w:rtl/>
        </w:rPr>
      </w:pPr>
      <w:r w:rsidRPr="00DC0445">
        <w:rPr>
          <w:rFonts w:hint="cs"/>
          <w:rtl/>
        </w:rPr>
        <w:t xml:space="preserve"> </w:t>
      </w:r>
    </w:p>
    <w:p w14:paraId="629755F3" w14:textId="77777777" w:rsidR="006256AD" w:rsidRPr="00DC0445" w:rsidRDefault="006256AD" w:rsidP="006256AD">
      <w:pPr>
        <w:rPr>
          <w:sz w:val="26"/>
          <w:szCs w:val="26"/>
          <w:rtl/>
        </w:rPr>
      </w:pPr>
    </w:p>
    <w:p w14:paraId="62C93586" w14:textId="77777777" w:rsidR="006256AD" w:rsidRPr="00DC0445" w:rsidRDefault="006256AD" w:rsidP="006256AD">
      <w:pPr>
        <w:rPr>
          <w:sz w:val="26"/>
          <w:szCs w:val="26"/>
          <w:rtl/>
        </w:rPr>
      </w:pPr>
    </w:p>
    <w:tbl>
      <w:tblPr>
        <w:bidiVisual/>
        <w:tblW w:w="94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2"/>
        <w:gridCol w:w="3431"/>
        <w:gridCol w:w="4990"/>
      </w:tblGrid>
      <w:tr w:rsidR="006256AD" w:rsidRPr="00DC0445" w14:paraId="50B4964A" w14:textId="77777777" w:rsidTr="006256AD">
        <w:trPr>
          <w:trHeight w:val="309"/>
          <w:jc w:val="center"/>
        </w:trPr>
        <w:tc>
          <w:tcPr>
            <w:tcW w:w="982" w:type="dxa"/>
            <w:tcBorders>
              <w:top w:val="nil"/>
              <w:left w:val="nil"/>
              <w:bottom w:val="nil"/>
              <w:right w:val="nil"/>
            </w:tcBorders>
            <w:shd w:val="clear" w:color="auto" w:fill="auto"/>
          </w:tcPr>
          <w:p w14:paraId="5C17453F" w14:textId="77777777" w:rsidR="006256AD" w:rsidRPr="00DC0445" w:rsidRDefault="006256AD" w:rsidP="006256AD">
            <w:pPr>
              <w:jc w:val="both"/>
              <w:rPr>
                <w:rFonts w:ascii="David" w:hAnsi="David"/>
                <w:b/>
                <w:bCs/>
                <w:sz w:val="26"/>
                <w:szCs w:val="26"/>
              </w:rPr>
            </w:pPr>
            <w:r w:rsidRPr="00DC0445">
              <w:rPr>
                <w:rFonts w:ascii="David" w:hAnsi="David" w:hint="cs"/>
                <w:b/>
                <w:bCs/>
                <w:sz w:val="26"/>
                <w:szCs w:val="26"/>
                <w:rtl/>
              </w:rPr>
              <w:t xml:space="preserve">    ל</w:t>
            </w:r>
            <w:r w:rsidRPr="00DC0445">
              <w:rPr>
                <w:rFonts w:ascii="David" w:hAnsi="David"/>
                <w:b/>
                <w:bCs/>
                <w:sz w:val="26"/>
                <w:szCs w:val="26"/>
                <w:rtl/>
              </w:rPr>
              <w:t xml:space="preserve">פני </w:t>
            </w:r>
          </w:p>
        </w:tc>
        <w:tc>
          <w:tcPr>
            <w:tcW w:w="8421" w:type="dxa"/>
            <w:gridSpan w:val="2"/>
            <w:tcBorders>
              <w:top w:val="nil"/>
              <w:left w:val="nil"/>
              <w:bottom w:val="nil"/>
              <w:right w:val="nil"/>
            </w:tcBorders>
            <w:shd w:val="clear" w:color="auto" w:fill="auto"/>
          </w:tcPr>
          <w:p w14:paraId="03C86D7D" w14:textId="77777777" w:rsidR="006256AD" w:rsidRPr="00DC0445" w:rsidRDefault="006256AD" w:rsidP="00870FA1">
            <w:pPr>
              <w:rPr>
                <w:rFonts w:ascii="David" w:hAnsi="David"/>
                <w:b/>
                <w:bCs/>
                <w:sz w:val="26"/>
                <w:szCs w:val="26"/>
                <w:rtl/>
              </w:rPr>
            </w:pPr>
            <w:r w:rsidRPr="00DC0445">
              <w:rPr>
                <w:rFonts w:ascii="David" w:hAnsi="David"/>
                <w:b/>
                <w:bCs/>
                <w:sz w:val="26"/>
                <w:szCs w:val="26"/>
                <w:rtl/>
              </w:rPr>
              <w:t>כבוד השופטת  אילה אורן</w:t>
            </w:r>
          </w:p>
          <w:p w14:paraId="3B1D0198" w14:textId="77777777" w:rsidR="006256AD" w:rsidRPr="00DC0445" w:rsidRDefault="006256AD" w:rsidP="00870FA1">
            <w:pPr>
              <w:rPr>
                <w:rFonts w:ascii="David" w:hAnsi="David"/>
                <w:sz w:val="26"/>
                <w:szCs w:val="26"/>
                <w:rtl/>
              </w:rPr>
            </w:pPr>
          </w:p>
          <w:p w14:paraId="62D2EC00" w14:textId="77777777" w:rsidR="006256AD" w:rsidRPr="00DC0445" w:rsidRDefault="006256AD" w:rsidP="006256AD">
            <w:pPr>
              <w:jc w:val="both"/>
              <w:rPr>
                <w:rFonts w:ascii="David" w:hAnsi="David"/>
                <w:sz w:val="26"/>
                <w:szCs w:val="26"/>
              </w:rPr>
            </w:pPr>
          </w:p>
        </w:tc>
      </w:tr>
      <w:tr w:rsidR="006256AD" w:rsidRPr="00DC0445" w14:paraId="40F6CB6D" w14:textId="77777777" w:rsidTr="006256AD">
        <w:trPr>
          <w:trHeight w:val="373"/>
          <w:jc w:val="center"/>
        </w:trPr>
        <w:tc>
          <w:tcPr>
            <w:tcW w:w="982" w:type="dxa"/>
            <w:tcBorders>
              <w:top w:val="nil"/>
              <w:left w:val="nil"/>
              <w:bottom w:val="nil"/>
              <w:right w:val="nil"/>
            </w:tcBorders>
            <w:shd w:val="clear" w:color="auto" w:fill="auto"/>
          </w:tcPr>
          <w:p w14:paraId="3AF66A01" w14:textId="77777777" w:rsidR="006256AD" w:rsidRPr="00DC0445" w:rsidRDefault="006256AD" w:rsidP="006256AD">
            <w:pPr>
              <w:jc w:val="both"/>
              <w:rPr>
                <w:rFonts w:ascii="David" w:hAnsi="David"/>
                <w:sz w:val="26"/>
                <w:szCs w:val="26"/>
              </w:rPr>
            </w:pPr>
            <w:bookmarkStart w:id="1" w:name="FirstAppellant"/>
          </w:p>
        </w:tc>
        <w:tc>
          <w:tcPr>
            <w:tcW w:w="3431" w:type="dxa"/>
            <w:tcBorders>
              <w:top w:val="nil"/>
              <w:left w:val="nil"/>
              <w:bottom w:val="nil"/>
              <w:right w:val="nil"/>
            </w:tcBorders>
            <w:shd w:val="clear" w:color="auto" w:fill="auto"/>
          </w:tcPr>
          <w:p w14:paraId="1A4D6907" w14:textId="77777777" w:rsidR="006256AD" w:rsidRPr="00DC0445" w:rsidRDefault="006256AD" w:rsidP="006256AD">
            <w:pPr>
              <w:suppressLineNumbers/>
              <w:rPr>
                <w:rFonts w:ascii="Arial" w:hAnsi="Arial"/>
                <w:b/>
                <w:bCs/>
                <w:sz w:val="26"/>
                <w:szCs w:val="26"/>
                <w:rtl/>
              </w:rPr>
            </w:pPr>
          </w:p>
          <w:p w14:paraId="26C30205" w14:textId="77777777" w:rsidR="006256AD" w:rsidRPr="00DC0445" w:rsidRDefault="006256AD" w:rsidP="006256AD">
            <w:pPr>
              <w:suppressLineNumbers/>
            </w:pPr>
            <w:r w:rsidRPr="00DC0445">
              <w:rPr>
                <w:rFonts w:ascii="Arial" w:hAnsi="Arial" w:hint="cs"/>
                <w:b/>
                <w:bCs/>
                <w:sz w:val="26"/>
                <w:szCs w:val="26"/>
                <w:rtl/>
              </w:rPr>
              <w:t>ה</w:t>
            </w:r>
            <w:r w:rsidRPr="00DC0445">
              <w:rPr>
                <w:rFonts w:ascii="Arial" w:hAnsi="Arial"/>
                <w:b/>
                <w:bCs/>
                <w:sz w:val="26"/>
                <w:szCs w:val="26"/>
                <w:rtl/>
              </w:rPr>
              <w:t>מאשימה</w:t>
            </w:r>
          </w:p>
          <w:p w14:paraId="22313071" w14:textId="77777777" w:rsidR="006256AD" w:rsidRPr="00DC0445" w:rsidRDefault="006256AD" w:rsidP="00870FA1">
            <w:pPr>
              <w:rPr>
                <w:rFonts w:ascii="David" w:hAnsi="David"/>
                <w:sz w:val="26"/>
                <w:szCs w:val="26"/>
                <w:rtl/>
              </w:rPr>
            </w:pPr>
          </w:p>
          <w:p w14:paraId="541C227C" w14:textId="77777777" w:rsidR="006256AD" w:rsidRPr="00DC0445" w:rsidRDefault="006256AD" w:rsidP="00870FA1">
            <w:pPr>
              <w:rPr>
                <w:rFonts w:ascii="David" w:hAnsi="David"/>
                <w:sz w:val="26"/>
                <w:szCs w:val="26"/>
              </w:rPr>
            </w:pPr>
          </w:p>
        </w:tc>
        <w:tc>
          <w:tcPr>
            <w:tcW w:w="4989" w:type="dxa"/>
            <w:tcBorders>
              <w:top w:val="nil"/>
              <w:left w:val="nil"/>
              <w:bottom w:val="nil"/>
              <w:right w:val="nil"/>
            </w:tcBorders>
            <w:shd w:val="clear" w:color="auto" w:fill="auto"/>
            <w:vAlign w:val="center"/>
          </w:tcPr>
          <w:p w14:paraId="5663DB2B" w14:textId="77777777" w:rsidR="006256AD" w:rsidRPr="00DC0445" w:rsidRDefault="006256AD" w:rsidP="006256AD">
            <w:pPr>
              <w:suppressLineNumbers/>
            </w:pPr>
            <w:r w:rsidRPr="00DC0445">
              <w:rPr>
                <w:rFonts w:ascii="Arial" w:hAnsi="Arial"/>
                <w:b/>
                <w:bCs/>
                <w:sz w:val="26"/>
                <w:szCs w:val="26"/>
                <w:rtl/>
              </w:rPr>
              <w:t>מדינת ישראל</w:t>
            </w:r>
            <w:r w:rsidRPr="00DC0445">
              <w:rPr>
                <w:rFonts w:ascii="Arial" w:hAnsi="Arial" w:hint="cs"/>
                <w:b/>
                <w:bCs/>
                <w:sz w:val="26"/>
                <w:szCs w:val="26"/>
                <w:rtl/>
              </w:rPr>
              <w:t xml:space="preserve"> </w:t>
            </w:r>
          </w:p>
          <w:p w14:paraId="4FDBDE95" w14:textId="77777777" w:rsidR="006256AD" w:rsidRPr="00DC0445" w:rsidRDefault="006256AD" w:rsidP="006256AD">
            <w:pPr>
              <w:suppressLineNumbers/>
              <w:rPr>
                <w:rFonts w:ascii="David" w:hAnsi="David"/>
                <w:sz w:val="26"/>
                <w:szCs w:val="26"/>
              </w:rPr>
            </w:pPr>
          </w:p>
        </w:tc>
      </w:tr>
      <w:bookmarkEnd w:id="1"/>
      <w:tr w:rsidR="006256AD" w:rsidRPr="00DC0445" w14:paraId="12944602" w14:textId="77777777" w:rsidTr="006256AD">
        <w:trPr>
          <w:trHeight w:val="373"/>
          <w:jc w:val="center"/>
        </w:trPr>
        <w:tc>
          <w:tcPr>
            <w:tcW w:w="982" w:type="dxa"/>
            <w:tcBorders>
              <w:top w:val="nil"/>
              <w:left w:val="nil"/>
              <w:bottom w:val="nil"/>
              <w:right w:val="nil"/>
            </w:tcBorders>
            <w:shd w:val="clear" w:color="auto" w:fill="auto"/>
          </w:tcPr>
          <w:p w14:paraId="56E6F182" w14:textId="77777777" w:rsidR="006256AD" w:rsidRPr="00DC0445" w:rsidRDefault="006256AD" w:rsidP="006256AD">
            <w:pPr>
              <w:jc w:val="both"/>
              <w:rPr>
                <w:rFonts w:ascii="David" w:hAnsi="David"/>
                <w:sz w:val="26"/>
                <w:szCs w:val="26"/>
                <w:rtl/>
              </w:rPr>
            </w:pPr>
          </w:p>
        </w:tc>
        <w:tc>
          <w:tcPr>
            <w:tcW w:w="8421" w:type="dxa"/>
            <w:gridSpan w:val="2"/>
            <w:tcBorders>
              <w:top w:val="nil"/>
              <w:left w:val="nil"/>
              <w:bottom w:val="nil"/>
              <w:right w:val="nil"/>
            </w:tcBorders>
            <w:shd w:val="clear" w:color="auto" w:fill="auto"/>
          </w:tcPr>
          <w:p w14:paraId="74CBEB0E" w14:textId="77777777" w:rsidR="006256AD" w:rsidRPr="00DC0445" w:rsidRDefault="006256AD" w:rsidP="006256AD">
            <w:pPr>
              <w:jc w:val="center"/>
              <w:rPr>
                <w:rFonts w:ascii="David" w:hAnsi="David"/>
                <w:b/>
                <w:bCs/>
                <w:sz w:val="26"/>
                <w:szCs w:val="26"/>
                <w:rtl/>
              </w:rPr>
            </w:pPr>
            <w:r w:rsidRPr="00DC0445">
              <w:rPr>
                <w:rFonts w:ascii="David" w:hAnsi="David"/>
                <w:b/>
                <w:bCs/>
                <w:sz w:val="26"/>
                <w:szCs w:val="26"/>
                <w:rtl/>
              </w:rPr>
              <w:t>נגד</w:t>
            </w:r>
          </w:p>
          <w:p w14:paraId="4E056854" w14:textId="77777777" w:rsidR="006256AD" w:rsidRPr="00DC0445" w:rsidRDefault="006256AD" w:rsidP="006256AD">
            <w:pPr>
              <w:jc w:val="both"/>
              <w:rPr>
                <w:rFonts w:ascii="David" w:hAnsi="David"/>
                <w:sz w:val="26"/>
                <w:szCs w:val="26"/>
                <w:rtl/>
              </w:rPr>
            </w:pPr>
          </w:p>
          <w:p w14:paraId="40803C40" w14:textId="77777777" w:rsidR="006256AD" w:rsidRPr="00DC0445" w:rsidRDefault="006256AD" w:rsidP="006256AD">
            <w:pPr>
              <w:jc w:val="both"/>
              <w:rPr>
                <w:rFonts w:ascii="David" w:hAnsi="David"/>
                <w:sz w:val="26"/>
                <w:szCs w:val="26"/>
              </w:rPr>
            </w:pPr>
          </w:p>
        </w:tc>
      </w:tr>
      <w:tr w:rsidR="006256AD" w:rsidRPr="00DC0445" w14:paraId="71A08150" w14:textId="77777777" w:rsidTr="006256AD">
        <w:trPr>
          <w:trHeight w:val="373"/>
          <w:jc w:val="center"/>
        </w:trPr>
        <w:tc>
          <w:tcPr>
            <w:tcW w:w="982" w:type="dxa"/>
            <w:tcBorders>
              <w:top w:val="nil"/>
              <w:left w:val="nil"/>
              <w:bottom w:val="nil"/>
              <w:right w:val="nil"/>
            </w:tcBorders>
            <w:shd w:val="clear" w:color="auto" w:fill="auto"/>
          </w:tcPr>
          <w:p w14:paraId="5D4E7DA3" w14:textId="77777777" w:rsidR="006256AD" w:rsidRPr="00DC0445" w:rsidRDefault="006256AD" w:rsidP="00870FA1">
            <w:pPr>
              <w:rPr>
                <w:rFonts w:ascii="David" w:hAnsi="David"/>
                <w:sz w:val="26"/>
                <w:szCs w:val="26"/>
                <w:rtl/>
              </w:rPr>
            </w:pPr>
          </w:p>
        </w:tc>
        <w:tc>
          <w:tcPr>
            <w:tcW w:w="3431" w:type="dxa"/>
            <w:tcBorders>
              <w:top w:val="nil"/>
              <w:left w:val="nil"/>
              <w:bottom w:val="nil"/>
              <w:right w:val="nil"/>
            </w:tcBorders>
            <w:shd w:val="clear" w:color="auto" w:fill="auto"/>
          </w:tcPr>
          <w:p w14:paraId="2736B7EC" w14:textId="77777777" w:rsidR="006256AD" w:rsidRPr="00DC0445" w:rsidRDefault="006256AD" w:rsidP="00870FA1">
            <w:pPr>
              <w:rPr>
                <w:rFonts w:ascii="Arial" w:hAnsi="Arial"/>
                <w:b/>
                <w:bCs/>
                <w:sz w:val="26"/>
                <w:szCs w:val="26"/>
                <w:rtl/>
              </w:rPr>
            </w:pPr>
            <w:r w:rsidRPr="00DC0445">
              <w:rPr>
                <w:rFonts w:ascii="Arial" w:hAnsi="Arial"/>
                <w:b/>
                <w:bCs/>
                <w:sz w:val="26"/>
                <w:szCs w:val="26"/>
                <w:rtl/>
              </w:rPr>
              <w:t>הנאש</w:t>
            </w:r>
            <w:r w:rsidRPr="00DC0445">
              <w:rPr>
                <w:rFonts w:ascii="Arial" w:hAnsi="Arial" w:hint="cs"/>
                <w:b/>
                <w:bCs/>
                <w:sz w:val="26"/>
                <w:szCs w:val="26"/>
                <w:rtl/>
              </w:rPr>
              <w:t>ם</w:t>
            </w:r>
          </w:p>
        </w:tc>
        <w:tc>
          <w:tcPr>
            <w:tcW w:w="4989" w:type="dxa"/>
            <w:tcBorders>
              <w:top w:val="nil"/>
              <w:left w:val="nil"/>
              <w:bottom w:val="nil"/>
              <w:right w:val="nil"/>
            </w:tcBorders>
            <w:shd w:val="clear" w:color="auto" w:fill="auto"/>
            <w:vAlign w:val="center"/>
          </w:tcPr>
          <w:p w14:paraId="793AAD2D" w14:textId="77777777" w:rsidR="006256AD" w:rsidRPr="00DC0445" w:rsidRDefault="006256AD" w:rsidP="006256AD">
            <w:pPr>
              <w:suppressLineNumbers/>
            </w:pPr>
            <w:r w:rsidRPr="00DC0445">
              <w:rPr>
                <w:rFonts w:ascii="Arial" w:hAnsi="Arial"/>
                <w:b/>
                <w:bCs/>
                <w:sz w:val="26"/>
                <w:szCs w:val="26"/>
                <w:rtl/>
              </w:rPr>
              <w:t>גל הלה</w:t>
            </w:r>
            <w:r w:rsidRPr="00DC0445">
              <w:rPr>
                <w:rFonts w:ascii="Arial" w:hAnsi="Arial" w:hint="cs"/>
                <w:b/>
                <w:bCs/>
                <w:sz w:val="26"/>
                <w:szCs w:val="26"/>
                <w:rtl/>
              </w:rPr>
              <w:t xml:space="preserve"> </w:t>
            </w:r>
          </w:p>
          <w:p w14:paraId="5B128C62" w14:textId="77777777" w:rsidR="006256AD" w:rsidRPr="00DC0445" w:rsidRDefault="006256AD" w:rsidP="00870FA1">
            <w:pPr>
              <w:rPr>
                <w:rFonts w:ascii="David" w:hAnsi="David"/>
                <w:sz w:val="26"/>
                <w:szCs w:val="26"/>
              </w:rPr>
            </w:pPr>
          </w:p>
        </w:tc>
      </w:tr>
      <w:tr w:rsidR="006256AD" w:rsidRPr="00DC0445" w14:paraId="69FD5FFF" w14:textId="77777777" w:rsidTr="006256AD">
        <w:trPr>
          <w:trHeight w:val="373"/>
          <w:jc w:val="center"/>
        </w:trPr>
        <w:tc>
          <w:tcPr>
            <w:tcW w:w="982" w:type="dxa"/>
            <w:tcBorders>
              <w:top w:val="nil"/>
              <w:left w:val="nil"/>
              <w:bottom w:val="nil"/>
              <w:right w:val="nil"/>
            </w:tcBorders>
            <w:shd w:val="clear" w:color="auto" w:fill="auto"/>
          </w:tcPr>
          <w:p w14:paraId="358DC19D" w14:textId="77777777" w:rsidR="006256AD" w:rsidRPr="00DC0445" w:rsidRDefault="006256AD" w:rsidP="006256AD">
            <w:pPr>
              <w:jc w:val="both"/>
              <w:rPr>
                <w:rFonts w:ascii="David" w:hAnsi="David"/>
                <w:sz w:val="26"/>
                <w:szCs w:val="26"/>
                <w:rtl/>
              </w:rPr>
            </w:pPr>
          </w:p>
        </w:tc>
        <w:tc>
          <w:tcPr>
            <w:tcW w:w="3431" w:type="dxa"/>
            <w:tcBorders>
              <w:top w:val="nil"/>
              <w:left w:val="nil"/>
              <w:bottom w:val="nil"/>
              <w:right w:val="nil"/>
            </w:tcBorders>
            <w:shd w:val="clear" w:color="auto" w:fill="auto"/>
          </w:tcPr>
          <w:p w14:paraId="1A497F13" w14:textId="77777777" w:rsidR="006256AD" w:rsidRPr="00DC0445" w:rsidRDefault="006256AD" w:rsidP="006256AD">
            <w:pPr>
              <w:jc w:val="both"/>
              <w:rPr>
                <w:rFonts w:ascii="David" w:hAnsi="David"/>
                <w:sz w:val="26"/>
                <w:szCs w:val="26"/>
                <w:rtl/>
              </w:rPr>
            </w:pPr>
          </w:p>
        </w:tc>
        <w:tc>
          <w:tcPr>
            <w:tcW w:w="4989" w:type="dxa"/>
            <w:tcBorders>
              <w:top w:val="nil"/>
              <w:left w:val="nil"/>
              <w:bottom w:val="nil"/>
              <w:right w:val="nil"/>
            </w:tcBorders>
            <w:shd w:val="clear" w:color="auto" w:fill="auto"/>
          </w:tcPr>
          <w:p w14:paraId="109CC9FB" w14:textId="77777777" w:rsidR="006256AD" w:rsidRPr="00DC0445" w:rsidRDefault="006256AD" w:rsidP="006256AD">
            <w:pPr>
              <w:jc w:val="right"/>
              <w:rPr>
                <w:rFonts w:ascii="David" w:hAnsi="David"/>
                <w:sz w:val="26"/>
                <w:szCs w:val="26"/>
              </w:rPr>
            </w:pPr>
          </w:p>
        </w:tc>
      </w:tr>
    </w:tbl>
    <w:p w14:paraId="3858B438" w14:textId="77777777" w:rsidR="006256AD" w:rsidRPr="00DC0445" w:rsidRDefault="006256AD" w:rsidP="006256AD">
      <w:pPr>
        <w:rPr>
          <w:sz w:val="26"/>
          <w:szCs w:val="26"/>
        </w:rPr>
      </w:pPr>
    </w:p>
    <w:p w14:paraId="3E06A87A" w14:textId="77777777" w:rsidR="00802ABC" w:rsidRPr="00802ABC" w:rsidRDefault="00802ABC" w:rsidP="00802ABC">
      <w:pPr>
        <w:pStyle w:val="aa"/>
        <w:spacing w:before="120" w:after="120" w:line="240" w:lineRule="exact"/>
        <w:ind w:left="283" w:hanging="283"/>
        <w:jc w:val="both"/>
        <w:rPr>
          <w:rFonts w:ascii="FrankRuehl" w:hAnsi="FrankRuehl" w:cs="FrankRuehl"/>
          <w:sz w:val="24"/>
          <w:szCs w:val="24"/>
          <w:rtl/>
        </w:rPr>
      </w:pPr>
    </w:p>
    <w:p w14:paraId="207A2BE3" w14:textId="77777777" w:rsidR="00C92898" w:rsidRDefault="00C92898" w:rsidP="00C92898">
      <w:pPr>
        <w:pStyle w:val="aa"/>
        <w:spacing w:after="0" w:line="480" w:lineRule="auto"/>
        <w:ind w:left="0"/>
        <w:jc w:val="both"/>
        <w:rPr>
          <w:rFonts w:ascii="David" w:hAnsi="David" w:cs="David"/>
          <w:sz w:val="24"/>
          <w:szCs w:val="24"/>
          <w:rtl/>
        </w:rPr>
      </w:pPr>
      <w:bookmarkStart w:id="2" w:name="LawTable"/>
      <w:bookmarkEnd w:id="2"/>
    </w:p>
    <w:p w14:paraId="09F25598" w14:textId="77777777" w:rsidR="00C92898" w:rsidRPr="00C92898" w:rsidRDefault="00C92898" w:rsidP="00C92898">
      <w:pPr>
        <w:pStyle w:val="aa"/>
        <w:spacing w:before="120" w:after="120" w:line="240" w:lineRule="exact"/>
        <w:ind w:left="283" w:hanging="283"/>
        <w:jc w:val="both"/>
        <w:rPr>
          <w:rFonts w:ascii="FrankRuehl" w:hAnsi="FrankRuehl" w:cs="FrankRuehl"/>
          <w:sz w:val="24"/>
          <w:szCs w:val="24"/>
          <w:rtl/>
        </w:rPr>
      </w:pPr>
    </w:p>
    <w:p w14:paraId="30CA6F8D" w14:textId="77777777" w:rsidR="00C92898" w:rsidRPr="00C92898" w:rsidRDefault="00C92898" w:rsidP="00C92898">
      <w:pPr>
        <w:pStyle w:val="aa"/>
        <w:spacing w:before="120" w:after="120" w:line="240" w:lineRule="exact"/>
        <w:ind w:left="283" w:hanging="283"/>
        <w:jc w:val="both"/>
        <w:rPr>
          <w:rFonts w:ascii="FrankRuehl" w:hAnsi="FrankRuehl" w:cs="FrankRuehl"/>
          <w:sz w:val="24"/>
          <w:szCs w:val="24"/>
          <w:rtl/>
        </w:rPr>
      </w:pPr>
    </w:p>
    <w:p w14:paraId="61264B10" w14:textId="77777777" w:rsidR="00C92898" w:rsidRPr="00C92898" w:rsidRDefault="00C92898" w:rsidP="00C92898">
      <w:pPr>
        <w:pStyle w:val="aa"/>
        <w:spacing w:before="120" w:after="120" w:line="240" w:lineRule="exact"/>
        <w:ind w:left="283" w:hanging="283"/>
        <w:jc w:val="both"/>
        <w:rPr>
          <w:rFonts w:ascii="FrankRuehl" w:hAnsi="FrankRuehl" w:cs="FrankRuehl"/>
          <w:sz w:val="24"/>
          <w:szCs w:val="24"/>
          <w:rtl/>
        </w:rPr>
      </w:pPr>
      <w:r w:rsidRPr="00C92898">
        <w:rPr>
          <w:rFonts w:ascii="FrankRuehl" w:hAnsi="FrankRuehl" w:cs="FrankRuehl"/>
          <w:sz w:val="24"/>
          <w:szCs w:val="24"/>
          <w:rtl/>
        </w:rPr>
        <w:t xml:space="preserve">חקיקה שאוזכרה: </w:t>
      </w:r>
    </w:p>
    <w:p w14:paraId="151A92A9" w14:textId="77777777" w:rsidR="00C92898" w:rsidRPr="00C92898" w:rsidRDefault="00C92898" w:rsidP="00C92898">
      <w:pPr>
        <w:pStyle w:val="aa"/>
        <w:spacing w:before="120" w:after="120" w:line="240" w:lineRule="exact"/>
        <w:ind w:left="283" w:hanging="283"/>
        <w:jc w:val="both"/>
        <w:rPr>
          <w:rFonts w:ascii="FrankRuehl" w:hAnsi="FrankRuehl" w:cs="FrankRuehl"/>
          <w:sz w:val="24"/>
          <w:szCs w:val="24"/>
          <w:rtl/>
        </w:rPr>
      </w:pPr>
      <w:hyperlink r:id="rId7" w:history="1">
        <w:r w:rsidRPr="00C92898">
          <w:rPr>
            <w:rFonts w:ascii="FrankRuehl" w:hAnsi="FrankRuehl" w:cs="FrankRuehl"/>
            <w:color w:val="0000FF"/>
            <w:sz w:val="24"/>
            <w:szCs w:val="24"/>
            <w:rtl/>
          </w:rPr>
          <w:t>פקודת הסמים המסוכנים [נוסח חדש], תשל"ג-1973</w:t>
        </w:r>
      </w:hyperlink>
      <w:r w:rsidRPr="00C92898">
        <w:rPr>
          <w:rFonts w:ascii="FrankRuehl" w:hAnsi="FrankRuehl" w:cs="FrankRuehl"/>
          <w:sz w:val="24"/>
          <w:szCs w:val="24"/>
          <w:rtl/>
        </w:rPr>
        <w:t xml:space="preserve">: סע'  </w:t>
      </w:r>
      <w:hyperlink r:id="rId8" w:history="1">
        <w:r w:rsidRPr="00C92898">
          <w:rPr>
            <w:rFonts w:ascii="FrankRuehl" w:hAnsi="FrankRuehl" w:cs="FrankRuehl"/>
            <w:color w:val="0000FF"/>
            <w:sz w:val="24"/>
            <w:szCs w:val="24"/>
            <w:rtl/>
          </w:rPr>
          <w:t>7.א.</w:t>
        </w:r>
      </w:hyperlink>
      <w:r w:rsidRPr="00C92898">
        <w:rPr>
          <w:rFonts w:ascii="FrankRuehl" w:hAnsi="FrankRuehl" w:cs="FrankRuehl"/>
          <w:sz w:val="24"/>
          <w:szCs w:val="24"/>
          <w:rtl/>
        </w:rPr>
        <w:t xml:space="preserve">, </w:t>
      </w:r>
      <w:hyperlink r:id="rId9" w:history="1">
        <w:r w:rsidRPr="00C92898">
          <w:rPr>
            <w:rFonts w:ascii="FrankRuehl" w:hAnsi="FrankRuehl" w:cs="FrankRuehl"/>
            <w:color w:val="0000FF"/>
            <w:sz w:val="24"/>
            <w:szCs w:val="24"/>
            <w:rtl/>
          </w:rPr>
          <w:t>7.ג</w:t>
        </w:r>
      </w:hyperlink>
    </w:p>
    <w:p w14:paraId="37791BD0" w14:textId="77777777" w:rsidR="00C92898" w:rsidRPr="00C92898" w:rsidRDefault="00C92898" w:rsidP="00C92898">
      <w:pPr>
        <w:pStyle w:val="aa"/>
        <w:spacing w:before="120" w:after="120" w:line="240" w:lineRule="exact"/>
        <w:ind w:left="283" w:hanging="283"/>
        <w:jc w:val="both"/>
        <w:rPr>
          <w:rFonts w:ascii="FrankRuehl" w:hAnsi="FrankRuehl" w:cs="FrankRuehl"/>
          <w:sz w:val="24"/>
          <w:szCs w:val="24"/>
          <w:rtl/>
        </w:rPr>
      </w:pPr>
      <w:hyperlink r:id="rId10" w:history="1">
        <w:r w:rsidRPr="00C92898">
          <w:rPr>
            <w:rFonts w:ascii="FrankRuehl" w:hAnsi="FrankRuehl" w:cs="FrankRuehl"/>
            <w:color w:val="0000FF"/>
            <w:sz w:val="24"/>
            <w:szCs w:val="24"/>
            <w:rtl/>
          </w:rPr>
          <w:t>חוק העונשין, תשל"ז-1977</w:t>
        </w:r>
      </w:hyperlink>
      <w:r w:rsidRPr="00C92898">
        <w:rPr>
          <w:rFonts w:ascii="FrankRuehl" w:hAnsi="FrankRuehl" w:cs="FrankRuehl"/>
          <w:sz w:val="24"/>
          <w:szCs w:val="24"/>
          <w:rtl/>
        </w:rPr>
        <w:t xml:space="preserve">: סע'  </w:t>
      </w:r>
      <w:hyperlink r:id="rId11" w:history="1">
        <w:r w:rsidRPr="00C92898">
          <w:rPr>
            <w:rFonts w:ascii="FrankRuehl" w:hAnsi="FrankRuehl" w:cs="FrankRuehl"/>
            <w:color w:val="0000FF"/>
            <w:sz w:val="24"/>
            <w:szCs w:val="24"/>
            <w:rtl/>
          </w:rPr>
          <w:t>244</w:t>
        </w:r>
      </w:hyperlink>
    </w:p>
    <w:p w14:paraId="3C2CB9CD" w14:textId="77777777" w:rsidR="00C92898" w:rsidRPr="00C92898" w:rsidRDefault="00C92898" w:rsidP="00C92898">
      <w:pPr>
        <w:pStyle w:val="aa"/>
        <w:spacing w:before="120" w:after="120" w:line="240" w:lineRule="exact"/>
        <w:ind w:left="283" w:hanging="283"/>
        <w:jc w:val="both"/>
        <w:rPr>
          <w:rFonts w:ascii="FrankRuehl" w:hAnsi="FrankRuehl" w:cs="FrankRuehl"/>
          <w:sz w:val="24"/>
          <w:szCs w:val="24"/>
          <w:rtl/>
        </w:rPr>
      </w:pPr>
      <w:hyperlink r:id="rId12" w:history="1">
        <w:r w:rsidRPr="00C92898">
          <w:rPr>
            <w:rFonts w:ascii="FrankRuehl" w:hAnsi="FrankRuehl" w:cs="FrankRuehl"/>
            <w:color w:val="0000FF"/>
            <w:sz w:val="24"/>
            <w:szCs w:val="24"/>
            <w:rtl/>
          </w:rPr>
          <w:t>חוק בתי המשפט [נוסח משולב], תשמ"ד-1984</w:t>
        </w:r>
      </w:hyperlink>
      <w:r w:rsidRPr="00C92898">
        <w:rPr>
          <w:rFonts w:ascii="FrankRuehl" w:hAnsi="FrankRuehl" w:cs="FrankRuehl"/>
          <w:sz w:val="24"/>
          <w:szCs w:val="24"/>
          <w:rtl/>
        </w:rPr>
        <w:t xml:space="preserve">: סע'  </w:t>
      </w:r>
      <w:hyperlink r:id="rId13" w:history="1">
        <w:r w:rsidRPr="00C92898">
          <w:rPr>
            <w:rFonts w:ascii="FrankRuehl" w:hAnsi="FrankRuehl" w:cs="FrankRuehl"/>
            <w:color w:val="0000FF"/>
            <w:sz w:val="24"/>
            <w:szCs w:val="24"/>
            <w:rtl/>
          </w:rPr>
          <w:t>78</w:t>
        </w:r>
      </w:hyperlink>
    </w:p>
    <w:p w14:paraId="1AE0D301" w14:textId="77777777" w:rsidR="00C92898" w:rsidRPr="00C92898" w:rsidRDefault="00C92898" w:rsidP="00C92898">
      <w:pPr>
        <w:pStyle w:val="aa"/>
        <w:spacing w:after="0" w:line="480" w:lineRule="auto"/>
        <w:ind w:left="0"/>
        <w:jc w:val="both"/>
        <w:rPr>
          <w:rFonts w:ascii="David" w:hAnsi="David" w:cs="David"/>
          <w:sz w:val="24"/>
          <w:szCs w:val="24"/>
          <w:rtl/>
        </w:rPr>
      </w:pPr>
      <w:bookmarkStart w:id="3" w:name="LawTable_End"/>
      <w:bookmarkEnd w:id="3"/>
    </w:p>
    <w:p w14:paraId="3E0B858F" w14:textId="77777777" w:rsidR="006256AD" w:rsidRPr="00802ABC" w:rsidRDefault="006256AD" w:rsidP="00802ABC">
      <w:pPr>
        <w:pStyle w:val="aa"/>
        <w:spacing w:after="0" w:line="480" w:lineRule="auto"/>
        <w:ind w:left="0"/>
        <w:jc w:val="both"/>
        <w:rPr>
          <w:rFonts w:ascii="David" w:hAnsi="David" w:cs="David"/>
          <w:sz w:val="24"/>
          <w:szCs w:val="24"/>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256AD" w14:paraId="1E0B7493" w14:textId="77777777" w:rsidTr="006256AD">
        <w:trPr>
          <w:trHeight w:val="355"/>
          <w:jc w:val="center"/>
        </w:trPr>
        <w:tc>
          <w:tcPr>
            <w:tcW w:w="8820" w:type="dxa"/>
            <w:tcBorders>
              <w:top w:val="nil"/>
              <w:left w:val="nil"/>
              <w:bottom w:val="nil"/>
              <w:right w:val="nil"/>
            </w:tcBorders>
            <w:shd w:val="clear" w:color="auto" w:fill="auto"/>
          </w:tcPr>
          <w:p w14:paraId="5B0FA1A1" w14:textId="77777777" w:rsidR="00DC0445" w:rsidRPr="00DC0445" w:rsidRDefault="00DC0445" w:rsidP="00DC0445">
            <w:pPr>
              <w:jc w:val="center"/>
              <w:rPr>
                <w:rFonts w:ascii="David" w:hAnsi="David"/>
                <w:b/>
                <w:bCs/>
                <w:sz w:val="32"/>
                <w:szCs w:val="32"/>
                <w:u w:val="single"/>
                <w:rtl/>
              </w:rPr>
            </w:pPr>
            <w:bookmarkStart w:id="4" w:name="PsakDin" w:colFirst="0" w:colLast="0"/>
            <w:bookmarkEnd w:id="0"/>
            <w:r w:rsidRPr="00DC0445">
              <w:rPr>
                <w:rFonts w:ascii="David" w:hAnsi="David"/>
                <w:b/>
                <w:bCs/>
                <w:sz w:val="32"/>
                <w:szCs w:val="32"/>
                <w:u w:val="single"/>
                <w:rtl/>
              </w:rPr>
              <w:t>גזר דין</w:t>
            </w:r>
          </w:p>
          <w:p w14:paraId="01B87FCC" w14:textId="77777777" w:rsidR="006256AD" w:rsidRPr="00DC0445" w:rsidRDefault="006256AD" w:rsidP="00DC0445">
            <w:pPr>
              <w:jc w:val="center"/>
              <w:rPr>
                <w:rFonts w:ascii="David" w:hAnsi="David"/>
                <w:bCs/>
                <w:sz w:val="32"/>
                <w:szCs w:val="32"/>
                <w:u w:val="single"/>
                <w:rtl/>
              </w:rPr>
            </w:pPr>
          </w:p>
        </w:tc>
      </w:tr>
      <w:bookmarkEnd w:id="4"/>
    </w:tbl>
    <w:p w14:paraId="3883FF7A" w14:textId="77777777" w:rsidR="006256AD" w:rsidRDefault="006256AD" w:rsidP="006256AD">
      <w:pPr>
        <w:pStyle w:val="aa"/>
        <w:spacing w:after="0" w:line="480" w:lineRule="auto"/>
        <w:ind w:left="0"/>
        <w:jc w:val="both"/>
        <w:rPr>
          <w:rFonts w:ascii="David" w:hAnsi="David" w:cs="David"/>
          <w:b/>
          <w:bCs/>
          <w:sz w:val="24"/>
          <w:szCs w:val="24"/>
          <w:u w:val="single"/>
          <w:rtl/>
        </w:rPr>
      </w:pPr>
    </w:p>
    <w:p w14:paraId="3AECAE28" w14:textId="77777777" w:rsidR="006256AD" w:rsidRDefault="006256AD" w:rsidP="006256AD">
      <w:pPr>
        <w:pStyle w:val="aa"/>
        <w:spacing w:after="0" w:line="480" w:lineRule="auto"/>
        <w:ind w:left="0"/>
        <w:jc w:val="both"/>
        <w:rPr>
          <w:rFonts w:ascii="David" w:hAnsi="David" w:cs="David"/>
          <w:b/>
          <w:bCs/>
          <w:sz w:val="24"/>
          <w:szCs w:val="24"/>
          <w:u w:val="single"/>
          <w:rtl/>
        </w:rPr>
      </w:pPr>
      <w:r>
        <w:rPr>
          <w:rFonts w:ascii="David" w:hAnsi="David" w:cs="David"/>
          <w:b/>
          <w:bCs/>
          <w:sz w:val="24"/>
          <w:szCs w:val="24"/>
          <w:u w:val="single"/>
          <w:rtl/>
        </w:rPr>
        <w:t>כתב האישום המתוקן</w:t>
      </w:r>
    </w:p>
    <w:p w14:paraId="24E20F45" w14:textId="77777777" w:rsidR="006256AD" w:rsidRDefault="006256AD" w:rsidP="006256AD">
      <w:pPr>
        <w:pStyle w:val="aa"/>
        <w:numPr>
          <w:ilvl w:val="0"/>
          <w:numId w:val="1"/>
        </w:numPr>
        <w:spacing w:after="0" w:line="360" w:lineRule="auto"/>
        <w:jc w:val="both"/>
        <w:rPr>
          <w:rFonts w:ascii="David" w:hAnsi="David" w:cs="David"/>
          <w:sz w:val="24"/>
          <w:szCs w:val="24"/>
        </w:rPr>
      </w:pPr>
      <w:bookmarkStart w:id="5" w:name="ABSTRACT_START"/>
      <w:bookmarkEnd w:id="5"/>
      <w:r>
        <w:rPr>
          <w:rFonts w:ascii="David" w:hAnsi="David" w:cs="David"/>
          <w:sz w:val="24"/>
          <w:szCs w:val="24"/>
          <w:rtl/>
        </w:rPr>
        <w:t xml:space="preserve">הנאשם הודה בעובדות כתב אישום מתוקן שהוגש במסגרת הסדר דיוני שלא כלל הסכמה לעונש, והורשע הנאשם הורשע בעבירות של החזקת סמים שלא לצריכה עצמית, לפי </w:t>
      </w:r>
      <w:hyperlink r:id="rId14" w:history="1">
        <w:r w:rsidR="00AD3889" w:rsidRPr="00AD3889">
          <w:rPr>
            <w:rStyle w:val="Hyperlink"/>
            <w:rFonts w:ascii="David" w:hAnsi="David" w:cs="David"/>
            <w:sz w:val="24"/>
            <w:szCs w:val="24"/>
            <w:rtl/>
          </w:rPr>
          <w:t>סעיף 7(א)+(ג)</w:t>
        </w:r>
      </w:hyperlink>
      <w:r>
        <w:rPr>
          <w:rFonts w:ascii="David" w:hAnsi="David" w:cs="David"/>
          <w:sz w:val="24"/>
          <w:szCs w:val="24"/>
          <w:rtl/>
        </w:rPr>
        <w:t xml:space="preserve"> רישא ל</w:t>
      </w:r>
      <w:hyperlink r:id="rId15" w:history="1">
        <w:r w:rsidR="00DC0445" w:rsidRPr="00DC0445">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התשל"ג – 1973 (להלן: "פקודת הסמים"), החזקת סמים לצריכה עצמית, עבירה לפי </w:t>
      </w:r>
      <w:hyperlink r:id="rId16" w:history="1">
        <w:r w:rsidR="00AD3889" w:rsidRPr="00AD3889">
          <w:rPr>
            <w:rStyle w:val="Hyperlink"/>
            <w:rFonts w:ascii="David" w:hAnsi="David" w:cs="David"/>
            <w:sz w:val="24"/>
            <w:szCs w:val="24"/>
            <w:rtl/>
          </w:rPr>
          <w:t>סעיף 7(א)+(ג)</w:t>
        </w:r>
      </w:hyperlink>
      <w:r>
        <w:rPr>
          <w:rFonts w:ascii="David" w:hAnsi="David" w:cs="David"/>
          <w:sz w:val="24"/>
          <w:szCs w:val="24"/>
          <w:rtl/>
        </w:rPr>
        <w:t xml:space="preserve"> סיפא לפקודה.</w:t>
      </w:r>
    </w:p>
    <w:p w14:paraId="0F70A2A3" w14:textId="77777777" w:rsidR="006256AD" w:rsidRDefault="006256AD" w:rsidP="006256AD">
      <w:pPr>
        <w:pStyle w:val="aa"/>
        <w:spacing w:after="0" w:line="240" w:lineRule="auto"/>
        <w:ind w:left="360"/>
        <w:jc w:val="both"/>
        <w:rPr>
          <w:rFonts w:ascii="David" w:hAnsi="David" w:cs="David"/>
          <w:sz w:val="24"/>
          <w:szCs w:val="24"/>
        </w:rPr>
      </w:pPr>
      <w:bookmarkStart w:id="6" w:name="ABSTRACT_END"/>
      <w:bookmarkEnd w:id="6"/>
    </w:p>
    <w:p w14:paraId="6F1BEF26" w14:textId="77777777" w:rsidR="006256AD" w:rsidRDefault="006256AD" w:rsidP="006256AD">
      <w:pPr>
        <w:pStyle w:val="aa"/>
        <w:numPr>
          <w:ilvl w:val="0"/>
          <w:numId w:val="1"/>
        </w:numPr>
        <w:spacing w:after="0" w:line="360" w:lineRule="auto"/>
        <w:jc w:val="both"/>
        <w:rPr>
          <w:rFonts w:ascii="David" w:hAnsi="David" w:cs="David"/>
          <w:sz w:val="24"/>
          <w:szCs w:val="24"/>
        </w:rPr>
      </w:pPr>
      <w:r>
        <w:rPr>
          <w:rFonts w:ascii="David" w:hAnsi="David" w:cs="David"/>
          <w:sz w:val="24"/>
          <w:szCs w:val="24"/>
          <w:u w:val="single"/>
          <w:rtl/>
        </w:rPr>
        <w:lastRenderedPageBreak/>
        <w:t>מעובדות כתב האישום עולה שביום 13.2.2020 החזיק הנאשם בביתו שבתל אביב, סמים מסוכנים שלא לצריכה עצמית, כדלקמן</w:t>
      </w:r>
      <w:r>
        <w:rPr>
          <w:rFonts w:ascii="David" w:hAnsi="David" w:cs="David"/>
          <w:sz w:val="24"/>
          <w:szCs w:val="24"/>
          <w:rtl/>
        </w:rPr>
        <w:t xml:space="preserve">: </w:t>
      </w:r>
    </w:p>
    <w:p w14:paraId="1DB27DE4" w14:textId="77777777" w:rsidR="006256AD" w:rsidRDefault="006256AD" w:rsidP="006256AD">
      <w:pPr>
        <w:pStyle w:val="aa"/>
        <w:spacing w:after="0" w:line="360" w:lineRule="auto"/>
        <w:ind w:left="357"/>
        <w:jc w:val="both"/>
        <w:rPr>
          <w:rFonts w:ascii="David" w:hAnsi="David" w:cs="David"/>
          <w:sz w:val="24"/>
          <w:szCs w:val="24"/>
        </w:rPr>
      </w:pPr>
      <w:r>
        <w:rPr>
          <w:rFonts w:ascii="David" w:hAnsi="David" w:cs="David"/>
          <w:sz w:val="24"/>
          <w:szCs w:val="24"/>
          <w:rtl/>
        </w:rPr>
        <w:t>(1) קוקאין במשקל כולל של 8.88 גרם נטו.</w:t>
      </w:r>
    </w:p>
    <w:p w14:paraId="63945BAF" w14:textId="77777777" w:rsidR="006256AD" w:rsidRDefault="006256AD" w:rsidP="006256AD">
      <w:pPr>
        <w:pStyle w:val="aa"/>
        <w:spacing w:after="0" w:line="360" w:lineRule="auto"/>
        <w:ind w:left="357"/>
        <w:jc w:val="both"/>
        <w:rPr>
          <w:rFonts w:ascii="David" w:hAnsi="David" w:cs="David"/>
          <w:sz w:val="24"/>
          <w:szCs w:val="24"/>
          <w:rtl/>
        </w:rPr>
      </w:pPr>
      <w:r>
        <w:rPr>
          <w:rFonts w:ascii="David" w:hAnsi="David" w:cs="David"/>
          <w:sz w:val="24"/>
          <w:szCs w:val="24"/>
          <w:rtl/>
        </w:rPr>
        <w:t xml:space="preserve">(2) </w:t>
      </w:r>
      <w:r w:rsidRPr="006256AD">
        <w:rPr>
          <w:rFonts w:ascii="Arial" w:hAnsi="Arial"/>
        </w:rPr>
        <w:t>MDMA</w:t>
      </w:r>
      <w:r>
        <w:rPr>
          <w:rFonts w:ascii="David" w:hAnsi="David" w:cs="David"/>
          <w:sz w:val="24"/>
          <w:szCs w:val="24"/>
          <w:rtl/>
        </w:rPr>
        <w:t xml:space="preserve"> במשקל 26.73 גרם נטו.</w:t>
      </w:r>
    </w:p>
    <w:p w14:paraId="4D8E29D5" w14:textId="77777777" w:rsidR="006256AD" w:rsidRDefault="006256AD" w:rsidP="006256AD">
      <w:pPr>
        <w:pStyle w:val="aa"/>
        <w:spacing w:after="0" w:line="360" w:lineRule="auto"/>
        <w:ind w:left="357"/>
        <w:jc w:val="both"/>
        <w:rPr>
          <w:rFonts w:ascii="David" w:hAnsi="David" w:cs="David"/>
          <w:sz w:val="24"/>
          <w:szCs w:val="24"/>
          <w:rtl/>
        </w:rPr>
      </w:pPr>
      <w:r>
        <w:rPr>
          <w:rFonts w:ascii="David" w:hAnsi="David" w:cs="David"/>
          <w:sz w:val="24"/>
          <w:szCs w:val="24"/>
          <w:rtl/>
        </w:rPr>
        <w:t xml:space="preserve">(3) 40 ריבועי נייר ו-1.3 מ"ל של </w:t>
      </w:r>
      <w:r w:rsidRPr="006256AD">
        <w:rPr>
          <w:rFonts w:ascii="Arial" w:hAnsi="Arial"/>
        </w:rPr>
        <w:t>LSD</w:t>
      </w:r>
      <w:r>
        <w:rPr>
          <w:rFonts w:ascii="David" w:hAnsi="David" w:cs="David"/>
          <w:sz w:val="24"/>
          <w:szCs w:val="24"/>
          <w:rtl/>
        </w:rPr>
        <w:t>.</w:t>
      </w:r>
    </w:p>
    <w:p w14:paraId="61E7A160" w14:textId="77777777" w:rsidR="006256AD" w:rsidRDefault="006256AD" w:rsidP="006256AD">
      <w:pPr>
        <w:pStyle w:val="aa"/>
        <w:spacing w:after="0" w:line="240" w:lineRule="auto"/>
        <w:ind w:left="357"/>
        <w:jc w:val="both"/>
        <w:rPr>
          <w:rFonts w:ascii="David" w:hAnsi="David" w:cs="David"/>
          <w:sz w:val="24"/>
          <w:szCs w:val="24"/>
          <w:rtl/>
        </w:rPr>
      </w:pPr>
    </w:p>
    <w:p w14:paraId="0E26C748" w14:textId="77777777" w:rsidR="006256AD" w:rsidRDefault="006256AD" w:rsidP="006256AD">
      <w:pPr>
        <w:pStyle w:val="aa"/>
        <w:spacing w:after="240" w:line="360" w:lineRule="auto"/>
        <w:ind w:left="357"/>
        <w:jc w:val="both"/>
        <w:rPr>
          <w:rFonts w:ascii="David" w:hAnsi="David" w:cs="David"/>
          <w:sz w:val="24"/>
          <w:szCs w:val="24"/>
          <w:u w:val="single"/>
          <w:rtl/>
        </w:rPr>
      </w:pPr>
      <w:r>
        <w:rPr>
          <w:rFonts w:ascii="David" w:hAnsi="David" w:cs="David"/>
          <w:sz w:val="24"/>
          <w:szCs w:val="24"/>
          <w:u w:val="single"/>
          <w:rtl/>
        </w:rPr>
        <w:t>באותו מעמד החזיק הנאשם סמים לצריכה עצמית, כדלקמן:</w:t>
      </w:r>
    </w:p>
    <w:p w14:paraId="00B7BBC0" w14:textId="77777777" w:rsidR="006256AD" w:rsidRDefault="006256AD" w:rsidP="006256AD">
      <w:pPr>
        <w:pStyle w:val="aa"/>
        <w:spacing w:after="0" w:line="360" w:lineRule="auto"/>
        <w:ind w:left="357"/>
        <w:jc w:val="both"/>
        <w:rPr>
          <w:rFonts w:ascii="David" w:hAnsi="David" w:cs="David"/>
          <w:sz w:val="24"/>
          <w:szCs w:val="24"/>
          <w:rtl/>
        </w:rPr>
      </w:pPr>
      <w:r>
        <w:rPr>
          <w:rFonts w:ascii="David" w:hAnsi="David" w:cs="David"/>
          <w:sz w:val="24"/>
          <w:szCs w:val="24"/>
          <w:rtl/>
        </w:rPr>
        <w:t xml:space="preserve">(4)  </w:t>
      </w:r>
      <w:r w:rsidRPr="006256AD">
        <w:rPr>
          <w:rFonts w:ascii="Arial" w:hAnsi="Arial"/>
          <w:sz w:val="24"/>
          <w:szCs w:val="24"/>
        </w:rPr>
        <w:t>m</w:t>
      </w:r>
      <w:r w:rsidRPr="006256AD">
        <w:rPr>
          <w:rFonts w:ascii="Arial" w:hAnsi="Arial"/>
        </w:rPr>
        <w:t>-METHYLETHACHINON</w:t>
      </w:r>
      <w:r w:rsidRPr="006256AD">
        <w:rPr>
          <w:rFonts w:ascii="Arial" w:hAnsi="Arial"/>
          <w:rtl/>
        </w:rPr>
        <w:t xml:space="preserve"> </w:t>
      </w:r>
      <w:r>
        <w:rPr>
          <w:rFonts w:ascii="David" w:hAnsi="David" w:cs="David"/>
          <w:sz w:val="24"/>
          <w:szCs w:val="24"/>
          <w:rtl/>
        </w:rPr>
        <w:t>במשקל 31.5 גרם נטו.</w:t>
      </w:r>
    </w:p>
    <w:p w14:paraId="23AA56C5" w14:textId="77777777" w:rsidR="006256AD" w:rsidRDefault="006256AD" w:rsidP="006256AD">
      <w:pPr>
        <w:pStyle w:val="aa"/>
        <w:spacing w:after="0" w:line="360" w:lineRule="auto"/>
        <w:ind w:left="357"/>
        <w:jc w:val="both"/>
        <w:rPr>
          <w:rFonts w:ascii="David" w:hAnsi="David" w:cs="David"/>
          <w:sz w:val="24"/>
          <w:szCs w:val="24"/>
          <w:rtl/>
        </w:rPr>
      </w:pPr>
      <w:r>
        <w:rPr>
          <w:rFonts w:ascii="David" w:hAnsi="David" w:cs="David"/>
          <w:sz w:val="24"/>
          <w:szCs w:val="24"/>
          <w:rtl/>
        </w:rPr>
        <w:t>(5) קטאמין במשקל 14.87 גרם נטו.</w:t>
      </w:r>
    </w:p>
    <w:p w14:paraId="58CF88E0" w14:textId="77777777" w:rsidR="006256AD" w:rsidRDefault="006256AD" w:rsidP="006256AD">
      <w:pPr>
        <w:pStyle w:val="aa"/>
        <w:spacing w:after="0" w:line="360" w:lineRule="auto"/>
        <w:ind w:left="357"/>
        <w:jc w:val="both"/>
        <w:rPr>
          <w:rFonts w:ascii="David" w:hAnsi="David" w:cs="David"/>
          <w:sz w:val="24"/>
          <w:szCs w:val="24"/>
          <w:rtl/>
        </w:rPr>
      </w:pPr>
      <w:r>
        <w:rPr>
          <w:rFonts w:ascii="David" w:hAnsi="David" w:cs="David"/>
          <w:sz w:val="24"/>
          <w:szCs w:val="24"/>
          <w:rtl/>
        </w:rPr>
        <w:t xml:space="preserve">(6) </w:t>
      </w:r>
      <w:r w:rsidRPr="006256AD">
        <w:rPr>
          <w:rFonts w:ascii="Arial" w:hAnsi="Arial"/>
        </w:rPr>
        <w:t>DELTA9-TETRAHYDROCANNABINOL</w:t>
      </w:r>
      <w:r w:rsidRPr="006256AD">
        <w:rPr>
          <w:rFonts w:ascii="Arial" w:hAnsi="Arial"/>
          <w:rtl/>
        </w:rPr>
        <w:t xml:space="preserve"> </w:t>
      </w:r>
      <w:r>
        <w:rPr>
          <w:rFonts w:ascii="David" w:hAnsi="David" w:cs="David"/>
          <w:sz w:val="24"/>
          <w:szCs w:val="24"/>
          <w:rtl/>
        </w:rPr>
        <w:t>בכמות של</w:t>
      </w:r>
      <w:r w:rsidRPr="006256AD">
        <w:rPr>
          <w:rFonts w:ascii="Arial" w:hAnsi="Arial"/>
          <w:rtl/>
        </w:rPr>
        <w:t xml:space="preserve"> </w:t>
      </w:r>
      <w:r>
        <w:rPr>
          <w:rFonts w:ascii="David" w:hAnsi="David" w:cs="David"/>
          <w:sz w:val="24"/>
          <w:szCs w:val="24"/>
          <w:rtl/>
        </w:rPr>
        <w:t>8.5 מ"ל.</w:t>
      </w:r>
    </w:p>
    <w:p w14:paraId="2CC2DF64" w14:textId="77777777" w:rsidR="006256AD" w:rsidRDefault="006256AD" w:rsidP="006256AD">
      <w:pPr>
        <w:pStyle w:val="aa"/>
        <w:spacing w:line="360" w:lineRule="auto"/>
        <w:ind w:left="357"/>
        <w:jc w:val="both"/>
        <w:rPr>
          <w:rFonts w:ascii="David" w:hAnsi="David" w:cs="David"/>
          <w:sz w:val="24"/>
          <w:szCs w:val="24"/>
          <w:rtl/>
        </w:rPr>
      </w:pPr>
      <w:r>
        <w:rPr>
          <w:rFonts w:ascii="David" w:hAnsi="David" w:cs="David"/>
          <w:sz w:val="24"/>
          <w:szCs w:val="24"/>
          <w:rtl/>
        </w:rPr>
        <w:t>(7) קנבוס בשקל 1.76 גרם, לצריכה עצמית.</w:t>
      </w:r>
    </w:p>
    <w:p w14:paraId="4B00D199" w14:textId="77777777" w:rsidR="006256AD" w:rsidRDefault="006256AD" w:rsidP="006256AD">
      <w:pPr>
        <w:pStyle w:val="aa"/>
        <w:spacing w:after="0" w:line="240" w:lineRule="auto"/>
        <w:ind w:left="357"/>
        <w:jc w:val="both"/>
        <w:rPr>
          <w:rFonts w:ascii="David" w:hAnsi="David" w:cs="David"/>
          <w:sz w:val="24"/>
          <w:szCs w:val="24"/>
          <w:u w:val="single"/>
          <w:rtl/>
        </w:rPr>
      </w:pPr>
    </w:p>
    <w:p w14:paraId="7975C55A" w14:textId="77777777" w:rsidR="006256AD" w:rsidRDefault="006256AD" w:rsidP="006256AD">
      <w:pPr>
        <w:pStyle w:val="aa"/>
        <w:spacing w:after="0" w:line="360" w:lineRule="auto"/>
        <w:ind w:left="357"/>
        <w:jc w:val="both"/>
        <w:rPr>
          <w:rFonts w:ascii="David" w:hAnsi="David" w:cs="David"/>
          <w:sz w:val="24"/>
          <w:szCs w:val="24"/>
          <w:u w:val="single"/>
          <w:rtl/>
        </w:rPr>
      </w:pPr>
      <w:r>
        <w:rPr>
          <w:rFonts w:ascii="David" w:hAnsi="David" w:cs="David"/>
          <w:sz w:val="24"/>
          <w:szCs w:val="24"/>
          <w:u w:val="single"/>
          <w:rtl/>
        </w:rPr>
        <w:t xml:space="preserve">כמו כן החזיק הנאשם בשלושה משקלים דיגיטליים, ושקיות חלוקה של סמים. </w:t>
      </w:r>
    </w:p>
    <w:p w14:paraId="362107AE" w14:textId="77777777" w:rsidR="006256AD" w:rsidRDefault="006256AD" w:rsidP="006256AD">
      <w:pPr>
        <w:pStyle w:val="aa"/>
        <w:spacing w:after="0" w:line="240" w:lineRule="auto"/>
        <w:ind w:left="357"/>
        <w:jc w:val="both"/>
        <w:rPr>
          <w:rFonts w:ascii="David" w:hAnsi="David" w:cs="David"/>
          <w:sz w:val="24"/>
          <w:szCs w:val="24"/>
          <w:u w:val="single"/>
          <w:rtl/>
        </w:rPr>
      </w:pPr>
    </w:p>
    <w:p w14:paraId="2C306CF6" w14:textId="77777777" w:rsidR="006256AD" w:rsidRDefault="006256AD" w:rsidP="006256AD">
      <w:pPr>
        <w:pStyle w:val="aa"/>
        <w:spacing w:after="0" w:line="240" w:lineRule="auto"/>
        <w:ind w:left="357"/>
        <w:jc w:val="both"/>
        <w:rPr>
          <w:rFonts w:ascii="David" w:hAnsi="David" w:cs="David"/>
          <w:sz w:val="24"/>
          <w:szCs w:val="24"/>
          <w:u w:val="single"/>
          <w:rtl/>
        </w:rPr>
      </w:pPr>
    </w:p>
    <w:p w14:paraId="58D0EF89" w14:textId="77777777" w:rsidR="006256AD" w:rsidRDefault="006256AD" w:rsidP="006256AD">
      <w:pPr>
        <w:pStyle w:val="aa"/>
        <w:numPr>
          <w:ilvl w:val="0"/>
          <w:numId w:val="1"/>
        </w:numPr>
        <w:spacing w:after="0" w:line="360" w:lineRule="auto"/>
        <w:jc w:val="both"/>
        <w:rPr>
          <w:rFonts w:ascii="David" w:hAnsi="David" w:cs="David"/>
          <w:sz w:val="24"/>
          <w:szCs w:val="24"/>
          <w:rtl/>
        </w:rPr>
      </w:pPr>
      <w:r>
        <w:rPr>
          <w:rFonts w:ascii="David" w:hAnsi="David" w:cs="David"/>
          <w:sz w:val="24"/>
          <w:szCs w:val="24"/>
          <w:rtl/>
        </w:rPr>
        <w:t xml:space="preserve">באותו מועד התדפקו שוטרים על דלת ביתו של הנאשם כדי לבצע חיפוש במקום לפי צו, אז העלים הנאשם ראיות בכך שזרק סמים מחלון הדירה בכוונה להכשיל הליך שיפוטי או להביא לעיוות דין, והורשע בעבירה של שיבוש מהלכי משפט, עבירה לפי </w:t>
      </w:r>
      <w:hyperlink r:id="rId17" w:history="1">
        <w:r w:rsidR="00AD3889" w:rsidRPr="00AD3889">
          <w:rPr>
            <w:rStyle w:val="Hyperlink"/>
            <w:rFonts w:ascii="David" w:hAnsi="David" w:cs="David"/>
            <w:sz w:val="24"/>
            <w:szCs w:val="24"/>
            <w:rtl/>
          </w:rPr>
          <w:t>סעיף 244</w:t>
        </w:r>
      </w:hyperlink>
      <w:r>
        <w:rPr>
          <w:rFonts w:ascii="David" w:hAnsi="David" w:cs="David"/>
          <w:sz w:val="24"/>
          <w:szCs w:val="24"/>
          <w:rtl/>
        </w:rPr>
        <w:t xml:space="preserve"> ל</w:t>
      </w:r>
      <w:hyperlink r:id="rId18" w:history="1">
        <w:r w:rsidR="00DC0445" w:rsidRPr="00DC0445">
          <w:rPr>
            <w:rFonts w:ascii="David" w:hAnsi="David" w:cs="David"/>
            <w:color w:val="0000FF"/>
            <w:sz w:val="24"/>
            <w:szCs w:val="24"/>
            <w:u w:val="single"/>
            <w:rtl/>
          </w:rPr>
          <w:t>חוק העונשין</w:t>
        </w:r>
      </w:hyperlink>
      <w:r>
        <w:rPr>
          <w:rFonts w:ascii="David" w:hAnsi="David" w:cs="David"/>
          <w:sz w:val="24"/>
          <w:szCs w:val="24"/>
          <w:rtl/>
        </w:rPr>
        <w:t xml:space="preserve">, התשל"ז – 1977 (להלן: "חוק העונשין"). </w:t>
      </w:r>
    </w:p>
    <w:p w14:paraId="62823043" w14:textId="77777777" w:rsidR="006256AD" w:rsidRDefault="006256AD" w:rsidP="006256AD">
      <w:pPr>
        <w:pStyle w:val="aa"/>
        <w:spacing w:after="0" w:line="480" w:lineRule="auto"/>
        <w:ind w:left="360"/>
        <w:jc w:val="both"/>
        <w:rPr>
          <w:rFonts w:ascii="David" w:hAnsi="David" w:cs="David"/>
          <w:sz w:val="24"/>
          <w:szCs w:val="24"/>
        </w:rPr>
      </w:pPr>
    </w:p>
    <w:p w14:paraId="37825DD8" w14:textId="77777777" w:rsidR="006256AD" w:rsidRDefault="006256AD" w:rsidP="006256AD">
      <w:pPr>
        <w:spacing w:line="360" w:lineRule="auto"/>
        <w:jc w:val="both"/>
        <w:rPr>
          <w:rFonts w:ascii="David" w:hAnsi="David"/>
          <w:b/>
          <w:bCs/>
          <w:u w:val="single"/>
        </w:rPr>
      </w:pPr>
      <w:r>
        <w:rPr>
          <w:rFonts w:ascii="David" w:hAnsi="David"/>
          <w:b/>
          <w:bCs/>
          <w:u w:val="single"/>
          <w:rtl/>
        </w:rPr>
        <w:t>תסקיר שירות המבחן</w:t>
      </w:r>
    </w:p>
    <w:p w14:paraId="1F5709B4" w14:textId="77777777" w:rsidR="006256AD" w:rsidRDefault="006256AD" w:rsidP="006256AD">
      <w:pPr>
        <w:pStyle w:val="aa"/>
        <w:numPr>
          <w:ilvl w:val="0"/>
          <w:numId w:val="1"/>
        </w:numPr>
        <w:spacing w:after="0" w:line="360" w:lineRule="auto"/>
        <w:ind w:left="357" w:hanging="357"/>
        <w:jc w:val="both"/>
        <w:rPr>
          <w:rFonts w:ascii="David" w:hAnsi="David" w:cs="David"/>
          <w:sz w:val="24"/>
          <w:szCs w:val="24"/>
        </w:rPr>
      </w:pPr>
      <w:r>
        <w:rPr>
          <w:rFonts w:ascii="David" w:hAnsi="David" w:cs="David"/>
          <w:sz w:val="24"/>
          <w:szCs w:val="24"/>
          <w:rtl/>
        </w:rPr>
        <w:t>תסקיר שירות המבחן מיום 21.2.2023 סקר את נסיבותיו האישיות של הנאשם, בהיותו צעיר בן 25 שלו עבר פלילי קל, המתגורר בעיר רמלה. הנאשם אובחן עם בעיות קשב וריכוז, נפלט מבית הספר וסיים 12 שנות לימוד בפנימייה, ללא תעודת. בצבא שירת הנאשם בתפקיד מאבטח מתקנים. החל מגיל 16 עבד הנאשם בתחום המסעדנות, וכיום הוא עובד בבר בתל-אביב – תחום שמסב לו סיפוק ותחושת מסוגלות.</w:t>
      </w:r>
    </w:p>
    <w:p w14:paraId="691BF6E2" w14:textId="77777777" w:rsidR="006256AD" w:rsidRDefault="006256AD" w:rsidP="006256AD">
      <w:pPr>
        <w:pStyle w:val="aa"/>
        <w:spacing w:after="0" w:line="240" w:lineRule="auto"/>
        <w:ind w:left="357"/>
        <w:jc w:val="both"/>
        <w:rPr>
          <w:rFonts w:ascii="David" w:hAnsi="David" w:cs="David"/>
          <w:sz w:val="24"/>
          <w:szCs w:val="24"/>
        </w:rPr>
      </w:pPr>
    </w:p>
    <w:p w14:paraId="70DB3AA7" w14:textId="77777777" w:rsidR="006256AD" w:rsidRDefault="006256AD" w:rsidP="006256AD">
      <w:pPr>
        <w:pStyle w:val="aa"/>
        <w:numPr>
          <w:ilvl w:val="0"/>
          <w:numId w:val="1"/>
        </w:numPr>
        <w:spacing w:after="0" w:line="360" w:lineRule="auto"/>
        <w:ind w:left="357" w:hanging="357"/>
        <w:jc w:val="both"/>
        <w:rPr>
          <w:rFonts w:ascii="David" w:hAnsi="David" w:cs="David"/>
          <w:sz w:val="24"/>
          <w:szCs w:val="24"/>
        </w:rPr>
      </w:pPr>
      <w:r>
        <w:rPr>
          <w:rFonts w:ascii="David" w:hAnsi="David" w:cs="David"/>
          <w:sz w:val="24"/>
          <w:szCs w:val="24"/>
          <w:rtl/>
        </w:rPr>
        <w:t>הנאשם סיפר כי הוא החל לצורך סמים מגיל 17 בצריכה יומית, עד לפתיחת ההליכים נגדו, ועשה זאת בין היתר על רקע כאבי גב. עוד מסר כי הוא לא רואה בעייתיות או קושי בצריכת סמים. לדבריו, בעקבות פרידת מבת זוגו התגברה צריכת הסמים וסוגיהם. בנוגע לעבירות בהן הורשע, עמד הנאשם על כך שהסמים שנתפסו היו לצורך שימושו העצמי בלבד.</w:t>
      </w:r>
    </w:p>
    <w:p w14:paraId="256610DB" w14:textId="77777777" w:rsidR="006256AD" w:rsidRDefault="006256AD" w:rsidP="006256AD">
      <w:pPr>
        <w:pStyle w:val="aa"/>
        <w:spacing w:after="0" w:line="240" w:lineRule="auto"/>
        <w:ind w:left="357"/>
        <w:jc w:val="both"/>
        <w:rPr>
          <w:rFonts w:ascii="David" w:hAnsi="David" w:cs="David"/>
          <w:sz w:val="24"/>
          <w:szCs w:val="24"/>
        </w:rPr>
      </w:pPr>
    </w:p>
    <w:p w14:paraId="57A16285" w14:textId="77777777" w:rsidR="006256AD" w:rsidRDefault="006256AD" w:rsidP="006256AD">
      <w:pPr>
        <w:pStyle w:val="aa"/>
        <w:numPr>
          <w:ilvl w:val="0"/>
          <w:numId w:val="1"/>
        </w:numPr>
        <w:spacing w:after="0" w:line="360" w:lineRule="auto"/>
        <w:ind w:left="357" w:hanging="357"/>
        <w:jc w:val="both"/>
        <w:rPr>
          <w:rFonts w:ascii="David" w:hAnsi="David" w:cs="David"/>
          <w:sz w:val="24"/>
          <w:szCs w:val="24"/>
        </w:rPr>
      </w:pPr>
      <w:r>
        <w:rPr>
          <w:rFonts w:ascii="David" w:hAnsi="David" w:cs="David"/>
          <w:sz w:val="24"/>
          <w:szCs w:val="24"/>
          <w:rtl/>
        </w:rPr>
        <w:t xml:space="preserve">הנאשם הופנה בדצמבר 2022 למתן בדיקות שתן, בהן נמצאו שרידי סם מסוג קנבואידים, ואולם הוא עמד על כך שאינו משתמש בסמים ולא נתן הסבר לתוצאות הבדיקות. בבדיקת שתן מפברואר 2023, לא נמצאו שרידי סם. שירות המבחן העריך שהנאשם לא שיתף על קורותיו באופן גלוי ופתוח, ומסר מידע חלקי ולא עקבי. עוד עולה מהתסקיר כי הנאשם לא ביטא רצון או צורך לערוך שינויים בהתנהלותו, אך הביע בתחילה הסכמה להשתלב ביחידה לטיפול </w:t>
      </w:r>
      <w:r>
        <w:rPr>
          <w:rFonts w:ascii="David" w:hAnsi="David" w:cs="David"/>
          <w:sz w:val="24"/>
          <w:szCs w:val="24"/>
          <w:rtl/>
        </w:rPr>
        <w:lastRenderedPageBreak/>
        <w:t>בהתמכרויות. ואולם, בשיחה נוספת עם גורמי הטיפול, חזר בו הנאשם ומסר שהוא לא חווה קושי כלשהו או צורך טיפולי. משכך ולנוכח העובדה שהנאשם לא שיתף את שירות המבחן באופן כן ועקבי, התקשו גורמי הטיפול להעריך את הסיכון במצבו להישנות עבירות דומות. עם זאת, לאור הבעת רצונו של הנאשם להימנע ממעורבות בפלילים, המליץ השירות להימנע ממאסר בפועל והמליץ על השתת מאסר קצר בעבודות שירות בטו.</w:t>
      </w:r>
    </w:p>
    <w:p w14:paraId="654D74A9" w14:textId="77777777" w:rsidR="006256AD" w:rsidRDefault="006256AD" w:rsidP="006256AD">
      <w:pPr>
        <w:pStyle w:val="aa"/>
        <w:spacing w:after="0" w:line="480" w:lineRule="auto"/>
        <w:ind w:left="360"/>
        <w:jc w:val="both"/>
        <w:rPr>
          <w:rFonts w:ascii="David" w:hAnsi="David" w:cs="David"/>
          <w:b/>
          <w:bCs/>
          <w:sz w:val="24"/>
          <w:szCs w:val="24"/>
          <w:u w:val="single"/>
        </w:rPr>
      </w:pPr>
    </w:p>
    <w:p w14:paraId="67816A42" w14:textId="77777777" w:rsidR="006256AD" w:rsidRDefault="006256AD" w:rsidP="006256AD">
      <w:pPr>
        <w:pStyle w:val="aa"/>
        <w:spacing w:after="0" w:line="480" w:lineRule="auto"/>
        <w:ind w:left="0"/>
        <w:jc w:val="both"/>
        <w:rPr>
          <w:rFonts w:ascii="David" w:hAnsi="David" w:cs="David"/>
          <w:b/>
          <w:bCs/>
          <w:sz w:val="24"/>
          <w:szCs w:val="24"/>
          <w:u w:val="single"/>
          <w:rtl/>
        </w:rPr>
      </w:pPr>
      <w:r>
        <w:rPr>
          <w:rFonts w:ascii="David" w:hAnsi="David" w:cs="David"/>
          <w:b/>
          <w:bCs/>
          <w:sz w:val="24"/>
          <w:szCs w:val="24"/>
          <w:u w:val="single"/>
          <w:rtl/>
        </w:rPr>
        <w:t>השתלשלות ההליכים</w:t>
      </w:r>
    </w:p>
    <w:p w14:paraId="6AD65146" w14:textId="77777777" w:rsidR="006256AD" w:rsidRPr="00C8312F" w:rsidRDefault="006256AD" w:rsidP="006256AD">
      <w:pPr>
        <w:pStyle w:val="aa"/>
        <w:numPr>
          <w:ilvl w:val="0"/>
          <w:numId w:val="1"/>
        </w:numPr>
        <w:spacing w:after="0" w:line="360" w:lineRule="auto"/>
        <w:ind w:left="357" w:hanging="357"/>
        <w:jc w:val="both"/>
        <w:rPr>
          <w:rFonts w:ascii="David" w:hAnsi="David" w:cs="David"/>
          <w:b/>
          <w:bCs/>
          <w:sz w:val="24"/>
          <w:szCs w:val="24"/>
          <w:u w:val="single"/>
        </w:rPr>
      </w:pPr>
      <w:r>
        <w:rPr>
          <w:rFonts w:ascii="David" w:hAnsi="David" w:cs="David"/>
          <w:sz w:val="24"/>
          <w:szCs w:val="24"/>
          <w:rtl/>
        </w:rPr>
        <w:t xml:space="preserve">כתב האישום הוגש לבית המשפט השלום בתל אביב ביום 24.2.2020. כבר בתחילת ההליך, הופנה הנאשם לבחינת עניינו בבית המשפט הקהילתי ברמלה, ולשם כך נדחו הדיונים לבקשתו במשך ארבעה ישיבות. ב"כ הנאשם דאז נדרש להגיש בקשה לבית המשפט העליון, לפי </w:t>
      </w:r>
      <w:hyperlink r:id="rId19" w:history="1">
        <w:r w:rsidR="00AD3889" w:rsidRPr="00AD3889">
          <w:rPr>
            <w:rStyle w:val="Hyperlink"/>
            <w:rFonts w:ascii="David" w:hAnsi="David" w:cs="David"/>
            <w:sz w:val="24"/>
            <w:szCs w:val="24"/>
            <w:rtl/>
          </w:rPr>
          <w:t>סעיף 78</w:t>
        </w:r>
      </w:hyperlink>
      <w:r>
        <w:rPr>
          <w:rFonts w:ascii="David" w:hAnsi="David" w:cs="David"/>
          <w:sz w:val="24"/>
          <w:szCs w:val="24"/>
          <w:rtl/>
        </w:rPr>
        <w:t xml:space="preserve"> ל</w:t>
      </w:r>
      <w:hyperlink r:id="rId20" w:history="1">
        <w:r w:rsidR="00DC0445" w:rsidRPr="00DC0445">
          <w:rPr>
            <w:rFonts w:ascii="David" w:hAnsi="David" w:cs="David"/>
            <w:color w:val="0000FF"/>
            <w:sz w:val="24"/>
            <w:szCs w:val="24"/>
            <w:u w:val="single"/>
            <w:rtl/>
          </w:rPr>
          <w:t>חוק בתי המשפט</w:t>
        </w:r>
      </w:hyperlink>
      <w:r>
        <w:rPr>
          <w:rFonts w:ascii="David" w:hAnsi="David" w:cs="David"/>
          <w:sz w:val="24"/>
          <w:szCs w:val="24"/>
          <w:rtl/>
        </w:rPr>
        <w:t xml:space="preserve"> [נוסח משולב], התשמ"ד-1984 להעברת מקום השיפוט והתעכב בהגשתה</w:t>
      </w:r>
      <w:r>
        <w:rPr>
          <w:rFonts w:ascii="David" w:hAnsi="David" w:cs="David" w:hint="cs"/>
          <w:sz w:val="24"/>
          <w:szCs w:val="24"/>
          <w:rtl/>
        </w:rPr>
        <w:t>.</w:t>
      </w:r>
      <w:r>
        <w:rPr>
          <w:rFonts w:ascii="David" w:hAnsi="David" w:cs="David"/>
          <w:sz w:val="24"/>
          <w:szCs w:val="24"/>
          <w:rtl/>
        </w:rPr>
        <w:t xml:space="preserve"> </w:t>
      </w:r>
    </w:p>
    <w:p w14:paraId="3AF8C877" w14:textId="77777777" w:rsidR="006256AD" w:rsidRDefault="006256AD" w:rsidP="006256AD">
      <w:pPr>
        <w:pStyle w:val="aa"/>
        <w:numPr>
          <w:ilvl w:val="0"/>
          <w:numId w:val="1"/>
        </w:numPr>
        <w:spacing w:after="0" w:line="360" w:lineRule="auto"/>
        <w:ind w:left="357" w:hanging="357"/>
        <w:jc w:val="both"/>
        <w:rPr>
          <w:rFonts w:ascii="David" w:hAnsi="David" w:cs="David"/>
          <w:b/>
          <w:bCs/>
          <w:sz w:val="24"/>
          <w:szCs w:val="24"/>
          <w:u w:val="single"/>
        </w:rPr>
      </w:pPr>
      <w:r>
        <w:rPr>
          <w:rFonts w:ascii="David" w:hAnsi="David" w:cs="David" w:hint="cs"/>
          <w:sz w:val="24"/>
          <w:szCs w:val="24"/>
          <w:rtl/>
        </w:rPr>
        <w:t xml:space="preserve">משכך, </w:t>
      </w:r>
      <w:r>
        <w:rPr>
          <w:rFonts w:ascii="David" w:hAnsi="David" w:cs="David"/>
          <w:sz w:val="24"/>
          <w:szCs w:val="24"/>
          <w:rtl/>
        </w:rPr>
        <w:t xml:space="preserve">רק ביום 6.4.2021 ניתנה ההחלטה על העברת מקום השיפוט. עוד באותו היום נקבע דיון ראשון בבית המשפט הקהילתי ברמלה, וביום 21.5.2021 עתר הנאשם להחלפת הייצוג. הדיון נדחה לשם כך, ומאז נשמעו ארבעה דיונים בבית המשפט הקהילתי, ובאחרון מיום 15.11.2021 הוצא הנאשם מהליך זה, והוחזר לדיון בפני שופט המוקד, וזה התקיים ביום 30.12.2021. לבקשת הנאשם נדחו הדיון שוב, וביום 17.2.2022 הודיעו הצדדים על הסדר הטיעון הדיוני, הנאשם הודה במיוחס לו ונשלח לקבלת תסקיר לעונש. ביום 17.9.2022 הוגשה בקשה נוספת להחלפת ייצוג. מתסקיר שירות המבחן שהוגש ביום 12.12.2022 נודע כי לנאשם נקבעו שתי פגישות בשירות המבחן לצורך עריכת אבחון, אולם לפגישה הראשונה הגיע שלא בשעתה ולא ניתן היה לקיימה, ולפגישה השנייה הודיע שחלה בקורונה ולכן גם אז נדחתה הפגישה עמו. שירות המבחן ביקש דחייה </w:t>
      </w:r>
      <w:r>
        <w:rPr>
          <w:rFonts w:ascii="David" w:hAnsi="David" w:cs="David" w:hint="cs"/>
          <w:sz w:val="24"/>
          <w:szCs w:val="24"/>
          <w:rtl/>
        </w:rPr>
        <w:t>נוספת</w:t>
      </w:r>
      <w:r>
        <w:rPr>
          <w:rFonts w:ascii="David" w:hAnsi="David" w:cs="David"/>
          <w:sz w:val="24"/>
          <w:szCs w:val="24"/>
          <w:rtl/>
        </w:rPr>
        <w:t xml:space="preserve"> לעריכת התסקיר, ובהתאם נדחה דיון הטיעונים לעונש ליום 23.2.2023. </w:t>
      </w:r>
    </w:p>
    <w:p w14:paraId="752F5591" w14:textId="77777777" w:rsidR="006256AD" w:rsidRPr="00C8312F" w:rsidRDefault="006256AD" w:rsidP="006256AD">
      <w:pPr>
        <w:pStyle w:val="aa"/>
        <w:spacing w:after="0" w:line="480" w:lineRule="auto"/>
        <w:ind w:left="357"/>
        <w:jc w:val="both"/>
        <w:rPr>
          <w:rFonts w:ascii="David" w:hAnsi="David" w:cs="David"/>
          <w:b/>
          <w:bCs/>
          <w:sz w:val="24"/>
          <w:szCs w:val="24"/>
          <w:u w:val="single"/>
        </w:rPr>
      </w:pPr>
    </w:p>
    <w:p w14:paraId="33F2A1CC" w14:textId="77777777" w:rsidR="006256AD" w:rsidRDefault="006256AD" w:rsidP="006256AD">
      <w:pPr>
        <w:spacing w:line="480" w:lineRule="auto"/>
        <w:jc w:val="both"/>
        <w:rPr>
          <w:rFonts w:ascii="David" w:hAnsi="David"/>
          <w:b/>
          <w:bCs/>
          <w:u w:val="single"/>
        </w:rPr>
      </w:pPr>
      <w:r>
        <w:rPr>
          <w:rFonts w:ascii="David" w:hAnsi="David"/>
          <w:b/>
          <w:bCs/>
          <w:u w:val="single"/>
          <w:rtl/>
        </w:rPr>
        <w:t>תמצית טיעוני ב"כ הצדדים לעונש</w:t>
      </w:r>
    </w:p>
    <w:p w14:paraId="7E35EE57" w14:textId="77777777" w:rsidR="006256AD" w:rsidRDefault="006256AD" w:rsidP="006256AD">
      <w:pPr>
        <w:pStyle w:val="aa"/>
        <w:numPr>
          <w:ilvl w:val="0"/>
          <w:numId w:val="1"/>
        </w:numPr>
        <w:spacing w:after="0" w:line="360" w:lineRule="auto"/>
        <w:jc w:val="both"/>
        <w:rPr>
          <w:rFonts w:ascii="David" w:hAnsi="David" w:cs="David"/>
          <w:sz w:val="24"/>
          <w:szCs w:val="24"/>
        </w:rPr>
      </w:pPr>
      <w:r>
        <w:rPr>
          <w:rFonts w:ascii="David" w:hAnsi="David" w:cs="David"/>
          <w:sz w:val="24"/>
          <w:szCs w:val="24"/>
          <w:rtl/>
        </w:rPr>
        <w:t>ב"כ המאשימה עוה"ד ליאור אחרק, טענה לחומרת העבירה בשים לב לכמות גדולה יחסית של הס</w:t>
      </w:r>
      <w:r>
        <w:rPr>
          <w:rFonts w:ascii="David" w:hAnsi="David" w:cs="David" w:hint="cs"/>
          <w:sz w:val="24"/>
          <w:szCs w:val="24"/>
          <w:rtl/>
        </w:rPr>
        <w:t xml:space="preserve">מים </w:t>
      </w:r>
      <w:r>
        <w:rPr>
          <w:rFonts w:ascii="David" w:hAnsi="David" w:cs="David"/>
          <w:sz w:val="24"/>
          <w:szCs w:val="24"/>
          <w:rtl/>
        </w:rPr>
        <w:t>למגוון הרב של סוגי סמים, ועתרה לקביעת מתחם עונש הולם שנע בין</w:t>
      </w:r>
      <w:r>
        <w:rPr>
          <w:rFonts w:ascii="David" w:hAnsi="David" w:cs="David"/>
          <w:sz w:val="24"/>
          <w:szCs w:val="24"/>
          <w:u w:val="single"/>
          <w:rtl/>
        </w:rPr>
        <w:t xml:space="preserve"> 12 חודשי מאסר ועד 24 חודשים</w:t>
      </w:r>
      <w:r>
        <w:rPr>
          <w:rFonts w:ascii="David" w:hAnsi="David" w:cs="David"/>
          <w:sz w:val="24"/>
          <w:szCs w:val="24"/>
          <w:rtl/>
        </w:rPr>
        <w:t xml:space="preserve">. נטען כי רישומו הפלילי של הנאשם רלוונטי, והעובדה שהוא נפלט מבית משפט קהילתי נלקחה בחשבון, וכך גם חלוף הזמן מביצוע העבירה והיותו צעיר, ולפיכך עתרה להשית על הנאשם </w:t>
      </w:r>
      <w:r>
        <w:rPr>
          <w:rFonts w:ascii="David" w:hAnsi="David" w:cs="David"/>
          <w:sz w:val="24"/>
          <w:szCs w:val="24"/>
          <w:u w:val="single"/>
          <w:rtl/>
        </w:rPr>
        <w:t>מאסר בפועל למשך 18 חודשים</w:t>
      </w:r>
      <w:r>
        <w:rPr>
          <w:rFonts w:ascii="David" w:hAnsi="David" w:cs="David"/>
          <w:sz w:val="24"/>
          <w:szCs w:val="24"/>
          <w:rtl/>
        </w:rPr>
        <w:t>, מאסר על תנאי וקנס.</w:t>
      </w:r>
    </w:p>
    <w:p w14:paraId="76057AA2" w14:textId="77777777" w:rsidR="006256AD" w:rsidRDefault="006256AD" w:rsidP="006256AD">
      <w:pPr>
        <w:pStyle w:val="aa"/>
        <w:spacing w:after="0" w:line="240" w:lineRule="auto"/>
        <w:ind w:left="360"/>
        <w:jc w:val="both"/>
        <w:rPr>
          <w:rFonts w:ascii="David" w:hAnsi="David" w:cs="David"/>
          <w:sz w:val="24"/>
          <w:szCs w:val="24"/>
        </w:rPr>
      </w:pPr>
    </w:p>
    <w:p w14:paraId="4B3EA2F2" w14:textId="77777777" w:rsidR="006256AD" w:rsidRDefault="006256AD" w:rsidP="006256AD">
      <w:pPr>
        <w:pStyle w:val="aa"/>
        <w:numPr>
          <w:ilvl w:val="0"/>
          <w:numId w:val="1"/>
        </w:numPr>
        <w:spacing w:after="0" w:line="360" w:lineRule="auto"/>
        <w:jc w:val="both"/>
        <w:rPr>
          <w:rFonts w:ascii="David" w:hAnsi="David" w:cs="David"/>
          <w:sz w:val="24"/>
          <w:szCs w:val="24"/>
        </w:rPr>
      </w:pPr>
      <w:r>
        <w:rPr>
          <w:rFonts w:ascii="David" w:hAnsi="David" w:cs="David"/>
          <w:sz w:val="24"/>
          <w:szCs w:val="24"/>
          <w:rtl/>
        </w:rPr>
        <w:t xml:space="preserve">ב"כ הנאשם עוה"ד ענת יערי, טענה כי בנסיבות החריגות של המקרה יש לאמץ את המלצת שירות המבחן ולהשית על הנאשם עונש מאסר בעבודות שירות, משום שאין כל תועלת במאסר בפועל והיות שהנאשם עבר שיקום בפועל. נטען, שהמאשימה הסכימה להפנות את הנאשם לבית המשפט הקהילתי ולהשית עליו ענישה צופה פני עתיד ככל שהיה מסיים את ההליך בהצלחה, ומטעם זה היה על המאשימה, כך לדעת ההגנה, להצטרף להמלצת שירות המבחן. </w:t>
      </w:r>
    </w:p>
    <w:p w14:paraId="3CFDEEC3" w14:textId="77777777" w:rsidR="006256AD" w:rsidRDefault="006256AD" w:rsidP="006256AD">
      <w:pPr>
        <w:pStyle w:val="aa"/>
        <w:spacing w:after="0" w:line="240" w:lineRule="auto"/>
        <w:ind w:left="360"/>
        <w:jc w:val="both"/>
        <w:rPr>
          <w:rFonts w:ascii="David" w:hAnsi="David" w:cs="David"/>
          <w:sz w:val="24"/>
          <w:szCs w:val="24"/>
        </w:rPr>
      </w:pPr>
    </w:p>
    <w:p w14:paraId="74BD884D" w14:textId="77777777" w:rsidR="006256AD" w:rsidRDefault="006256AD" w:rsidP="006256AD">
      <w:pPr>
        <w:pStyle w:val="aa"/>
        <w:numPr>
          <w:ilvl w:val="0"/>
          <w:numId w:val="1"/>
        </w:numPr>
        <w:spacing w:after="0" w:line="360" w:lineRule="auto"/>
        <w:jc w:val="both"/>
        <w:rPr>
          <w:rFonts w:ascii="David" w:hAnsi="David" w:cs="David"/>
          <w:sz w:val="24"/>
          <w:szCs w:val="24"/>
        </w:rPr>
      </w:pPr>
      <w:r>
        <w:rPr>
          <w:rFonts w:ascii="David" w:hAnsi="David" w:cs="David"/>
          <w:sz w:val="24"/>
          <w:szCs w:val="24"/>
          <w:rtl/>
        </w:rPr>
        <w:t>הוסיפה הסניגורית וטענה שיש לתת את הדעת לכך שהעבירה בוצעה לפני כשלוש שנים, ומאז שהה הנאשם במשך כשנתיים בתנאים מגבילים, מבלי שביצע הפרות כלשהן. בנוגע להתמשכות ההליכים, טענה כי הדיון הראשון בבית המשפט הקהילתי התקיים רק כעבור כשמונה חודשים בשל מחסור בכוח אדם בשירות המבחן, דבר שהיה גורם משמעותי בהפסקת ההליך של הנאשם בבית המשפט הקהילתי. ובהקשר זה טענה, כי בדיעבד הובהר שהנאשם לא מתאים לבית המשפט הקהילתי משום שהוא אינו עבריין רצידיוויסט הזקוק למטרייה הטיפולית הכוללת שיש להליך זה להציע לנאשמים.</w:t>
      </w:r>
    </w:p>
    <w:p w14:paraId="2622ED88" w14:textId="77777777" w:rsidR="006256AD" w:rsidRDefault="006256AD" w:rsidP="006256AD">
      <w:pPr>
        <w:pStyle w:val="aa"/>
        <w:spacing w:after="0" w:line="240" w:lineRule="auto"/>
        <w:ind w:left="360"/>
        <w:jc w:val="both"/>
        <w:rPr>
          <w:rFonts w:ascii="David" w:hAnsi="David" w:cs="David"/>
          <w:sz w:val="24"/>
          <w:szCs w:val="24"/>
        </w:rPr>
      </w:pPr>
    </w:p>
    <w:p w14:paraId="24FF421D" w14:textId="77777777" w:rsidR="006256AD" w:rsidRDefault="006256AD" w:rsidP="006256AD">
      <w:pPr>
        <w:pStyle w:val="aa"/>
        <w:numPr>
          <w:ilvl w:val="0"/>
          <w:numId w:val="1"/>
        </w:numPr>
        <w:spacing w:after="0" w:line="360" w:lineRule="auto"/>
        <w:jc w:val="both"/>
        <w:rPr>
          <w:rFonts w:ascii="David" w:hAnsi="David" w:cs="David"/>
          <w:sz w:val="24"/>
          <w:szCs w:val="24"/>
        </w:rPr>
      </w:pPr>
      <w:r>
        <w:rPr>
          <w:rFonts w:ascii="David" w:hAnsi="David" w:cs="David"/>
          <w:sz w:val="24"/>
          <w:szCs w:val="24"/>
          <w:rtl/>
        </w:rPr>
        <w:t>לגופו של עניין הפנתה ב"כ הנאשם לנסיבותיו האישיות של הנאשם, בהיותו בחור צעיר שעובד באופן יציב ועורך בפועל שינוי בחייו, בהעדר הסתבכות בעבירות נוספות, וכי "שיקום" אין משמעו בהכרח הליך גמילה או טיפול בשירות המבחן, אלא גם שינוי באורח החיים – כפי שעושה הנאשם.</w:t>
      </w:r>
    </w:p>
    <w:p w14:paraId="6F9825DA" w14:textId="77777777" w:rsidR="006256AD" w:rsidRDefault="006256AD" w:rsidP="006256AD">
      <w:pPr>
        <w:pStyle w:val="aa"/>
        <w:spacing w:after="0" w:line="240" w:lineRule="auto"/>
        <w:ind w:left="360"/>
        <w:jc w:val="both"/>
        <w:rPr>
          <w:rFonts w:ascii="David" w:hAnsi="David" w:cs="David"/>
          <w:sz w:val="24"/>
          <w:szCs w:val="24"/>
        </w:rPr>
      </w:pPr>
    </w:p>
    <w:p w14:paraId="3AF11BCD" w14:textId="77777777" w:rsidR="006256AD" w:rsidRDefault="006256AD" w:rsidP="006256AD">
      <w:pPr>
        <w:pStyle w:val="aa"/>
        <w:numPr>
          <w:ilvl w:val="0"/>
          <w:numId w:val="1"/>
        </w:numPr>
        <w:spacing w:after="0" w:line="360" w:lineRule="auto"/>
        <w:jc w:val="both"/>
        <w:rPr>
          <w:rFonts w:ascii="David" w:hAnsi="David" w:cs="David"/>
          <w:sz w:val="24"/>
          <w:szCs w:val="24"/>
        </w:rPr>
      </w:pPr>
      <w:r>
        <w:rPr>
          <w:rFonts w:ascii="David" w:hAnsi="David" w:cs="David"/>
          <w:sz w:val="24"/>
          <w:szCs w:val="24"/>
          <w:rtl/>
        </w:rPr>
        <w:t>ביחס לעבירה טענה ההגנה שעיקר הסמים שהחזיק הנאשם בביתו הם מ"משפחת הקנבוס" שממילא מסוכנותם פחותה, והיחס אליהם ע"י המחוקק בהתאם. ובנוגע לעמדת הנאשם, נטען כי לכל אורך ההליך הוא טען שהחזיק את הסמים לצריכתו העצמית. לפיכך עתרה ההגנה לקביעת מתחם שחל ממאסר על תנאי, ולהסתפק בהטלת עונש מאסר בעבודות שירות (והגישה פסיקה לתמיכה בעתירתה, חלקה הגדול בגין מקרים בהם עברו הנאשמים הליך שיקום).</w:t>
      </w:r>
    </w:p>
    <w:p w14:paraId="4EC447D6" w14:textId="77777777" w:rsidR="006256AD" w:rsidRDefault="006256AD" w:rsidP="006256AD">
      <w:pPr>
        <w:pStyle w:val="aa"/>
        <w:spacing w:after="0" w:line="240" w:lineRule="auto"/>
        <w:ind w:left="360"/>
        <w:jc w:val="both"/>
        <w:rPr>
          <w:rFonts w:ascii="David" w:hAnsi="David" w:cs="David"/>
          <w:sz w:val="24"/>
          <w:szCs w:val="24"/>
        </w:rPr>
      </w:pPr>
    </w:p>
    <w:p w14:paraId="5B04B7B4" w14:textId="77777777" w:rsidR="006256AD" w:rsidRDefault="006256AD" w:rsidP="006256AD">
      <w:pPr>
        <w:pStyle w:val="aa"/>
        <w:numPr>
          <w:ilvl w:val="0"/>
          <w:numId w:val="1"/>
        </w:numPr>
        <w:spacing w:after="0" w:line="360" w:lineRule="auto"/>
        <w:jc w:val="both"/>
        <w:rPr>
          <w:rFonts w:ascii="David" w:hAnsi="David" w:cs="David"/>
          <w:sz w:val="24"/>
          <w:szCs w:val="24"/>
        </w:rPr>
      </w:pPr>
      <w:r>
        <w:rPr>
          <w:rFonts w:ascii="David" w:hAnsi="David" w:cs="David"/>
          <w:sz w:val="24"/>
          <w:szCs w:val="24"/>
          <w:rtl/>
        </w:rPr>
        <w:t xml:space="preserve">הנאשם בדברו האחרון אמר שהוא מבין את חומרת מעשיו, וסיפר שבתקופת הקורונה שהה בבית וכי הוא לא צלח את ההליך בבית המשפט הקהילתי, אך כיום הוא נמצא במקום אחר ומנהל אורח חיים תקין, וביקש את עזרת בית המשפט בכך.  </w:t>
      </w:r>
    </w:p>
    <w:p w14:paraId="5F0861DC" w14:textId="77777777" w:rsidR="006256AD" w:rsidRDefault="006256AD" w:rsidP="006256AD">
      <w:pPr>
        <w:spacing w:line="480" w:lineRule="auto"/>
        <w:contextualSpacing/>
        <w:jc w:val="both"/>
        <w:rPr>
          <w:rFonts w:ascii="David" w:hAnsi="David"/>
          <w:b/>
          <w:bCs/>
          <w:rtl/>
        </w:rPr>
      </w:pPr>
    </w:p>
    <w:p w14:paraId="5F9F1D38" w14:textId="77777777" w:rsidR="006256AD" w:rsidRDefault="006256AD" w:rsidP="006256AD">
      <w:pPr>
        <w:spacing w:line="360" w:lineRule="auto"/>
        <w:contextualSpacing/>
        <w:jc w:val="both"/>
        <w:rPr>
          <w:rFonts w:ascii="David" w:hAnsi="David"/>
          <w:u w:val="single"/>
          <w:rtl/>
        </w:rPr>
      </w:pPr>
      <w:r>
        <w:rPr>
          <w:rFonts w:ascii="David" w:hAnsi="David"/>
          <w:b/>
          <w:bCs/>
          <w:u w:val="single"/>
          <w:rtl/>
        </w:rPr>
        <w:t xml:space="preserve">דיון והכרעה </w:t>
      </w:r>
    </w:p>
    <w:p w14:paraId="7630E78C" w14:textId="77777777" w:rsidR="006256AD" w:rsidRDefault="006256AD" w:rsidP="006256AD">
      <w:pPr>
        <w:spacing w:line="480" w:lineRule="auto"/>
        <w:contextualSpacing/>
        <w:jc w:val="both"/>
        <w:rPr>
          <w:rFonts w:ascii="David" w:hAnsi="David"/>
          <w:u w:val="single"/>
          <w:rtl/>
        </w:rPr>
      </w:pPr>
      <w:r>
        <w:rPr>
          <w:rFonts w:ascii="David" w:hAnsi="David"/>
          <w:u w:val="single"/>
          <w:rtl/>
        </w:rPr>
        <w:t xml:space="preserve">מתחם העונש ההולם </w:t>
      </w:r>
    </w:p>
    <w:p w14:paraId="4D2FEFE0" w14:textId="77777777" w:rsidR="006256AD" w:rsidRDefault="006256AD" w:rsidP="006256AD">
      <w:pPr>
        <w:numPr>
          <w:ilvl w:val="0"/>
          <w:numId w:val="1"/>
        </w:numPr>
        <w:spacing w:line="360" w:lineRule="auto"/>
        <w:ind w:left="357" w:hanging="357"/>
        <w:jc w:val="both"/>
        <w:rPr>
          <w:rFonts w:ascii="David" w:hAnsi="David"/>
          <w:rtl/>
        </w:rPr>
      </w:pPr>
      <w:r>
        <w:rPr>
          <w:rFonts w:ascii="David" w:hAnsi="David"/>
          <w:rtl/>
        </w:rPr>
        <w:t>הערכים המוגנים בעבירות סמים רחבים והם נוגעים לבריאות הציבור, ביטחונו ורכושו. בפסיקה רבה עמד בית המשפט העליון על פגיעתם הקשה של עבירות הסמים בבריאות הציבור בשל השפעתם ההרסנית על הגוף והנפש, לצד הסיכון הנובע מצריכתם לביצוע עבירות נלוות כדוגמת רכוש ואלימות (</w:t>
      </w:r>
      <w:hyperlink r:id="rId21" w:history="1">
        <w:r w:rsidR="00DC0445" w:rsidRPr="00DC0445">
          <w:rPr>
            <w:rFonts w:ascii="David" w:hAnsi="David"/>
            <w:color w:val="0000FF"/>
            <w:u w:val="single"/>
            <w:rtl/>
          </w:rPr>
          <w:t>ע"פ 7952/15</w:t>
        </w:r>
      </w:hyperlink>
      <w:r>
        <w:rPr>
          <w:rFonts w:ascii="David" w:hAnsi="David"/>
          <w:rtl/>
        </w:rPr>
        <w:t xml:space="preserve"> </w:t>
      </w:r>
      <w:r>
        <w:rPr>
          <w:rFonts w:ascii="David" w:hAnsi="David"/>
          <w:b/>
          <w:bCs/>
          <w:rtl/>
        </w:rPr>
        <w:t>מדינת ישראל נ' שץ</w:t>
      </w:r>
      <w:r>
        <w:rPr>
          <w:rFonts w:ascii="David" w:hAnsi="David"/>
          <w:rtl/>
        </w:rPr>
        <w:t xml:space="preserve"> (15.2.2016); </w:t>
      </w:r>
      <w:hyperlink r:id="rId22" w:history="1">
        <w:r w:rsidR="00DC0445" w:rsidRPr="00DC0445">
          <w:rPr>
            <w:rFonts w:ascii="David" w:hAnsi="David"/>
            <w:color w:val="0000FF"/>
            <w:u w:val="single"/>
            <w:rtl/>
          </w:rPr>
          <w:t>ע"פ 1274/16</w:t>
        </w:r>
      </w:hyperlink>
      <w:r>
        <w:rPr>
          <w:rFonts w:ascii="David" w:hAnsi="David"/>
          <w:rtl/>
        </w:rPr>
        <w:t xml:space="preserve"> </w:t>
      </w:r>
      <w:r>
        <w:rPr>
          <w:rFonts w:ascii="David" w:hAnsi="David"/>
          <w:b/>
          <w:bCs/>
          <w:rtl/>
        </w:rPr>
        <w:t>עווד נ' מדינת ישראל</w:t>
      </w:r>
      <w:r>
        <w:rPr>
          <w:rFonts w:ascii="David" w:hAnsi="David"/>
          <w:rtl/>
        </w:rPr>
        <w:t xml:space="preserve"> (6.10.2016); </w:t>
      </w:r>
      <w:hyperlink r:id="rId23" w:history="1">
        <w:r w:rsidR="00DC0445" w:rsidRPr="00DC0445">
          <w:rPr>
            <w:rFonts w:ascii="David" w:hAnsi="David"/>
            <w:color w:val="0000FF"/>
            <w:u w:val="single"/>
            <w:rtl/>
          </w:rPr>
          <w:t>ע"פ 4522/18</w:t>
        </w:r>
      </w:hyperlink>
      <w:r>
        <w:rPr>
          <w:rFonts w:ascii="David" w:hAnsi="David"/>
          <w:rtl/>
        </w:rPr>
        <w:t xml:space="preserve"> </w:t>
      </w:r>
      <w:r>
        <w:rPr>
          <w:rFonts w:ascii="David" w:hAnsi="David"/>
          <w:b/>
          <w:bCs/>
          <w:rtl/>
        </w:rPr>
        <w:t>אסאבן נ' מדינת ישראל</w:t>
      </w:r>
      <w:r>
        <w:rPr>
          <w:rFonts w:ascii="David" w:hAnsi="David"/>
          <w:rtl/>
        </w:rPr>
        <w:t xml:space="preserve"> (11.11.2018)).</w:t>
      </w:r>
    </w:p>
    <w:p w14:paraId="431254B1" w14:textId="77777777" w:rsidR="006256AD" w:rsidRDefault="006256AD" w:rsidP="006256AD">
      <w:pPr>
        <w:ind w:left="357"/>
        <w:jc w:val="both"/>
        <w:rPr>
          <w:rFonts w:ascii="David" w:hAnsi="David"/>
        </w:rPr>
      </w:pPr>
    </w:p>
    <w:p w14:paraId="3147EEDB" w14:textId="77777777" w:rsidR="006256AD" w:rsidRDefault="006256AD" w:rsidP="006256AD">
      <w:pPr>
        <w:numPr>
          <w:ilvl w:val="0"/>
          <w:numId w:val="1"/>
        </w:numPr>
        <w:spacing w:line="360" w:lineRule="auto"/>
        <w:ind w:left="357" w:hanging="357"/>
        <w:jc w:val="both"/>
        <w:rPr>
          <w:rFonts w:ascii="David" w:hAnsi="David"/>
        </w:rPr>
      </w:pPr>
      <w:r>
        <w:rPr>
          <w:rFonts w:ascii="David" w:hAnsi="David"/>
          <w:rtl/>
        </w:rPr>
        <w:t xml:space="preserve">בית המשפט העליון עמד על חומרת עבירות </w:t>
      </w:r>
      <w:r>
        <w:rPr>
          <w:rFonts w:ascii="David" w:hAnsi="David"/>
          <w:b/>
          <w:bCs/>
          <w:rtl/>
        </w:rPr>
        <w:t>החזקת הסמים שלא לצריכה עצמית</w:t>
      </w:r>
      <w:r>
        <w:rPr>
          <w:rFonts w:ascii="David" w:hAnsi="David"/>
          <w:rtl/>
        </w:rPr>
        <w:t xml:space="preserve"> הנחשבת כעבירה שהיא בבסיסה חלק משרשרת הפצת הסמים, ולכן מחייבת ענישה מחמירה בהתאם לעקרון הגמול, ובשל הצורך להרתיע מפני ביצועה (</w:t>
      </w:r>
      <w:hyperlink r:id="rId24" w:history="1">
        <w:r w:rsidR="00DC0445" w:rsidRPr="00DC0445">
          <w:rPr>
            <w:rFonts w:ascii="David" w:hAnsi="David"/>
            <w:color w:val="0000FF"/>
            <w:u w:val="single"/>
            <w:rtl/>
          </w:rPr>
          <w:t>ע"פ 211/09</w:t>
        </w:r>
      </w:hyperlink>
      <w:r>
        <w:rPr>
          <w:rFonts w:ascii="David" w:hAnsi="David"/>
          <w:rtl/>
        </w:rPr>
        <w:t xml:space="preserve"> </w:t>
      </w:r>
      <w:r>
        <w:rPr>
          <w:rFonts w:ascii="David" w:hAnsi="David"/>
          <w:b/>
          <w:bCs/>
          <w:rtl/>
        </w:rPr>
        <w:t>אזולאי נ' מדינת ישראל</w:t>
      </w:r>
      <w:r>
        <w:rPr>
          <w:rFonts w:ascii="David" w:hAnsi="David"/>
          <w:rtl/>
        </w:rPr>
        <w:t xml:space="preserve"> (22.6.2010); </w:t>
      </w:r>
      <w:hyperlink r:id="rId25" w:history="1">
        <w:r w:rsidR="00DC0445" w:rsidRPr="00DC0445">
          <w:rPr>
            <w:rFonts w:ascii="David" w:hAnsi="David"/>
            <w:color w:val="0000FF"/>
            <w:u w:val="single"/>
            <w:rtl/>
          </w:rPr>
          <w:t>ע"פ 8283/17</w:t>
        </w:r>
      </w:hyperlink>
      <w:r>
        <w:rPr>
          <w:rFonts w:ascii="David" w:hAnsi="David"/>
          <w:rtl/>
        </w:rPr>
        <w:t xml:space="preserve"> </w:t>
      </w:r>
      <w:r>
        <w:rPr>
          <w:rFonts w:ascii="David" w:hAnsi="David"/>
          <w:b/>
          <w:bCs/>
          <w:rtl/>
        </w:rPr>
        <w:t>עובאסי נ' מדינת ישראל</w:t>
      </w:r>
      <w:r>
        <w:rPr>
          <w:rFonts w:ascii="David" w:hAnsi="David"/>
          <w:rtl/>
        </w:rPr>
        <w:t xml:space="preserve"> (10.6.2018)). משנה חומרה יש במקרה בו שמדובר בסמים משלל סוגים ובהיקף נרחב (</w:t>
      </w:r>
      <w:hyperlink r:id="rId26" w:history="1">
        <w:r w:rsidR="00DC0445" w:rsidRPr="00DC0445">
          <w:rPr>
            <w:rFonts w:ascii="David" w:hAnsi="David"/>
            <w:color w:val="0000FF"/>
            <w:u w:val="single"/>
            <w:rtl/>
          </w:rPr>
          <w:t>ע"פ 1932/15</w:t>
        </w:r>
      </w:hyperlink>
      <w:r>
        <w:rPr>
          <w:rFonts w:ascii="David" w:hAnsi="David"/>
          <w:rtl/>
        </w:rPr>
        <w:t xml:space="preserve"> </w:t>
      </w:r>
      <w:r>
        <w:rPr>
          <w:rFonts w:ascii="David" w:hAnsi="David"/>
          <w:b/>
          <w:bCs/>
          <w:rtl/>
        </w:rPr>
        <w:t>בן סעדון נ' מדינת ישראל</w:t>
      </w:r>
      <w:r>
        <w:rPr>
          <w:rFonts w:ascii="David" w:hAnsi="David"/>
          <w:rtl/>
        </w:rPr>
        <w:t xml:space="preserve"> (17.4.2016)).</w:t>
      </w:r>
    </w:p>
    <w:p w14:paraId="2FA31842" w14:textId="77777777" w:rsidR="006256AD" w:rsidRDefault="006256AD" w:rsidP="006256AD">
      <w:pPr>
        <w:ind w:left="357"/>
        <w:jc w:val="both"/>
        <w:rPr>
          <w:rFonts w:ascii="David" w:hAnsi="David"/>
        </w:rPr>
      </w:pPr>
    </w:p>
    <w:p w14:paraId="1EE66782" w14:textId="77777777" w:rsidR="006256AD" w:rsidRDefault="006256AD" w:rsidP="006256AD">
      <w:pPr>
        <w:numPr>
          <w:ilvl w:val="0"/>
          <w:numId w:val="1"/>
        </w:numPr>
        <w:spacing w:line="360" w:lineRule="auto"/>
        <w:ind w:left="357" w:hanging="357"/>
        <w:jc w:val="both"/>
        <w:rPr>
          <w:rFonts w:ascii="David" w:hAnsi="David"/>
        </w:rPr>
      </w:pPr>
      <w:r>
        <w:rPr>
          <w:rFonts w:ascii="David" w:hAnsi="David"/>
          <w:rtl/>
        </w:rPr>
        <w:t>הענישה בתחום החזקת סמים שלא לצריכה עצמית נסובה, דרך כלל, על עונשי מאסר לריצוי בפועל. בהתחשב בסוגי הסמים שהוחזקו וכמויותיהם, נקבעת תקופת המאסר לריצוי בפועל או לעבודות שירות, במקרים פחותים בחומרתם. על מתחם העונש ההולם ניתן ללמוד מהענישה הנוהגת, שרלוונטית בשינויים המחויבים לקולה וחומרה, כדלקמן:</w:t>
      </w:r>
    </w:p>
    <w:p w14:paraId="081D9D4D" w14:textId="77777777" w:rsidR="006256AD" w:rsidRDefault="006256AD" w:rsidP="006256AD">
      <w:pPr>
        <w:contextualSpacing/>
        <w:jc w:val="both"/>
        <w:rPr>
          <w:rFonts w:ascii="David" w:hAnsi="David"/>
          <w:b/>
          <w:bCs/>
          <w:rtl/>
        </w:rPr>
      </w:pPr>
    </w:p>
    <w:p w14:paraId="732859DA" w14:textId="77777777" w:rsidR="006256AD" w:rsidRDefault="006256AD" w:rsidP="006256AD">
      <w:pPr>
        <w:contextualSpacing/>
        <w:jc w:val="both"/>
        <w:rPr>
          <w:rFonts w:ascii="David" w:hAnsi="David"/>
          <w:b/>
          <w:bCs/>
        </w:rPr>
      </w:pPr>
    </w:p>
    <w:p w14:paraId="6E0BF9F4" w14:textId="77777777" w:rsidR="006256AD" w:rsidRDefault="006256AD" w:rsidP="006256AD">
      <w:pPr>
        <w:numPr>
          <w:ilvl w:val="0"/>
          <w:numId w:val="2"/>
        </w:numPr>
        <w:spacing w:line="360" w:lineRule="auto"/>
        <w:contextualSpacing/>
        <w:jc w:val="both"/>
        <w:rPr>
          <w:rFonts w:ascii="David" w:hAnsi="David"/>
          <w:b/>
          <w:bCs/>
          <w:rtl/>
        </w:rPr>
      </w:pPr>
      <w:r>
        <w:rPr>
          <w:rFonts w:ascii="David" w:hAnsi="David"/>
          <w:rtl/>
        </w:rPr>
        <w:t>ב</w:t>
      </w:r>
      <w:hyperlink r:id="rId27" w:history="1">
        <w:r w:rsidR="00DC0445" w:rsidRPr="00DC0445">
          <w:rPr>
            <w:rFonts w:ascii="David" w:hAnsi="David"/>
            <w:color w:val="0000FF"/>
            <w:u w:val="single"/>
            <w:rtl/>
          </w:rPr>
          <w:t>רע"פ 2986/21</w:t>
        </w:r>
      </w:hyperlink>
      <w:r>
        <w:rPr>
          <w:rFonts w:ascii="David" w:hAnsi="David"/>
          <w:rtl/>
        </w:rPr>
        <w:t xml:space="preserve"> </w:t>
      </w:r>
      <w:r>
        <w:rPr>
          <w:rFonts w:ascii="David" w:hAnsi="David"/>
          <w:b/>
          <w:bCs/>
          <w:rtl/>
        </w:rPr>
        <w:t xml:space="preserve">עיסאוי נ' מדינת ישראל </w:t>
      </w:r>
      <w:r>
        <w:rPr>
          <w:rFonts w:ascii="David" w:hAnsi="David"/>
          <w:rtl/>
        </w:rPr>
        <w:t xml:space="preserve">(10.5.2021), נדון נאשם שהורשע על פי הודאתו בהחזקת סם מסוכן מסוג </w:t>
      </w:r>
      <w:r>
        <w:rPr>
          <w:rFonts w:ascii="David" w:hAnsi="David"/>
          <w:b/>
          <w:bCs/>
          <w:rtl/>
        </w:rPr>
        <w:t xml:space="preserve">הרואין </w:t>
      </w:r>
      <w:r>
        <w:rPr>
          <w:rFonts w:ascii="David" w:hAnsi="David"/>
          <w:rtl/>
        </w:rPr>
        <w:t>במשקל כולל של</w:t>
      </w:r>
      <w:r>
        <w:rPr>
          <w:rFonts w:ascii="David" w:hAnsi="David"/>
          <w:b/>
          <w:bCs/>
          <w:rtl/>
        </w:rPr>
        <w:t xml:space="preserve"> 11.66 גר' שהיה מחולק ל-14 מנות</w:t>
      </w:r>
      <w:r>
        <w:rPr>
          <w:rFonts w:ascii="David" w:hAnsi="David"/>
          <w:rtl/>
        </w:rPr>
        <w:t xml:space="preserve">. בית המשפט השלום ברמלה וגזר על הנאשם חודש מאסר בעבודות שירות בשים לב להודאתו, העדר עבר פלילי, גילו הצעיר והעובדה ששהה במעצר בבית הסוהר ובאיזוק אלקטרוני זמן ממושך. ערעור שהגישה המדינה על קולת העונש התקבל ובית המשפט המחוזי מרכז-לוד קבע כי בנסיבות המקרה נכון היה לגזור על </w:t>
      </w:r>
      <w:r>
        <w:rPr>
          <w:rFonts w:ascii="David" w:hAnsi="David"/>
          <w:u w:val="single"/>
          <w:rtl/>
        </w:rPr>
        <w:t>הנאשם 10 חודשי מאסר בפועל</w:t>
      </w:r>
      <w:r>
        <w:rPr>
          <w:rFonts w:ascii="David" w:hAnsi="David"/>
          <w:rtl/>
        </w:rPr>
        <w:t>, אולם נוכח ההלכה שערכאת הערעור לא ממצה את הדין הושתו על הנאשם</w:t>
      </w:r>
      <w:r>
        <w:rPr>
          <w:rFonts w:ascii="David" w:hAnsi="David"/>
          <w:u w:val="single"/>
          <w:rtl/>
        </w:rPr>
        <w:t xml:space="preserve"> 9 חודשי מאסר בעבודות שירות</w:t>
      </w:r>
      <w:r>
        <w:rPr>
          <w:rFonts w:ascii="David" w:hAnsi="David"/>
          <w:rtl/>
        </w:rPr>
        <w:t xml:space="preserve">. בקשת רשות ערעור שהגיש הנאשם נדחתה. </w:t>
      </w:r>
    </w:p>
    <w:p w14:paraId="5C80E5EC" w14:textId="77777777" w:rsidR="006256AD" w:rsidRDefault="006256AD" w:rsidP="006256AD">
      <w:pPr>
        <w:ind w:left="714"/>
        <w:jc w:val="both"/>
        <w:rPr>
          <w:rFonts w:ascii="David" w:hAnsi="David"/>
        </w:rPr>
      </w:pPr>
    </w:p>
    <w:p w14:paraId="5801784F" w14:textId="77777777" w:rsidR="006256AD" w:rsidRDefault="006256AD" w:rsidP="006256AD">
      <w:pPr>
        <w:numPr>
          <w:ilvl w:val="0"/>
          <w:numId w:val="2"/>
        </w:numPr>
        <w:spacing w:line="360" w:lineRule="auto"/>
        <w:ind w:left="714" w:hanging="357"/>
        <w:jc w:val="both"/>
        <w:rPr>
          <w:rFonts w:ascii="David" w:hAnsi="David"/>
        </w:rPr>
      </w:pPr>
      <w:r>
        <w:rPr>
          <w:rFonts w:ascii="David" w:hAnsi="David"/>
          <w:rtl/>
        </w:rPr>
        <w:t>ב</w:t>
      </w:r>
      <w:hyperlink r:id="rId28" w:history="1">
        <w:r w:rsidR="00DC0445" w:rsidRPr="00DC0445">
          <w:rPr>
            <w:rFonts w:ascii="David" w:hAnsi="David"/>
            <w:color w:val="0000FF"/>
            <w:u w:val="single"/>
            <w:rtl/>
          </w:rPr>
          <w:t>רע"פ 4958/18</w:t>
        </w:r>
      </w:hyperlink>
      <w:r>
        <w:rPr>
          <w:rFonts w:ascii="David" w:hAnsi="David"/>
          <w:rtl/>
        </w:rPr>
        <w:t xml:space="preserve"> </w:t>
      </w:r>
      <w:r>
        <w:rPr>
          <w:rFonts w:ascii="David" w:hAnsi="David"/>
          <w:b/>
          <w:bCs/>
          <w:rtl/>
        </w:rPr>
        <w:t xml:space="preserve">זנוי נ' מדינת ישראל </w:t>
      </w:r>
      <w:r>
        <w:rPr>
          <w:rFonts w:ascii="David" w:hAnsi="David"/>
          <w:rtl/>
        </w:rPr>
        <w:t xml:space="preserve">(26.6.2018), נדון עניינו של נאשם שהורשע על פי הודאתו בהחזקת סם מסוכן שלא לצריכתו העצמית </w:t>
      </w:r>
      <w:r>
        <w:rPr>
          <w:rFonts w:ascii="David" w:hAnsi="David"/>
          <w:b/>
          <w:bCs/>
          <w:rtl/>
        </w:rPr>
        <w:t>מסוג קוקאין במשקל של כ-4.5 גרם ו- 4.98 גרם קנבוס וחשיש במשקל של 1.33 גרם שהחזיק בביתו</w:t>
      </w:r>
      <w:r>
        <w:rPr>
          <w:rFonts w:ascii="David" w:hAnsi="David"/>
          <w:rtl/>
        </w:rPr>
        <w:t xml:space="preserve">. בנוסף צירף הנאשם כתב אישום בגין החזקת סם מסוכן מסוג חשיש במשקל של 0.2855 גרם לצריכתו העצמית. בית המשפט השלום בתל אביב קבע כי מתחם העונש ההולם נע בין </w:t>
      </w:r>
      <w:r>
        <w:rPr>
          <w:rFonts w:ascii="David" w:hAnsi="David"/>
          <w:u w:val="single"/>
          <w:rtl/>
        </w:rPr>
        <w:t>מספר חודשי מאסר שיכול וירוצו בעבודות שירות ועד 18 חודשי מאסר</w:t>
      </w:r>
      <w:r>
        <w:rPr>
          <w:rFonts w:ascii="David" w:hAnsi="David"/>
          <w:rtl/>
        </w:rPr>
        <w:t xml:space="preserve"> וגזר על הנאשם </w:t>
      </w:r>
      <w:r>
        <w:rPr>
          <w:rFonts w:ascii="David" w:hAnsi="David"/>
          <w:u w:val="single"/>
          <w:rtl/>
        </w:rPr>
        <w:t>6 חודשי מאסר בפועל</w:t>
      </w:r>
      <w:r>
        <w:rPr>
          <w:rFonts w:ascii="David" w:hAnsi="David"/>
          <w:rtl/>
        </w:rPr>
        <w:t>, הפעיל במצטבר מאסר על תנאי בן 3 חודשים, כך שסה"כ נגזרו 9 חודשי מאסר בפועל. ערעור ובקשת רשות ערעור שהגיש הנאשם נדחו.</w:t>
      </w:r>
    </w:p>
    <w:p w14:paraId="4B7145EA" w14:textId="77777777" w:rsidR="006256AD" w:rsidRDefault="006256AD" w:rsidP="006256AD">
      <w:pPr>
        <w:ind w:left="714"/>
        <w:jc w:val="both"/>
        <w:rPr>
          <w:rFonts w:ascii="David" w:hAnsi="David"/>
        </w:rPr>
      </w:pPr>
    </w:p>
    <w:p w14:paraId="53940C55" w14:textId="77777777" w:rsidR="006256AD" w:rsidRDefault="006256AD" w:rsidP="006256AD">
      <w:pPr>
        <w:numPr>
          <w:ilvl w:val="0"/>
          <w:numId w:val="2"/>
        </w:numPr>
        <w:spacing w:line="360" w:lineRule="auto"/>
        <w:ind w:left="714" w:hanging="357"/>
        <w:jc w:val="both"/>
        <w:rPr>
          <w:rFonts w:ascii="David" w:hAnsi="David"/>
        </w:rPr>
      </w:pPr>
      <w:r>
        <w:rPr>
          <w:rFonts w:ascii="David" w:hAnsi="David"/>
          <w:rtl/>
        </w:rPr>
        <w:t>ב</w:t>
      </w:r>
      <w:hyperlink r:id="rId29" w:history="1">
        <w:r w:rsidR="00DC0445" w:rsidRPr="00DC0445">
          <w:rPr>
            <w:rFonts w:ascii="David" w:hAnsi="David"/>
            <w:color w:val="0000FF"/>
            <w:u w:val="single"/>
            <w:rtl/>
          </w:rPr>
          <w:t>רע"פ 1122/17</w:t>
        </w:r>
      </w:hyperlink>
      <w:r>
        <w:rPr>
          <w:rFonts w:ascii="David" w:hAnsi="David"/>
          <w:b/>
          <w:bCs/>
        </w:rPr>
        <w:t xml:space="preserve"> </w:t>
      </w:r>
      <w:r>
        <w:rPr>
          <w:rFonts w:ascii="David" w:hAnsi="David"/>
          <w:b/>
          <w:bCs/>
          <w:rtl/>
        </w:rPr>
        <w:t>גולדשטיין נ'</w:t>
      </w:r>
      <w:r>
        <w:rPr>
          <w:rFonts w:ascii="David" w:hAnsi="David"/>
          <w:b/>
          <w:bCs/>
        </w:rPr>
        <w:t xml:space="preserve"> </w:t>
      </w:r>
      <w:r>
        <w:rPr>
          <w:rFonts w:ascii="David" w:hAnsi="David"/>
          <w:b/>
          <w:bCs/>
          <w:rtl/>
        </w:rPr>
        <w:t>מדינת</w:t>
      </w:r>
      <w:r>
        <w:rPr>
          <w:rFonts w:ascii="David" w:hAnsi="David"/>
          <w:b/>
          <w:bCs/>
        </w:rPr>
        <w:t xml:space="preserve"> </w:t>
      </w:r>
      <w:r>
        <w:rPr>
          <w:rFonts w:ascii="David" w:hAnsi="David"/>
          <w:b/>
          <w:bCs/>
          <w:rtl/>
        </w:rPr>
        <w:t xml:space="preserve">ישראל </w:t>
      </w:r>
      <w:r>
        <w:rPr>
          <w:rFonts w:ascii="David" w:hAnsi="David"/>
          <w:rtl/>
        </w:rPr>
        <w:t>(5.7.2017) (פסיקה שהגישה ההגנה), נדון נאשם שהורשע בשני אישומים בכך שהחזיק על גופו תוצרי</w:t>
      </w:r>
      <w:r>
        <w:rPr>
          <w:rFonts w:ascii="David" w:hAnsi="David"/>
        </w:rPr>
        <w:t xml:space="preserve"> </w:t>
      </w:r>
      <w:r>
        <w:rPr>
          <w:rFonts w:ascii="David" w:hAnsi="David"/>
          <w:rtl/>
        </w:rPr>
        <w:t>חילוף</w:t>
      </w:r>
      <w:r>
        <w:rPr>
          <w:rFonts w:ascii="David" w:hAnsi="David"/>
        </w:rPr>
        <w:t xml:space="preserve"> </w:t>
      </w:r>
      <w:r>
        <w:rPr>
          <w:rFonts w:ascii="David" w:hAnsi="David"/>
          <w:rtl/>
        </w:rPr>
        <w:t>חומרים</w:t>
      </w:r>
      <w:r>
        <w:rPr>
          <w:rFonts w:ascii="David" w:hAnsi="David"/>
        </w:rPr>
        <w:t xml:space="preserve"> </w:t>
      </w:r>
      <w:r>
        <w:rPr>
          <w:rFonts w:ascii="David" w:hAnsi="David"/>
          <w:rtl/>
        </w:rPr>
        <w:t>של</w:t>
      </w:r>
      <w:r>
        <w:rPr>
          <w:rFonts w:ascii="David" w:hAnsi="David"/>
        </w:rPr>
        <w:t xml:space="preserve"> </w:t>
      </w:r>
      <w:r>
        <w:rPr>
          <w:rFonts w:ascii="David" w:hAnsi="David"/>
          <w:rtl/>
        </w:rPr>
        <w:t>סם מסוכן</w:t>
      </w:r>
      <w:r>
        <w:rPr>
          <w:rFonts w:ascii="David" w:hAnsi="David"/>
        </w:rPr>
        <w:t xml:space="preserve"> </w:t>
      </w:r>
      <w:r>
        <w:rPr>
          <w:rFonts w:ascii="David" w:hAnsi="David"/>
          <w:rtl/>
        </w:rPr>
        <w:t>מסוג</w:t>
      </w:r>
      <w:r>
        <w:rPr>
          <w:rFonts w:ascii="David" w:hAnsi="David"/>
        </w:rPr>
        <w:t xml:space="preserve"> </w:t>
      </w:r>
      <w:r>
        <w:rPr>
          <w:rFonts w:ascii="David" w:hAnsi="David"/>
          <w:rtl/>
        </w:rPr>
        <w:t xml:space="preserve">קוקאין ובנוסף החזיק על גופו </w:t>
      </w:r>
      <w:r>
        <w:rPr>
          <w:rFonts w:ascii="David" w:hAnsi="David"/>
          <w:b/>
          <w:bCs/>
          <w:rtl/>
        </w:rPr>
        <w:t>קוקאין</w:t>
      </w:r>
      <w:r>
        <w:rPr>
          <w:rFonts w:ascii="David" w:hAnsi="David"/>
          <w:b/>
          <w:bCs/>
        </w:rPr>
        <w:t xml:space="preserve"> </w:t>
      </w:r>
      <w:r>
        <w:rPr>
          <w:rFonts w:ascii="David" w:hAnsi="David"/>
          <w:b/>
          <w:bCs/>
          <w:rtl/>
        </w:rPr>
        <w:t>במשקל</w:t>
      </w:r>
      <w:r>
        <w:rPr>
          <w:rFonts w:ascii="David" w:hAnsi="David"/>
          <w:b/>
          <w:bCs/>
        </w:rPr>
        <w:t xml:space="preserve"> </w:t>
      </w:r>
      <w:r>
        <w:rPr>
          <w:rFonts w:ascii="David" w:hAnsi="David"/>
          <w:b/>
          <w:bCs/>
          <w:rtl/>
        </w:rPr>
        <w:t>כולל</w:t>
      </w:r>
      <w:r>
        <w:rPr>
          <w:rFonts w:ascii="David" w:hAnsi="David"/>
          <w:b/>
          <w:bCs/>
        </w:rPr>
        <w:t xml:space="preserve"> </w:t>
      </w:r>
      <w:r>
        <w:rPr>
          <w:rFonts w:ascii="David" w:hAnsi="David"/>
          <w:b/>
          <w:bCs/>
          <w:rtl/>
        </w:rPr>
        <w:t>של 5.28 גרם</w:t>
      </w:r>
      <w:r>
        <w:rPr>
          <w:rFonts w:ascii="David" w:hAnsi="David"/>
          <w:b/>
          <w:bCs/>
        </w:rPr>
        <w:t xml:space="preserve"> </w:t>
      </w:r>
      <w:r>
        <w:rPr>
          <w:rFonts w:ascii="David" w:hAnsi="David"/>
          <w:b/>
          <w:bCs/>
          <w:rtl/>
        </w:rPr>
        <w:t>נטו</w:t>
      </w:r>
      <w:r>
        <w:rPr>
          <w:rFonts w:ascii="David" w:hAnsi="David"/>
          <w:rtl/>
        </w:rPr>
        <w:t>, שלא</w:t>
      </w:r>
      <w:r>
        <w:rPr>
          <w:rFonts w:ascii="David" w:hAnsi="David"/>
        </w:rPr>
        <w:t xml:space="preserve"> </w:t>
      </w:r>
      <w:r>
        <w:rPr>
          <w:rFonts w:ascii="David" w:hAnsi="David"/>
          <w:rtl/>
        </w:rPr>
        <w:t>לצריכתו</w:t>
      </w:r>
      <w:r>
        <w:rPr>
          <w:rFonts w:ascii="David" w:hAnsi="David"/>
        </w:rPr>
        <w:t xml:space="preserve"> </w:t>
      </w:r>
      <w:r>
        <w:rPr>
          <w:rFonts w:ascii="David" w:hAnsi="David"/>
          <w:rtl/>
        </w:rPr>
        <w:t>העצמית, ומשקל</w:t>
      </w:r>
      <w:r>
        <w:rPr>
          <w:rFonts w:ascii="David" w:hAnsi="David"/>
        </w:rPr>
        <w:t xml:space="preserve"> </w:t>
      </w:r>
      <w:r>
        <w:rPr>
          <w:rFonts w:ascii="David" w:hAnsi="David"/>
          <w:rtl/>
        </w:rPr>
        <w:t xml:space="preserve">אלקטרוני, ועוד החזיק </w:t>
      </w:r>
      <w:r>
        <w:rPr>
          <w:rFonts w:ascii="David" w:hAnsi="David"/>
          <w:b/>
          <w:bCs/>
          <w:rtl/>
        </w:rPr>
        <w:t>9 מנות</w:t>
      </w:r>
      <w:r>
        <w:rPr>
          <w:rFonts w:ascii="David" w:hAnsi="David"/>
          <w:b/>
          <w:bCs/>
        </w:rPr>
        <w:t xml:space="preserve"> </w:t>
      </w:r>
      <w:r>
        <w:rPr>
          <w:rFonts w:ascii="David" w:hAnsi="David"/>
          <w:b/>
          <w:bCs/>
          <w:rtl/>
        </w:rPr>
        <w:t>של</w:t>
      </w:r>
      <w:r>
        <w:rPr>
          <w:rFonts w:ascii="David" w:hAnsi="David"/>
          <w:b/>
          <w:bCs/>
        </w:rPr>
        <w:t xml:space="preserve"> </w:t>
      </w:r>
      <w:r>
        <w:rPr>
          <w:rFonts w:ascii="David" w:hAnsi="David"/>
          <w:b/>
          <w:bCs/>
          <w:rtl/>
        </w:rPr>
        <w:t>סם</w:t>
      </w:r>
      <w:r>
        <w:rPr>
          <w:rFonts w:ascii="David" w:hAnsi="David"/>
          <w:b/>
          <w:bCs/>
        </w:rPr>
        <w:t xml:space="preserve"> </w:t>
      </w:r>
      <w:r>
        <w:rPr>
          <w:rFonts w:ascii="David" w:hAnsi="David"/>
          <w:b/>
          <w:bCs/>
          <w:rtl/>
        </w:rPr>
        <w:t>מסוכן</w:t>
      </w:r>
      <w:r>
        <w:rPr>
          <w:rFonts w:ascii="David" w:hAnsi="David"/>
          <w:b/>
          <w:bCs/>
        </w:rPr>
        <w:t xml:space="preserve"> </w:t>
      </w:r>
      <w:r>
        <w:rPr>
          <w:rFonts w:ascii="David" w:hAnsi="David"/>
          <w:b/>
          <w:bCs/>
          <w:rtl/>
        </w:rPr>
        <w:t xml:space="preserve">מסוג </w:t>
      </w:r>
      <w:r>
        <w:rPr>
          <w:rFonts w:ascii="David" w:hAnsi="David"/>
          <w:b/>
          <w:bCs/>
        </w:rPr>
        <w:t xml:space="preserve"> MDMA</w:t>
      </w:r>
      <w:r>
        <w:rPr>
          <w:rFonts w:ascii="David" w:hAnsi="David"/>
          <w:rtl/>
        </w:rPr>
        <w:t xml:space="preserve"> במשקל</w:t>
      </w:r>
      <w:r>
        <w:rPr>
          <w:rFonts w:ascii="David" w:hAnsi="David"/>
        </w:rPr>
        <w:t xml:space="preserve"> </w:t>
      </w:r>
      <w:r>
        <w:rPr>
          <w:rFonts w:ascii="David" w:hAnsi="David"/>
          <w:rtl/>
        </w:rPr>
        <w:t>כולל</w:t>
      </w:r>
      <w:r>
        <w:rPr>
          <w:rFonts w:ascii="David" w:hAnsi="David"/>
        </w:rPr>
        <w:t xml:space="preserve"> </w:t>
      </w:r>
      <w:r>
        <w:rPr>
          <w:rFonts w:ascii="David" w:hAnsi="David"/>
          <w:rtl/>
        </w:rPr>
        <w:t xml:space="preserve">של 5.5 גרם, קופסה בה היו </w:t>
      </w:r>
      <w:r>
        <w:rPr>
          <w:rFonts w:ascii="David" w:hAnsi="David"/>
          <w:b/>
          <w:bCs/>
          <w:rtl/>
        </w:rPr>
        <w:t>27 מנות סם מסוכן מסוג קוקאין</w:t>
      </w:r>
      <w:r>
        <w:rPr>
          <w:rFonts w:ascii="David" w:hAnsi="David"/>
          <w:b/>
          <w:bCs/>
        </w:rPr>
        <w:t xml:space="preserve"> </w:t>
      </w:r>
      <w:r>
        <w:rPr>
          <w:rFonts w:ascii="David" w:hAnsi="David"/>
          <w:b/>
          <w:bCs/>
          <w:rtl/>
        </w:rPr>
        <w:t>במשקל</w:t>
      </w:r>
      <w:r>
        <w:rPr>
          <w:rFonts w:ascii="David" w:hAnsi="David"/>
          <w:b/>
          <w:bCs/>
        </w:rPr>
        <w:t xml:space="preserve"> </w:t>
      </w:r>
      <w:r>
        <w:rPr>
          <w:rFonts w:ascii="David" w:hAnsi="David"/>
          <w:b/>
          <w:bCs/>
          <w:rtl/>
        </w:rPr>
        <w:t xml:space="preserve">13.3731 גרם </w:t>
      </w:r>
      <w:r>
        <w:rPr>
          <w:rFonts w:ascii="David" w:hAnsi="David"/>
          <w:rtl/>
        </w:rPr>
        <w:t>שלא</w:t>
      </w:r>
      <w:r>
        <w:rPr>
          <w:rFonts w:ascii="David" w:hAnsi="David"/>
        </w:rPr>
        <w:t xml:space="preserve"> </w:t>
      </w:r>
      <w:r>
        <w:rPr>
          <w:rFonts w:ascii="David" w:hAnsi="David"/>
          <w:rtl/>
        </w:rPr>
        <w:t>לצריכתו</w:t>
      </w:r>
      <w:r>
        <w:rPr>
          <w:rFonts w:ascii="David" w:hAnsi="David"/>
        </w:rPr>
        <w:t xml:space="preserve"> </w:t>
      </w:r>
      <w:r>
        <w:rPr>
          <w:rFonts w:ascii="David" w:hAnsi="David"/>
          <w:rtl/>
        </w:rPr>
        <w:t xml:space="preserve">העצמית. בית משפט השלום גזר 6 חודשי מאסר בעבודות שירות. המדינה ערערה על קולת העונש, </w:t>
      </w:r>
      <w:r>
        <w:rPr>
          <w:rFonts w:ascii="David" w:hAnsi="David"/>
          <w:u w:val="single"/>
          <w:rtl/>
        </w:rPr>
        <w:t>ובית המשפט המחוזי קבע כי מתחם הענישה ההולם נע בין 10 ל- 24 חודשי מאסר בפועל,</w:t>
      </w:r>
      <w:r>
        <w:rPr>
          <w:rFonts w:ascii="David" w:hAnsi="David"/>
          <w:rtl/>
        </w:rPr>
        <w:t xml:space="preserve"> ובהתחשב בשיקולי שיקום גזר על הנאשם 10 חודשי</w:t>
      </w:r>
      <w:r>
        <w:rPr>
          <w:rFonts w:ascii="David" w:hAnsi="David"/>
        </w:rPr>
        <w:t xml:space="preserve"> </w:t>
      </w:r>
      <w:r>
        <w:rPr>
          <w:rFonts w:ascii="David" w:hAnsi="David"/>
          <w:rtl/>
        </w:rPr>
        <w:t>מאסר. בקשת רשות ערעור נדחתה.</w:t>
      </w:r>
    </w:p>
    <w:p w14:paraId="71A9E90D" w14:textId="77777777" w:rsidR="006256AD" w:rsidRDefault="006256AD" w:rsidP="006256AD">
      <w:pPr>
        <w:ind w:left="714"/>
        <w:jc w:val="both"/>
        <w:rPr>
          <w:rFonts w:ascii="David" w:hAnsi="David"/>
        </w:rPr>
      </w:pPr>
    </w:p>
    <w:p w14:paraId="1E5E7F33" w14:textId="77777777" w:rsidR="006256AD" w:rsidRDefault="006256AD" w:rsidP="006256AD">
      <w:pPr>
        <w:numPr>
          <w:ilvl w:val="0"/>
          <w:numId w:val="2"/>
        </w:numPr>
        <w:spacing w:line="360" w:lineRule="auto"/>
        <w:ind w:left="714" w:hanging="357"/>
        <w:jc w:val="both"/>
        <w:rPr>
          <w:rFonts w:ascii="David" w:hAnsi="David"/>
        </w:rPr>
      </w:pPr>
      <w:r>
        <w:rPr>
          <w:rFonts w:ascii="David" w:hAnsi="David"/>
          <w:rtl/>
        </w:rPr>
        <w:t>ב</w:t>
      </w:r>
      <w:hyperlink r:id="rId30" w:history="1">
        <w:r w:rsidR="00DC0445" w:rsidRPr="00DC0445">
          <w:rPr>
            <w:rFonts w:ascii="David" w:hAnsi="David"/>
            <w:color w:val="0000FF"/>
            <w:u w:val="single"/>
            <w:rtl/>
          </w:rPr>
          <w:t>רע"פ 2472/15</w:t>
        </w:r>
      </w:hyperlink>
      <w:r>
        <w:rPr>
          <w:rFonts w:ascii="David" w:hAnsi="David"/>
          <w:rtl/>
        </w:rPr>
        <w:t xml:space="preserve"> </w:t>
      </w:r>
      <w:r>
        <w:rPr>
          <w:rFonts w:ascii="David" w:hAnsi="David"/>
          <w:b/>
          <w:bCs/>
          <w:rtl/>
        </w:rPr>
        <w:t>שוורצמן נ' מדינת ישראל</w:t>
      </w:r>
      <w:r>
        <w:rPr>
          <w:rFonts w:ascii="David" w:hAnsi="David"/>
          <w:rtl/>
        </w:rPr>
        <w:t xml:space="preserve"> (21.5.2015), נדחתה בקשת רשות ערעור שהגיש מבקש שהורשע בהתאם להודאתו בהחזקה של </w:t>
      </w:r>
      <w:r>
        <w:rPr>
          <w:rFonts w:ascii="David" w:hAnsi="David"/>
          <w:b/>
          <w:bCs/>
          <w:rtl/>
        </w:rPr>
        <w:t>קוקאין במשקל כולל של 1.4 גרם, מוחלק ל- 4 יחידות, והרואין במשקל כולל של 17.3 גרם נטו, מחולק ל- 19 יחידות</w:t>
      </w:r>
      <w:r>
        <w:rPr>
          <w:rFonts w:ascii="David" w:hAnsi="David"/>
          <w:rtl/>
        </w:rPr>
        <w:t xml:space="preserve">. בבית משפט השלום בת"א נקבע מתחם עונש הולם שנע בין 10 ל- 20 חודשי מאסר בפועל, ונגזר על הנאשם שלחובתו עבר מכביד ומחלת ריאות כרונית מאסר בפועל למשך 16 חודשים. ערעור המדינה על קולת העונש התקבל, ונקבע </w:t>
      </w:r>
      <w:r>
        <w:rPr>
          <w:rFonts w:ascii="David" w:hAnsi="David"/>
          <w:u w:val="single"/>
          <w:rtl/>
        </w:rPr>
        <w:t>כי מתחם העונש ההולם נע בין 12 ל- 24 חודשי מאסר בפועל</w:t>
      </w:r>
      <w:r>
        <w:rPr>
          <w:rFonts w:ascii="David" w:hAnsi="David"/>
          <w:rtl/>
        </w:rPr>
        <w:t>, גזר על הנאשם 20 חודשי מאסר, וכן הפעיל מאסר מותנה למשך 4 חודשים במצטבר.</w:t>
      </w:r>
    </w:p>
    <w:p w14:paraId="2A429B86" w14:textId="77777777" w:rsidR="006256AD" w:rsidRDefault="006256AD" w:rsidP="006256AD">
      <w:pPr>
        <w:ind w:left="357"/>
        <w:jc w:val="both"/>
        <w:rPr>
          <w:rFonts w:ascii="David" w:hAnsi="David"/>
        </w:rPr>
      </w:pPr>
    </w:p>
    <w:p w14:paraId="58552EE8" w14:textId="77777777" w:rsidR="006256AD" w:rsidRDefault="006256AD" w:rsidP="006256AD">
      <w:pPr>
        <w:numPr>
          <w:ilvl w:val="0"/>
          <w:numId w:val="2"/>
        </w:numPr>
        <w:spacing w:line="360" w:lineRule="auto"/>
        <w:ind w:left="714" w:hanging="357"/>
        <w:jc w:val="both"/>
        <w:rPr>
          <w:rFonts w:ascii="David" w:hAnsi="David"/>
        </w:rPr>
      </w:pPr>
      <w:r>
        <w:rPr>
          <w:rFonts w:ascii="David" w:hAnsi="David"/>
          <w:rtl/>
        </w:rPr>
        <w:t>ב</w:t>
      </w:r>
      <w:hyperlink r:id="rId31" w:history="1">
        <w:r w:rsidR="00DC0445" w:rsidRPr="00DC0445">
          <w:rPr>
            <w:rFonts w:ascii="David" w:hAnsi="David"/>
            <w:color w:val="0000FF"/>
            <w:u w:val="single"/>
            <w:rtl/>
          </w:rPr>
          <w:t>רע"פ 4862/10</w:t>
        </w:r>
      </w:hyperlink>
      <w:r>
        <w:rPr>
          <w:rFonts w:ascii="David" w:hAnsi="David"/>
          <w:rtl/>
        </w:rPr>
        <w:t xml:space="preserve"> </w:t>
      </w:r>
      <w:r>
        <w:rPr>
          <w:rFonts w:ascii="David" w:hAnsi="David"/>
          <w:b/>
          <w:bCs/>
          <w:rtl/>
        </w:rPr>
        <w:t>אנקרי נ' מדינת ישראל</w:t>
      </w:r>
      <w:r>
        <w:rPr>
          <w:rFonts w:ascii="David" w:hAnsi="David"/>
          <w:rtl/>
        </w:rPr>
        <w:t xml:space="preserve"> (29.6.2010), הורשע נאשם לאחר ניהול הוכחות בהחזקת סם מסוג </w:t>
      </w:r>
      <w:r>
        <w:rPr>
          <w:rFonts w:ascii="David" w:hAnsi="David"/>
          <w:b/>
          <w:bCs/>
          <w:rtl/>
        </w:rPr>
        <w:t>קוקאין במשקל 11.6 גרם</w:t>
      </w:r>
      <w:r>
        <w:rPr>
          <w:rFonts w:ascii="David" w:hAnsi="David"/>
          <w:rtl/>
        </w:rPr>
        <w:t xml:space="preserve"> שלא לצריכתו העצמית. בית משפט השלום השית עליו עונש של 20 חודשי מאסר בפועל, בהתחשב בעברו הפלילי שכלל 3 הרשעות קודמות. ערכאת הערעור הקלה בעונשו והעמידה אותו על 10 חודשי מאסרו, ובקשת הנאשם לרשות ערעור נדחתה.</w:t>
      </w:r>
    </w:p>
    <w:p w14:paraId="56F56235" w14:textId="77777777" w:rsidR="006256AD" w:rsidRDefault="006256AD" w:rsidP="006256AD">
      <w:pPr>
        <w:ind w:left="714"/>
        <w:jc w:val="both"/>
        <w:rPr>
          <w:rFonts w:ascii="David" w:hAnsi="David"/>
        </w:rPr>
      </w:pPr>
    </w:p>
    <w:p w14:paraId="1EC5629F" w14:textId="77777777" w:rsidR="006256AD" w:rsidRDefault="006256AD" w:rsidP="006256AD">
      <w:pPr>
        <w:numPr>
          <w:ilvl w:val="0"/>
          <w:numId w:val="2"/>
        </w:numPr>
        <w:spacing w:line="360" w:lineRule="auto"/>
        <w:ind w:left="714" w:hanging="357"/>
        <w:jc w:val="both"/>
        <w:rPr>
          <w:rFonts w:ascii="David" w:hAnsi="David"/>
        </w:rPr>
      </w:pPr>
      <w:r>
        <w:rPr>
          <w:rFonts w:ascii="David" w:hAnsi="David"/>
          <w:rtl/>
        </w:rPr>
        <w:t>ב</w:t>
      </w:r>
      <w:hyperlink r:id="rId32" w:history="1">
        <w:r w:rsidR="00DC0445" w:rsidRPr="00DC0445">
          <w:rPr>
            <w:rFonts w:ascii="David" w:hAnsi="David"/>
            <w:color w:val="0000FF"/>
            <w:u w:val="single"/>
            <w:rtl/>
          </w:rPr>
          <w:t>עפ"ג (ת"א) 26655-04-14</w:t>
        </w:r>
      </w:hyperlink>
      <w:r>
        <w:rPr>
          <w:rFonts w:ascii="David" w:hAnsi="David"/>
          <w:rtl/>
        </w:rPr>
        <w:t xml:space="preserve"> </w:t>
      </w:r>
      <w:r>
        <w:rPr>
          <w:rFonts w:ascii="David" w:hAnsi="David"/>
          <w:b/>
          <w:bCs/>
          <w:rtl/>
        </w:rPr>
        <w:t xml:space="preserve">חמדאן נ' מדינת ישראל </w:t>
      </w:r>
      <w:r>
        <w:rPr>
          <w:rFonts w:ascii="David" w:hAnsi="David"/>
          <w:rtl/>
        </w:rPr>
        <w:t xml:space="preserve">(10.9.2014), נדון נאשם שהורשע על פי הודאתו במסגרת הסדר טיעון בהחזקת </w:t>
      </w:r>
      <w:r>
        <w:rPr>
          <w:rFonts w:ascii="David" w:hAnsi="David"/>
          <w:b/>
          <w:bCs/>
          <w:rtl/>
        </w:rPr>
        <w:t>קוקאין במשקל של 5.2464 גרם נטו</w:t>
      </w:r>
      <w:r>
        <w:rPr>
          <w:rFonts w:ascii="David" w:hAnsi="David"/>
          <w:rtl/>
        </w:rPr>
        <w:t xml:space="preserve">, מחולק ל-12 שקיות, שלא לצריכה עצמית. בית המשפט השלום קבע כי מתחם העונש ההולם </w:t>
      </w:r>
      <w:r>
        <w:rPr>
          <w:rFonts w:ascii="David" w:hAnsi="David"/>
          <w:u w:val="single"/>
          <w:rtl/>
        </w:rPr>
        <w:t>נע בין 8 ל-18 חודשי מאסר בפועל</w:t>
      </w:r>
      <w:r>
        <w:rPr>
          <w:rFonts w:ascii="David" w:hAnsi="David"/>
          <w:rtl/>
        </w:rPr>
        <w:t>. בהתחשב בגילו הצעיר של הנאשם, העדר עבר פלילי ותסקירים חיוביים, גזר על הנאשם 8 חודשי מאסר בפועל. הנאשם הגיש ערעור על חומרת העונש, אך חזר בו בהמלצת בית המשפט.</w:t>
      </w:r>
    </w:p>
    <w:p w14:paraId="15653FA9" w14:textId="77777777" w:rsidR="006256AD" w:rsidRDefault="006256AD" w:rsidP="006256AD">
      <w:pPr>
        <w:ind w:left="714"/>
        <w:jc w:val="both"/>
        <w:rPr>
          <w:rFonts w:ascii="David" w:hAnsi="David"/>
        </w:rPr>
      </w:pPr>
    </w:p>
    <w:p w14:paraId="6847FE53" w14:textId="77777777" w:rsidR="006256AD" w:rsidRDefault="006256AD" w:rsidP="006256AD">
      <w:pPr>
        <w:numPr>
          <w:ilvl w:val="0"/>
          <w:numId w:val="2"/>
        </w:numPr>
        <w:spacing w:line="360" w:lineRule="auto"/>
        <w:ind w:left="714" w:hanging="357"/>
        <w:jc w:val="both"/>
        <w:rPr>
          <w:rFonts w:ascii="David" w:hAnsi="David"/>
        </w:rPr>
      </w:pPr>
      <w:r>
        <w:rPr>
          <w:rFonts w:ascii="David" w:hAnsi="David"/>
          <w:rtl/>
        </w:rPr>
        <w:t>ב</w:t>
      </w:r>
      <w:hyperlink r:id="rId33" w:history="1">
        <w:r w:rsidR="00DC0445" w:rsidRPr="00DC0445">
          <w:rPr>
            <w:rFonts w:ascii="David" w:hAnsi="David"/>
            <w:color w:val="0000FF"/>
            <w:u w:val="single"/>
            <w:rtl/>
          </w:rPr>
          <w:t>עפ"ג (ב"ש) 34270-03-18</w:t>
        </w:r>
      </w:hyperlink>
      <w:r w:rsidR="00DC0445">
        <w:rPr>
          <w:rFonts w:ascii="David" w:hAnsi="David"/>
          <w:rtl/>
        </w:rPr>
        <w:t xml:space="preserve"> </w:t>
      </w:r>
      <w:r>
        <w:rPr>
          <w:rFonts w:ascii="David" w:hAnsi="David"/>
          <w:b/>
          <w:bCs/>
          <w:color w:val="000000"/>
          <w:rtl/>
        </w:rPr>
        <w:t>זיתון נ' מדינת ישראל</w:t>
      </w:r>
      <w:r w:rsidR="00DC0445">
        <w:rPr>
          <w:rFonts w:ascii="David" w:hAnsi="David"/>
          <w:color w:val="000000"/>
          <w:rtl/>
        </w:rPr>
        <w:t xml:space="preserve"> </w:t>
      </w:r>
      <w:r>
        <w:rPr>
          <w:rFonts w:ascii="David" w:hAnsi="David"/>
          <w:color w:val="000000"/>
          <w:rtl/>
        </w:rPr>
        <w:t xml:space="preserve">(13.5.2018), הורשע המערער בהחזקת סם מסוכן מסוג </w:t>
      </w:r>
      <w:r>
        <w:rPr>
          <w:rFonts w:ascii="David" w:hAnsi="David"/>
          <w:b/>
          <w:bCs/>
          <w:color w:val="000000"/>
          <w:rtl/>
        </w:rPr>
        <w:t>קוקאין במשקל של 8.46 גרם</w:t>
      </w:r>
      <w:r>
        <w:rPr>
          <w:rFonts w:ascii="David" w:hAnsi="David"/>
          <w:color w:val="000000"/>
          <w:rtl/>
        </w:rPr>
        <w:t xml:space="preserve">, שלא לצריכה עצמית. </w:t>
      </w:r>
      <w:r>
        <w:rPr>
          <w:rFonts w:ascii="David" w:hAnsi="David"/>
          <w:color w:val="000000"/>
          <w:u w:val="single"/>
          <w:rtl/>
        </w:rPr>
        <w:t>בית משפט קמא קבע כי מתחם העונש ההולם נע בין 7 ל- 18 חודשי מאסר</w:t>
      </w:r>
      <w:r>
        <w:rPr>
          <w:rFonts w:ascii="David" w:hAnsi="David"/>
          <w:color w:val="000000"/>
          <w:rtl/>
        </w:rPr>
        <w:t>, וגזר על המערער 8 חודשי מאסר תוך הפעלת 9 חודשי מאסר על תנאי לריצוי מרביתו בחופף, כך שסה"כ נדון ל- 10 חודשי מאסר וענישה נלווית. ערעור שהוגש על ידי הנאשם התקבל חלקית בהסכמת הצדדים, כך שנקבע כי המאסר המותנה ירוצה בחופף באופן מלא, והנאשם ירצה 9 חודשי מאסר וענישה נלווית.</w:t>
      </w:r>
    </w:p>
    <w:p w14:paraId="2CF49E61" w14:textId="77777777" w:rsidR="006256AD" w:rsidRDefault="006256AD" w:rsidP="006256AD">
      <w:pPr>
        <w:ind w:left="714"/>
        <w:jc w:val="both"/>
        <w:rPr>
          <w:rFonts w:ascii="David" w:hAnsi="David"/>
        </w:rPr>
      </w:pPr>
    </w:p>
    <w:p w14:paraId="3F6CBC1D" w14:textId="77777777" w:rsidR="006256AD" w:rsidRDefault="006256AD" w:rsidP="006256AD">
      <w:pPr>
        <w:numPr>
          <w:ilvl w:val="0"/>
          <w:numId w:val="2"/>
        </w:numPr>
        <w:spacing w:line="360" w:lineRule="auto"/>
        <w:ind w:left="714" w:hanging="357"/>
        <w:jc w:val="both"/>
        <w:rPr>
          <w:rFonts w:ascii="David" w:hAnsi="David"/>
        </w:rPr>
      </w:pPr>
      <w:r>
        <w:rPr>
          <w:rFonts w:ascii="David" w:hAnsi="David"/>
          <w:color w:val="000000"/>
          <w:rtl/>
        </w:rPr>
        <w:t>בעפ"ג (ת"א)</w:t>
      </w:r>
      <w:r w:rsidR="00DC0445">
        <w:rPr>
          <w:rFonts w:ascii="David" w:hAnsi="David"/>
          <w:color w:val="000000"/>
          <w:rtl/>
        </w:rPr>
        <w:t xml:space="preserve"> </w:t>
      </w:r>
      <w:r>
        <w:rPr>
          <w:rFonts w:ascii="David" w:hAnsi="David"/>
          <w:color w:val="000000"/>
          <w:rtl/>
        </w:rPr>
        <w:t>6761-01-15</w:t>
      </w:r>
      <w:r w:rsidR="00DC0445">
        <w:rPr>
          <w:rFonts w:ascii="David" w:hAnsi="David"/>
          <w:color w:val="000000"/>
          <w:rtl/>
        </w:rPr>
        <w:t xml:space="preserve"> </w:t>
      </w:r>
      <w:r>
        <w:rPr>
          <w:rFonts w:ascii="David" w:hAnsi="David"/>
          <w:b/>
          <w:bCs/>
          <w:color w:val="000000"/>
          <w:rtl/>
        </w:rPr>
        <w:t>כהן נ' מדינת ישראל</w:t>
      </w:r>
      <w:r w:rsidR="00DC0445">
        <w:rPr>
          <w:rFonts w:ascii="David" w:hAnsi="David"/>
          <w:color w:val="000000"/>
          <w:rtl/>
        </w:rPr>
        <w:t xml:space="preserve"> </w:t>
      </w:r>
      <w:r>
        <w:rPr>
          <w:rFonts w:ascii="David" w:hAnsi="David"/>
          <w:color w:val="000000"/>
          <w:rtl/>
        </w:rPr>
        <w:t xml:space="preserve">(29.4.2015), הורשע נאשם על פי הודאתו בעבירה של החזקת סם מסוכן מסוג </w:t>
      </w:r>
      <w:r>
        <w:rPr>
          <w:rFonts w:ascii="David" w:hAnsi="David"/>
          <w:b/>
          <w:bCs/>
          <w:color w:val="000000"/>
          <w:rtl/>
        </w:rPr>
        <w:t>קוקאין במשקל של 4.98 גרם</w:t>
      </w:r>
      <w:r>
        <w:rPr>
          <w:rFonts w:ascii="David" w:hAnsi="David"/>
          <w:color w:val="000000"/>
          <w:rtl/>
        </w:rPr>
        <w:t xml:space="preserve"> שלא לצריכה עצמית, ובהחזקת משקל אלקטרוני המשמש לשקילת הסם. </w:t>
      </w:r>
      <w:r>
        <w:rPr>
          <w:rFonts w:ascii="David" w:hAnsi="David"/>
          <w:color w:val="000000"/>
          <w:u w:val="single"/>
          <w:rtl/>
        </w:rPr>
        <w:t>בית משפט קמא קבע כי מתחם העונש ההולם נע בין 8 ל- 18 חודשי מאסר וגזר על הנאשם 14 חודשי מאסר בפועל</w:t>
      </w:r>
      <w:r>
        <w:rPr>
          <w:rFonts w:ascii="David" w:hAnsi="David"/>
          <w:color w:val="000000"/>
          <w:rtl/>
        </w:rPr>
        <w:t xml:space="preserve"> וענישה נלוות כלל רכיבי פסילה בהם הקלה ערכאת הערעור.</w:t>
      </w:r>
    </w:p>
    <w:p w14:paraId="49798C50" w14:textId="77777777" w:rsidR="006256AD" w:rsidRDefault="006256AD" w:rsidP="006256AD">
      <w:pPr>
        <w:ind w:left="714"/>
        <w:jc w:val="both"/>
        <w:rPr>
          <w:rFonts w:ascii="David" w:hAnsi="David"/>
        </w:rPr>
      </w:pPr>
    </w:p>
    <w:p w14:paraId="5708A27E" w14:textId="77777777" w:rsidR="006256AD" w:rsidRDefault="006256AD" w:rsidP="006256AD">
      <w:pPr>
        <w:numPr>
          <w:ilvl w:val="0"/>
          <w:numId w:val="1"/>
        </w:numPr>
        <w:spacing w:line="360" w:lineRule="auto"/>
        <w:jc w:val="both"/>
        <w:rPr>
          <w:rFonts w:ascii="David" w:hAnsi="David"/>
          <w:b/>
          <w:bCs/>
        </w:rPr>
      </w:pPr>
      <w:r>
        <w:rPr>
          <w:rFonts w:ascii="David" w:hAnsi="David"/>
          <w:rtl/>
        </w:rPr>
        <w:t xml:space="preserve">ולענייננו, הנאשם החזיק בביתו </w:t>
      </w:r>
      <w:r>
        <w:rPr>
          <w:rFonts w:ascii="David" w:hAnsi="David"/>
          <w:b/>
          <w:bCs/>
          <w:rtl/>
        </w:rPr>
        <w:t>שבעה סוגי סמים, שלושה מתוכם קשים, בכמויות לא מבוטלות – קוקאין,</w:t>
      </w:r>
      <w:r w:rsidRPr="006256AD">
        <w:rPr>
          <w:rFonts w:ascii="Arial" w:hAnsi="Arial"/>
          <w:b/>
          <w:bCs/>
        </w:rPr>
        <w:t xml:space="preserve">MDMA </w:t>
      </w:r>
      <w:r w:rsidRPr="006256AD">
        <w:rPr>
          <w:rFonts w:ascii="Arial" w:hAnsi="Arial"/>
          <w:b/>
          <w:bCs/>
          <w:rtl/>
        </w:rPr>
        <w:t xml:space="preserve"> ו- </w:t>
      </w:r>
      <w:r w:rsidRPr="006256AD">
        <w:rPr>
          <w:rFonts w:ascii="Arial" w:hAnsi="Arial"/>
          <w:b/>
          <w:bCs/>
        </w:rPr>
        <w:t>LSD</w:t>
      </w:r>
      <w:r>
        <w:rPr>
          <w:rFonts w:ascii="David" w:hAnsi="David"/>
          <w:rtl/>
        </w:rPr>
        <w:t xml:space="preserve"> </w:t>
      </w:r>
      <w:r>
        <w:rPr>
          <w:rFonts w:ascii="David" w:hAnsi="David" w:hint="cs"/>
          <w:b/>
          <w:bCs/>
          <w:rtl/>
        </w:rPr>
        <w:t>– שלא לצריכתו העצמית</w:t>
      </w:r>
      <w:r>
        <w:rPr>
          <w:rFonts w:ascii="David" w:hAnsi="David" w:hint="cs"/>
          <w:rtl/>
        </w:rPr>
        <w:t xml:space="preserve">, וארבעה סוגי סמים לצריכה עצמית. הכמות הנכבדה של הסמים הקשים, ריבוי סוגי הסמים, משמעותם היא כי הנאשם פגע פגיעה ממשית בערכים המוגנים. בחינת הפסיקה הנוהגת לעיל, שהיא פחותה ברובה בחומרתה מעניינו, הובילה אותי למסקנה שמתחם העונש ההולם צריך להיות, לכל הפחות, זה לו עתרה המאשימה דהיינו, </w:t>
      </w:r>
      <w:r>
        <w:rPr>
          <w:rFonts w:ascii="David" w:hAnsi="David" w:hint="cs"/>
          <w:b/>
          <w:bCs/>
          <w:rtl/>
        </w:rPr>
        <w:t>מתחם ענישה שנע בין 12 ל- 24 חודשים</w:t>
      </w:r>
      <w:r>
        <w:rPr>
          <w:rFonts w:ascii="David" w:hAnsi="David" w:hint="cs"/>
          <w:rtl/>
        </w:rPr>
        <w:t>.</w:t>
      </w:r>
    </w:p>
    <w:p w14:paraId="014E95EB" w14:textId="77777777" w:rsidR="006256AD" w:rsidRDefault="006256AD" w:rsidP="006256AD">
      <w:pPr>
        <w:spacing w:line="480" w:lineRule="auto"/>
        <w:ind w:left="360"/>
        <w:jc w:val="both"/>
        <w:rPr>
          <w:rFonts w:ascii="David" w:hAnsi="David"/>
          <w:b/>
          <w:bCs/>
          <w:rtl/>
        </w:rPr>
      </w:pPr>
    </w:p>
    <w:p w14:paraId="3ED9F931" w14:textId="77777777" w:rsidR="006256AD" w:rsidRDefault="006256AD" w:rsidP="006256AD">
      <w:pPr>
        <w:spacing w:line="480" w:lineRule="auto"/>
        <w:ind w:left="360"/>
        <w:jc w:val="both"/>
        <w:rPr>
          <w:rFonts w:ascii="David" w:hAnsi="David"/>
          <w:b/>
          <w:bCs/>
        </w:rPr>
      </w:pPr>
    </w:p>
    <w:p w14:paraId="4B3995B5" w14:textId="77777777" w:rsidR="006256AD" w:rsidRPr="006256AD" w:rsidRDefault="006256AD" w:rsidP="006256AD">
      <w:pPr>
        <w:spacing w:line="480" w:lineRule="auto"/>
        <w:rPr>
          <w:rFonts w:ascii="David" w:eastAsia="Calibri" w:hAnsi="David"/>
          <w:u w:val="single"/>
        </w:rPr>
      </w:pPr>
      <w:r>
        <w:rPr>
          <w:rFonts w:ascii="David" w:hAnsi="David"/>
          <w:u w:val="single"/>
          <w:rtl/>
        </w:rPr>
        <w:t>נסיבות שאינן קשורות בעבירה</w:t>
      </w:r>
    </w:p>
    <w:p w14:paraId="7B311BF0" w14:textId="77777777" w:rsidR="006256AD" w:rsidRDefault="006256AD" w:rsidP="006256AD">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הנאשם רווק בן 25, לחובתו עבר פלילי ישן בגין החזקת סמים בתקופת שירותו הצבאי בשנת 2018, ועבירות רכוש כלפי רכב משנת 2015, בהיותו קטין. מחמת חלוף הזמן מאז הרשעותיו בעבר ועד עתה, לרישומו הפלילי משקל מועט.  </w:t>
      </w:r>
    </w:p>
    <w:p w14:paraId="2609C891" w14:textId="77777777" w:rsidR="006256AD" w:rsidRDefault="006256AD" w:rsidP="006256AD">
      <w:pPr>
        <w:pStyle w:val="aa"/>
        <w:spacing w:line="240" w:lineRule="auto"/>
        <w:ind w:left="360"/>
        <w:jc w:val="both"/>
        <w:rPr>
          <w:rFonts w:ascii="David" w:hAnsi="David" w:cs="David"/>
          <w:sz w:val="24"/>
          <w:szCs w:val="24"/>
        </w:rPr>
      </w:pPr>
    </w:p>
    <w:p w14:paraId="6060183F" w14:textId="77777777" w:rsidR="006256AD" w:rsidRDefault="006256AD" w:rsidP="006256AD">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הנאשם הודה במיוחס לו ובכך הוא חסך מזמנו של בית המשפט. אולם, ביחס לנטילת האחריות קיים פער בין הודאתו לבין טענותיו בפני שירות המבחן ואף בבית המשפט, שכן לטענתו את כל הסמים החזיק לשימושו העצמי. אלא, שטענה זו בעייתית ומלמדת שהנאשם מנסה לאחוז בחבל משני קצותיו. הנאשם עותר לזקוף הודאתו לקולה, בעוד שבפועל הוא מכחיש את החזקת הסמים שלא לצריכה עצמית. בה בעת, טוען הנאשם שיש להקל בעונשו משום שהחזקת הסמים אינה ברף גבוה של חומרה שכן נעשתה לצריכתו העצמית. אלא מאי? בבית הנאשם נתפסו שבעה סוגי סמים שונים, שלושה מתוכם בכמויות גדולות שלא לצריכה עצמית. נוסף על כך החזיק הנאשם בביתו שלושה משקלים דיגיטליים ושקיות המשמשות לחלוקת סמים – כאמור בעובדת כתב האישום המתוקן. משמע, שגרסת הנאשם עומדת בפער לעובדות כתב האישום ולהודאתו, והיא מלמדת על קבלת אחריות חלקית בלבד, וחוסר הפנמת חומרת המעשים ופגיעתם הרבה בחברה. לא בכדי העריך שירות המבחן כי הנאשם גילה טפח וכיסה טפחיים. התנהלות הנאשם מול שירות המבחן לא הייתה גלויה וכנה, וכך גם לא בבית המשפט. </w:t>
      </w:r>
    </w:p>
    <w:p w14:paraId="618F2438" w14:textId="77777777" w:rsidR="006256AD" w:rsidRDefault="006256AD" w:rsidP="006256AD">
      <w:pPr>
        <w:pStyle w:val="aa"/>
        <w:spacing w:line="240" w:lineRule="auto"/>
        <w:ind w:left="360"/>
        <w:jc w:val="both"/>
        <w:rPr>
          <w:rFonts w:ascii="David" w:hAnsi="David" w:cs="David"/>
          <w:sz w:val="24"/>
          <w:szCs w:val="24"/>
        </w:rPr>
      </w:pPr>
    </w:p>
    <w:p w14:paraId="4B6D516F" w14:textId="77777777" w:rsidR="006256AD" w:rsidRDefault="006256AD" w:rsidP="006256AD">
      <w:pPr>
        <w:pStyle w:val="aa"/>
        <w:numPr>
          <w:ilvl w:val="0"/>
          <w:numId w:val="1"/>
        </w:numPr>
        <w:spacing w:line="360" w:lineRule="auto"/>
        <w:jc w:val="both"/>
        <w:rPr>
          <w:rFonts w:ascii="David" w:hAnsi="David" w:cs="David"/>
          <w:sz w:val="24"/>
          <w:szCs w:val="24"/>
        </w:rPr>
      </w:pPr>
      <w:r>
        <w:rPr>
          <w:rFonts w:ascii="David" w:hAnsi="David" w:cs="David"/>
          <w:sz w:val="24"/>
          <w:szCs w:val="24"/>
          <w:rtl/>
        </w:rPr>
        <w:t>זאת ועוד, הנאשם מסר מספר בדיקות שתן בדצמבר 2022 שנמצאו מלוכלכות משרידי סם. הנאשם לא סיפק הסבר לתוצאות הבדיקות והכחיש שימוש בסמים. גם כאן הותיר הנאשם רושם ברור כי הוא מסתיר את הרגלי צריכת הסמים שלו. במכלול הנתונים הללו עמד שירות המבחן על הקושי בהערכת מסוכנותו של הנאשם, וזוהי גם התרשמותי. קל וחומר נכונים הדברים שעה שהנאשם דחה כל צורך ורצון בטיפול, והוא מחזיק בעמד</w:t>
      </w:r>
      <w:r>
        <w:rPr>
          <w:rFonts w:ascii="David" w:hAnsi="David" w:cs="David" w:hint="cs"/>
          <w:sz w:val="24"/>
          <w:szCs w:val="24"/>
          <w:rtl/>
        </w:rPr>
        <w:t>ה</w:t>
      </w:r>
      <w:r>
        <w:rPr>
          <w:rFonts w:ascii="David" w:hAnsi="David" w:cs="David"/>
          <w:sz w:val="24"/>
          <w:szCs w:val="24"/>
          <w:rtl/>
        </w:rPr>
        <w:t xml:space="preserve"> שלא רוא</w:t>
      </w:r>
      <w:r>
        <w:rPr>
          <w:rFonts w:ascii="David" w:hAnsi="David" w:cs="David" w:hint="cs"/>
          <w:sz w:val="24"/>
          <w:szCs w:val="24"/>
          <w:rtl/>
        </w:rPr>
        <w:t>ה</w:t>
      </w:r>
      <w:r>
        <w:rPr>
          <w:rFonts w:ascii="David" w:hAnsi="David" w:cs="David"/>
          <w:sz w:val="24"/>
          <w:szCs w:val="24"/>
          <w:rtl/>
        </w:rPr>
        <w:t xml:space="preserve"> בעייתיות בשימוש בסמים. </w:t>
      </w:r>
    </w:p>
    <w:p w14:paraId="3BD9E80A" w14:textId="77777777" w:rsidR="006256AD" w:rsidRDefault="006256AD" w:rsidP="006256AD">
      <w:pPr>
        <w:pStyle w:val="aa"/>
        <w:spacing w:line="240" w:lineRule="auto"/>
        <w:ind w:left="360"/>
        <w:jc w:val="both"/>
        <w:rPr>
          <w:rFonts w:ascii="David" w:hAnsi="David" w:cs="David"/>
          <w:sz w:val="24"/>
          <w:szCs w:val="24"/>
        </w:rPr>
      </w:pPr>
    </w:p>
    <w:p w14:paraId="31A7A3DF" w14:textId="77777777" w:rsidR="006256AD" w:rsidRDefault="006256AD" w:rsidP="006256AD">
      <w:pPr>
        <w:pStyle w:val="aa"/>
        <w:numPr>
          <w:ilvl w:val="0"/>
          <w:numId w:val="1"/>
        </w:numPr>
        <w:spacing w:line="360" w:lineRule="auto"/>
        <w:jc w:val="both"/>
        <w:rPr>
          <w:rFonts w:ascii="David" w:hAnsi="David" w:cs="David"/>
          <w:sz w:val="24"/>
          <w:szCs w:val="24"/>
        </w:rPr>
      </w:pPr>
      <w:r>
        <w:rPr>
          <w:rFonts w:ascii="David" w:hAnsi="David" w:cs="David"/>
          <w:sz w:val="24"/>
          <w:szCs w:val="24"/>
          <w:rtl/>
        </w:rPr>
        <w:t>מנגד, לזכות הנאשם אקח בחשבון את העובדה שהוא שומר לאחרונה על יציבות תעסוקתית לשביעות רצון מעסיקו (טל/2), ולא נפתחו נגדו תיקים נוספים מאז האירוע דנן. אולם אין בכך כדי ללמד על שיקום – כפי שטוענת ההגנה, ובוודאי שאין באלו הצדקה לחריגה ממתחם העונש משיקולי שיקום.</w:t>
      </w:r>
    </w:p>
    <w:p w14:paraId="07466C7F" w14:textId="77777777" w:rsidR="006256AD" w:rsidRDefault="006256AD" w:rsidP="006256AD">
      <w:pPr>
        <w:pStyle w:val="aa"/>
        <w:spacing w:line="240" w:lineRule="auto"/>
        <w:ind w:left="360"/>
        <w:jc w:val="both"/>
        <w:rPr>
          <w:rFonts w:ascii="David" w:hAnsi="David" w:cs="David"/>
          <w:sz w:val="24"/>
          <w:szCs w:val="24"/>
        </w:rPr>
      </w:pPr>
    </w:p>
    <w:p w14:paraId="33BCE661" w14:textId="77777777" w:rsidR="006256AD" w:rsidRDefault="006256AD" w:rsidP="006256AD">
      <w:pPr>
        <w:pStyle w:val="aa"/>
        <w:numPr>
          <w:ilvl w:val="0"/>
          <w:numId w:val="1"/>
        </w:numPr>
        <w:spacing w:line="360" w:lineRule="auto"/>
        <w:jc w:val="both"/>
        <w:rPr>
          <w:rFonts w:ascii="David" w:hAnsi="David" w:cs="David"/>
          <w:sz w:val="24"/>
          <w:szCs w:val="24"/>
        </w:rPr>
      </w:pPr>
      <w:r>
        <w:rPr>
          <w:rFonts w:ascii="David" w:hAnsi="David" w:cs="David"/>
          <w:sz w:val="24"/>
          <w:szCs w:val="24"/>
          <w:rtl/>
        </w:rPr>
        <w:t>נזכיר, כי הכלל הוא שחריגה ממתחם ענישה הולם מטעמי שיקום תעשה רק מקום שסיכויי השיקום מובהקים (</w:t>
      </w:r>
      <w:hyperlink r:id="rId34" w:history="1">
        <w:r w:rsidR="00DC0445" w:rsidRPr="00DC0445">
          <w:rPr>
            <w:rFonts w:ascii="David" w:hAnsi="David" w:cs="David"/>
            <w:color w:val="0000FF"/>
            <w:sz w:val="24"/>
            <w:szCs w:val="24"/>
            <w:u w:val="single"/>
            <w:rtl/>
          </w:rPr>
          <w:t>ע"פ 126/22</w:t>
        </w:r>
      </w:hyperlink>
      <w:r>
        <w:rPr>
          <w:rFonts w:ascii="David" w:hAnsi="David" w:cs="David"/>
          <w:sz w:val="24"/>
          <w:szCs w:val="24"/>
          <w:rtl/>
        </w:rPr>
        <w:t xml:space="preserve"> </w:t>
      </w:r>
      <w:r>
        <w:rPr>
          <w:rFonts w:ascii="David" w:hAnsi="David" w:cs="David"/>
          <w:b/>
          <w:bCs/>
          <w:sz w:val="24"/>
          <w:szCs w:val="24"/>
          <w:rtl/>
        </w:rPr>
        <w:t>מדינת ישראל נ' פלוני</w:t>
      </w:r>
      <w:r>
        <w:rPr>
          <w:rFonts w:ascii="David" w:hAnsi="David" w:cs="David"/>
          <w:sz w:val="24"/>
          <w:szCs w:val="24"/>
          <w:rtl/>
        </w:rPr>
        <w:t xml:space="preserve">, פסקה 16 (27.4.2022); </w:t>
      </w:r>
      <w:hyperlink r:id="rId35" w:history="1">
        <w:r w:rsidR="00DC0445" w:rsidRPr="00DC0445">
          <w:rPr>
            <w:rFonts w:ascii="David" w:hAnsi="David" w:cs="David"/>
            <w:color w:val="0000FF"/>
            <w:sz w:val="24"/>
            <w:szCs w:val="24"/>
            <w:u w:val="single"/>
            <w:rtl/>
          </w:rPr>
          <w:t>ע"פ 1229/19</w:t>
        </w:r>
      </w:hyperlink>
      <w:r w:rsidR="00DC0445">
        <w:rPr>
          <w:rFonts w:ascii="David" w:hAnsi="David" w:cs="David"/>
          <w:b/>
          <w:bCs/>
          <w:sz w:val="24"/>
          <w:szCs w:val="24"/>
          <w:rtl/>
        </w:rPr>
        <w:t xml:space="preserve"> </w:t>
      </w:r>
      <w:r>
        <w:rPr>
          <w:rFonts w:ascii="David" w:hAnsi="David" w:cs="David"/>
          <w:b/>
          <w:bCs/>
          <w:sz w:val="24"/>
          <w:szCs w:val="24"/>
          <w:rtl/>
        </w:rPr>
        <w:t xml:space="preserve">סלומינסקי נ' מדינת ישראל, </w:t>
      </w:r>
      <w:r>
        <w:rPr>
          <w:rFonts w:ascii="David" w:hAnsi="David" w:cs="David"/>
          <w:sz w:val="24"/>
          <w:szCs w:val="24"/>
          <w:rtl/>
        </w:rPr>
        <w:t>פסקה 13</w:t>
      </w:r>
      <w:r w:rsidR="00DC0445">
        <w:rPr>
          <w:rFonts w:ascii="David" w:hAnsi="David" w:cs="David"/>
          <w:sz w:val="24"/>
          <w:szCs w:val="24"/>
          <w:rtl/>
        </w:rPr>
        <w:t xml:space="preserve"> </w:t>
      </w:r>
      <w:r>
        <w:rPr>
          <w:rFonts w:ascii="David" w:hAnsi="David" w:cs="David"/>
          <w:sz w:val="24"/>
          <w:szCs w:val="24"/>
          <w:rtl/>
        </w:rPr>
        <w:t xml:space="preserve">(1.7.2019)). לשם כך נקבעו בפסיקה אמות מידה בהן ניתן להתחשב לצורך הערכת סיכויי השיקום, ובהם המוטיבציה שהביע נאשם בשיקומו; הצלחת הליכי הטיפול בהם השתלב; הליכי גמילה מהתמכרויות; שינוי בדפוסי התנהגות וחשיבה; הבעת חרטה כנה, והפגנת אמפתיה כלפי נפגע עבירה (במקרים המתאימים). </w:t>
      </w:r>
    </w:p>
    <w:p w14:paraId="70DEF173" w14:textId="77777777" w:rsidR="006256AD" w:rsidRDefault="006256AD" w:rsidP="006256AD">
      <w:pPr>
        <w:pStyle w:val="aa"/>
        <w:spacing w:line="240" w:lineRule="auto"/>
        <w:ind w:left="360"/>
        <w:jc w:val="both"/>
        <w:rPr>
          <w:rFonts w:ascii="David" w:hAnsi="David" w:cs="David"/>
          <w:sz w:val="24"/>
          <w:szCs w:val="24"/>
        </w:rPr>
      </w:pPr>
    </w:p>
    <w:p w14:paraId="33E1BD4B" w14:textId="77777777" w:rsidR="006256AD" w:rsidRDefault="006256AD" w:rsidP="006256AD">
      <w:pPr>
        <w:pStyle w:val="aa"/>
        <w:numPr>
          <w:ilvl w:val="0"/>
          <w:numId w:val="1"/>
        </w:numPr>
        <w:spacing w:line="360" w:lineRule="auto"/>
        <w:jc w:val="both"/>
        <w:rPr>
          <w:rFonts w:ascii="David" w:hAnsi="David" w:cs="David"/>
          <w:sz w:val="24"/>
          <w:szCs w:val="24"/>
        </w:rPr>
      </w:pPr>
      <w:r>
        <w:rPr>
          <w:rFonts w:ascii="David" w:hAnsi="David" w:cs="David"/>
          <w:sz w:val="24"/>
          <w:szCs w:val="24"/>
          <w:rtl/>
        </w:rPr>
        <w:t>סיכויי השיקום נקבעים על סמך תשתית ראייתית – אובייקטיבית, ובראשם תסקיר שירות המבחן (</w:t>
      </w:r>
      <w:hyperlink r:id="rId36" w:history="1">
        <w:r w:rsidR="00DC0445" w:rsidRPr="00DC0445">
          <w:rPr>
            <w:rFonts w:ascii="David" w:hAnsi="David" w:cs="David"/>
            <w:color w:val="0000FF"/>
            <w:sz w:val="24"/>
            <w:szCs w:val="24"/>
            <w:u w:val="single"/>
            <w:rtl/>
          </w:rPr>
          <w:t>ע"פ 6637/17</w:t>
        </w:r>
      </w:hyperlink>
      <w:r>
        <w:rPr>
          <w:rFonts w:ascii="David" w:hAnsi="David" w:cs="David"/>
          <w:sz w:val="24"/>
          <w:szCs w:val="24"/>
          <w:rtl/>
        </w:rPr>
        <w:t xml:space="preserve"> </w:t>
      </w:r>
      <w:r>
        <w:rPr>
          <w:rFonts w:ascii="David" w:hAnsi="David" w:cs="David"/>
          <w:b/>
          <w:bCs/>
          <w:sz w:val="24"/>
          <w:szCs w:val="24"/>
          <w:rtl/>
        </w:rPr>
        <w:t>קרנדל נ' מדינת ישראל</w:t>
      </w:r>
      <w:r>
        <w:rPr>
          <w:rFonts w:ascii="David" w:hAnsi="David" w:cs="David"/>
          <w:sz w:val="24"/>
          <w:szCs w:val="24"/>
          <w:rtl/>
        </w:rPr>
        <w:t xml:space="preserve"> (18.4.2018)). עוד נפסק כי שיקול הדעת בסוגיית חריגה ממתחם משיקול</w:t>
      </w:r>
      <w:r>
        <w:rPr>
          <w:rFonts w:ascii="David" w:hAnsi="David" w:cs="David" w:hint="cs"/>
          <w:sz w:val="24"/>
          <w:szCs w:val="24"/>
          <w:rtl/>
        </w:rPr>
        <w:t xml:space="preserve"> זה</w:t>
      </w:r>
      <w:r>
        <w:rPr>
          <w:rFonts w:ascii="David" w:hAnsi="David" w:cs="David"/>
          <w:sz w:val="24"/>
          <w:szCs w:val="24"/>
          <w:rtl/>
        </w:rPr>
        <w:t xml:space="preserve"> רחב, ומטבע הדברים מצריך בחינה אינדיבידואלית של המקרה הנדון. ודוק, חריגה משיקולי שיקום תעשה בזהירות ובמשורה, וכחריג לכלל שיש לגזור על הנאשם עונש בהתאם לעקרון ההלימה.</w:t>
      </w:r>
    </w:p>
    <w:p w14:paraId="7627AB1A" w14:textId="77777777" w:rsidR="006256AD" w:rsidRDefault="006256AD" w:rsidP="006256AD">
      <w:pPr>
        <w:pStyle w:val="aa"/>
        <w:spacing w:line="240" w:lineRule="auto"/>
        <w:ind w:left="360"/>
        <w:jc w:val="both"/>
        <w:rPr>
          <w:rFonts w:ascii="David" w:hAnsi="David" w:cs="David"/>
          <w:sz w:val="24"/>
          <w:szCs w:val="24"/>
        </w:rPr>
      </w:pPr>
    </w:p>
    <w:p w14:paraId="6ADC01DF" w14:textId="77777777" w:rsidR="006256AD" w:rsidRDefault="006256AD" w:rsidP="006256AD">
      <w:pPr>
        <w:pStyle w:val="aa"/>
        <w:numPr>
          <w:ilvl w:val="0"/>
          <w:numId w:val="1"/>
        </w:numPr>
        <w:spacing w:line="360" w:lineRule="auto"/>
        <w:jc w:val="both"/>
        <w:rPr>
          <w:rFonts w:ascii="David" w:hAnsi="David" w:cs="David"/>
          <w:sz w:val="24"/>
          <w:szCs w:val="24"/>
        </w:rPr>
      </w:pPr>
      <w:r>
        <w:rPr>
          <w:rFonts w:ascii="David" w:hAnsi="David" w:cs="David"/>
          <w:sz w:val="24"/>
          <w:szCs w:val="24"/>
          <w:rtl/>
        </w:rPr>
        <w:t>מקובלת עליי טענת ההגנה כי ייתכנו מקרים בהם ניתן לבחון פוטנציאל שיקומי של נאשם במובן הרחב יותר, תוך מתן משקל רב לשינוי אורח חייו של נאשם וחלוף זמן ניכר מביצוע עבירות במהלכו לא נפתחו תיקים נוספים. דא עקא, מרכז הכובד כאן נעוץ בבעיית השימוש בסמים על ידי הנאשם – שאינה מוכחשת, אינה מטופלת, ואין לנאשם כל רצון בטיפול, מכיוון שהוא לא רואה בכך בעיה.</w:t>
      </w:r>
    </w:p>
    <w:p w14:paraId="1540CAEA" w14:textId="77777777" w:rsidR="006256AD" w:rsidRPr="00DA07BF" w:rsidRDefault="006256AD" w:rsidP="006256AD">
      <w:pPr>
        <w:pStyle w:val="aa"/>
        <w:spacing w:line="240" w:lineRule="auto"/>
        <w:ind w:left="360"/>
        <w:jc w:val="both"/>
        <w:rPr>
          <w:rFonts w:ascii="David" w:hAnsi="David" w:cs="David"/>
          <w:sz w:val="24"/>
          <w:szCs w:val="24"/>
        </w:rPr>
      </w:pPr>
    </w:p>
    <w:p w14:paraId="71B53312" w14:textId="77777777" w:rsidR="006256AD" w:rsidRDefault="006256AD" w:rsidP="006256AD">
      <w:pPr>
        <w:pStyle w:val="aa"/>
        <w:numPr>
          <w:ilvl w:val="0"/>
          <w:numId w:val="1"/>
        </w:numPr>
        <w:spacing w:line="360" w:lineRule="auto"/>
        <w:jc w:val="both"/>
        <w:rPr>
          <w:rFonts w:ascii="David" w:hAnsi="David" w:cs="David"/>
          <w:sz w:val="24"/>
          <w:szCs w:val="24"/>
        </w:rPr>
      </w:pPr>
      <w:r>
        <w:rPr>
          <w:rFonts w:ascii="David" w:hAnsi="David" w:cs="David"/>
          <w:sz w:val="24"/>
          <w:szCs w:val="24"/>
          <w:rtl/>
        </w:rPr>
        <w:t>בשולי הדברים אוסיף, כי לא מצאתי כל ממש בטענת ההגנה לפיה הסכמת המאשימה להפניית נאשם</w:t>
      </w:r>
      <w:r>
        <w:rPr>
          <w:rFonts w:ascii="David" w:hAnsi="David" w:cs="David" w:hint="cs"/>
          <w:sz w:val="24"/>
          <w:szCs w:val="24"/>
          <w:rtl/>
        </w:rPr>
        <w:t>,</w:t>
      </w:r>
      <w:r>
        <w:rPr>
          <w:rFonts w:ascii="David" w:hAnsi="David" w:cs="David"/>
          <w:sz w:val="24"/>
          <w:szCs w:val="24"/>
          <w:rtl/>
        </w:rPr>
        <w:t xml:space="preserve"> כבענייננו</w:t>
      </w:r>
      <w:r>
        <w:rPr>
          <w:rFonts w:ascii="David" w:hAnsi="David" w:cs="David" w:hint="cs"/>
          <w:sz w:val="24"/>
          <w:szCs w:val="24"/>
          <w:rtl/>
        </w:rPr>
        <w:t>,</w:t>
      </w:r>
      <w:r>
        <w:rPr>
          <w:rFonts w:ascii="David" w:hAnsi="David" w:cs="David"/>
          <w:sz w:val="24"/>
          <w:szCs w:val="24"/>
          <w:rtl/>
        </w:rPr>
        <w:t xml:space="preserve"> לבית משפט קהילתי מחייבת אותה לעתירה לעונש מקל. פשיטא שעמדת המאשימה בבית המשפט הקהילתי תלויה בהצלחת הליך שם, והסכמתה לנקיטה בהליך זה, שפעמים רבות נוגעת לנאשמים בעלי דפוסים עברייניים שמעליהם מרחף סיכון למאסר מוחשי, בוודאי שאינה מחייבת אותה במקום שההליך בבית המשפט הקהילתי לא צולח. אחרת עלולים אנו לתמרץ באופן שלילי נאשמים שלא להשלים את ההליך בבית המשפט הקהילתי. </w:t>
      </w:r>
    </w:p>
    <w:p w14:paraId="4F751EFE" w14:textId="77777777" w:rsidR="006256AD" w:rsidRDefault="006256AD" w:rsidP="006256AD">
      <w:pPr>
        <w:pStyle w:val="aa"/>
        <w:spacing w:line="240" w:lineRule="auto"/>
        <w:rPr>
          <w:rFonts w:ascii="David" w:hAnsi="David" w:cs="David"/>
          <w:sz w:val="24"/>
          <w:szCs w:val="24"/>
        </w:rPr>
      </w:pPr>
    </w:p>
    <w:p w14:paraId="5B32CE03" w14:textId="77777777" w:rsidR="006256AD" w:rsidRDefault="006256AD" w:rsidP="006256AD">
      <w:pPr>
        <w:pStyle w:val="aa"/>
        <w:numPr>
          <w:ilvl w:val="0"/>
          <w:numId w:val="1"/>
        </w:numPr>
        <w:spacing w:after="0" w:line="360" w:lineRule="auto"/>
        <w:jc w:val="both"/>
        <w:rPr>
          <w:rFonts w:ascii="David" w:hAnsi="David" w:cs="David"/>
          <w:sz w:val="24"/>
          <w:szCs w:val="24"/>
          <w:rtl/>
        </w:rPr>
      </w:pPr>
      <w:r>
        <w:rPr>
          <w:rFonts w:ascii="David" w:hAnsi="David" w:cs="David"/>
          <w:sz w:val="24"/>
          <w:szCs w:val="24"/>
          <w:rtl/>
        </w:rPr>
        <w:t>אשר לטענות ההגנה לחלוף הזמן מאז ביצוע העבירות, אומר שהתמשכות ההליכים נבעה במידה רבה מהתנהלות הנאשם, לרבות בבית המשפט הקהילתי כאשר ניתנו לו מספר הזדמנויות אותן הוא לא ניצל כראוי. עם זאת, צודקת ההגנה שיש לחלוף הזמן משקל לקולה בקביעת העונש בתוך המתחם, וכך אעשה.</w:t>
      </w:r>
    </w:p>
    <w:p w14:paraId="47163DD4" w14:textId="77777777" w:rsidR="006256AD" w:rsidRDefault="006256AD" w:rsidP="006256AD">
      <w:pPr>
        <w:pStyle w:val="aa"/>
        <w:spacing w:after="0" w:line="480" w:lineRule="auto"/>
        <w:rPr>
          <w:rFonts w:ascii="David" w:hAnsi="David" w:cs="David"/>
          <w:sz w:val="24"/>
          <w:szCs w:val="24"/>
        </w:rPr>
      </w:pPr>
    </w:p>
    <w:p w14:paraId="3B4EC7B5" w14:textId="77777777" w:rsidR="006256AD" w:rsidRDefault="006256AD" w:rsidP="006256AD">
      <w:pPr>
        <w:spacing w:line="360" w:lineRule="auto"/>
        <w:jc w:val="both"/>
        <w:rPr>
          <w:rFonts w:ascii="David" w:hAnsi="David"/>
          <w:b/>
          <w:bCs/>
          <w:u w:val="single"/>
          <w:rtl/>
        </w:rPr>
      </w:pPr>
      <w:r>
        <w:rPr>
          <w:rFonts w:ascii="David" w:hAnsi="David"/>
          <w:b/>
          <w:bCs/>
          <w:u w:val="single"/>
          <w:rtl/>
        </w:rPr>
        <w:t>אשר על כן אני גוזרת על הנאשם את העונשים הבאים</w:t>
      </w:r>
      <w:r>
        <w:rPr>
          <w:rFonts w:ascii="David" w:hAnsi="David"/>
          <w:b/>
          <w:bCs/>
          <w:rtl/>
        </w:rPr>
        <w:t xml:space="preserve">: </w:t>
      </w:r>
    </w:p>
    <w:p w14:paraId="58502E7D" w14:textId="77777777" w:rsidR="006256AD" w:rsidRDefault="006256AD" w:rsidP="006256AD">
      <w:pPr>
        <w:jc w:val="both"/>
        <w:rPr>
          <w:rFonts w:ascii="David" w:hAnsi="David"/>
          <w:b/>
          <w:bCs/>
          <w:u w:val="single"/>
          <w:rtl/>
        </w:rPr>
      </w:pPr>
    </w:p>
    <w:p w14:paraId="1714530B" w14:textId="77777777" w:rsidR="006256AD" w:rsidRDefault="006256AD" w:rsidP="006256AD">
      <w:pPr>
        <w:numPr>
          <w:ilvl w:val="0"/>
          <w:numId w:val="3"/>
        </w:numPr>
        <w:spacing w:line="360" w:lineRule="auto"/>
        <w:contextualSpacing/>
        <w:jc w:val="both"/>
        <w:rPr>
          <w:rFonts w:ascii="David" w:hAnsi="David"/>
        </w:rPr>
      </w:pPr>
      <w:r>
        <w:rPr>
          <w:rFonts w:ascii="David" w:hAnsi="David"/>
          <w:rtl/>
        </w:rPr>
        <w:t>מאסר בפועל למשך 14 חודשים</w:t>
      </w:r>
      <w:r>
        <w:rPr>
          <w:rFonts w:ascii="David" w:hAnsi="David" w:hint="cs"/>
          <w:rtl/>
        </w:rPr>
        <w:t xml:space="preserve"> (בניכוי ימי המעצר בהתאם לרישומי שב"ס, בתיק זה ובכל תיק שקשור אליו).</w:t>
      </w:r>
    </w:p>
    <w:p w14:paraId="01C29A7A" w14:textId="77777777" w:rsidR="006256AD" w:rsidRDefault="006256AD" w:rsidP="006256AD">
      <w:pPr>
        <w:ind w:left="720"/>
        <w:contextualSpacing/>
        <w:jc w:val="both"/>
        <w:rPr>
          <w:rFonts w:ascii="David" w:hAnsi="David"/>
        </w:rPr>
      </w:pPr>
    </w:p>
    <w:p w14:paraId="21ACE6C1" w14:textId="77777777" w:rsidR="006256AD" w:rsidRDefault="006256AD" w:rsidP="006256AD">
      <w:pPr>
        <w:numPr>
          <w:ilvl w:val="0"/>
          <w:numId w:val="3"/>
        </w:numPr>
        <w:spacing w:line="360" w:lineRule="auto"/>
        <w:jc w:val="both"/>
        <w:rPr>
          <w:rFonts w:ascii="David" w:hAnsi="David"/>
        </w:rPr>
      </w:pPr>
      <w:r>
        <w:rPr>
          <w:rFonts w:ascii="David" w:hAnsi="David"/>
          <w:rtl/>
        </w:rPr>
        <w:t>מאסר מותנה למשך 8 חודשים, והתנאי הוא כי הנאשם לא יעבור עבירת סמים מסוג פשע למשך 3 שנים, מיום שחרורו ממאסר.</w:t>
      </w:r>
    </w:p>
    <w:p w14:paraId="011D48F2" w14:textId="77777777" w:rsidR="006256AD" w:rsidRDefault="006256AD" w:rsidP="006256AD">
      <w:pPr>
        <w:pStyle w:val="aa"/>
        <w:spacing w:after="0" w:line="240" w:lineRule="auto"/>
        <w:rPr>
          <w:rFonts w:ascii="David" w:hAnsi="David" w:cs="David"/>
          <w:sz w:val="24"/>
          <w:szCs w:val="24"/>
        </w:rPr>
      </w:pPr>
    </w:p>
    <w:p w14:paraId="5B841353" w14:textId="77777777" w:rsidR="006256AD" w:rsidRDefault="006256AD" w:rsidP="006256AD">
      <w:pPr>
        <w:numPr>
          <w:ilvl w:val="0"/>
          <w:numId w:val="3"/>
        </w:numPr>
        <w:spacing w:line="360" w:lineRule="auto"/>
        <w:jc w:val="both"/>
        <w:rPr>
          <w:rFonts w:ascii="David" w:hAnsi="David"/>
          <w:rtl/>
        </w:rPr>
      </w:pPr>
      <w:r>
        <w:rPr>
          <w:rFonts w:ascii="David" w:hAnsi="David"/>
          <w:rtl/>
        </w:rPr>
        <w:t>מאסר מותנה למשך 3 חודשים, והתנאי הוא כי הנאשם לא יעבור עבירת סמים מסוג עוון או שיבוש מהליכי משפט למשך 3 שנים, מיום שחרורו ממאסר.</w:t>
      </w:r>
    </w:p>
    <w:p w14:paraId="74E645D2" w14:textId="77777777" w:rsidR="006256AD" w:rsidRDefault="006256AD" w:rsidP="006256AD">
      <w:pPr>
        <w:ind w:left="720"/>
        <w:jc w:val="both"/>
        <w:rPr>
          <w:rFonts w:ascii="David" w:hAnsi="David"/>
        </w:rPr>
      </w:pPr>
    </w:p>
    <w:p w14:paraId="41117975" w14:textId="77777777" w:rsidR="006256AD" w:rsidRDefault="006256AD" w:rsidP="006256AD">
      <w:pPr>
        <w:numPr>
          <w:ilvl w:val="0"/>
          <w:numId w:val="3"/>
        </w:numPr>
        <w:spacing w:line="360" w:lineRule="auto"/>
        <w:jc w:val="both"/>
        <w:rPr>
          <w:rFonts w:ascii="David" w:hAnsi="David"/>
        </w:rPr>
      </w:pPr>
      <w:r>
        <w:rPr>
          <w:rFonts w:ascii="David" w:hAnsi="David"/>
          <w:rtl/>
        </w:rPr>
        <w:t xml:space="preserve">קנס בסך </w:t>
      </w:r>
      <w:r>
        <w:rPr>
          <w:rFonts w:ascii="David" w:hAnsi="David" w:hint="cs"/>
          <w:rtl/>
        </w:rPr>
        <w:t>7,500</w:t>
      </w:r>
      <w:r>
        <w:rPr>
          <w:rFonts w:ascii="David" w:hAnsi="David"/>
          <w:rtl/>
        </w:rPr>
        <w:t xml:space="preserve"> ₪ או 50 ימי מאסר תמורתו, שישולם ב- 10 תשלומים חודשיים, רצופים ושווים החל מיום 1.</w:t>
      </w:r>
      <w:r>
        <w:rPr>
          <w:rFonts w:ascii="David" w:hAnsi="David" w:hint="cs"/>
          <w:rtl/>
        </w:rPr>
        <w:t>8</w:t>
      </w:r>
      <w:r>
        <w:rPr>
          <w:rFonts w:ascii="David" w:hAnsi="David"/>
          <w:rtl/>
        </w:rPr>
        <w:t>.2023 ו</w:t>
      </w:r>
      <w:r>
        <w:rPr>
          <w:rFonts w:ascii="David" w:hAnsi="David" w:hint="cs"/>
          <w:rtl/>
        </w:rPr>
        <w:t>ב</w:t>
      </w:r>
      <w:r>
        <w:rPr>
          <w:rFonts w:ascii="David" w:hAnsi="David"/>
          <w:rtl/>
        </w:rPr>
        <w:t>כל ראשון לחודש שלאחריו</w:t>
      </w:r>
      <w:r>
        <w:rPr>
          <w:rFonts w:ascii="David" w:hAnsi="David" w:hint="cs"/>
          <w:rtl/>
        </w:rPr>
        <w:t xml:space="preserve"> (ככל שקיימת הפקדה בתיק זה או בתיק קשור אליו </w:t>
      </w:r>
      <w:r>
        <w:rPr>
          <w:rFonts w:ascii="David" w:hAnsi="David"/>
          <w:rtl/>
        </w:rPr>
        <w:t>–</w:t>
      </w:r>
      <w:r>
        <w:rPr>
          <w:rFonts w:ascii="David" w:hAnsi="David" w:hint="cs"/>
          <w:rtl/>
        </w:rPr>
        <w:t xml:space="preserve"> </w:t>
      </w:r>
      <w:hyperlink r:id="rId37" w:history="1">
        <w:r w:rsidR="00DC0445" w:rsidRPr="00DC0445">
          <w:rPr>
            <w:rFonts w:ascii="David" w:hAnsi="David"/>
            <w:color w:val="0000FF"/>
            <w:u w:val="single"/>
            <w:rtl/>
          </w:rPr>
          <w:t>מ"ת 58029-02-20</w:t>
        </w:r>
      </w:hyperlink>
      <w:r>
        <w:rPr>
          <w:rFonts w:ascii="David" w:hAnsi="David" w:hint="cs"/>
          <w:rtl/>
        </w:rPr>
        <w:t xml:space="preserve"> היא תקוזז בהסכמת הנאשם לטובת הקנס, כפוף לכל מניעה חוקית, עם התייצבות הנאשם לריצוי עונשו).</w:t>
      </w:r>
    </w:p>
    <w:p w14:paraId="566D5432" w14:textId="77777777" w:rsidR="006256AD" w:rsidRPr="006256AD" w:rsidRDefault="006256AD" w:rsidP="006256AD">
      <w:pPr>
        <w:pStyle w:val="aa"/>
        <w:spacing w:line="240" w:lineRule="auto"/>
        <w:jc w:val="both"/>
        <w:rPr>
          <w:rFonts w:ascii="David" w:hAnsi="David" w:cs="David"/>
          <w:u w:val="single"/>
        </w:rPr>
      </w:pPr>
    </w:p>
    <w:p w14:paraId="3B43E213" w14:textId="77777777" w:rsidR="006256AD" w:rsidRDefault="006256AD" w:rsidP="006256AD">
      <w:pPr>
        <w:pStyle w:val="aa"/>
        <w:spacing w:line="360" w:lineRule="auto"/>
        <w:jc w:val="both"/>
        <w:rPr>
          <w:rFonts w:ascii="David" w:hAnsi="David" w:cs="David"/>
          <w:sz w:val="24"/>
          <w:szCs w:val="24"/>
          <w:rtl/>
        </w:rPr>
      </w:pPr>
      <w:r>
        <w:rPr>
          <w:rFonts w:ascii="David" w:hAnsi="David" w:cs="David"/>
          <w:sz w:val="24"/>
          <w:szCs w:val="24"/>
          <w:u w:val="single"/>
          <w:rtl/>
        </w:rPr>
        <w:t>תשלום קנס או פיצויים ייעשה ישירות לחשבון המרכז לגביית קנסות, אגרות והוצאות ברשות האכיפה והגביה באחת הדרכים הבאות:</w:t>
      </w:r>
      <w:r>
        <w:rPr>
          <w:rFonts w:ascii="David" w:hAnsi="David" w:cs="David"/>
          <w:sz w:val="24"/>
          <w:szCs w:val="24"/>
          <w:rtl/>
        </w:rPr>
        <w:t xml:space="preserve"> בכרטיס אשראי באתר המקוון של רשות האכיפה והגבייה (חיפוש בגוגל "תשלום גביית קנסות"): </w:t>
      </w:r>
      <w:hyperlink r:id="rId38" w:history="1">
        <w:r>
          <w:rPr>
            <w:rStyle w:val="Hyperlink"/>
            <w:rFonts w:ascii="David" w:hAnsi="David" w:cs="David"/>
            <w:sz w:val="24"/>
            <w:szCs w:val="24"/>
          </w:rPr>
          <w:t>www.eca.gov.il</w:t>
        </w:r>
      </w:hyperlink>
      <w:r>
        <w:rPr>
          <w:rFonts w:ascii="David" w:hAnsi="David" w:cs="David"/>
          <w:sz w:val="24"/>
          <w:szCs w:val="24"/>
          <w:rtl/>
        </w:rPr>
        <w:t xml:space="preserve"> </w:t>
      </w:r>
      <w:r>
        <w:rPr>
          <w:rFonts w:ascii="David" w:hAnsi="David" w:cs="David" w:hint="cs"/>
          <w:sz w:val="24"/>
          <w:szCs w:val="24"/>
          <w:rtl/>
        </w:rPr>
        <w:t xml:space="preserve">(ניתן לשלם בפריסה של עד 18 תשלומים בהסדר קרדיט). או באמצעות מוקד שירות טלפוני בשרות עצמי (מרכז הגבייה) בטלפון 35592* או בטלפון  073-2055000. או במזומן בסניפי בנק הדואר, בהצגת תעודת זהות (ללא צורך בשוברים). </w:t>
      </w:r>
    </w:p>
    <w:p w14:paraId="3644B990" w14:textId="77777777" w:rsidR="006256AD" w:rsidRDefault="006256AD" w:rsidP="006256AD">
      <w:pPr>
        <w:spacing w:line="360" w:lineRule="auto"/>
        <w:jc w:val="both"/>
        <w:rPr>
          <w:rFonts w:ascii="David" w:hAnsi="David"/>
          <w:u w:val="single"/>
          <w:rtl/>
        </w:rPr>
      </w:pPr>
      <w:r>
        <w:rPr>
          <w:rFonts w:ascii="David" w:hAnsi="David"/>
          <w:u w:val="single"/>
          <w:rtl/>
        </w:rPr>
        <w:t xml:space="preserve">על הנאשם להתייצב לריצוי עונשו בבית סוהר "הדרים" עד ליום </w:t>
      </w:r>
      <w:r>
        <w:rPr>
          <w:rFonts w:ascii="David" w:hAnsi="David" w:hint="cs"/>
          <w:u w:val="single"/>
          <w:rtl/>
        </w:rPr>
        <w:t xml:space="preserve">15.5.2023 </w:t>
      </w:r>
      <w:r>
        <w:rPr>
          <w:rFonts w:ascii="David" w:hAnsi="David"/>
          <w:u w:val="single"/>
          <w:rtl/>
        </w:rPr>
        <w:t xml:space="preserve">בשעה 10:00 כשברשותו תעודת זהות ועותק מגזר הדין. </w:t>
      </w:r>
    </w:p>
    <w:p w14:paraId="058F87CE" w14:textId="77777777" w:rsidR="006256AD" w:rsidRDefault="006256AD" w:rsidP="006256AD">
      <w:pPr>
        <w:jc w:val="both"/>
        <w:rPr>
          <w:rFonts w:ascii="David" w:hAnsi="David"/>
          <w:u w:val="single"/>
          <w:rtl/>
        </w:rPr>
      </w:pPr>
    </w:p>
    <w:p w14:paraId="6E59B00B" w14:textId="77777777" w:rsidR="006256AD" w:rsidRDefault="006256AD" w:rsidP="006256AD">
      <w:pPr>
        <w:spacing w:line="360" w:lineRule="auto"/>
        <w:jc w:val="both"/>
        <w:rPr>
          <w:rFonts w:ascii="David" w:hAnsi="David"/>
          <w:u w:val="single"/>
          <w:rtl/>
        </w:rPr>
      </w:pPr>
      <w:r>
        <w:rPr>
          <w:rFonts w:ascii="David" w:hAnsi="David"/>
          <w:u w:val="single"/>
          <w:rtl/>
        </w:rPr>
        <w:t>ניתן צו כללי למוצגים.</w:t>
      </w:r>
    </w:p>
    <w:p w14:paraId="01C37768" w14:textId="77777777" w:rsidR="006256AD" w:rsidRDefault="006256AD" w:rsidP="006256AD">
      <w:pPr>
        <w:spacing w:line="360" w:lineRule="auto"/>
        <w:rPr>
          <w:rFonts w:ascii="David" w:hAnsi="David"/>
          <w:b/>
          <w:bCs/>
          <w:u w:val="single"/>
          <w:rtl/>
        </w:rPr>
      </w:pPr>
    </w:p>
    <w:p w14:paraId="42C8895A" w14:textId="77777777" w:rsidR="006256AD" w:rsidRDefault="006256AD" w:rsidP="006256AD">
      <w:pPr>
        <w:spacing w:line="360" w:lineRule="auto"/>
        <w:rPr>
          <w:rFonts w:ascii="David" w:hAnsi="David"/>
          <w:b/>
          <w:bCs/>
          <w:u w:val="single"/>
          <w:rtl/>
        </w:rPr>
      </w:pPr>
      <w:r>
        <w:rPr>
          <w:rFonts w:ascii="David" w:hAnsi="David"/>
          <w:b/>
          <w:bCs/>
          <w:u w:val="single"/>
          <w:rtl/>
        </w:rPr>
        <w:t>זכות ערעור לבית המשפט המחוזי מרכז-לוד בתוך 45 ימים.</w:t>
      </w:r>
    </w:p>
    <w:p w14:paraId="224A20DC" w14:textId="77777777" w:rsidR="006256AD" w:rsidRPr="00DC0445" w:rsidRDefault="00DC0445" w:rsidP="006256AD">
      <w:pPr>
        <w:rPr>
          <w:rFonts w:ascii="Arial" w:hAnsi="Arial"/>
          <w:b/>
          <w:bCs/>
          <w:color w:val="FFFFFF"/>
          <w:sz w:val="2"/>
          <w:szCs w:val="2"/>
          <w:rtl/>
        </w:rPr>
      </w:pPr>
      <w:r w:rsidRPr="00DC0445">
        <w:rPr>
          <w:rFonts w:ascii="Arial" w:hAnsi="Arial"/>
          <w:b/>
          <w:bCs/>
          <w:color w:val="FFFFFF"/>
          <w:sz w:val="2"/>
          <w:szCs w:val="2"/>
          <w:rtl/>
        </w:rPr>
        <w:t>5129371</w:t>
      </w:r>
    </w:p>
    <w:p w14:paraId="10DB5644" w14:textId="77777777" w:rsidR="006256AD" w:rsidRPr="00DC0445" w:rsidRDefault="00DC0445" w:rsidP="006256AD">
      <w:pPr>
        <w:rPr>
          <w:rFonts w:ascii="Arial" w:hAnsi="Arial"/>
          <w:b/>
          <w:bCs/>
          <w:color w:val="FFFFFF"/>
          <w:sz w:val="2"/>
          <w:szCs w:val="2"/>
          <w:rtl/>
        </w:rPr>
      </w:pPr>
      <w:r w:rsidRPr="00DC0445">
        <w:rPr>
          <w:rFonts w:ascii="Arial" w:hAnsi="Arial"/>
          <w:b/>
          <w:bCs/>
          <w:color w:val="FFFFFF"/>
          <w:sz w:val="2"/>
          <w:szCs w:val="2"/>
          <w:rtl/>
        </w:rPr>
        <w:t>54678313</w:t>
      </w:r>
    </w:p>
    <w:p w14:paraId="498926F9" w14:textId="77777777" w:rsidR="006256AD" w:rsidRPr="00BE18AE" w:rsidRDefault="00DC0445" w:rsidP="006256AD">
      <w:pPr>
        <w:spacing w:line="360" w:lineRule="auto"/>
        <w:jc w:val="both"/>
        <w:rPr>
          <w:rFonts w:ascii="Arial" w:hAnsi="Arial"/>
          <w:b/>
          <w:bCs/>
          <w:rtl/>
        </w:rPr>
      </w:pPr>
      <w:bookmarkStart w:id="7" w:name="Nitan"/>
      <w:r>
        <w:rPr>
          <w:rFonts w:ascii="Arial" w:hAnsi="Arial"/>
          <w:b/>
          <w:bCs/>
          <w:rtl/>
        </w:rPr>
        <w:t xml:space="preserve">ניתן היום,  ח' ניסן תשפ"ג, 30 מרץ 2023, בנוכחות ב"כ המאשימה עוה"ד נלי מאני, הנאשם ובאת </w:t>
      </w:r>
      <w:bookmarkEnd w:id="7"/>
      <w:r w:rsidR="006256AD" w:rsidRPr="00BE18AE">
        <w:rPr>
          <w:rFonts w:ascii="Arial" w:hAnsi="Arial" w:hint="cs"/>
          <w:b/>
          <w:bCs/>
          <w:rtl/>
        </w:rPr>
        <w:t xml:space="preserve">כוחו עוה"ד ענת יערי. </w:t>
      </w:r>
    </w:p>
    <w:p w14:paraId="2DA9081B" w14:textId="77777777" w:rsidR="006256AD" w:rsidRPr="000F2247" w:rsidRDefault="006256AD" w:rsidP="006256AD">
      <w:pPr>
        <w:spacing w:line="360" w:lineRule="auto"/>
        <w:jc w:val="both"/>
        <w:rPr>
          <w:rFonts w:ascii="Arial" w:hAnsi="Arial"/>
          <w:b/>
          <w:bCs/>
          <w:sz w:val="26"/>
          <w:szCs w:val="26"/>
          <w:rtl/>
        </w:rPr>
      </w:pP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hint="cs"/>
          <w:b/>
          <w:bCs/>
          <w:sz w:val="26"/>
          <w:szCs w:val="26"/>
          <w:rtl/>
        </w:rPr>
        <w:t xml:space="preserve">         </w:t>
      </w:r>
    </w:p>
    <w:p w14:paraId="48A8D1FE" w14:textId="77777777" w:rsidR="006256AD" w:rsidRPr="000F2247" w:rsidRDefault="006256AD" w:rsidP="00DC0445">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F8CE37B" w14:textId="77777777" w:rsidR="006256AD" w:rsidRPr="000F2247" w:rsidRDefault="006256AD" w:rsidP="006256AD">
      <w:pPr>
        <w:jc w:val="center"/>
        <w:rPr>
          <w:rFonts w:ascii="Arial" w:hAnsi="Arial"/>
          <w:b/>
          <w:bCs/>
          <w:sz w:val="26"/>
          <w:szCs w:val="26"/>
          <w:rtl/>
        </w:rPr>
      </w:pPr>
    </w:p>
    <w:p w14:paraId="2AFF8FDF" w14:textId="77777777" w:rsidR="007725E8" w:rsidRPr="00DC0445" w:rsidRDefault="007725E8" w:rsidP="00DC0445">
      <w:pPr>
        <w:keepNext/>
        <w:rPr>
          <w:rFonts w:ascii="David" w:hAnsi="David"/>
          <w:color w:val="000000"/>
          <w:sz w:val="22"/>
          <w:szCs w:val="22"/>
          <w:rtl/>
        </w:rPr>
      </w:pPr>
    </w:p>
    <w:p w14:paraId="293F1B9B" w14:textId="77777777" w:rsidR="00DC0445" w:rsidRPr="00DC0445" w:rsidRDefault="00DC0445" w:rsidP="00DC0445">
      <w:pPr>
        <w:keepNext/>
        <w:rPr>
          <w:rFonts w:ascii="David" w:hAnsi="David"/>
          <w:color w:val="000000"/>
          <w:sz w:val="22"/>
          <w:szCs w:val="22"/>
          <w:rtl/>
        </w:rPr>
      </w:pPr>
      <w:r w:rsidRPr="00DC0445">
        <w:rPr>
          <w:rFonts w:ascii="David" w:hAnsi="David"/>
          <w:color w:val="000000"/>
          <w:sz w:val="22"/>
          <w:szCs w:val="22"/>
          <w:rtl/>
        </w:rPr>
        <w:t>אילה אורן 54678313</w:t>
      </w:r>
    </w:p>
    <w:p w14:paraId="7512C89F" w14:textId="77777777" w:rsidR="00DC0445" w:rsidRDefault="00DC0445" w:rsidP="00DC0445">
      <w:r w:rsidRPr="00DC0445">
        <w:rPr>
          <w:color w:val="000000"/>
          <w:rtl/>
        </w:rPr>
        <w:t>נוסח מסמך זה כפוף לשינויי ניסוח ועריכה</w:t>
      </w:r>
    </w:p>
    <w:p w14:paraId="6CA76841" w14:textId="77777777" w:rsidR="00DC0445" w:rsidRDefault="00DC0445" w:rsidP="00DC0445">
      <w:pPr>
        <w:rPr>
          <w:rtl/>
        </w:rPr>
      </w:pPr>
    </w:p>
    <w:p w14:paraId="6D57866A" w14:textId="77777777" w:rsidR="00DC0445" w:rsidRDefault="00DC0445" w:rsidP="00DC0445">
      <w:pPr>
        <w:jc w:val="center"/>
        <w:rPr>
          <w:color w:val="0000FF"/>
          <w:u w:val="single"/>
        </w:rPr>
      </w:pPr>
      <w:hyperlink r:id="rId39" w:history="1">
        <w:r>
          <w:rPr>
            <w:color w:val="0000FF"/>
            <w:u w:val="single"/>
            <w:rtl/>
          </w:rPr>
          <w:t>בעניין עריכה ושינויים במסמכי פסיקה, חקיקה ועוד באתר נבו – הקש כאן</w:t>
        </w:r>
      </w:hyperlink>
    </w:p>
    <w:p w14:paraId="51CC73A3" w14:textId="77777777" w:rsidR="00DC0445" w:rsidRPr="00DC0445" w:rsidRDefault="00DC0445" w:rsidP="00DC0445">
      <w:pPr>
        <w:jc w:val="center"/>
        <w:rPr>
          <w:color w:val="0000FF"/>
          <w:u w:val="single"/>
        </w:rPr>
      </w:pPr>
    </w:p>
    <w:sectPr w:rsidR="00DC0445" w:rsidRPr="00DC0445" w:rsidSect="00DC0445">
      <w:headerReference w:type="even" r:id="rId40"/>
      <w:headerReference w:type="default" r:id="rId41"/>
      <w:footerReference w:type="even" r:id="rId42"/>
      <w:footerReference w:type="default" r:id="rId4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2B5AC2" w14:textId="77777777" w:rsidR="009964E6" w:rsidRDefault="009964E6" w:rsidP="00712D24">
      <w:r>
        <w:separator/>
      </w:r>
    </w:p>
  </w:endnote>
  <w:endnote w:type="continuationSeparator" w:id="0">
    <w:p w14:paraId="3B41E1D3" w14:textId="77777777" w:rsidR="009964E6" w:rsidRDefault="009964E6" w:rsidP="00712D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D2090D" w14:textId="77777777" w:rsidR="00DC0445" w:rsidRDefault="00DC0445" w:rsidP="00DC044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7B1FFE1" w14:textId="77777777" w:rsidR="00870FA1" w:rsidRPr="00DC0445" w:rsidRDefault="00DC0445" w:rsidP="00DC044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2208BD" w14:textId="77777777" w:rsidR="00DC0445" w:rsidRDefault="00DC0445" w:rsidP="00DC044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22867">
      <w:rPr>
        <w:rFonts w:ascii="FrankRuehl" w:hAnsi="FrankRuehl" w:cs="FrankRuehl"/>
        <w:noProof/>
        <w:rtl/>
      </w:rPr>
      <w:t>1</w:t>
    </w:r>
    <w:r>
      <w:rPr>
        <w:rFonts w:ascii="FrankRuehl" w:hAnsi="FrankRuehl" w:cs="FrankRuehl"/>
        <w:rtl/>
      </w:rPr>
      <w:fldChar w:fldCharType="end"/>
    </w:r>
  </w:p>
  <w:p w14:paraId="59B6238F" w14:textId="77777777" w:rsidR="00870FA1" w:rsidRPr="00DC0445" w:rsidRDefault="00DC0445" w:rsidP="00DC044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32A9A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5CEC10" w14:textId="77777777" w:rsidR="009964E6" w:rsidRDefault="009964E6" w:rsidP="00712D24">
      <w:r>
        <w:separator/>
      </w:r>
    </w:p>
  </w:footnote>
  <w:footnote w:type="continuationSeparator" w:id="0">
    <w:p w14:paraId="2FD59264" w14:textId="77777777" w:rsidR="009964E6" w:rsidRDefault="009964E6" w:rsidP="00712D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7B50A4" w14:textId="77777777" w:rsidR="00DC0445" w:rsidRPr="00DC0445" w:rsidRDefault="00DC0445" w:rsidP="00DC044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תפק (רמ') 58050-02-20</w:t>
    </w:r>
    <w:r>
      <w:rPr>
        <w:rFonts w:ascii="David" w:hAnsi="David"/>
        <w:color w:val="000000"/>
        <w:sz w:val="22"/>
        <w:szCs w:val="22"/>
        <w:rtl/>
      </w:rPr>
      <w:tab/>
      <w:t xml:space="preserve"> מדינת ישראל נ' גל הלה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B6ADD" w14:textId="77777777" w:rsidR="00DC0445" w:rsidRPr="00DC0445" w:rsidRDefault="00DC0445" w:rsidP="00DC044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תפק (רמ') 58050-02-20</w:t>
    </w:r>
    <w:r>
      <w:rPr>
        <w:rFonts w:ascii="David" w:hAnsi="David"/>
        <w:color w:val="000000"/>
        <w:sz w:val="22"/>
        <w:szCs w:val="22"/>
        <w:rtl/>
      </w:rPr>
      <w:tab/>
      <w:t xml:space="preserve"> מדינת ישראל נ' גל הלה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2D632C"/>
    <w:multiLevelType w:val="hybridMultilevel"/>
    <w:tmpl w:val="18C2502A"/>
    <w:lvl w:ilvl="0" w:tplc="B0F2C526">
      <w:start w:val="1"/>
      <w:numFmt w:val="decimal"/>
      <w:lvlText w:val="%1."/>
      <w:lvlJc w:val="left"/>
      <w:pPr>
        <w:ind w:left="360" w:hanging="360"/>
      </w:pPr>
      <w:rPr>
        <w:rFonts w:ascii="David" w:hAnsi="David" w:cs="David" w:hint="default"/>
        <w:b w:val="0"/>
        <w:bCs w:val="0"/>
        <w:i w:val="0"/>
        <w:iCs w:val="0"/>
        <w:sz w:val="24"/>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48E52DC4"/>
    <w:multiLevelType w:val="hybridMultilevel"/>
    <w:tmpl w:val="F66C2DAC"/>
    <w:lvl w:ilvl="0" w:tplc="88D6DB0C">
      <w:start w:val="1"/>
      <w:numFmt w:val="hebrew1"/>
      <w:lvlText w:val="%1."/>
      <w:lvlJc w:val="left"/>
      <w:pPr>
        <w:ind w:left="720" w:hanging="360"/>
      </w:pPr>
      <w:rPr>
        <w:rFonts w:cs="David"/>
        <w:b w:val="0"/>
        <w:strike w:val="0"/>
        <w:dstrike w:val="0"/>
        <w:u w:val="none"/>
        <w:effect w:val="none"/>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5BD65F61"/>
    <w:multiLevelType w:val="hybridMultilevel"/>
    <w:tmpl w:val="51C459C8"/>
    <w:lvl w:ilvl="0" w:tplc="16FC15D8">
      <w:start w:val="1"/>
      <w:numFmt w:val="hebrew1"/>
      <w:lvlText w:val="%1."/>
      <w:lvlJc w:val="left"/>
      <w:pPr>
        <w:ind w:left="720" w:hanging="360"/>
      </w:pPr>
      <w:rPr>
        <w:rFonts w:ascii="David" w:hAnsi="David" w:cs="David"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8050797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483101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2864576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256AD"/>
    <w:rsid w:val="001134FF"/>
    <w:rsid w:val="003B5E0C"/>
    <w:rsid w:val="00422867"/>
    <w:rsid w:val="005A7C8C"/>
    <w:rsid w:val="005C70CE"/>
    <w:rsid w:val="005D4E12"/>
    <w:rsid w:val="006256AD"/>
    <w:rsid w:val="00712D24"/>
    <w:rsid w:val="007725E8"/>
    <w:rsid w:val="00802ABC"/>
    <w:rsid w:val="00870FA1"/>
    <w:rsid w:val="00990185"/>
    <w:rsid w:val="009964E6"/>
    <w:rsid w:val="009A4E4C"/>
    <w:rsid w:val="00AD3889"/>
    <w:rsid w:val="00C92898"/>
    <w:rsid w:val="00DC044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94577B2"/>
  <w15:chartTrackingRefBased/>
  <w15:docId w15:val="{C9727F84-D042-48B0-AA3E-ABFCCBBED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256A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256AD"/>
    <w:pPr>
      <w:tabs>
        <w:tab w:val="center" w:pos="4153"/>
        <w:tab w:val="right" w:pos="8306"/>
      </w:tabs>
    </w:pPr>
  </w:style>
  <w:style w:type="character" w:customStyle="1" w:styleId="a4">
    <w:name w:val="כותרת עליונה תו"/>
    <w:link w:val="a3"/>
    <w:rsid w:val="006256AD"/>
    <w:rPr>
      <w:rFonts w:ascii="Times New Roman" w:eastAsia="Times New Roman" w:hAnsi="Times New Roman" w:cs="David"/>
      <w:sz w:val="24"/>
      <w:szCs w:val="24"/>
    </w:rPr>
  </w:style>
  <w:style w:type="paragraph" w:styleId="a5">
    <w:name w:val="footer"/>
    <w:basedOn w:val="a"/>
    <w:link w:val="a6"/>
    <w:rsid w:val="006256AD"/>
    <w:pPr>
      <w:tabs>
        <w:tab w:val="center" w:pos="4153"/>
        <w:tab w:val="right" w:pos="8306"/>
      </w:tabs>
    </w:pPr>
  </w:style>
  <w:style w:type="character" w:customStyle="1" w:styleId="a6">
    <w:name w:val="כותרת תחתונה תו"/>
    <w:link w:val="a5"/>
    <w:rsid w:val="006256AD"/>
    <w:rPr>
      <w:rFonts w:ascii="Times New Roman" w:eastAsia="Times New Roman" w:hAnsi="Times New Roman" w:cs="David"/>
      <w:sz w:val="24"/>
      <w:szCs w:val="24"/>
    </w:rPr>
  </w:style>
  <w:style w:type="table" w:styleId="a7">
    <w:name w:val="Table Grid"/>
    <w:basedOn w:val="a1"/>
    <w:rsid w:val="006256A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256AD"/>
  </w:style>
  <w:style w:type="character" w:styleId="Hyperlink">
    <w:name w:val="Hyperlink"/>
    <w:rsid w:val="006256AD"/>
    <w:rPr>
      <w:color w:val="0000FF"/>
      <w:u w:val="single"/>
    </w:rPr>
  </w:style>
  <w:style w:type="character" w:customStyle="1" w:styleId="a9">
    <w:name w:val="פיסקת רשימה תו"/>
    <w:link w:val="aa"/>
    <w:locked/>
    <w:rsid w:val="006256AD"/>
  </w:style>
  <w:style w:type="paragraph" w:styleId="aa">
    <w:name w:val="List Paragraph"/>
    <w:basedOn w:val="a"/>
    <w:link w:val="a9"/>
    <w:qFormat/>
    <w:rsid w:val="006256AD"/>
    <w:pPr>
      <w:spacing w:after="160" w:line="256"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4849/78"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0118363"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case/20683594" TargetMode="External"/><Relationship Id="rId34" Type="http://schemas.openxmlformats.org/officeDocument/2006/relationships/hyperlink" Target="http://www.nevo.co.il/case/28226828" TargetMode="External"/><Relationship Id="rId42" Type="http://schemas.openxmlformats.org/officeDocument/2006/relationships/footer" Target="foot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7.a.;7.c" TargetMode="External"/><Relationship Id="rId29" Type="http://schemas.openxmlformats.org/officeDocument/2006/relationships/hyperlink" Target="http://www.nevo.co.il/case/2221795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244" TargetMode="External"/><Relationship Id="rId24" Type="http://schemas.openxmlformats.org/officeDocument/2006/relationships/hyperlink" Target="http://www.nevo.co.il/case/5698919" TargetMode="External"/><Relationship Id="rId32" Type="http://schemas.openxmlformats.org/officeDocument/2006/relationships/hyperlink" Target="http://www.nevo.co.il/case/16879489" TargetMode="External"/><Relationship Id="rId37" Type="http://schemas.openxmlformats.org/officeDocument/2006/relationships/hyperlink" Target="http://www.nevo.co.il/case/26486571"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24287803" TargetMode="External"/><Relationship Id="rId28" Type="http://schemas.openxmlformats.org/officeDocument/2006/relationships/hyperlink" Target="http://www.nevo.co.il/case/24344754" TargetMode="External"/><Relationship Id="rId36" Type="http://schemas.openxmlformats.org/officeDocument/2006/relationships/hyperlink" Target="http://www.nevo.co.il/case/22938500" TargetMode="External"/><Relationship Id="rId10" Type="http://schemas.openxmlformats.org/officeDocument/2006/relationships/hyperlink" Target="http://www.nevo.co.il/law/70301" TargetMode="External"/><Relationship Id="rId19" Type="http://schemas.openxmlformats.org/officeDocument/2006/relationships/hyperlink" Target="http://www.nevo.co.il/law/74849/78" TargetMode="External"/><Relationship Id="rId31" Type="http://schemas.openxmlformats.org/officeDocument/2006/relationships/hyperlink" Target="http://www.nevo.co.il/case/5980328"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a.;7.c" TargetMode="External"/><Relationship Id="rId22" Type="http://schemas.openxmlformats.org/officeDocument/2006/relationships/hyperlink" Target="http://www.nevo.co.il/case/21472796" TargetMode="External"/><Relationship Id="rId27" Type="http://schemas.openxmlformats.org/officeDocument/2006/relationships/hyperlink" Target="http://www.nevo.co.il/case/27589322" TargetMode="External"/><Relationship Id="rId30" Type="http://schemas.openxmlformats.org/officeDocument/2006/relationships/hyperlink" Target="http://www.nevo.co.il/case/20178093" TargetMode="External"/><Relationship Id="rId35" Type="http://schemas.openxmlformats.org/officeDocument/2006/relationships/hyperlink" Target="http://www.nevo.co.il/case/25459244" TargetMode="External"/><Relationship Id="rId43" Type="http://schemas.openxmlformats.org/officeDocument/2006/relationships/footer" Target="footer2.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4849" TargetMode="External"/><Relationship Id="rId17" Type="http://schemas.openxmlformats.org/officeDocument/2006/relationships/hyperlink" Target="http://www.nevo.co.il/law/70301/244" TargetMode="External"/><Relationship Id="rId25" Type="http://schemas.openxmlformats.org/officeDocument/2006/relationships/hyperlink" Target="http://www.nevo.co.il/case/23237993" TargetMode="External"/><Relationship Id="rId33" Type="http://schemas.openxmlformats.org/officeDocument/2006/relationships/hyperlink" Target="http://www.nevo.co.il/case/23792839" TargetMode="External"/><Relationship Id="rId38" Type="http://schemas.openxmlformats.org/officeDocument/2006/relationships/hyperlink" Target="http://www.eca.gov.il/" TargetMode="External"/><Relationship Id="rId20" Type="http://schemas.openxmlformats.org/officeDocument/2006/relationships/hyperlink" Target="http://www.nevo.co.il/law/74849"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3082</Words>
  <Characters>15413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18459</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7864368</vt:i4>
      </vt:variant>
      <vt:variant>
        <vt:i4>93</vt:i4>
      </vt:variant>
      <vt:variant>
        <vt:i4>0</vt:i4>
      </vt:variant>
      <vt:variant>
        <vt:i4>5</vt:i4>
      </vt:variant>
      <vt:variant>
        <vt:lpwstr>http://www.eca.gov.il/</vt:lpwstr>
      </vt:variant>
      <vt:variant>
        <vt:lpwstr/>
      </vt:variant>
      <vt:variant>
        <vt:i4>3604607</vt:i4>
      </vt:variant>
      <vt:variant>
        <vt:i4>90</vt:i4>
      </vt:variant>
      <vt:variant>
        <vt:i4>0</vt:i4>
      </vt:variant>
      <vt:variant>
        <vt:i4>5</vt:i4>
      </vt:variant>
      <vt:variant>
        <vt:lpwstr>http://www.nevo.co.il/case/26486571</vt:lpwstr>
      </vt:variant>
      <vt:variant>
        <vt:lpwstr/>
      </vt:variant>
      <vt:variant>
        <vt:i4>3342448</vt:i4>
      </vt:variant>
      <vt:variant>
        <vt:i4>87</vt:i4>
      </vt:variant>
      <vt:variant>
        <vt:i4>0</vt:i4>
      </vt:variant>
      <vt:variant>
        <vt:i4>5</vt:i4>
      </vt:variant>
      <vt:variant>
        <vt:lpwstr>http://www.nevo.co.il/case/22938500</vt:lpwstr>
      </vt:variant>
      <vt:variant>
        <vt:lpwstr/>
      </vt:variant>
      <vt:variant>
        <vt:i4>3866742</vt:i4>
      </vt:variant>
      <vt:variant>
        <vt:i4>84</vt:i4>
      </vt:variant>
      <vt:variant>
        <vt:i4>0</vt:i4>
      </vt:variant>
      <vt:variant>
        <vt:i4>5</vt:i4>
      </vt:variant>
      <vt:variant>
        <vt:lpwstr>http://www.nevo.co.il/case/25459244</vt:lpwstr>
      </vt:variant>
      <vt:variant>
        <vt:lpwstr/>
      </vt:variant>
      <vt:variant>
        <vt:i4>3407990</vt:i4>
      </vt:variant>
      <vt:variant>
        <vt:i4>81</vt:i4>
      </vt:variant>
      <vt:variant>
        <vt:i4>0</vt:i4>
      </vt:variant>
      <vt:variant>
        <vt:i4>5</vt:i4>
      </vt:variant>
      <vt:variant>
        <vt:lpwstr>http://www.nevo.co.il/case/28226828</vt:lpwstr>
      </vt:variant>
      <vt:variant>
        <vt:lpwstr/>
      </vt:variant>
      <vt:variant>
        <vt:i4>3407990</vt:i4>
      </vt:variant>
      <vt:variant>
        <vt:i4>78</vt:i4>
      </vt:variant>
      <vt:variant>
        <vt:i4>0</vt:i4>
      </vt:variant>
      <vt:variant>
        <vt:i4>5</vt:i4>
      </vt:variant>
      <vt:variant>
        <vt:lpwstr>http://www.nevo.co.il/case/23792839</vt:lpwstr>
      </vt:variant>
      <vt:variant>
        <vt:lpwstr/>
      </vt:variant>
      <vt:variant>
        <vt:i4>3670129</vt:i4>
      </vt:variant>
      <vt:variant>
        <vt:i4>75</vt:i4>
      </vt:variant>
      <vt:variant>
        <vt:i4>0</vt:i4>
      </vt:variant>
      <vt:variant>
        <vt:i4>5</vt:i4>
      </vt:variant>
      <vt:variant>
        <vt:lpwstr>http://www.nevo.co.il/case/16879489</vt:lpwstr>
      </vt:variant>
      <vt:variant>
        <vt:lpwstr/>
      </vt:variant>
      <vt:variant>
        <vt:i4>3539071</vt:i4>
      </vt:variant>
      <vt:variant>
        <vt:i4>72</vt:i4>
      </vt:variant>
      <vt:variant>
        <vt:i4>0</vt:i4>
      </vt:variant>
      <vt:variant>
        <vt:i4>5</vt:i4>
      </vt:variant>
      <vt:variant>
        <vt:lpwstr>http://www.nevo.co.il/case/5980328</vt:lpwstr>
      </vt:variant>
      <vt:variant>
        <vt:lpwstr/>
      </vt:variant>
      <vt:variant>
        <vt:i4>3276915</vt:i4>
      </vt:variant>
      <vt:variant>
        <vt:i4>69</vt:i4>
      </vt:variant>
      <vt:variant>
        <vt:i4>0</vt:i4>
      </vt:variant>
      <vt:variant>
        <vt:i4>5</vt:i4>
      </vt:variant>
      <vt:variant>
        <vt:lpwstr>http://www.nevo.co.il/case/20178093</vt:lpwstr>
      </vt:variant>
      <vt:variant>
        <vt:lpwstr/>
      </vt:variant>
      <vt:variant>
        <vt:i4>3276926</vt:i4>
      </vt:variant>
      <vt:variant>
        <vt:i4>66</vt:i4>
      </vt:variant>
      <vt:variant>
        <vt:i4>0</vt:i4>
      </vt:variant>
      <vt:variant>
        <vt:i4>5</vt:i4>
      </vt:variant>
      <vt:variant>
        <vt:lpwstr>http://www.nevo.co.il/case/22217955</vt:lpwstr>
      </vt:variant>
      <vt:variant>
        <vt:lpwstr/>
      </vt:variant>
      <vt:variant>
        <vt:i4>3145843</vt:i4>
      </vt:variant>
      <vt:variant>
        <vt:i4>63</vt:i4>
      </vt:variant>
      <vt:variant>
        <vt:i4>0</vt:i4>
      </vt:variant>
      <vt:variant>
        <vt:i4>5</vt:i4>
      </vt:variant>
      <vt:variant>
        <vt:lpwstr>http://www.nevo.co.il/case/24344754</vt:lpwstr>
      </vt:variant>
      <vt:variant>
        <vt:lpwstr/>
      </vt:variant>
      <vt:variant>
        <vt:i4>3932280</vt:i4>
      </vt:variant>
      <vt:variant>
        <vt:i4>60</vt:i4>
      </vt:variant>
      <vt:variant>
        <vt:i4>0</vt:i4>
      </vt:variant>
      <vt:variant>
        <vt:i4>5</vt:i4>
      </vt:variant>
      <vt:variant>
        <vt:lpwstr>http://www.nevo.co.il/case/27589322</vt:lpwstr>
      </vt:variant>
      <vt:variant>
        <vt:lpwstr/>
      </vt:variant>
      <vt:variant>
        <vt:i4>3997814</vt:i4>
      </vt:variant>
      <vt:variant>
        <vt:i4>57</vt:i4>
      </vt:variant>
      <vt:variant>
        <vt:i4>0</vt:i4>
      </vt:variant>
      <vt:variant>
        <vt:i4>5</vt:i4>
      </vt:variant>
      <vt:variant>
        <vt:lpwstr>http://www.nevo.co.il/case/20118363</vt:lpwstr>
      </vt:variant>
      <vt:variant>
        <vt:lpwstr/>
      </vt:variant>
      <vt:variant>
        <vt:i4>4063357</vt:i4>
      </vt:variant>
      <vt:variant>
        <vt:i4>54</vt:i4>
      </vt:variant>
      <vt:variant>
        <vt:i4>0</vt:i4>
      </vt:variant>
      <vt:variant>
        <vt:i4>5</vt:i4>
      </vt:variant>
      <vt:variant>
        <vt:lpwstr>http://www.nevo.co.il/case/23237993</vt:lpwstr>
      </vt:variant>
      <vt:variant>
        <vt:lpwstr/>
      </vt:variant>
      <vt:variant>
        <vt:i4>3932283</vt:i4>
      </vt:variant>
      <vt:variant>
        <vt:i4>51</vt:i4>
      </vt:variant>
      <vt:variant>
        <vt:i4>0</vt:i4>
      </vt:variant>
      <vt:variant>
        <vt:i4>5</vt:i4>
      </vt:variant>
      <vt:variant>
        <vt:lpwstr>http://www.nevo.co.il/case/5698919</vt:lpwstr>
      </vt:variant>
      <vt:variant>
        <vt:lpwstr/>
      </vt:variant>
      <vt:variant>
        <vt:i4>3604592</vt:i4>
      </vt:variant>
      <vt:variant>
        <vt:i4>48</vt:i4>
      </vt:variant>
      <vt:variant>
        <vt:i4>0</vt:i4>
      </vt:variant>
      <vt:variant>
        <vt:i4>5</vt:i4>
      </vt:variant>
      <vt:variant>
        <vt:lpwstr>http://www.nevo.co.il/case/24287803</vt:lpwstr>
      </vt:variant>
      <vt:variant>
        <vt:lpwstr/>
      </vt:variant>
      <vt:variant>
        <vt:i4>3997813</vt:i4>
      </vt:variant>
      <vt:variant>
        <vt:i4>45</vt:i4>
      </vt:variant>
      <vt:variant>
        <vt:i4>0</vt:i4>
      </vt:variant>
      <vt:variant>
        <vt:i4>5</vt:i4>
      </vt:variant>
      <vt:variant>
        <vt:lpwstr>http://www.nevo.co.il/case/21472796</vt:lpwstr>
      </vt:variant>
      <vt:variant>
        <vt:lpwstr/>
      </vt:variant>
      <vt:variant>
        <vt:i4>4063353</vt:i4>
      </vt:variant>
      <vt:variant>
        <vt:i4>42</vt:i4>
      </vt:variant>
      <vt:variant>
        <vt:i4>0</vt:i4>
      </vt:variant>
      <vt:variant>
        <vt:i4>5</vt:i4>
      </vt:variant>
      <vt:variant>
        <vt:lpwstr>http://www.nevo.co.il/case/20683594</vt:lpwstr>
      </vt:variant>
      <vt:variant>
        <vt:lpwstr/>
      </vt:variant>
      <vt:variant>
        <vt:i4>7995503</vt:i4>
      </vt:variant>
      <vt:variant>
        <vt:i4>39</vt:i4>
      </vt:variant>
      <vt:variant>
        <vt:i4>0</vt:i4>
      </vt:variant>
      <vt:variant>
        <vt:i4>5</vt:i4>
      </vt:variant>
      <vt:variant>
        <vt:lpwstr>http://www.nevo.co.il/law/74849</vt:lpwstr>
      </vt:variant>
      <vt:variant>
        <vt:lpwstr/>
      </vt:variant>
      <vt:variant>
        <vt:i4>7143521</vt:i4>
      </vt:variant>
      <vt:variant>
        <vt:i4>36</vt:i4>
      </vt:variant>
      <vt:variant>
        <vt:i4>0</vt:i4>
      </vt:variant>
      <vt:variant>
        <vt:i4>5</vt:i4>
      </vt:variant>
      <vt:variant>
        <vt:lpwstr>http://www.nevo.co.il/law/74849/78</vt:lpwstr>
      </vt:variant>
      <vt:variant>
        <vt:lpwstr/>
      </vt:variant>
      <vt:variant>
        <vt:i4>7995492</vt:i4>
      </vt:variant>
      <vt:variant>
        <vt:i4>33</vt:i4>
      </vt:variant>
      <vt:variant>
        <vt:i4>0</vt:i4>
      </vt:variant>
      <vt:variant>
        <vt:i4>5</vt:i4>
      </vt:variant>
      <vt:variant>
        <vt:lpwstr>http://www.nevo.co.il/law/70301</vt:lpwstr>
      </vt:variant>
      <vt:variant>
        <vt:lpwstr/>
      </vt:variant>
      <vt:variant>
        <vt:i4>6357095</vt:i4>
      </vt:variant>
      <vt:variant>
        <vt:i4>30</vt:i4>
      </vt:variant>
      <vt:variant>
        <vt:i4>0</vt:i4>
      </vt:variant>
      <vt:variant>
        <vt:i4>5</vt:i4>
      </vt:variant>
      <vt:variant>
        <vt:lpwstr>http://www.nevo.co.il/law/70301/244</vt:lpwstr>
      </vt:variant>
      <vt:variant>
        <vt:lpwstr/>
      </vt:variant>
      <vt:variant>
        <vt:i4>3997821</vt:i4>
      </vt:variant>
      <vt:variant>
        <vt:i4>27</vt:i4>
      </vt:variant>
      <vt:variant>
        <vt:i4>0</vt:i4>
      </vt:variant>
      <vt:variant>
        <vt:i4>5</vt:i4>
      </vt:variant>
      <vt:variant>
        <vt:lpwstr>http://www.nevo.co.il/law/4216/7.a.;7.c</vt:lpwstr>
      </vt:variant>
      <vt:variant>
        <vt:lpwstr/>
      </vt:variant>
      <vt:variant>
        <vt:i4>8257637</vt:i4>
      </vt:variant>
      <vt:variant>
        <vt:i4>24</vt:i4>
      </vt:variant>
      <vt:variant>
        <vt:i4>0</vt:i4>
      </vt:variant>
      <vt:variant>
        <vt:i4>5</vt:i4>
      </vt:variant>
      <vt:variant>
        <vt:lpwstr>http://www.nevo.co.il/law/4216</vt:lpwstr>
      </vt:variant>
      <vt:variant>
        <vt:lpwstr/>
      </vt:variant>
      <vt:variant>
        <vt:i4>3997821</vt:i4>
      </vt:variant>
      <vt:variant>
        <vt:i4>21</vt:i4>
      </vt:variant>
      <vt:variant>
        <vt:i4>0</vt:i4>
      </vt:variant>
      <vt:variant>
        <vt:i4>5</vt:i4>
      </vt:variant>
      <vt:variant>
        <vt:lpwstr>http://www.nevo.co.il/law/4216/7.a.;7.c</vt:lpwstr>
      </vt:variant>
      <vt:variant>
        <vt:lpwstr/>
      </vt:variant>
      <vt:variant>
        <vt:i4>7143521</vt:i4>
      </vt:variant>
      <vt:variant>
        <vt:i4>18</vt:i4>
      </vt:variant>
      <vt:variant>
        <vt:i4>0</vt:i4>
      </vt:variant>
      <vt:variant>
        <vt:i4>5</vt:i4>
      </vt:variant>
      <vt:variant>
        <vt:lpwstr>http://www.nevo.co.il/law/74849/78</vt:lpwstr>
      </vt:variant>
      <vt:variant>
        <vt:lpwstr/>
      </vt:variant>
      <vt:variant>
        <vt:i4>7995503</vt:i4>
      </vt:variant>
      <vt:variant>
        <vt:i4>15</vt:i4>
      </vt:variant>
      <vt:variant>
        <vt:i4>0</vt:i4>
      </vt:variant>
      <vt:variant>
        <vt:i4>5</vt:i4>
      </vt:variant>
      <vt:variant>
        <vt:lpwstr>http://www.nevo.co.il/law/74849</vt:lpwstr>
      </vt:variant>
      <vt:variant>
        <vt:lpwstr/>
      </vt:variant>
      <vt:variant>
        <vt:i4>6357095</vt:i4>
      </vt:variant>
      <vt:variant>
        <vt:i4>12</vt:i4>
      </vt:variant>
      <vt:variant>
        <vt:i4>0</vt:i4>
      </vt:variant>
      <vt:variant>
        <vt:i4>5</vt:i4>
      </vt:variant>
      <vt:variant>
        <vt:lpwstr>http://www.nevo.co.il/law/70301/244</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2025-04-23T00:30:00Z</dcterms:created>
  <dcterms:modified xsi:type="dcterms:W3CDTF">2025-04-23T00:30:00Z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תפק</vt:lpwstr>
  </property>
  <property fmtid="{D5CDD505-2E9C-101B-9397-08002B2CF9AE}" pid="5" name="NEWPARTA">
    <vt:lpwstr>58050</vt:lpwstr>
  </property>
  <property fmtid="{D5CDD505-2E9C-101B-9397-08002B2CF9AE}" pid="6" name="NEWPARTB">
    <vt:lpwstr>02</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גל הלה</vt:lpwstr>
  </property>
  <property fmtid="{D5CDD505-2E9C-101B-9397-08002B2CF9AE}" pid="10" name="JUDGE">
    <vt:lpwstr>אילה אורן</vt:lpwstr>
  </property>
  <property fmtid="{D5CDD505-2E9C-101B-9397-08002B2CF9AE}" pid="11" name="CITY">
    <vt:lpwstr>רמ'</vt:lpwstr>
  </property>
  <property fmtid="{D5CDD505-2E9C-101B-9397-08002B2CF9AE}" pid="12" name="DATE">
    <vt:lpwstr>20230330</vt:lpwstr>
  </property>
  <property fmtid="{D5CDD505-2E9C-101B-9397-08002B2CF9AE}" pid="13" name="TYPE_N_DATE">
    <vt:lpwstr>38020230330</vt:lpwstr>
  </property>
  <property fmtid="{D5CDD505-2E9C-101B-9397-08002B2CF9AE}" pid="14" name="WORDNUMPAGES">
    <vt:lpwstr>9</vt:lpwstr>
  </property>
  <property fmtid="{D5CDD505-2E9C-101B-9397-08002B2CF9AE}" pid="15" name="TYPE_ABS_DATE">
    <vt:lpwstr>380020230330</vt:lpwstr>
  </property>
  <property fmtid="{D5CDD505-2E9C-101B-9397-08002B2CF9AE}" pid="16" name="ISABSTRACT">
    <vt:lpwstr>Y</vt:lpwstr>
  </property>
  <property fmtid="{D5CDD505-2E9C-101B-9397-08002B2CF9AE}" pid="17" name="CASESLISTTMP1">
    <vt:lpwstr>20683594;21472796;24287803;5698919;23237993;20118363;27589322;24344754;22217955;20178093;5980328;16879489;23792839;28226828;25459244;22938500;26486571</vt:lpwstr>
  </property>
  <property fmtid="{D5CDD505-2E9C-101B-9397-08002B2CF9AE}" pid="18" name="LAWLISTTMP1">
    <vt:lpwstr>4216/007.a:2;007.c:2</vt:lpwstr>
  </property>
  <property fmtid="{D5CDD505-2E9C-101B-9397-08002B2CF9AE}" pid="19" name="LAWLISTTMP2">
    <vt:lpwstr>70301/244</vt:lpwstr>
  </property>
  <property fmtid="{D5CDD505-2E9C-101B-9397-08002B2CF9AE}" pid="20" name="LAWLISTTMP3">
    <vt:lpwstr>74849/078</vt:lpwstr>
  </property>
</Properties>
</file>