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C04099" w:rsidRPr="005C1981" w14:paraId="62774364" w14:textId="77777777" w:rsidTr="00555154">
        <w:trPr>
          <w:gridAfter w:val="1"/>
          <w:wAfter w:w="99" w:type="dxa"/>
          <w:trHeight w:hRule="exact" w:val="418"/>
          <w:jc w:val="center"/>
        </w:trPr>
        <w:tc>
          <w:tcPr>
            <w:tcW w:w="8721" w:type="dxa"/>
            <w:gridSpan w:val="4"/>
          </w:tcPr>
          <w:p w14:paraId="24AED6E8" w14:textId="77777777" w:rsidR="00C04099" w:rsidRPr="005C1981" w:rsidRDefault="00C04099" w:rsidP="00F84EEC">
            <w:pPr>
              <w:pStyle w:val="a3"/>
              <w:jc w:val="center"/>
              <w:rPr>
                <w:rFonts w:ascii="Tahoma" w:hAnsi="Tahoma" w:cs="Tahoma"/>
                <w:color w:val="000080"/>
                <w:rtl/>
              </w:rPr>
            </w:pPr>
            <w:bookmarkStart w:id="0" w:name="LastJudge"/>
            <w:r w:rsidRPr="005C1981">
              <w:rPr>
                <w:rFonts w:ascii="Tahoma" w:hAnsi="Tahoma" w:cs="Tahoma"/>
                <w:b/>
                <w:bCs/>
                <w:color w:val="000080"/>
                <w:rtl/>
              </w:rPr>
              <w:t>בית משפט השלום בירושלים</w:t>
            </w:r>
          </w:p>
        </w:tc>
      </w:tr>
      <w:tr w:rsidR="00C04099" w:rsidRPr="005C1981" w14:paraId="55C88252" w14:textId="77777777" w:rsidTr="00555154">
        <w:trPr>
          <w:gridAfter w:val="1"/>
          <w:wAfter w:w="99" w:type="dxa"/>
          <w:trHeight w:val="337"/>
          <w:jc w:val="center"/>
        </w:trPr>
        <w:tc>
          <w:tcPr>
            <w:tcW w:w="5055" w:type="dxa"/>
            <w:gridSpan w:val="3"/>
          </w:tcPr>
          <w:p w14:paraId="14614D9D" w14:textId="77777777" w:rsidR="00C04099" w:rsidRPr="005C1981" w:rsidRDefault="00C04099" w:rsidP="00F84EEC">
            <w:pPr>
              <w:rPr>
                <w:rFonts w:ascii="David" w:hAnsi="David"/>
                <w:b/>
                <w:bCs/>
                <w:sz w:val="28"/>
                <w:szCs w:val="28"/>
                <w:rtl/>
              </w:rPr>
            </w:pPr>
            <w:r w:rsidRPr="005C1981">
              <w:rPr>
                <w:rFonts w:ascii="David" w:hAnsi="David"/>
                <w:b/>
                <w:bCs/>
                <w:sz w:val="28"/>
                <w:szCs w:val="28"/>
                <w:rtl/>
              </w:rPr>
              <w:t>ת"פ 7441-02-20 מדינת ישראל נ' גז</w:t>
            </w:r>
          </w:p>
          <w:p w14:paraId="73EB444B" w14:textId="77777777" w:rsidR="00C04099" w:rsidRPr="005C1981" w:rsidRDefault="00C04099" w:rsidP="00F84EEC">
            <w:pPr>
              <w:rPr>
                <w:rFonts w:ascii="David" w:hAnsi="David"/>
                <w:b/>
                <w:bCs/>
                <w:sz w:val="28"/>
                <w:szCs w:val="28"/>
                <w:rtl/>
              </w:rPr>
            </w:pPr>
            <w:r w:rsidRPr="005C1981">
              <w:rPr>
                <w:rFonts w:ascii="David" w:hAnsi="David"/>
                <w:b/>
                <w:bCs/>
                <w:sz w:val="28"/>
                <w:szCs w:val="28"/>
                <w:rtl/>
              </w:rPr>
              <w:t>ת"פ 73165-10-21 מדינת ישראל נ' גז</w:t>
            </w:r>
          </w:p>
          <w:p w14:paraId="23A7DD4B" w14:textId="77777777" w:rsidR="00C04099" w:rsidRPr="005C1981" w:rsidRDefault="00C04099" w:rsidP="00F84EEC">
            <w:pPr>
              <w:pStyle w:val="a3"/>
              <w:rPr>
                <w:rFonts w:cs="FrankRuehl"/>
                <w:sz w:val="28"/>
                <w:szCs w:val="28"/>
                <w:rtl/>
              </w:rPr>
            </w:pPr>
          </w:p>
        </w:tc>
        <w:tc>
          <w:tcPr>
            <w:tcW w:w="3666" w:type="dxa"/>
          </w:tcPr>
          <w:p w14:paraId="79E15D62" w14:textId="77777777" w:rsidR="00C04099" w:rsidRPr="005C1981" w:rsidRDefault="00C04099" w:rsidP="00F84EEC">
            <w:pPr>
              <w:pStyle w:val="a3"/>
              <w:jc w:val="right"/>
              <w:rPr>
                <w:rFonts w:cs="FrankRuehl"/>
                <w:sz w:val="28"/>
                <w:szCs w:val="28"/>
                <w:rtl/>
              </w:rPr>
            </w:pPr>
          </w:p>
        </w:tc>
      </w:tr>
      <w:tr w:rsidR="00C04099" w:rsidRPr="005C1981" w14:paraId="62ABF392" w14:textId="77777777" w:rsidTr="005551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83C583D" w14:textId="77777777" w:rsidR="00C04099" w:rsidRPr="005C1981" w:rsidRDefault="00C04099" w:rsidP="00C04099">
            <w:pPr>
              <w:jc w:val="both"/>
              <w:rPr>
                <w:rFonts w:ascii="David" w:hAnsi="David"/>
                <w:b/>
                <w:bCs/>
                <w:sz w:val="26"/>
                <w:szCs w:val="26"/>
              </w:rPr>
            </w:pPr>
            <w:r w:rsidRPr="005C1981">
              <w:rPr>
                <w:rFonts w:hint="cs"/>
                <w:rtl/>
              </w:rPr>
              <w:t xml:space="preserve"> </w:t>
            </w:r>
            <w:r w:rsidRPr="005C1981">
              <w:rPr>
                <w:rFonts w:ascii="David" w:hAnsi="David" w:hint="cs"/>
                <w:b/>
                <w:bCs/>
                <w:sz w:val="26"/>
                <w:szCs w:val="26"/>
                <w:rtl/>
              </w:rPr>
              <w:t>ל</w:t>
            </w:r>
            <w:r w:rsidRPr="005C1981">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0E11C47A" w14:textId="77777777" w:rsidR="00C04099" w:rsidRPr="005C1981" w:rsidRDefault="00C04099" w:rsidP="00F84EEC">
            <w:pPr>
              <w:rPr>
                <w:rFonts w:ascii="David" w:hAnsi="David"/>
                <w:b/>
                <w:bCs/>
                <w:sz w:val="26"/>
                <w:szCs w:val="26"/>
                <w:rtl/>
              </w:rPr>
            </w:pPr>
            <w:r w:rsidRPr="005C1981">
              <w:rPr>
                <w:rFonts w:ascii="David" w:hAnsi="David"/>
                <w:b/>
                <w:bCs/>
                <w:sz w:val="26"/>
                <w:szCs w:val="26"/>
                <w:rtl/>
              </w:rPr>
              <w:t>כבוד השופט  דוד שאול גבאי ריכטר</w:t>
            </w:r>
          </w:p>
          <w:p w14:paraId="5AAB2528" w14:textId="77777777" w:rsidR="00C04099" w:rsidRPr="005C1981" w:rsidRDefault="00C04099" w:rsidP="00F84EEC">
            <w:pPr>
              <w:rPr>
                <w:rFonts w:ascii="David" w:hAnsi="David"/>
                <w:b/>
                <w:bCs/>
                <w:sz w:val="26"/>
                <w:szCs w:val="26"/>
                <w:rtl/>
              </w:rPr>
            </w:pPr>
          </w:p>
          <w:p w14:paraId="72BD4925" w14:textId="77777777" w:rsidR="00C04099" w:rsidRPr="005C1981" w:rsidRDefault="00C04099" w:rsidP="00C04099">
            <w:pPr>
              <w:jc w:val="both"/>
              <w:rPr>
                <w:rFonts w:ascii="David" w:hAnsi="David"/>
                <w:b/>
                <w:bCs/>
                <w:sz w:val="26"/>
                <w:szCs w:val="26"/>
              </w:rPr>
            </w:pPr>
          </w:p>
        </w:tc>
      </w:tr>
      <w:tr w:rsidR="00C04099" w:rsidRPr="005C1981" w14:paraId="5DB95D5F" w14:textId="77777777" w:rsidTr="005551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AC0DDD" w14:textId="77777777" w:rsidR="00C04099" w:rsidRPr="005C1981" w:rsidRDefault="00C04099" w:rsidP="00C04099">
            <w:pPr>
              <w:jc w:val="both"/>
              <w:rPr>
                <w:rFonts w:ascii="David" w:hAnsi="David"/>
                <w:b/>
                <w:bCs/>
                <w:sz w:val="26"/>
                <w:szCs w:val="26"/>
              </w:rPr>
            </w:pPr>
            <w:bookmarkStart w:id="1" w:name="FirstAppellant"/>
            <w:bookmarkStart w:id="2" w:name="FirstLawyer"/>
            <w:r w:rsidRPr="005C1981">
              <w:rPr>
                <w:rFonts w:ascii="David" w:hAnsi="David"/>
                <w:b/>
                <w:bCs/>
                <w:sz w:val="26"/>
                <w:szCs w:val="26"/>
                <w:rtl/>
              </w:rPr>
              <w:t>בעניין:</w:t>
            </w:r>
          </w:p>
        </w:tc>
        <w:tc>
          <w:tcPr>
            <w:tcW w:w="3219" w:type="dxa"/>
            <w:tcBorders>
              <w:top w:val="nil"/>
              <w:left w:val="nil"/>
              <w:bottom w:val="nil"/>
              <w:right w:val="nil"/>
            </w:tcBorders>
            <w:shd w:val="clear" w:color="auto" w:fill="auto"/>
          </w:tcPr>
          <w:p w14:paraId="589CD1B8" w14:textId="77777777" w:rsidR="00C04099" w:rsidRPr="005C1981" w:rsidRDefault="00C04099" w:rsidP="00C04099">
            <w:pPr>
              <w:suppressLineNumbers/>
              <w:rPr>
                <w:b/>
                <w:bCs/>
                <w:sz w:val="26"/>
                <w:szCs w:val="26"/>
              </w:rPr>
            </w:pPr>
            <w:r w:rsidRPr="005C1981">
              <w:rPr>
                <w:rFonts w:ascii="Arial" w:hAnsi="Arial" w:hint="cs"/>
                <w:b/>
                <w:bCs/>
                <w:sz w:val="26"/>
                <w:szCs w:val="26"/>
                <w:rtl/>
              </w:rPr>
              <w:t>ה</w:t>
            </w:r>
            <w:r w:rsidRPr="005C1981">
              <w:rPr>
                <w:rFonts w:ascii="Arial" w:hAnsi="Arial"/>
                <w:b/>
                <w:bCs/>
                <w:sz w:val="26"/>
                <w:szCs w:val="26"/>
                <w:rtl/>
              </w:rPr>
              <w:t>מאשימה</w:t>
            </w:r>
          </w:p>
          <w:p w14:paraId="13265231" w14:textId="77777777" w:rsidR="00C04099" w:rsidRPr="005C1981" w:rsidRDefault="00C04099" w:rsidP="00F84EEC">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402BED2E" w14:textId="77777777" w:rsidR="00C04099" w:rsidRPr="005C1981" w:rsidRDefault="00C04099" w:rsidP="00C04099">
            <w:pPr>
              <w:suppressLineNumbers/>
              <w:rPr>
                <w:rFonts w:ascii="Arial" w:hAnsi="Arial"/>
                <w:b/>
                <w:bCs/>
                <w:sz w:val="26"/>
                <w:szCs w:val="26"/>
                <w:rtl/>
              </w:rPr>
            </w:pPr>
            <w:r w:rsidRPr="005C1981">
              <w:rPr>
                <w:rFonts w:ascii="Arial" w:hAnsi="Arial"/>
                <w:b/>
                <w:bCs/>
                <w:sz w:val="26"/>
                <w:szCs w:val="26"/>
                <w:rtl/>
              </w:rPr>
              <w:t>מדינת ישראל</w:t>
            </w:r>
            <w:r w:rsidRPr="005C1981">
              <w:rPr>
                <w:rFonts w:ascii="Arial" w:hAnsi="Arial" w:hint="cs"/>
                <w:b/>
                <w:bCs/>
                <w:sz w:val="26"/>
                <w:szCs w:val="26"/>
                <w:rtl/>
              </w:rPr>
              <w:t xml:space="preserve"> </w:t>
            </w:r>
          </w:p>
          <w:p w14:paraId="7036CD35" w14:textId="77777777" w:rsidR="00C04099" w:rsidRPr="005C1981" w:rsidRDefault="00C04099" w:rsidP="00C04099">
            <w:pPr>
              <w:suppressLineNumbers/>
              <w:rPr>
                <w:b/>
                <w:bCs/>
                <w:sz w:val="26"/>
                <w:szCs w:val="26"/>
                <w:rtl/>
              </w:rPr>
            </w:pPr>
            <w:r w:rsidRPr="005C1981">
              <w:rPr>
                <w:rFonts w:ascii="Arial" w:hAnsi="Arial"/>
                <w:b/>
                <w:bCs/>
                <w:sz w:val="26"/>
                <w:szCs w:val="26"/>
                <w:rtl/>
              </w:rPr>
              <w:t xml:space="preserve">ע"י ב"כ </w:t>
            </w:r>
            <w:r w:rsidRPr="005C1981">
              <w:rPr>
                <w:rFonts w:ascii="Arial" w:hAnsi="Arial" w:hint="cs"/>
                <w:b/>
                <w:bCs/>
                <w:sz w:val="26"/>
                <w:szCs w:val="26"/>
                <w:rtl/>
              </w:rPr>
              <w:t>פקד דוד כהן, מתמחה</w:t>
            </w:r>
          </w:p>
          <w:p w14:paraId="016B5FBF" w14:textId="77777777" w:rsidR="00C04099" w:rsidRPr="005C1981" w:rsidRDefault="00C04099" w:rsidP="00C04099">
            <w:pPr>
              <w:suppressLineNumbers/>
              <w:rPr>
                <w:b/>
                <w:bCs/>
                <w:sz w:val="26"/>
                <w:szCs w:val="26"/>
              </w:rPr>
            </w:pPr>
            <w:r w:rsidRPr="005C1981">
              <w:rPr>
                <w:rFonts w:hint="cs"/>
                <w:b/>
                <w:bCs/>
                <w:sz w:val="26"/>
                <w:szCs w:val="26"/>
                <w:rtl/>
              </w:rPr>
              <w:t>מתביעות ירושלים</w:t>
            </w:r>
          </w:p>
          <w:p w14:paraId="0F44CEAC" w14:textId="77777777" w:rsidR="00C04099" w:rsidRPr="005C1981" w:rsidRDefault="00C04099" w:rsidP="00F84EEC">
            <w:pPr>
              <w:rPr>
                <w:rFonts w:ascii="David" w:hAnsi="David"/>
                <w:b/>
                <w:bCs/>
                <w:sz w:val="26"/>
                <w:szCs w:val="26"/>
              </w:rPr>
            </w:pPr>
          </w:p>
        </w:tc>
      </w:tr>
      <w:bookmarkEnd w:id="1"/>
      <w:bookmarkEnd w:id="2"/>
      <w:tr w:rsidR="00C04099" w:rsidRPr="005C1981" w14:paraId="626FB73D" w14:textId="77777777" w:rsidTr="005551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3FF665" w14:textId="77777777" w:rsidR="00C04099" w:rsidRPr="005C1981" w:rsidRDefault="00C04099" w:rsidP="00C04099">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4FDC39A3" w14:textId="77777777" w:rsidR="00C04099" w:rsidRPr="005C1981" w:rsidRDefault="00C04099" w:rsidP="00C04099">
            <w:pPr>
              <w:jc w:val="center"/>
              <w:rPr>
                <w:rFonts w:ascii="David" w:hAnsi="David"/>
                <w:b/>
                <w:bCs/>
                <w:sz w:val="26"/>
                <w:szCs w:val="26"/>
                <w:rtl/>
              </w:rPr>
            </w:pPr>
          </w:p>
          <w:p w14:paraId="4E9BFDDA" w14:textId="77777777" w:rsidR="00C04099" w:rsidRPr="005C1981" w:rsidRDefault="00C04099" w:rsidP="00C04099">
            <w:pPr>
              <w:jc w:val="center"/>
              <w:rPr>
                <w:rFonts w:ascii="David" w:hAnsi="David"/>
                <w:b/>
                <w:bCs/>
                <w:sz w:val="26"/>
                <w:szCs w:val="26"/>
                <w:rtl/>
              </w:rPr>
            </w:pPr>
            <w:r w:rsidRPr="005C1981">
              <w:rPr>
                <w:rFonts w:ascii="David" w:hAnsi="David"/>
                <w:b/>
                <w:bCs/>
                <w:sz w:val="26"/>
                <w:szCs w:val="26"/>
                <w:rtl/>
              </w:rPr>
              <w:t>נגד</w:t>
            </w:r>
          </w:p>
          <w:p w14:paraId="516673A7" w14:textId="77777777" w:rsidR="00C04099" w:rsidRPr="005C1981" w:rsidRDefault="00C04099" w:rsidP="00C04099">
            <w:pPr>
              <w:jc w:val="both"/>
              <w:rPr>
                <w:rFonts w:ascii="David" w:hAnsi="David"/>
                <w:b/>
                <w:bCs/>
                <w:sz w:val="26"/>
                <w:szCs w:val="26"/>
              </w:rPr>
            </w:pPr>
          </w:p>
        </w:tc>
      </w:tr>
      <w:tr w:rsidR="00C04099" w:rsidRPr="005C1981" w14:paraId="0E46BA4B" w14:textId="77777777" w:rsidTr="005551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2D59CBD" w14:textId="77777777" w:rsidR="00C04099" w:rsidRPr="005C1981" w:rsidRDefault="00C04099" w:rsidP="00F84EEC">
            <w:pPr>
              <w:rPr>
                <w:rFonts w:ascii="David" w:hAnsi="David"/>
                <w:b/>
                <w:bCs/>
                <w:sz w:val="26"/>
                <w:szCs w:val="26"/>
                <w:rtl/>
              </w:rPr>
            </w:pPr>
          </w:p>
        </w:tc>
        <w:tc>
          <w:tcPr>
            <w:tcW w:w="3219" w:type="dxa"/>
            <w:tcBorders>
              <w:top w:val="nil"/>
              <w:left w:val="nil"/>
              <w:bottom w:val="nil"/>
              <w:right w:val="nil"/>
            </w:tcBorders>
            <w:shd w:val="clear" w:color="auto" w:fill="auto"/>
          </w:tcPr>
          <w:p w14:paraId="07EAE8FD" w14:textId="77777777" w:rsidR="00C04099" w:rsidRPr="005C1981" w:rsidRDefault="00C04099" w:rsidP="00F84EEC">
            <w:pPr>
              <w:rPr>
                <w:rFonts w:ascii="Arial" w:hAnsi="Arial"/>
                <w:b/>
                <w:bCs/>
                <w:sz w:val="26"/>
                <w:szCs w:val="26"/>
                <w:rtl/>
              </w:rPr>
            </w:pPr>
            <w:r w:rsidRPr="005C1981">
              <w:rPr>
                <w:rFonts w:ascii="Arial" w:hAnsi="Arial"/>
                <w:b/>
                <w:bCs/>
                <w:sz w:val="26"/>
                <w:szCs w:val="26"/>
                <w:rtl/>
              </w:rPr>
              <w:t>הנאש</w:t>
            </w:r>
            <w:r w:rsidRPr="005C1981">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59F8DBCB" w14:textId="77777777" w:rsidR="00C04099" w:rsidRPr="005C1981" w:rsidRDefault="00C04099" w:rsidP="00C04099">
            <w:pPr>
              <w:suppressLineNumbers/>
              <w:rPr>
                <w:rFonts w:ascii="Arial" w:hAnsi="Arial"/>
                <w:b/>
                <w:bCs/>
                <w:sz w:val="26"/>
                <w:szCs w:val="26"/>
                <w:rtl/>
              </w:rPr>
            </w:pPr>
            <w:r w:rsidRPr="005C1981">
              <w:rPr>
                <w:rFonts w:ascii="Arial" w:hAnsi="Arial"/>
                <w:b/>
                <w:bCs/>
                <w:sz w:val="26"/>
                <w:szCs w:val="26"/>
                <w:rtl/>
              </w:rPr>
              <w:t xml:space="preserve">שלמה גז </w:t>
            </w:r>
            <w:r w:rsidRPr="005C1981">
              <w:rPr>
                <w:rFonts w:ascii="Arial" w:hAnsi="Arial" w:hint="cs"/>
                <w:b/>
                <w:bCs/>
                <w:sz w:val="26"/>
                <w:szCs w:val="26"/>
                <w:rtl/>
              </w:rPr>
              <w:t xml:space="preserve"> </w:t>
            </w:r>
          </w:p>
          <w:p w14:paraId="3B14E931" w14:textId="77777777" w:rsidR="00C04099" w:rsidRPr="005C1981" w:rsidRDefault="00C04099" w:rsidP="00C04099">
            <w:pPr>
              <w:suppressLineNumbers/>
              <w:rPr>
                <w:b/>
                <w:bCs/>
                <w:sz w:val="26"/>
                <w:szCs w:val="26"/>
                <w:rtl/>
              </w:rPr>
            </w:pPr>
            <w:r w:rsidRPr="005C1981">
              <w:rPr>
                <w:rFonts w:ascii="Arial" w:hAnsi="Arial"/>
                <w:b/>
                <w:bCs/>
                <w:sz w:val="26"/>
                <w:szCs w:val="26"/>
                <w:rtl/>
              </w:rPr>
              <w:t>ע"י ב"כ עוה"ד</w:t>
            </w:r>
            <w:r w:rsidRPr="005C1981">
              <w:rPr>
                <w:rFonts w:hint="cs"/>
                <w:b/>
                <w:bCs/>
                <w:sz w:val="26"/>
                <w:szCs w:val="26"/>
                <w:rtl/>
              </w:rPr>
              <w:t xml:space="preserve"> ורד בירגר</w:t>
            </w:r>
          </w:p>
          <w:p w14:paraId="2C42CC9A" w14:textId="77777777" w:rsidR="00C04099" w:rsidRPr="005C1981" w:rsidRDefault="00C04099" w:rsidP="00C04099">
            <w:pPr>
              <w:suppressLineNumbers/>
              <w:rPr>
                <w:b/>
                <w:bCs/>
                <w:sz w:val="26"/>
                <w:szCs w:val="26"/>
              </w:rPr>
            </w:pPr>
            <w:r w:rsidRPr="005C1981">
              <w:rPr>
                <w:rFonts w:hint="cs"/>
                <w:b/>
                <w:bCs/>
                <w:sz w:val="26"/>
                <w:szCs w:val="26"/>
                <w:rtl/>
              </w:rPr>
              <w:t>מטעם הסניגוריה הציבורית</w:t>
            </w:r>
          </w:p>
          <w:p w14:paraId="19AFF495" w14:textId="77777777" w:rsidR="00C04099" w:rsidRPr="005C1981" w:rsidRDefault="00C04099" w:rsidP="00F84EEC">
            <w:pPr>
              <w:rPr>
                <w:rFonts w:ascii="David" w:hAnsi="David"/>
                <w:b/>
                <w:bCs/>
                <w:sz w:val="26"/>
                <w:szCs w:val="26"/>
              </w:rPr>
            </w:pPr>
          </w:p>
        </w:tc>
      </w:tr>
    </w:tbl>
    <w:p w14:paraId="4A6591A2" w14:textId="77777777" w:rsidR="005C1981" w:rsidRPr="005C1981" w:rsidRDefault="005C1981" w:rsidP="005C1981">
      <w:pPr>
        <w:spacing w:before="120" w:after="120" w:line="240" w:lineRule="exact"/>
        <w:ind w:left="283" w:hanging="283"/>
        <w:jc w:val="both"/>
        <w:rPr>
          <w:rFonts w:ascii="FrankRuehl" w:hAnsi="FrankRuehl" w:cs="FrankRuehl"/>
          <w:rtl/>
        </w:rPr>
      </w:pPr>
    </w:p>
    <w:p w14:paraId="3590CB25" w14:textId="77777777" w:rsidR="005C1981" w:rsidRPr="005C1981" w:rsidRDefault="005C1981" w:rsidP="005C1981">
      <w:pPr>
        <w:rPr>
          <w:sz w:val="26"/>
          <w:szCs w:val="26"/>
          <w:rtl/>
        </w:rPr>
      </w:pPr>
    </w:p>
    <w:p w14:paraId="0ECE155F" w14:textId="77777777" w:rsidR="00555154" w:rsidRPr="00555154" w:rsidRDefault="00555154" w:rsidP="00555154">
      <w:pPr>
        <w:spacing w:before="120" w:after="120" w:line="240" w:lineRule="exact"/>
        <w:ind w:left="283" w:hanging="283"/>
        <w:jc w:val="both"/>
        <w:rPr>
          <w:rFonts w:ascii="FrankRuehl" w:hAnsi="FrankRuehl" w:cs="FrankRuehl"/>
          <w:rtl/>
        </w:rPr>
      </w:pPr>
    </w:p>
    <w:p w14:paraId="1316A991" w14:textId="77777777" w:rsidR="002E6262" w:rsidRPr="002E6262" w:rsidRDefault="002E6262" w:rsidP="002E6262">
      <w:pPr>
        <w:spacing w:before="120" w:after="120" w:line="240" w:lineRule="exact"/>
        <w:ind w:left="283" w:hanging="283"/>
        <w:jc w:val="both"/>
        <w:rPr>
          <w:rFonts w:ascii="FrankRuehl" w:hAnsi="FrankRuehl" w:cs="FrankRuehl"/>
          <w:rtl/>
        </w:rPr>
      </w:pPr>
    </w:p>
    <w:p w14:paraId="6773E129" w14:textId="77777777" w:rsidR="003C0A43" w:rsidRDefault="003C0A43" w:rsidP="003C0A43">
      <w:pPr>
        <w:rPr>
          <w:sz w:val="26"/>
          <w:szCs w:val="26"/>
          <w:rtl/>
        </w:rPr>
      </w:pPr>
      <w:bookmarkStart w:id="3" w:name="LawTable"/>
      <w:bookmarkEnd w:id="3"/>
    </w:p>
    <w:p w14:paraId="6391D8A7" w14:textId="77777777" w:rsidR="003C0A43" w:rsidRPr="003C0A43" w:rsidRDefault="003C0A43" w:rsidP="003C0A43">
      <w:pPr>
        <w:spacing w:before="120" w:after="120" w:line="240" w:lineRule="exact"/>
        <w:ind w:left="283" w:hanging="283"/>
        <w:jc w:val="both"/>
        <w:rPr>
          <w:rFonts w:ascii="FrankRuehl" w:hAnsi="FrankRuehl" w:cs="FrankRuehl"/>
          <w:rtl/>
        </w:rPr>
      </w:pPr>
    </w:p>
    <w:p w14:paraId="6D317B0C" w14:textId="77777777" w:rsidR="003C0A43" w:rsidRPr="003C0A43" w:rsidRDefault="003C0A43" w:rsidP="003C0A43">
      <w:pPr>
        <w:spacing w:before="120" w:after="120" w:line="240" w:lineRule="exact"/>
        <w:ind w:left="283" w:hanging="283"/>
        <w:jc w:val="both"/>
        <w:rPr>
          <w:rFonts w:ascii="FrankRuehl" w:hAnsi="FrankRuehl" w:cs="FrankRuehl"/>
          <w:rtl/>
        </w:rPr>
      </w:pPr>
    </w:p>
    <w:p w14:paraId="1E4A6948" w14:textId="77777777" w:rsidR="003C0A43" w:rsidRPr="003C0A43" w:rsidRDefault="003C0A43" w:rsidP="003C0A43">
      <w:pPr>
        <w:spacing w:before="120" w:after="120" w:line="240" w:lineRule="exact"/>
        <w:ind w:left="283" w:hanging="283"/>
        <w:jc w:val="both"/>
        <w:rPr>
          <w:rFonts w:ascii="FrankRuehl" w:hAnsi="FrankRuehl" w:cs="FrankRuehl"/>
          <w:rtl/>
        </w:rPr>
      </w:pPr>
      <w:r w:rsidRPr="003C0A43">
        <w:rPr>
          <w:rFonts w:ascii="FrankRuehl" w:hAnsi="FrankRuehl" w:cs="FrankRuehl"/>
          <w:rtl/>
        </w:rPr>
        <w:t xml:space="preserve">חקיקה שאוזכרה: </w:t>
      </w:r>
    </w:p>
    <w:p w14:paraId="27B5B49E" w14:textId="77777777" w:rsidR="003C0A43" w:rsidRPr="003C0A43" w:rsidRDefault="003C0A43" w:rsidP="003C0A43">
      <w:pPr>
        <w:spacing w:before="120" w:after="120" w:line="240" w:lineRule="exact"/>
        <w:ind w:left="283" w:hanging="283"/>
        <w:jc w:val="both"/>
        <w:rPr>
          <w:rFonts w:ascii="FrankRuehl" w:hAnsi="FrankRuehl" w:cs="FrankRuehl"/>
          <w:rtl/>
        </w:rPr>
      </w:pPr>
      <w:hyperlink r:id="rId7" w:history="1">
        <w:r w:rsidRPr="003C0A43">
          <w:rPr>
            <w:rFonts w:ascii="FrankRuehl" w:hAnsi="FrankRuehl" w:cs="FrankRuehl"/>
            <w:color w:val="0000FF"/>
            <w:rtl/>
          </w:rPr>
          <w:t>חוק העונשין, תשל"ז-1977</w:t>
        </w:r>
      </w:hyperlink>
      <w:r w:rsidRPr="003C0A43">
        <w:rPr>
          <w:rFonts w:ascii="FrankRuehl" w:hAnsi="FrankRuehl" w:cs="FrankRuehl"/>
          <w:rtl/>
        </w:rPr>
        <w:t xml:space="preserve">: סע'  </w:t>
      </w:r>
      <w:hyperlink r:id="rId8" w:history="1">
        <w:r w:rsidRPr="003C0A43">
          <w:rPr>
            <w:rFonts w:ascii="FrankRuehl" w:hAnsi="FrankRuehl" w:cs="FrankRuehl"/>
            <w:color w:val="0000FF"/>
            <w:rtl/>
          </w:rPr>
          <w:t>192</w:t>
        </w:r>
      </w:hyperlink>
      <w:r w:rsidRPr="003C0A43">
        <w:rPr>
          <w:rFonts w:ascii="FrankRuehl" w:hAnsi="FrankRuehl" w:cs="FrankRuehl"/>
          <w:rtl/>
        </w:rPr>
        <w:t xml:space="preserve">, </w:t>
      </w:r>
      <w:hyperlink r:id="rId9" w:history="1">
        <w:r w:rsidRPr="003C0A43">
          <w:rPr>
            <w:rFonts w:ascii="FrankRuehl" w:hAnsi="FrankRuehl" w:cs="FrankRuehl"/>
            <w:color w:val="0000FF"/>
            <w:rtl/>
          </w:rPr>
          <w:t>384</w:t>
        </w:r>
      </w:hyperlink>
    </w:p>
    <w:p w14:paraId="00DED37D" w14:textId="77777777" w:rsidR="003C0A43" w:rsidRPr="003C0A43" w:rsidRDefault="003C0A43" w:rsidP="003C0A43">
      <w:pPr>
        <w:spacing w:before="120" w:after="120" w:line="240" w:lineRule="exact"/>
        <w:ind w:left="283" w:hanging="283"/>
        <w:jc w:val="both"/>
        <w:rPr>
          <w:rFonts w:ascii="FrankRuehl" w:hAnsi="FrankRuehl" w:cs="FrankRuehl"/>
          <w:rtl/>
        </w:rPr>
      </w:pPr>
      <w:hyperlink r:id="rId10" w:history="1">
        <w:r w:rsidRPr="003C0A43">
          <w:rPr>
            <w:rFonts w:ascii="FrankRuehl" w:hAnsi="FrankRuehl" w:cs="FrankRuehl"/>
            <w:color w:val="0000FF"/>
            <w:rtl/>
          </w:rPr>
          <w:t>פקודת הסמים המסוכנים [נוסח חדש], תשל"ג-1973</w:t>
        </w:r>
      </w:hyperlink>
      <w:r w:rsidRPr="003C0A43">
        <w:rPr>
          <w:rFonts w:ascii="FrankRuehl" w:hAnsi="FrankRuehl" w:cs="FrankRuehl"/>
          <w:rtl/>
        </w:rPr>
        <w:t xml:space="preserve">: סע'  </w:t>
      </w:r>
      <w:hyperlink r:id="rId11" w:history="1">
        <w:r w:rsidRPr="003C0A43">
          <w:rPr>
            <w:rFonts w:ascii="FrankRuehl" w:hAnsi="FrankRuehl" w:cs="FrankRuehl"/>
            <w:color w:val="0000FF"/>
            <w:rtl/>
          </w:rPr>
          <w:t>7(א)</w:t>
        </w:r>
      </w:hyperlink>
      <w:r w:rsidRPr="003C0A43">
        <w:rPr>
          <w:rFonts w:ascii="FrankRuehl" w:hAnsi="FrankRuehl" w:cs="FrankRuehl"/>
          <w:rtl/>
        </w:rPr>
        <w:t xml:space="preserve">, </w:t>
      </w:r>
      <w:hyperlink r:id="rId12" w:history="1">
        <w:r w:rsidRPr="003C0A43">
          <w:rPr>
            <w:rFonts w:ascii="FrankRuehl" w:hAnsi="FrankRuehl" w:cs="FrankRuehl"/>
            <w:color w:val="0000FF"/>
            <w:rtl/>
          </w:rPr>
          <w:t>7(ג)</w:t>
        </w:r>
      </w:hyperlink>
    </w:p>
    <w:p w14:paraId="7F641DD3" w14:textId="77777777" w:rsidR="003C0A43" w:rsidRPr="003C0A43" w:rsidRDefault="003C0A43" w:rsidP="003C0A43">
      <w:pPr>
        <w:rPr>
          <w:sz w:val="26"/>
          <w:szCs w:val="26"/>
          <w:rtl/>
        </w:rPr>
      </w:pPr>
      <w:bookmarkStart w:id="4" w:name="LawTable_End"/>
      <w:bookmarkEnd w:id="4"/>
    </w:p>
    <w:p w14:paraId="3ED9296E" w14:textId="77777777" w:rsidR="00555154" w:rsidRPr="002E6262" w:rsidRDefault="00555154" w:rsidP="002E6262">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04099" w14:paraId="70AD624C" w14:textId="77777777" w:rsidTr="00C04099">
        <w:trPr>
          <w:trHeight w:val="70"/>
          <w:jc w:val="center"/>
        </w:trPr>
        <w:tc>
          <w:tcPr>
            <w:tcW w:w="8820" w:type="dxa"/>
            <w:tcBorders>
              <w:top w:val="nil"/>
              <w:left w:val="nil"/>
              <w:bottom w:val="nil"/>
              <w:right w:val="nil"/>
            </w:tcBorders>
            <w:shd w:val="clear" w:color="auto" w:fill="auto"/>
          </w:tcPr>
          <w:p w14:paraId="2C17370E" w14:textId="77777777" w:rsidR="005C1981" w:rsidRPr="005C1981" w:rsidRDefault="005C1981" w:rsidP="005C1981">
            <w:pPr>
              <w:jc w:val="center"/>
              <w:rPr>
                <w:rFonts w:ascii="David" w:hAnsi="David"/>
                <w:b/>
                <w:bCs/>
                <w:sz w:val="32"/>
                <w:szCs w:val="32"/>
                <w:u w:val="single"/>
                <w:rtl/>
              </w:rPr>
            </w:pPr>
            <w:bookmarkStart w:id="5" w:name="PsakDin" w:colFirst="0" w:colLast="0"/>
            <w:bookmarkEnd w:id="0"/>
            <w:r w:rsidRPr="005C1981">
              <w:rPr>
                <w:rFonts w:ascii="David" w:hAnsi="David"/>
                <w:b/>
                <w:bCs/>
                <w:sz w:val="32"/>
                <w:szCs w:val="32"/>
                <w:u w:val="single"/>
                <w:rtl/>
              </w:rPr>
              <w:t>גזר דין</w:t>
            </w:r>
          </w:p>
          <w:p w14:paraId="11A7E29D" w14:textId="77777777" w:rsidR="00C04099" w:rsidRPr="005C1981" w:rsidRDefault="00C04099" w:rsidP="005C1981">
            <w:pPr>
              <w:jc w:val="center"/>
              <w:rPr>
                <w:rFonts w:ascii="David" w:hAnsi="David"/>
                <w:bCs/>
                <w:sz w:val="32"/>
                <w:szCs w:val="32"/>
                <w:u w:val="single"/>
                <w:rtl/>
              </w:rPr>
            </w:pPr>
          </w:p>
        </w:tc>
      </w:tr>
      <w:bookmarkEnd w:id="5"/>
    </w:tbl>
    <w:p w14:paraId="46A0DF77" w14:textId="77777777" w:rsidR="00C04099" w:rsidRPr="000F2247" w:rsidRDefault="00C04099" w:rsidP="00C04099">
      <w:pPr>
        <w:rPr>
          <w:rFonts w:ascii="Arial" w:hAnsi="Arial"/>
          <w:b/>
          <w:bCs/>
          <w:sz w:val="26"/>
          <w:szCs w:val="26"/>
          <w:rtl/>
        </w:rPr>
      </w:pPr>
    </w:p>
    <w:p w14:paraId="24A9BAC3" w14:textId="77777777" w:rsidR="00C04099" w:rsidRDefault="00C04099" w:rsidP="00C04099">
      <w:pPr>
        <w:rPr>
          <w:rFonts w:ascii="Arial" w:hAnsi="Arial"/>
          <w:b/>
          <w:bCs/>
          <w:sz w:val="26"/>
          <w:szCs w:val="26"/>
          <w:rtl/>
        </w:rPr>
      </w:pPr>
    </w:p>
    <w:p w14:paraId="1E6E9F36" w14:textId="77777777" w:rsidR="00C04099" w:rsidRDefault="00C04099" w:rsidP="00C04099">
      <w:pPr>
        <w:spacing w:line="360" w:lineRule="auto"/>
        <w:rPr>
          <w:rFonts w:ascii="David" w:hAnsi="David"/>
          <w:b/>
          <w:bCs/>
          <w:u w:val="single"/>
        </w:rPr>
      </w:pPr>
      <w:r>
        <w:rPr>
          <w:rFonts w:ascii="David" w:hAnsi="David"/>
          <w:b/>
          <w:bCs/>
          <w:u w:val="single"/>
          <w:rtl/>
        </w:rPr>
        <w:t>כתב</w:t>
      </w:r>
      <w:r>
        <w:rPr>
          <w:rFonts w:ascii="David" w:hAnsi="David" w:hint="cs"/>
          <w:b/>
          <w:bCs/>
          <w:u w:val="single"/>
          <w:rtl/>
        </w:rPr>
        <w:t>י</w:t>
      </w:r>
      <w:r>
        <w:rPr>
          <w:rFonts w:ascii="David" w:hAnsi="David"/>
          <w:b/>
          <w:bCs/>
          <w:u w:val="single"/>
          <w:rtl/>
        </w:rPr>
        <w:t xml:space="preserve"> האישום</w:t>
      </w:r>
      <w:r>
        <w:rPr>
          <w:rFonts w:ascii="David" w:hAnsi="David" w:hint="cs"/>
          <w:b/>
          <w:bCs/>
          <w:u w:val="single"/>
          <w:rtl/>
        </w:rPr>
        <w:t xml:space="preserve"> בהם הודה הנאשם</w:t>
      </w:r>
    </w:p>
    <w:p w14:paraId="14DEA254" w14:textId="77777777" w:rsidR="00C04099" w:rsidRDefault="00C04099" w:rsidP="00C04099">
      <w:pPr>
        <w:pStyle w:val="a9"/>
        <w:numPr>
          <w:ilvl w:val="0"/>
          <w:numId w:val="2"/>
        </w:numPr>
        <w:spacing w:line="360" w:lineRule="auto"/>
        <w:jc w:val="both"/>
        <w:rPr>
          <w:rFonts w:ascii="David" w:hAnsi="David"/>
        </w:rPr>
      </w:pPr>
      <w:bookmarkStart w:id="6" w:name="ABSTRACT_START"/>
      <w:bookmarkEnd w:id="6"/>
      <w:r w:rsidRPr="001829EE">
        <w:rPr>
          <w:rFonts w:ascii="David" w:hAnsi="David"/>
          <w:rtl/>
        </w:rPr>
        <w:t>הנאשם הורשע על פי הודאתו בשני כתבי אישום.</w:t>
      </w:r>
    </w:p>
    <w:p w14:paraId="3C061D79" w14:textId="77777777" w:rsidR="00C04099" w:rsidRPr="001829EE" w:rsidRDefault="00C04099" w:rsidP="00C04099">
      <w:pPr>
        <w:pStyle w:val="a9"/>
        <w:spacing w:line="360" w:lineRule="auto"/>
        <w:ind w:left="360"/>
        <w:jc w:val="both"/>
        <w:rPr>
          <w:rFonts w:ascii="David" w:hAnsi="David"/>
        </w:rPr>
      </w:pPr>
    </w:p>
    <w:p w14:paraId="51A58432" w14:textId="77777777" w:rsidR="00C04099" w:rsidRDefault="005C1981" w:rsidP="00C04099">
      <w:pPr>
        <w:pStyle w:val="a9"/>
        <w:numPr>
          <w:ilvl w:val="0"/>
          <w:numId w:val="3"/>
        </w:numPr>
        <w:spacing w:line="360" w:lineRule="auto"/>
        <w:jc w:val="both"/>
        <w:rPr>
          <w:rFonts w:ascii="David" w:hAnsi="David"/>
        </w:rPr>
      </w:pPr>
      <w:hyperlink r:id="rId13" w:history="1">
        <w:r w:rsidRPr="005C1981">
          <w:rPr>
            <w:rFonts w:ascii="David" w:hAnsi="David"/>
            <w:b/>
            <w:bCs/>
            <w:color w:val="0000FF"/>
            <w:u w:val="single"/>
            <w:rtl/>
          </w:rPr>
          <w:t>ת"פ 7441-02-20</w:t>
        </w:r>
      </w:hyperlink>
      <w:r w:rsidR="00C04099" w:rsidRPr="001829EE">
        <w:rPr>
          <w:rFonts w:ascii="David" w:hAnsi="David"/>
          <w:b/>
          <w:bCs/>
          <w:u w:val="single"/>
          <w:rtl/>
        </w:rPr>
        <w:t xml:space="preserve"> (התיק העיקרי)</w:t>
      </w:r>
      <w:r w:rsidR="00C04099" w:rsidRPr="001829EE">
        <w:rPr>
          <w:rFonts w:ascii="David" w:hAnsi="David" w:hint="cs"/>
          <w:b/>
          <w:bCs/>
          <w:rtl/>
        </w:rPr>
        <w:t xml:space="preserve"> - </w:t>
      </w:r>
      <w:r w:rsidR="00C04099" w:rsidRPr="001829EE">
        <w:rPr>
          <w:rFonts w:ascii="David" w:hAnsi="David"/>
          <w:rtl/>
        </w:rPr>
        <w:t xml:space="preserve">על פי עובדות כתב האישום, ביום 30.5.2019 בעיר העתיקה בירושלים, הניח המתלונן את מכשיר הפלאפון שלו על דוכן מחוץ למאפייה. הנאשם עבר במקום ולקח את הפלאפון. ביום 2.6.2019, ניגש המתלונן לשוטר שעבר בסמוך </w:t>
      </w:r>
      <w:r w:rsidR="00C04099" w:rsidRPr="001829EE">
        <w:rPr>
          <w:rFonts w:ascii="David" w:hAnsi="David"/>
          <w:rtl/>
        </w:rPr>
        <w:lastRenderedPageBreak/>
        <w:t xml:space="preserve">לדוכן והצביע על החשוד כמי שגנב לו את הפלאפון. השוטר עצר את הנאשם וביצע עליו חיפוש, במהלכו נתפסה על הנאשם סיגריה שהכילה סם מסוג קנאביס. בגין מעשים אלה, הורשע הנאשם בעבירות של </w:t>
      </w:r>
      <w:r w:rsidR="00C04099" w:rsidRPr="001829EE">
        <w:rPr>
          <w:rFonts w:ascii="David" w:hAnsi="David"/>
          <w:b/>
          <w:bCs/>
          <w:rtl/>
        </w:rPr>
        <w:t>גניבה</w:t>
      </w:r>
      <w:r w:rsidR="00C04099" w:rsidRPr="001829EE">
        <w:rPr>
          <w:rFonts w:ascii="David" w:hAnsi="David"/>
          <w:rtl/>
        </w:rPr>
        <w:t xml:space="preserve">, לפי </w:t>
      </w:r>
      <w:hyperlink r:id="rId14" w:history="1">
        <w:r w:rsidR="00555154" w:rsidRPr="00555154">
          <w:rPr>
            <w:rStyle w:val="Hyperlink"/>
            <w:rFonts w:ascii="David" w:hAnsi="David"/>
            <w:rtl/>
          </w:rPr>
          <w:t>סעיף 384</w:t>
        </w:r>
      </w:hyperlink>
      <w:r w:rsidR="00C04099" w:rsidRPr="001829EE">
        <w:rPr>
          <w:rFonts w:ascii="David" w:hAnsi="David"/>
          <w:rtl/>
        </w:rPr>
        <w:t xml:space="preserve"> ל</w:t>
      </w:r>
      <w:hyperlink r:id="rId15" w:history="1">
        <w:r w:rsidRPr="005C1981">
          <w:rPr>
            <w:rFonts w:ascii="David" w:hAnsi="David"/>
            <w:color w:val="0000FF"/>
            <w:u w:val="single"/>
            <w:rtl/>
          </w:rPr>
          <w:t>חוק העונשין</w:t>
        </w:r>
      </w:hyperlink>
      <w:r w:rsidR="00C04099" w:rsidRPr="001829EE">
        <w:rPr>
          <w:rFonts w:ascii="David" w:hAnsi="David"/>
          <w:rtl/>
        </w:rPr>
        <w:t>, התשל"ז – 1977 (</w:t>
      </w:r>
      <w:r w:rsidR="00C04099" w:rsidRPr="001829EE">
        <w:rPr>
          <w:rFonts w:ascii="David" w:hAnsi="David"/>
          <w:b/>
          <w:bCs/>
          <w:rtl/>
        </w:rPr>
        <w:t>חוק העונשין</w:t>
      </w:r>
      <w:r w:rsidR="00C04099" w:rsidRPr="001829EE">
        <w:rPr>
          <w:rFonts w:ascii="David" w:hAnsi="David"/>
          <w:rtl/>
        </w:rPr>
        <w:t xml:space="preserve">) ובעבירה של </w:t>
      </w:r>
      <w:r w:rsidR="00C04099" w:rsidRPr="001829EE">
        <w:rPr>
          <w:rFonts w:ascii="David" w:hAnsi="David"/>
          <w:b/>
          <w:bCs/>
          <w:rtl/>
        </w:rPr>
        <w:t>החזקת סמים לצריכה עצמית</w:t>
      </w:r>
      <w:r w:rsidR="00C04099" w:rsidRPr="001829EE">
        <w:rPr>
          <w:rFonts w:ascii="David" w:hAnsi="David"/>
          <w:rtl/>
        </w:rPr>
        <w:t xml:space="preserve">, לפי </w:t>
      </w:r>
      <w:hyperlink r:id="rId16" w:history="1">
        <w:r w:rsidR="00555154" w:rsidRPr="00555154">
          <w:rPr>
            <w:rStyle w:val="Hyperlink"/>
            <w:rFonts w:ascii="David" w:hAnsi="David"/>
            <w:rtl/>
          </w:rPr>
          <w:t>סעיף 7(א)</w:t>
        </w:r>
      </w:hyperlink>
      <w:r w:rsidR="00C04099" w:rsidRPr="001829EE">
        <w:rPr>
          <w:rFonts w:ascii="David" w:hAnsi="David"/>
          <w:rtl/>
        </w:rPr>
        <w:t xml:space="preserve"> + </w:t>
      </w:r>
      <w:hyperlink r:id="rId17" w:history="1">
        <w:r w:rsidR="00555154" w:rsidRPr="00555154">
          <w:rPr>
            <w:rStyle w:val="Hyperlink"/>
            <w:rFonts w:ascii="David" w:hAnsi="David"/>
            <w:rtl/>
          </w:rPr>
          <w:t>7(ג)</w:t>
        </w:r>
      </w:hyperlink>
      <w:r w:rsidR="00C04099" w:rsidRPr="001829EE">
        <w:rPr>
          <w:rFonts w:ascii="David" w:hAnsi="David"/>
          <w:rtl/>
        </w:rPr>
        <w:t xml:space="preserve"> ל</w:t>
      </w:r>
      <w:hyperlink r:id="rId18" w:history="1">
        <w:r w:rsidRPr="005C1981">
          <w:rPr>
            <w:rFonts w:ascii="David" w:hAnsi="David"/>
            <w:color w:val="0000FF"/>
            <w:u w:val="single"/>
            <w:rtl/>
          </w:rPr>
          <w:t>פקודת הסמים המסוכנים</w:t>
        </w:r>
      </w:hyperlink>
      <w:r w:rsidR="00C04099" w:rsidRPr="001829EE">
        <w:rPr>
          <w:rFonts w:ascii="David" w:hAnsi="David"/>
          <w:rtl/>
        </w:rPr>
        <w:t xml:space="preserve"> (נוסח חדש), תשל"ג – 1973 (</w:t>
      </w:r>
      <w:r w:rsidR="00C04099" w:rsidRPr="001829EE">
        <w:rPr>
          <w:rFonts w:ascii="David" w:hAnsi="David"/>
          <w:b/>
          <w:bCs/>
          <w:rtl/>
        </w:rPr>
        <w:t>פקודת הסמים</w:t>
      </w:r>
      <w:r w:rsidR="00C04099" w:rsidRPr="001829EE">
        <w:rPr>
          <w:rFonts w:ascii="David" w:hAnsi="David"/>
          <w:rtl/>
        </w:rPr>
        <w:t>).</w:t>
      </w:r>
    </w:p>
    <w:p w14:paraId="55CD58D1" w14:textId="77777777" w:rsidR="00C04099" w:rsidRPr="001829EE" w:rsidRDefault="00C04099" w:rsidP="00C04099">
      <w:pPr>
        <w:pStyle w:val="a9"/>
        <w:spacing w:line="360" w:lineRule="auto"/>
        <w:jc w:val="both"/>
        <w:rPr>
          <w:rFonts w:ascii="David" w:hAnsi="David"/>
          <w:rtl/>
        </w:rPr>
      </w:pPr>
    </w:p>
    <w:bookmarkStart w:id="7" w:name="ABSTRACT_END"/>
    <w:bookmarkEnd w:id="7"/>
    <w:p w14:paraId="41D51DEC" w14:textId="77777777" w:rsidR="00C04099" w:rsidRPr="001829EE" w:rsidRDefault="005C1981" w:rsidP="00C04099">
      <w:pPr>
        <w:pStyle w:val="a9"/>
        <w:numPr>
          <w:ilvl w:val="0"/>
          <w:numId w:val="3"/>
        </w:numPr>
        <w:spacing w:line="360" w:lineRule="auto"/>
        <w:jc w:val="both"/>
        <w:rPr>
          <w:rFonts w:ascii="David" w:hAnsi="David"/>
          <w:rtl/>
        </w:rPr>
      </w:pPr>
      <w:r w:rsidRPr="005C1981">
        <w:rPr>
          <w:rFonts w:ascii="David" w:hAnsi="David"/>
          <w:b/>
          <w:bCs/>
          <w:color w:val="0000FF"/>
          <w:u w:val="single"/>
          <w:rtl/>
        </w:rPr>
        <w:fldChar w:fldCharType="begin"/>
      </w:r>
      <w:r w:rsidRPr="005C1981">
        <w:rPr>
          <w:rFonts w:ascii="David" w:hAnsi="David"/>
          <w:b/>
          <w:bCs/>
          <w:color w:val="0000FF"/>
          <w:u w:val="single"/>
          <w:rtl/>
        </w:rPr>
        <w:instrText xml:space="preserve"> </w:instrText>
      </w:r>
      <w:r w:rsidRPr="005C1981">
        <w:rPr>
          <w:rFonts w:ascii="David" w:hAnsi="David"/>
          <w:b/>
          <w:bCs/>
          <w:color w:val="0000FF"/>
          <w:u w:val="single"/>
        </w:rPr>
        <w:instrText xml:space="preserve">HYPERLINK </w:instrText>
      </w:r>
      <w:r w:rsidRPr="005C1981">
        <w:rPr>
          <w:rFonts w:ascii="David" w:hAnsi="David"/>
          <w:b/>
          <w:bCs/>
          <w:color w:val="0000FF"/>
          <w:u w:val="single"/>
          <w:rtl/>
        </w:rPr>
        <w:instrText>"</w:instrText>
      </w:r>
      <w:r w:rsidRPr="005C1981">
        <w:rPr>
          <w:rFonts w:ascii="David" w:hAnsi="David"/>
          <w:b/>
          <w:bCs/>
          <w:color w:val="0000FF"/>
          <w:u w:val="single"/>
        </w:rPr>
        <w:instrText>http://www.nevo.co.il/case/28051453"</w:instrText>
      </w:r>
      <w:r w:rsidRPr="005C1981">
        <w:rPr>
          <w:rFonts w:ascii="David" w:hAnsi="David"/>
          <w:b/>
          <w:bCs/>
          <w:color w:val="0000FF"/>
          <w:u w:val="single"/>
          <w:rtl/>
        </w:rPr>
        <w:instrText xml:space="preserve"> </w:instrText>
      </w:r>
      <w:r w:rsidRPr="005C1981">
        <w:rPr>
          <w:rFonts w:ascii="David" w:hAnsi="David"/>
          <w:b/>
          <w:bCs/>
          <w:color w:val="0000FF"/>
          <w:u w:val="single"/>
          <w:rtl/>
        </w:rPr>
      </w:r>
      <w:r w:rsidRPr="005C1981">
        <w:rPr>
          <w:rFonts w:ascii="David" w:hAnsi="David"/>
          <w:b/>
          <w:bCs/>
          <w:color w:val="0000FF"/>
          <w:u w:val="single"/>
          <w:rtl/>
        </w:rPr>
        <w:fldChar w:fldCharType="separate"/>
      </w:r>
      <w:r w:rsidRPr="005C1981">
        <w:rPr>
          <w:rFonts w:ascii="David" w:hAnsi="David"/>
          <w:b/>
          <w:bCs/>
          <w:color w:val="0000FF"/>
          <w:u w:val="single"/>
          <w:rtl/>
        </w:rPr>
        <w:t>ת"פ 73165-10-21</w:t>
      </w:r>
      <w:r w:rsidRPr="005C1981">
        <w:rPr>
          <w:rFonts w:ascii="David" w:hAnsi="David"/>
          <w:b/>
          <w:bCs/>
          <w:color w:val="0000FF"/>
          <w:u w:val="single"/>
          <w:rtl/>
        </w:rPr>
        <w:fldChar w:fldCharType="end"/>
      </w:r>
      <w:r w:rsidR="00C04099" w:rsidRPr="001829EE">
        <w:rPr>
          <w:rFonts w:ascii="David" w:hAnsi="David"/>
          <w:b/>
          <w:bCs/>
          <w:u w:val="single"/>
          <w:rtl/>
        </w:rPr>
        <w:t xml:space="preserve"> (התיק המצורף)</w:t>
      </w:r>
      <w:r w:rsidR="00C04099" w:rsidRPr="001829EE">
        <w:rPr>
          <w:rFonts w:ascii="David" w:hAnsi="David" w:hint="cs"/>
          <w:rtl/>
        </w:rPr>
        <w:t xml:space="preserve"> - </w:t>
      </w:r>
      <w:r w:rsidR="00C04099" w:rsidRPr="001829EE">
        <w:rPr>
          <w:rFonts w:ascii="David" w:hAnsi="David"/>
          <w:rtl/>
        </w:rPr>
        <w:t xml:space="preserve">על פי עובדות האישום הראשון, ביום 12.12.2019, החזיק הנאשם 0.5473 גרם נטו קנאביס. בגין כך, הורשע ובעבירה של </w:t>
      </w:r>
      <w:r w:rsidR="00C04099" w:rsidRPr="001829EE">
        <w:rPr>
          <w:rFonts w:ascii="David" w:hAnsi="David"/>
          <w:b/>
          <w:bCs/>
          <w:rtl/>
        </w:rPr>
        <w:t>החזקת סמים לצריכה עצמית</w:t>
      </w:r>
      <w:r w:rsidR="00C04099" w:rsidRPr="001829EE">
        <w:rPr>
          <w:rFonts w:ascii="David" w:hAnsi="David"/>
          <w:rtl/>
        </w:rPr>
        <w:t xml:space="preserve">, לפי </w:t>
      </w:r>
      <w:hyperlink r:id="rId19" w:history="1">
        <w:r w:rsidR="00555154" w:rsidRPr="00555154">
          <w:rPr>
            <w:rStyle w:val="Hyperlink"/>
            <w:rFonts w:ascii="David" w:hAnsi="David"/>
            <w:rtl/>
          </w:rPr>
          <w:t>סעיף 7(א)</w:t>
        </w:r>
      </w:hyperlink>
      <w:r w:rsidR="00C04099" w:rsidRPr="001829EE">
        <w:rPr>
          <w:rFonts w:ascii="David" w:hAnsi="David"/>
          <w:rtl/>
        </w:rPr>
        <w:t xml:space="preserve"> + </w:t>
      </w:r>
      <w:hyperlink r:id="rId20" w:history="1">
        <w:r w:rsidR="00555154" w:rsidRPr="00555154">
          <w:rPr>
            <w:rStyle w:val="Hyperlink"/>
            <w:rFonts w:ascii="David" w:hAnsi="David"/>
            <w:rtl/>
          </w:rPr>
          <w:t>7(ג)</w:t>
        </w:r>
      </w:hyperlink>
      <w:r w:rsidR="00C04099" w:rsidRPr="001829EE">
        <w:rPr>
          <w:rFonts w:ascii="David" w:hAnsi="David"/>
          <w:rtl/>
        </w:rPr>
        <w:t xml:space="preserve"> לפקודת הסמים.</w:t>
      </w:r>
      <w:r w:rsidR="00C04099" w:rsidRPr="001829EE">
        <w:rPr>
          <w:rFonts w:ascii="David" w:hAnsi="David" w:hint="cs"/>
          <w:rtl/>
        </w:rPr>
        <w:t xml:space="preserve"> </w:t>
      </w:r>
      <w:r w:rsidR="00C04099" w:rsidRPr="001829EE">
        <w:rPr>
          <w:rFonts w:ascii="David" w:hAnsi="David"/>
          <w:rtl/>
        </w:rPr>
        <w:t xml:space="preserve">על פי עובדות האישום השני, </w:t>
      </w:r>
      <w:r w:rsidR="00C04099">
        <w:rPr>
          <w:rFonts w:ascii="David" w:hAnsi="David" w:hint="cs"/>
          <w:rtl/>
        </w:rPr>
        <w:t xml:space="preserve">מספר </w:t>
      </w:r>
      <w:r w:rsidR="00C04099" w:rsidRPr="001829EE">
        <w:rPr>
          <w:rFonts w:ascii="David" w:hAnsi="David"/>
          <w:rtl/>
        </w:rPr>
        <w:t>ימים לפני המתואר באישום הראשון, התקיים מפגש בין הנאשם לבין ג"ס, במהלכו ביקש ג"ס מהנאשם את עזרתו במציאת אדם שפרץ לעסק שלו. באותן נסיבות, סיים ג"ס את שיחתו עם הנאשם</w:t>
      </w:r>
      <w:r w:rsidR="00C04099">
        <w:rPr>
          <w:rFonts w:ascii="David" w:hAnsi="David" w:hint="cs"/>
          <w:rtl/>
        </w:rPr>
        <w:t xml:space="preserve"> אך </w:t>
      </w:r>
      <w:r w:rsidR="00C04099" w:rsidRPr="001829EE">
        <w:rPr>
          <w:rFonts w:ascii="David" w:hAnsi="David"/>
          <w:rtl/>
        </w:rPr>
        <w:t>בהמשך חשד כי הנאשם דקר אותו באמצעות מחט והדביק אותו במחלה. ביום 2.12.2019</w:t>
      </w:r>
      <w:r w:rsidR="00C04099" w:rsidRPr="001829EE">
        <w:rPr>
          <w:rFonts w:ascii="David" w:hAnsi="David"/>
          <w:b/>
          <w:bCs/>
          <w:rtl/>
        </w:rPr>
        <w:t xml:space="preserve"> </w:t>
      </w:r>
      <w:r w:rsidR="00C04099" w:rsidRPr="001829EE">
        <w:rPr>
          <w:rFonts w:ascii="David" w:hAnsi="David"/>
          <w:rtl/>
        </w:rPr>
        <w:t>התגלע ויכוח בין הנאשם לג"ס כשבמהלכו אמר לו הנאשם</w:t>
      </w:r>
      <w:r w:rsidR="00C04099">
        <w:rPr>
          <w:rFonts w:ascii="David" w:hAnsi="David" w:hint="cs"/>
          <w:rtl/>
        </w:rPr>
        <w:t>:</w:t>
      </w:r>
      <w:r w:rsidR="00C04099" w:rsidRPr="001829EE">
        <w:rPr>
          <w:rFonts w:ascii="David" w:hAnsi="David"/>
          <w:rtl/>
        </w:rPr>
        <w:t xml:space="preserve"> "עם מחט אדקור אותך? אם אדקור אותך זה יהיה עם שיפוד ואשסף לך את הגרון".</w:t>
      </w:r>
      <w:r w:rsidR="00C04099" w:rsidRPr="001829EE">
        <w:rPr>
          <w:rFonts w:ascii="David" w:hAnsi="David"/>
          <w:b/>
          <w:bCs/>
          <w:rtl/>
        </w:rPr>
        <w:t xml:space="preserve"> </w:t>
      </w:r>
      <w:r w:rsidR="00C04099" w:rsidRPr="001829EE">
        <w:rPr>
          <w:rFonts w:ascii="David" w:hAnsi="David"/>
          <w:rtl/>
        </w:rPr>
        <w:t xml:space="preserve">בגין מעשים אלה, הורשע הנאשם בעבירת </w:t>
      </w:r>
      <w:r w:rsidR="00C04099" w:rsidRPr="001829EE">
        <w:rPr>
          <w:rFonts w:ascii="David" w:hAnsi="David"/>
          <w:b/>
          <w:bCs/>
          <w:rtl/>
        </w:rPr>
        <w:t>איומים</w:t>
      </w:r>
      <w:r w:rsidR="00C04099" w:rsidRPr="001829EE">
        <w:rPr>
          <w:rFonts w:ascii="David" w:hAnsi="David"/>
          <w:rtl/>
        </w:rPr>
        <w:t xml:space="preserve">, לפי </w:t>
      </w:r>
      <w:hyperlink r:id="rId21" w:history="1">
        <w:r w:rsidR="00555154" w:rsidRPr="00555154">
          <w:rPr>
            <w:rStyle w:val="Hyperlink"/>
            <w:rFonts w:ascii="David" w:hAnsi="David"/>
            <w:rtl/>
          </w:rPr>
          <w:t>סעיף 192</w:t>
        </w:r>
      </w:hyperlink>
      <w:r w:rsidR="00C04099" w:rsidRPr="001829EE">
        <w:rPr>
          <w:rFonts w:ascii="David" w:hAnsi="David"/>
          <w:rtl/>
        </w:rPr>
        <w:t xml:space="preserve"> ל</w:t>
      </w:r>
      <w:hyperlink r:id="rId22" w:history="1">
        <w:r w:rsidRPr="005C1981">
          <w:rPr>
            <w:rFonts w:ascii="David" w:hAnsi="David"/>
            <w:color w:val="0000FF"/>
            <w:u w:val="single"/>
            <w:rtl/>
          </w:rPr>
          <w:t>חוק העונשין</w:t>
        </w:r>
      </w:hyperlink>
      <w:r w:rsidR="00C04099" w:rsidRPr="001829EE">
        <w:rPr>
          <w:rFonts w:ascii="David" w:hAnsi="David"/>
          <w:rtl/>
        </w:rPr>
        <w:t>.</w:t>
      </w:r>
    </w:p>
    <w:p w14:paraId="27E9B1F7" w14:textId="77777777" w:rsidR="00C04099" w:rsidRDefault="00C04099" w:rsidP="00C04099">
      <w:pPr>
        <w:spacing w:line="360" w:lineRule="auto"/>
        <w:jc w:val="both"/>
        <w:rPr>
          <w:rFonts w:ascii="David" w:hAnsi="David"/>
          <w:b/>
          <w:bCs/>
          <w:u w:val="single"/>
        </w:rPr>
      </w:pPr>
    </w:p>
    <w:p w14:paraId="4B5D124B" w14:textId="77777777" w:rsidR="00C04099" w:rsidRDefault="00C04099" w:rsidP="00C04099">
      <w:pPr>
        <w:spacing w:line="360" w:lineRule="auto"/>
        <w:jc w:val="both"/>
        <w:rPr>
          <w:rFonts w:ascii="David" w:hAnsi="David"/>
          <w:b/>
          <w:bCs/>
          <w:u w:val="single"/>
        </w:rPr>
      </w:pPr>
      <w:r>
        <w:rPr>
          <w:rFonts w:ascii="David" w:hAnsi="David"/>
          <w:b/>
          <w:bCs/>
          <w:u w:val="single"/>
          <w:rtl/>
        </w:rPr>
        <w:t>מהלך הדיון</w:t>
      </w:r>
    </w:p>
    <w:p w14:paraId="4C939E9D" w14:textId="77777777" w:rsidR="00C04099" w:rsidRDefault="00C04099" w:rsidP="00C04099">
      <w:pPr>
        <w:pStyle w:val="a9"/>
        <w:numPr>
          <w:ilvl w:val="0"/>
          <w:numId w:val="2"/>
        </w:numPr>
        <w:spacing w:line="360" w:lineRule="auto"/>
        <w:jc w:val="both"/>
        <w:rPr>
          <w:rFonts w:ascii="David" w:hAnsi="David"/>
        </w:rPr>
      </w:pPr>
      <w:r w:rsidRPr="001829EE">
        <w:rPr>
          <w:rFonts w:ascii="David" w:hAnsi="David"/>
          <w:rtl/>
        </w:rPr>
        <w:t>לבקשת הסנגורית, הנאשם הופנה לפסיכיאטר המחוזי לשם בדיקת כשירותו. ביום 9.3.2022, הוגשה חוות דעת מטעם הפסיכיאטר המחוזי לפיה בעת ביצוע המעשים, הנאשם היה אחראי למעשיו וכיום הוא כשיר לעמוד לדין. מחוות הדעת עלה</w:t>
      </w:r>
      <w:r>
        <w:rPr>
          <w:rFonts w:ascii="David" w:hAnsi="David" w:hint="cs"/>
          <w:rtl/>
        </w:rPr>
        <w:t>,</w:t>
      </w:r>
      <w:r w:rsidRPr="001829EE">
        <w:rPr>
          <w:rFonts w:ascii="David" w:hAnsi="David"/>
          <w:rtl/>
        </w:rPr>
        <w:t xml:space="preserve"> כי הנאשם מוכר למערכת הפסיכיאטרית ואף אושפז מספר פעמים, והאבחונים בעניינו השתנו וכללו אבחון כמי שמתמודד עם הפרעת אישיות א-סוציאלית, וכן מתמודד עם סכיזופרניה והתמכרות לסמים. </w:t>
      </w:r>
      <w:r>
        <w:rPr>
          <w:rFonts w:ascii="David" w:hAnsi="David" w:hint="cs"/>
          <w:rtl/>
        </w:rPr>
        <w:t xml:space="preserve">בגין אלה הוכר כנכה בביטוח הלאומי. </w:t>
      </w:r>
    </w:p>
    <w:p w14:paraId="5638BEEE" w14:textId="77777777" w:rsidR="00C04099" w:rsidRDefault="00C04099" w:rsidP="00C04099">
      <w:pPr>
        <w:pStyle w:val="a9"/>
        <w:spacing w:line="360" w:lineRule="auto"/>
        <w:ind w:left="360"/>
        <w:jc w:val="both"/>
        <w:rPr>
          <w:rFonts w:ascii="David" w:hAnsi="David"/>
        </w:rPr>
      </w:pPr>
    </w:p>
    <w:p w14:paraId="5A019EC1" w14:textId="77777777" w:rsidR="00C04099" w:rsidRPr="001829EE" w:rsidRDefault="00C04099" w:rsidP="00C04099">
      <w:pPr>
        <w:pStyle w:val="a9"/>
        <w:numPr>
          <w:ilvl w:val="0"/>
          <w:numId w:val="2"/>
        </w:numPr>
        <w:spacing w:line="360" w:lineRule="auto"/>
        <w:jc w:val="both"/>
        <w:rPr>
          <w:rFonts w:ascii="David" w:hAnsi="David"/>
          <w:rtl/>
        </w:rPr>
      </w:pPr>
      <w:r w:rsidRPr="001829EE">
        <w:rPr>
          <w:rFonts w:ascii="David" w:hAnsi="David"/>
          <w:rtl/>
        </w:rPr>
        <w:t>ביום 9.3.2022 הנאשם הודה והורשע בשני התיקים, במסגרת הסדר טיעון שלא כלל הסכמה עונשית ונשלח לשירות מבחן.</w:t>
      </w:r>
    </w:p>
    <w:p w14:paraId="0B343A58" w14:textId="77777777" w:rsidR="00C04099" w:rsidRDefault="00C04099" w:rsidP="00C04099">
      <w:pPr>
        <w:spacing w:line="360" w:lineRule="auto"/>
        <w:jc w:val="both"/>
        <w:rPr>
          <w:rFonts w:ascii="David" w:hAnsi="David"/>
          <w:b/>
          <w:bCs/>
          <w:u w:val="single"/>
        </w:rPr>
      </w:pPr>
    </w:p>
    <w:p w14:paraId="6DAEE87B" w14:textId="77777777" w:rsidR="00C04099" w:rsidRDefault="00C04099" w:rsidP="00C04099">
      <w:pPr>
        <w:spacing w:line="360" w:lineRule="auto"/>
        <w:jc w:val="both"/>
        <w:rPr>
          <w:rFonts w:ascii="David" w:hAnsi="David"/>
          <w:b/>
          <w:bCs/>
          <w:u w:val="single"/>
        </w:rPr>
      </w:pPr>
      <w:r>
        <w:rPr>
          <w:rFonts w:ascii="David" w:hAnsi="David"/>
          <w:b/>
          <w:bCs/>
          <w:u w:val="single"/>
          <w:rtl/>
        </w:rPr>
        <w:t>תסקיר שירות המבחן</w:t>
      </w:r>
    </w:p>
    <w:p w14:paraId="6A199E75" w14:textId="77777777" w:rsidR="00C04099" w:rsidRDefault="00C04099" w:rsidP="00C04099">
      <w:pPr>
        <w:pStyle w:val="a9"/>
        <w:numPr>
          <w:ilvl w:val="0"/>
          <w:numId w:val="2"/>
        </w:numPr>
        <w:spacing w:line="360" w:lineRule="auto"/>
        <w:jc w:val="both"/>
        <w:rPr>
          <w:rFonts w:ascii="David" w:hAnsi="David"/>
        </w:rPr>
      </w:pPr>
      <w:r w:rsidRPr="00E16457">
        <w:rPr>
          <w:rFonts w:ascii="David" w:hAnsi="David"/>
          <w:rtl/>
        </w:rPr>
        <w:t>מהתסקיר שהוגש בעניינו של הנאשם עולה כי הנאשם</w:t>
      </w:r>
      <w:r>
        <w:rPr>
          <w:rFonts w:ascii="David" w:hAnsi="David" w:hint="cs"/>
          <w:rtl/>
        </w:rPr>
        <w:t xml:space="preserve"> כבן</w:t>
      </w:r>
      <w:r w:rsidRPr="00E16457">
        <w:rPr>
          <w:rFonts w:ascii="David" w:hAnsi="David"/>
          <w:rtl/>
        </w:rPr>
        <w:t xml:space="preserve"> 62, תושב צפת, גרוש בשנית, אב לחמישה ילדים וסב לשניים. הנאשם אינו עובד ומתקיים מקצבת נכו</w:t>
      </w:r>
      <w:r>
        <w:rPr>
          <w:rFonts w:ascii="David" w:hAnsi="David" w:hint="cs"/>
          <w:rtl/>
        </w:rPr>
        <w:t>ת</w:t>
      </w:r>
      <w:r w:rsidRPr="00E16457">
        <w:rPr>
          <w:rFonts w:ascii="David" w:hAnsi="David"/>
          <w:rtl/>
        </w:rPr>
        <w:t xml:space="preserve"> של המוסד לביטוח לאומי. כיום הוא מתגורר בצפת. מקורות חייו של הנאשם, עולה כי סיים 10 שנות לימוד ושירות צבאי מלא, תחילה כלוחם בצנחנים ובסופו בתפקיד נהג. לדברי הנאשם, אף שירת </w:t>
      </w:r>
      <w:r>
        <w:rPr>
          <w:rFonts w:ascii="David" w:hAnsi="David" w:hint="cs"/>
          <w:rtl/>
        </w:rPr>
        <w:t>במשך כ-</w:t>
      </w:r>
      <w:r w:rsidRPr="00E16457">
        <w:rPr>
          <w:rFonts w:ascii="David" w:hAnsi="David"/>
          <w:rtl/>
        </w:rPr>
        <w:t>9 שנים בשירות מילואים עד לקבלת פטור בגין שימוש בסמים. חייו של הנאשם מאופיינים בהתמכרות קשה לסמים שהובילה למעורבות פלילית, לרבות ריצוי מאסרים חוזרים וקושי לנהל אורח חיים נורמטיבי ויציבות תעסוקתית</w:t>
      </w:r>
      <w:r>
        <w:rPr>
          <w:rFonts w:ascii="David" w:hAnsi="David" w:hint="cs"/>
          <w:rtl/>
        </w:rPr>
        <w:t>,</w:t>
      </w:r>
      <w:r w:rsidRPr="00E16457">
        <w:rPr>
          <w:rFonts w:ascii="David" w:hAnsi="David"/>
          <w:rtl/>
        </w:rPr>
        <w:t xml:space="preserve"> וכיום מוכר כנכה בגין סכיזופרניה</w:t>
      </w:r>
      <w:r>
        <w:rPr>
          <w:rFonts w:ascii="David" w:hAnsi="David" w:hint="cs"/>
          <w:rtl/>
        </w:rPr>
        <w:t xml:space="preserve"> ואינו מטופל </w:t>
      </w:r>
      <w:r>
        <w:rPr>
          <w:rFonts w:ascii="David" w:hAnsi="David" w:hint="cs"/>
          <w:rtl/>
        </w:rPr>
        <w:lastRenderedPageBreak/>
        <w:t>על ידי גורם כלשהו</w:t>
      </w:r>
      <w:r w:rsidRPr="00E16457">
        <w:rPr>
          <w:rFonts w:ascii="David" w:hAnsi="David"/>
          <w:rtl/>
        </w:rPr>
        <w:t xml:space="preserve">. בעברו של הנאשם 22 הרשעות קודמות בעבירות רכוש, אלימות וסמים. בהתייחסותו לעבירות בהן הורשע, התרשם שירות המבחן כי הנאשם קיבל אחריות חלקית למעשיו, באופן בו </w:t>
      </w:r>
      <w:r>
        <w:rPr>
          <w:rFonts w:ascii="David" w:hAnsi="David" w:hint="cs"/>
          <w:rtl/>
        </w:rPr>
        <w:t>ה</w:t>
      </w:r>
      <w:r w:rsidRPr="00E16457">
        <w:rPr>
          <w:rFonts w:ascii="David" w:hAnsi="David"/>
          <w:rtl/>
        </w:rPr>
        <w:t xml:space="preserve">ביע חרטה על גניבת הפלאפון, </w:t>
      </w:r>
      <w:r>
        <w:rPr>
          <w:rFonts w:ascii="David" w:hAnsi="David" w:hint="cs"/>
          <w:rtl/>
        </w:rPr>
        <w:t xml:space="preserve">לצד טענתו כי </w:t>
      </w:r>
      <w:r w:rsidRPr="00E16457">
        <w:rPr>
          <w:rFonts w:ascii="David" w:hAnsi="David"/>
          <w:rtl/>
        </w:rPr>
        <w:t>אין פסול במעשיו בעניין החזקת סמים. לגבי האיומים על ג"ס, ציין כי לא הייתה כל כוונה לפגוע ב</w:t>
      </w:r>
      <w:r>
        <w:rPr>
          <w:rFonts w:ascii="David" w:hAnsi="David" w:hint="cs"/>
          <w:rtl/>
        </w:rPr>
        <w:t>מתלונן</w:t>
      </w:r>
      <w:r w:rsidRPr="00E16457">
        <w:rPr>
          <w:rFonts w:ascii="David" w:hAnsi="David"/>
          <w:rtl/>
        </w:rPr>
        <w:t>. הנאשם שלל נזקקות טיפולית ולדבריו, הוא מנהל היום אורח חיים נורמטיבי עם שימוש בסמים "קלים" בלבד. נוכח האמור, שירות המבחן המליץ על הצבת גבול ברור להתנהגותו עוברת החוק</w:t>
      </w:r>
      <w:r>
        <w:rPr>
          <w:rFonts w:ascii="David" w:hAnsi="David" w:hint="cs"/>
          <w:rtl/>
        </w:rPr>
        <w:t xml:space="preserve"> ולא ראה מקום לבוא בהמלצה טיפולית, נוכח היעדר מוטיבציה בעניין זה מצד הנאשם</w:t>
      </w:r>
      <w:r w:rsidRPr="00E16457">
        <w:rPr>
          <w:rFonts w:ascii="David" w:hAnsi="David"/>
          <w:rtl/>
        </w:rPr>
        <w:t xml:space="preserve">.       </w:t>
      </w:r>
    </w:p>
    <w:p w14:paraId="73E0DE5E" w14:textId="77777777" w:rsidR="00C04099" w:rsidRDefault="00C04099" w:rsidP="00C04099">
      <w:pPr>
        <w:spacing w:line="360" w:lineRule="auto"/>
        <w:jc w:val="both"/>
        <w:rPr>
          <w:rFonts w:ascii="David" w:hAnsi="David"/>
          <w:rtl/>
        </w:rPr>
      </w:pPr>
    </w:p>
    <w:p w14:paraId="14BFC39F" w14:textId="77777777" w:rsidR="00C04099" w:rsidRPr="00F9135A" w:rsidRDefault="00C04099" w:rsidP="00C04099">
      <w:pPr>
        <w:spacing w:line="360" w:lineRule="auto"/>
        <w:jc w:val="both"/>
        <w:rPr>
          <w:rFonts w:ascii="David" w:hAnsi="David"/>
          <w:b/>
          <w:bCs/>
          <w:u w:val="single"/>
          <w:rtl/>
        </w:rPr>
      </w:pPr>
      <w:r w:rsidRPr="00F9135A">
        <w:rPr>
          <w:rFonts w:ascii="David" w:hAnsi="David" w:hint="cs"/>
          <w:b/>
          <w:bCs/>
          <w:u w:val="single"/>
          <w:rtl/>
        </w:rPr>
        <w:t>חוות דעת הממונה על עבודות השירות</w:t>
      </w:r>
      <w:r w:rsidRPr="00F9135A">
        <w:rPr>
          <w:rFonts w:ascii="David" w:hAnsi="David"/>
          <w:b/>
          <w:bCs/>
          <w:u w:val="single"/>
          <w:rtl/>
        </w:rPr>
        <w:t xml:space="preserve">                                                                                                                                                                                                                                                                                                                                                                                                                                                                                                                                                                                                                                                                                                                                                                                                                                                                                                                                                                                                                                                                                                                                                                                                                                                                                                                                                                                                                                                                                                                                                                                                                                                                                                                                                                                                                                                                                                                                                                                                             </w:t>
      </w:r>
    </w:p>
    <w:p w14:paraId="1BC06DD3" w14:textId="77777777" w:rsidR="00C04099" w:rsidRPr="00F9135A" w:rsidRDefault="00C04099" w:rsidP="00C04099">
      <w:pPr>
        <w:pStyle w:val="a9"/>
        <w:numPr>
          <w:ilvl w:val="0"/>
          <w:numId w:val="2"/>
        </w:numPr>
        <w:spacing w:line="360" w:lineRule="auto"/>
        <w:jc w:val="both"/>
        <w:rPr>
          <w:rFonts w:ascii="David" w:hAnsi="David"/>
          <w:rtl/>
        </w:rPr>
      </w:pPr>
      <w:r>
        <w:rPr>
          <w:rFonts w:ascii="David" w:hAnsi="David" w:hint="cs"/>
          <w:rtl/>
        </w:rPr>
        <w:t>אציין כי הנאשם נשלח לממונה על עבודות השירות שמצא אותו כשיר לביצוע עבודות שירות, אלא בהמשך נעצר בתיק אחר.</w:t>
      </w:r>
    </w:p>
    <w:p w14:paraId="404200EF" w14:textId="77777777" w:rsidR="00C04099" w:rsidRDefault="00C04099" w:rsidP="00C04099">
      <w:pPr>
        <w:spacing w:line="360" w:lineRule="auto"/>
        <w:jc w:val="both"/>
        <w:rPr>
          <w:rFonts w:ascii="David" w:hAnsi="David"/>
          <w:b/>
          <w:bCs/>
          <w:u w:val="single"/>
          <w:rtl/>
        </w:rPr>
      </w:pPr>
    </w:p>
    <w:p w14:paraId="3F2A9D07" w14:textId="77777777" w:rsidR="00C04099" w:rsidRDefault="00C04099" w:rsidP="00C04099">
      <w:pPr>
        <w:spacing w:line="360" w:lineRule="auto"/>
        <w:jc w:val="both"/>
        <w:rPr>
          <w:rFonts w:ascii="David" w:hAnsi="David"/>
          <w:b/>
          <w:bCs/>
          <w:u w:val="single"/>
          <w:rtl/>
        </w:rPr>
      </w:pPr>
    </w:p>
    <w:p w14:paraId="60D6E4F7" w14:textId="77777777" w:rsidR="00C04099" w:rsidRDefault="00C04099" w:rsidP="00C04099">
      <w:pPr>
        <w:spacing w:line="360" w:lineRule="auto"/>
        <w:jc w:val="both"/>
        <w:rPr>
          <w:rFonts w:ascii="David" w:hAnsi="David"/>
          <w:b/>
          <w:bCs/>
          <w:u w:val="single"/>
          <w:rtl/>
        </w:rPr>
      </w:pPr>
      <w:r>
        <w:rPr>
          <w:rFonts w:ascii="David" w:hAnsi="David" w:hint="cs"/>
          <w:b/>
          <w:bCs/>
          <w:u w:val="single"/>
          <w:rtl/>
        </w:rPr>
        <w:t>ראיות לעונש</w:t>
      </w:r>
    </w:p>
    <w:p w14:paraId="2F1AC640" w14:textId="77777777" w:rsidR="00C04099" w:rsidRPr="00F9135A" w:rsidRDefault="00C04099" w:rsidP="00C04099">
      <w:pPr>
        <w:pStyle w:val="a9"/>
        <w:numPr>
          <w:ilvl w:val="0"/>
          <w:numId w:val="2"/>
        </w:numPr>
        <w:spacing w:line="360" w:lineRule="auto"/>
        <w:jc w:val="both"/>
        <w:rPr>
          <w:rFonts w:ascii="David" w:hAnsi="David"/>
          <w:rtl/>
        </w:rPr>
      </w:pPr>
      <w:r w:rsidRPr="00F9135A">
        <w:rPr>
          <w:rFonts w:ascii="David" w:hAnsi="David" w:hint="cs"/>
          <w:rtl/>
        </w:rPr>
        <w:t>לחובת הנאשם 22 הרשעות קודמות בעבירות אלימות רכוש וסמים והוא ריצה מאסרים. תלוי ועומד נגדו מאסר מותנה חב הפעלה בן 6 חודשים, שהוטל עליו ב</w:t>
      </w:r>
      <w:hyperlink r:id="rId23" w:history="1">
        <w:r w:rsidR="005C1981" w:rsidRPr="005C1981">
          <w:rPr>
            <w:rFonts w:ascii="David" w:hAnsi="David"/>
            <w:color w:val="0000FF"/>
            <w:u w:val="single"/>
            <w:rtl/>
          </w:rPr>
          <w:t>ת"פ (פתח תקוה) 1179-08-17</w:t>
        </w:r>
      </w:hyperlink>
      <w:r w:rsidRPr="00F9135A">
        <w:rPr>
          <w:rFonts w:ascii="David" w:hAnsi="David" w:hint="cs"/>
          <w:rtl/>
        </w:rPr>
        <w:t xml:space="preserve"> ביום 12.11.2017</w:t>
      </w:r>
      <w:r>
        <w:rPr>
          <w:rFonts w:ascii="David" w:hAnsi="David" w:hint="cs"/>
          <w:rtl/>
        </w:rPr>
        <w:t xml:space="preserve"> (</w:t>
      </w:r>
      <w:r w:rsidRPr="00F9135A">
        <w:rPr>
          <w:rFonts w:ascii="David" w:hAnsi="David" w:hint="cs"/>
          <w:b/>
          <w:bCs/>
          <w:rtl/>
        </w:rPr>
        <w:t>תיק התנאי, המאסר המותנה</w:t>
      </w:r>
      <w:r>
        <w:rPr>
          <w:rFonts w:ascii="David" w:hAnsi="David" w:hint="cs"/>
          <w:rtl/>
        </w:rPr>
        <w:t>)</w:t>
      </w:r>
      <w:r w:rsidRPr="00F9135A">
        <w:rPr>
          <w:rFonts w:ascii="David" w:hAnsi="David" w:hint="cs"/>
          <w:rtl/>
        </w:rPr>
        <w:t>.</w:t>
      </w:r>
    </w:p>
    <w:p w14:paraId="31345C05" w14:textId="77777777" w:rsidR="00C04099" w:rsidRDefault="00C04099" w:rsidP="00C04099">
      <w:pPr>
        <w:spacing w:line="360" w:lineRule="auto"/>
        <w:jc w:val="both"/>
        <w:rPr>
          <w:rFonts w:ascii="David" w:hAnsi="David"/>
          <w:b/>
          <w:bCs/>
          <w:u w:val="single"/>
          <w:rtl/>
        </w:rPr>
      </w:pPr>
    </w:p>
    <w:p w14:paraId="40BAEC54" w14:textId="77777777" w:rsidR="00C04099" w:rsidRDefault="00C04099" w:rsidP="00C04099">
      <w:pPr>
        <w:spacing w:line="360" w:lineRule="auto"/>
        <w:jc w:val="both"/>
        <w:rPr>
          <w:rFonts w:ascii="David" w:hAnsi="David"/>
          <w:b/>
          <w:bCs/>
          <w:u w:val="single"/>
          <w:rtl/>
        </w:rPr>
      </w:pPr>
      <w:r>
        <w:rPr>
          <w:rFonts w:ascii="David" w:hAnsi="David"/>
          <w:b/>
          <w:bCs/>
          <w:u w:val="single"/>
          <w:rtl/>
        </w:rPr>
        <w:t>טיעונים לעונש</w:t>
      </w:r>
    </w:p>
    <w:p w14:paraId="5E093B6A" w14:textId="77777777" w:rsidR="00C04099" w:rsidRPr="00F9135A" w:rsidRDefault="00C04099" w:rsidP="00C04099">
      <w:pPr>
        <w:pStyle w:val="a9"/>
        <w:numPr>
          <w:ilvl w:val="0"/>
          <w:numId w:val="2"/>
        </w:numPr>
        <w:spacing w:line="360" w:lineRule="auto"/>
        <w:jc w:val="both"/>
        <w:rPr>
          <w:rFonts w:ascii="David" w:hAnsi="David"/>
          <w:rtl/>
        </w:rPr>
      </w:pPr>
      <w:r w:rsidRPr="00F9135A">
        <w:rPr>
          <w:rFonts w:ascii="David" w:hAnsi="David"/>
          <w:rtl/>
        </w:rPr>
        <w:t>הצדדים לא הגיעו להסכמה עונשית. מחד</w:t>
      </w:r>
      <w:r w:rsidRPr="00F9135A">
        <w:rPr>
          <w:rFonts w:ascii="David" w:hAnsi="David" w:hint="cs"/>
          <w:rtl/>
        </w:rPr>
        <w:t xml:space="preserve"> גיסא</w:t>
      </w:r>
      <w:r w:rsidRPr="00F9135A">
        <w:rPr>
          <w:rFonts w:ascii="David" w:hAnsi="David"/>
          <w:rtl/>
        </w:rPr>
        <w:t>, ב"כ המאשימה עתר למתחם כולל שבין 6 ל-12 חודשים. התובע עמד על טיב המעשים ועל עברו הפלילי</w:t>
      </w:r>
      <w:r>
        <w:rPr>
          <w:rFonts w:ascii="David" w:hAnsi="David" w:hint="cs"/>
          <w:rtl/>
        </w:rPr>
        <w:t xml:space="preserve"> של הנאשם</w:t>
      </w:r>
      <w:r w:rsidRPr="00F9135A">
        <w:rPr>
          <w:rFonts w:ascii="David" w:hAnsi="David"/>
          <w:rtl/>
        </w:rPr>
        <w:t>, וביקש להטיל עליו עונש במרכז המתחם</w:t>
      </w:r>
      <w:r>
        <w:rPr>
          <w:rFonts w:ascii="David" w:hAnsi="David" w:hint="cs"/>
          <w:rtl/>
        </w:rPr>
        <w:t>,</w:t>
      </w:r>
      <w:r w:rsidRPr="00F9135A">
        <w:rPr>
          <w:rFonts w:ascii="David" w:hAnsi="David"/>
          <w:rtl/>
        </w:rPr>
        <w:t xml:space="preserve"> תוך הפעלת המאסר המותנה שהוא חב-הפעלה וענישה נלווית. מאידך</w:t>
      </w:r>
      <w:r>
        <w:rPr>
          <w:rFonts w:ascii="David" w:hAnsi="David" w:hint="cs"/>
          <w:rtl/>
        </w:rPr>
        <w:t xml:space="preserve"> גיסא</w:t>
      </w:r>
      <w:r w:rsidRPr="00F9135A">
        <w:rPr>
          <w:rFonts w:ascii="David" w:hAnsi="David"/>
          <w:rtl/>
        </w:rPr>
        <w:t xml:space="preserve">, הסניגורית </w:t>
      </w:r>
      <w:r>
        <w:rPr>
          <w:rFonts w:ascii="David" w:hAnsi="David" w:hint="cs"/>
          <w:rtl/>
        </w:rPr>
        <w:t xml:space="preserve">סברה שניתן להסתפק בעונש בדמות מאסר בעבודות שירות לרבות תקופת התנאי. כאמור, עונש זה אינו רלבנטי כיום. </w:t>
      </w:r>
    </w:p>
    <w:p w14:paraId="233936BD" w14:textId="77777777" w:rsidR="00C04099" w:rsidRDefault="00C04099" w:rsidP="00C04099">
      <w:pPr>
        <w:spacing w:line="360" w:lineRule="auto"/>
        <w:jc w:val="both"/>
        <w:rPr>
          <w:rFonts w:ascii="David" w:hAnsi="David"/>
          <w:rtl/>
        </w:rPr>
      </w:pPr>
    </w:p>
    <w:p w14:paraId="64F5B358" w14:textId="77777777" w:rsidR="00C04099" w:rsidRDefault="00C04099" w:rsidP="00C04099">
      <w:pPr>
        <w:spacing w:line="360" w:lineRule="auto"/>
        <w:jc w:val="both"/>
        <w:rPr>
          <w:rFonts w:ascii="David" w:hAnsi="David"/>
          <w:b/>
          <w:bCs/>
          <w:u w:val="single"/>
          <w:rtl/>
        </w:rPr>
      </w:pPr>
      <w:r>
        <w:rPr>
          <w:rFonts w:ascii="David" w:hAnsi="David"/>
          <w:b/>
          <w:bCs/>
          <w:u w:val="single"/>
          <w:rtl/>
        </w:rPr>
        <w:t>קביעת מתחם הענישה</w:t>
      </w:r>
    </w:p>
    <w:p w14:paraId="40EE2A22" w14:textId="77777777" w:rsidR="00C04099" w:rsidRPr="00F9135A" w:rsidRDefault="00C04099" w:rsidP="00C04099">
      <w:pPr>
        <w:pStyle w:val="a9"/>
        <w:numPr>
          <w:ilvl w:val="0"/>
          <w:numId w:val="2"/>
        </w:numPr>
        <w:spacing w:line="360" w:lineRule="auto"/>
        <w:jc w:val="both"/>
        <w:rPr>
          <w:rFonts w:ascii="David" w:hAnsi="David"/>
          <w:b/>
          <w:bCs/>
          <w:u w:val="single"/>
          <w:rtl/>
        </w:rPr>
      </w:pPr>
      <w:r>
        <w:rPr>
          <w:rFonts w:ascii="David" w:hAnsi="David" w:hint="cs"/>
          <w:rtl/>
        </w:rPr>
        <w:t xml:space="preserve">בבוא בית המשפט לקבוע את מתחם העונש ההולם עליו לתת בכורה לעקרון ההלימה, הנובע מן הערכים המוגנים ומידת הפגיעה בהם, מנסיבות ביצוע העבירה ומידת אשמו של הנאשם, וממדיניות הענישה הנוהגת. </w:t>
      </w:r>
    </w:p>
    <w:p w14:paraId="0BD33B2A" w14:textId="77777777" w:rsidR="00C04099" w:rsidRDefault="00C04099" w:rsidP="00C04099">
      <w:pPr>
        <w:spacing w:line="360" w:lineRule="auto"/>
        <w:jc w:val="both"/>
        <w:rPr>
          <w:rFonts w:ascii="David" w:hAnsi="David"/>
          <w:b/>
          <w:bCs/>
          <w:u w:val="single"/>
          <w:rtl/>
        </w:rPr>
      </w:pPr>
    </w:p>
    <w:p w14:paraId="41916172" w14:textId="77777777" w:rsidR="00C04099" w:rsidRPr="00F9135A" w:rsidRDefault="00C04099" w:rsidP="00C04099">
      <w:pPr>
        <w:pStyle w:val="a9"/>
        <w:numPr>
          <w:ilvl w:val="0"/>
          <w:numId w:val="2"/>
        </w:numPr>
        <w:spacing w:line="360" w:lineRule="auto"/>
        <w:jc w:val="both"/>
        <w:rPr>
          <w:rFonts w:ascii="David" w:hAnsi="David"/>
          <w:rtl/>
        </w:rPr>
      </w:pPr>
      <w:r w:rsidRPr="00F9135A">
        <w:rPr>
          <w:rFonts w:ascii="David" w:hAnsi="David"/>
          <w:b/>
          <w:bCs/>
          <w:rtl/>
        </w:rPr>
        <w:t xml:space="preserve">אשר לערך המוגן </w:t>
      </w:r>
      <w:r w:rsidRPr="00F9135A">
        <w:rPr>
          <w:rFonts w:ascii="David" w:hAnsi="David"/>
          <w:rtl/>
        </w:rPr>
        <w:t>–</w:t>
      </w:r>
      <w:r w:rsidRPr="00F9135A">
        <w:rPr>
          <w:rFonts w:ascii="David" w:eastAsia="David" w:hAnsi="David"/>
          <w:rtl/>
        </w:rPr>
        <w:t>הערך המוגן הוא פגיעה בקניינו של הפרט וכן פגיעה בפרטיותו וכן בב</w:t>
      </w:r>
      <w:r>
        <w:rPr>
          <w:rFonts w:ascii="David" w:eastAsia="David" w:hAnsi="David" w:hint="cs"/>
          <w:rtl/>
        </w:rPr>
        <w:t>י</w:t>
      </w:r>
      <w:r w:rsidRPr="00F9135A">
        <w:rPr>
          <w:rFonts w:ascii="David" w:eastAsia="David" w:hAnsi="David"/>
          <w:rtl/>
        </w:rPr>
        <w:t>טחונו של הפרט. ביהמ"ש העליון עמד על כך ב</w:t>
      </w:r>
      <w:hyperlink r:id="rId24" w:history="1">
        <w:r w:rsidR="005C1981" w:rsidRPr="005C1981">
          <w:rPr>
            <w:rFonts w:ascii="David" w:eastAsia="David" w:hAnsi="David"/>
            <w:color w:val="0000FF"/>
            <w:u w:val="single"/>
            <w:rtl/>
          </w:rPr>
          <w:t>רע"פ 6365/13</w:t>
        </w:r>
      </w:hyperlink>
      <w:r w:rsidRPr="00F9135A">
        <w:rPr>
          <w:rFonts w:ascii="David" w:eastAsia="David" w:hAnsi="David"/>
          <w:rtl/>
        </w:rPr>
        <w:t xml:space="preserve"> </w:t>
      </w:r>
      <w:r w:rsidRPr="002853C4">
        <w:rPr>
          <w:rFonts w:ascii="David" w:eastAsia="David" w:hAnsi="David"/>
          <w:b/>
          <w:bCs/>
          <w:rtl/>
        </w:rPr>
        <w:t>קליינר נ' מ"י</w:t>
      </w:r>
      <w:r w:rsidRPr="00F9135A">
        <w:rPr>
          <w:rFonts w:ascii="David" w:eastAsia="David" w:hAnsi="David"/>
          <w:b/>
          <w:bCs/>
          <w:rtl/>
        </w:rPr>
        <w:t xml:space="preserve"> </w:t>
      </w:r>
      <w:r w:rsidRPr="00F9135A">
        <w:rPr>
          <w:rFonts w:ascii="David" w:eastAsia="David" w:hAnsi="David"/>
          <w:rtl/>
        </w:rPr>
        <w:t>(מיום 23.9.13)</w:t>
      </w:r>
      <w:r>
        <w:rPr>
          <w:rFonts w:ascii="David" w:eastAsia="David" w:hAnsi="David" w:hint="cs"/>
          <w:rtl/>
        </w:rPr>
        <w:t xml:space="preserve"> בפסקה 4. </w:t>
      </w:r>
      <w:r w:rsidRPr="00F9135A">
        <w:rPr>
          <w:rFonts w:ascii="David" w:eastAsia="David" w:hAnsi="David"/>
          <w:rtl/>
        </w:rPr>
        <w:t xml:space="preserve">אשר להחזקת סמים, הערך המוגן שנפגע הוא </w:t>
      </w:r>
      <w:r w:rsidRPr="00F9135A">
        <w:rPr>
          <w:rFonts w:ascii="David" w:hAnsi="David"/>
          <w:rtl/>
        </w:rPr>
        <w:t>שמירה על שלום הציבור ובריאותו מפני נגע הסמים, שתוצאות השימוש בהם וההתמכרות אליהם קשות, ארוכות טווח ורחבות היקף וחורגות מעניינו של אדם אחד, ונוגעות לכלל החברה.</w:t>
      </w:r>
      <w:r>
        <w:rPr>
          <w:rFonts w:ascii="David" w:hAnsi="David" w:hint="cs"/>
          <w:rtl/>
        </w:rPr>
        <w:t xml:space="preserve"> בשני המקרים נוכח הנסיבות מידת הפגיעה בערכים המוגנים נמוכה. </w:t>
      </w:r>
      <w:r w:rsidRPr="00F9135A">
        <w:rPr>
          <w:rFonts w:ascii="David" w:hAnsi="David" w:hint="cs"/>
          <w:rtl/>
        </w:rPr>
        <w:t>ביחס לעבירת ה</w:t>
      </w:r>
      <w:r w:rsidRPr="00F9135A">
        <w:rPr>
          <w:rFonts w:ascii="David" w:hAnsi="David"/>
          <w:rtl/>
        </w:rPr>
        <w:t>איומים</w:t>
      </w:r>
      <w:r w:rsidRPr="00F9135A">
        <w:rPr>
          <w:rFonts w:ascii="David" w:hAnsi="David"/>
          <w:b/>
          <w:bCs/>
          <w:rtl/>
        </w:rPr>
        <w:t xml:space="preserve"> – "עבירת האיומים נועדה להגן על שלוות נפשו וביטחונו של הפרט, כמו גם על חופש הפעולה והבחירה שלו </w:t>
      </w:r>
      <w:r w:rsidRPr="00F9135A">
        <w:rPr>
          <w:rFonts w:ascii="David" w:hAnsi="David"/>
          <w:rtl/>
        </w:rPr>
        <w:t>" [</w:t>
      </w:r>
      <w:hyperlink r:id="rId25" w:history="1">
        <w:r w:rsidR="005C1981" w:rsidRPr="005C1981">
          <w:rPr>
            <w:rFonts w:ascii="David" w:hAnsi="David"/>
            <w:color w:val="0000FF"/>
            <w:u w:val="single"/>
            <w:rtl/>
          </w:rPr>
          <w:t>רע"פ 8736/15</w:t>
        </w:r>
      </w:hyperlink>
      <w:r w:rsidRPr="00F9135A">
        <w:rPr>
          <w:rFonts w:ascii="David" w:hAnsi="David"/>
          <w:rtl/>
        </w:rPr>
        <w:t xml:space="preserve"> </w:t>
      </w:r>
      <w:r w:rsidRPr="002853C4">
        <w:rPr>
          <w:rFonts w:ascii="David" w:hAnsi="David"/>
          <w:b/>
          <w:bCs/>
          <w:rtl/>
        </w:rPr>
        <w:t>בר נ' מ"י</w:t>
      </w:r>
      <w:r w:rsidRPr="00F9135A">
        <w:rPr>
          <w:rFonts w:ascii="David" w:hAnsi="David"/>
          <w:rtl/>
        </w:rPr>
        <w:t xml:space="preserve"> (מיום 17.1.2018) (פסקה 22 לפסק דינה של כב' השופט ברק-ארז)]. </w:t>
      </w:r>
      <w:r>
        <w:rPr>
          <w:rFonts w:ascii="David" w:hAnsi="David" w:hint="cs"/>
          <w:rtl/>
        </w:rPr>
        <w:t>במקרנו, מידת הפגיעה בערכים המוגנים בינונית נמוכה.</w:t>
      </w:r>
    </w:p>
    <w:p w14:paraId="01542C2F" w14:textId="77777777" w:rsidR="00C04099" w:rsidRDefault="00C04099" w:rsidP="00C04099">
      <w:pPr>
        <w:spacing w:line="360" w:lineRule="auto"/>
        <w:jc w:val="both"/>
        <w:rPr>
          <w:rFonts w:ascii="David" w:hAnsi="David"/>
          <w:rtl/>
        </w:rPr>
      </w:pPr>
    </w:p>
    <w:p w14:paraId="152FAB6B" w14:textId="77777777" w:rsidR="00C04099" w:rsidRPr="00762597" w:rsidRDefault="00C04099" w:rsidP="00C04099">
      <w:pPr>
        <w:pStyle w:val="a9"/>
        <w:numPr>
          <w:ilvl w:val="0"/>
          <w:numId w:val="2"/>
        </w:numPr>
        <w:spacing w:line="360" w:lineRule="auto"/>
        <w:jc w:val="both"/>
        <w:rPr>
          <w:rFonts w:ascii="David" w:hAnsi="David"/>
          <w:rtl/>
        </w:rPr>
      </w:pPr>
      <w:r w:rsidRPr="00762597">
        <w:rPr>
          <w:rFonts w:ascii="David" w:hAnsi="David"/>
          <w:b/>
          <w:bCs/>
          <w:rtl/>
        </w:rPr>
        <w:t xml:space="preserve">נסיבות הקשורות בביצוע העבירה– </w:t>
      </w:r>
      <w:r w:rsidRPr="00762597">
        <w:rPr>
          <w:rFonts w:ascii="David" w:hAnsi="David"/>
          <w:rtl/>
        </w:rPr>
        <w:t xml:space="preserve">בין הנסיבות הקשורות בביצוע העבירה יש לשקול את אלה, לעניין קביעת המתחם: </w:t>
      </w:r>
      <w:r w:rsidRPr="00762597">
        <w:rPr>
          <w:rFonts w:ascii="David" w:hAnsi="David"/>
          <w:b/>
          <w:bCs/>
          <w:rtl/>
        </w:rPr>
        <w:t>התיק העיקרי</w:t>
      </w:r>
      <w:r w:rsidRPr="00762597">
        <w:rPr>
          <w:rFonts w:ascii="David" w:hAnsi="David"/>
          <w:rtl/>
        </w:rPr>
        <w:t xml:space="preserve"> – מדובר בניצול הזדמנות, שבה הנאשם ראה את הפלאפון והחליט לגנוב א</w:t>
      </w:r>
      <w:r>
        <w:rPr>
          <w:rFonts w:ascii="David" w:hAnsi="David"/>
          <w:rtl/>
        </w:rPr>
        <w:t>ותו. הנאשם החזיק בכמות מזערית ש</w:t>
      </w:r>
      <w:r>
        <w:rPr>
          <w:rFonts w:ascii="David" w:hAnsi="David" w:hint="cs"/>
          <w:rtl/>
        </w:rPr>
        <w:t>ל</w:t>
      </w:r>
      <w:r w:rsidRPr="00762597">
        <w:rPr>
          <w:rFonts w:ascii="David" w:hAnsi="David"/>
          <w:rtl/>
        </w:rPr>
        <w:t xml:space="preserve"> סם "קל" אותו הוא צורך על בסיס קבוע מזה שנים רבות. </w:t>
      </w:r>
      <w:r w:rsidRPr="00762597">
        <w:rPr>
          <w:rFonts w:ascii="David" w:hAnsi="David"/>
          <w:b/>
          <w:bCs/>
          <w:rtl/>
        </w:rPr>
        <w:t>התיק המצורף</w:t>
      </w:r>
      <w:r w:rsidRPr="00762597">
        <w:rPr>
          <w:rFonts w:ascii="David" w:hAnsi="David"/>
          <w:rtl/>
        </w:rPr>
        <w:t xml:space="preserve"> – הנאשם התווכח עם אחר ואגב כך השמיע איום שתוכנו קשור לתוכן החשדות שהביע כלפיו המתלונן. העובדה שהמתלונן חש מאוים מעידה על חומרת הדברים שאמר הנאשם. </w:t>
      </w:r>
    </w:p>
    <w:p w14:paraId="60CFDF05" w14:textId="77777777" w:rsidR="00C04099" w:rsidRDefault="00C04099" w:rsidP="00C04099">
      <w:pPr>
        <w:spacing w:line="360" w:lineRule="auto"/>
        <w:jc w:val="both"/>
        <w:rPr>
          <w:rFonts w:ascii="David" w:hAnsi="David"/>
          <w:b/>
          <w:bCs/>
          <w:u w:val="single"/>
          <w:rtl/>
        </w:rPr>
      </w:pPr>
    </w:p>
    <w:p w14:paraId="21AB9C2C" w14:textId="77777777" w:rsidR="00C04099" w:rsidRPr="00762597" w:rsidRDefault="00C04099" w:rsidP="00C04099">
      <w:pPr>
        <w:pStyle w:val="a9"/>
        <w:numPr>
          <w:ilvl w:val="0"/>
          <w:numId w:val="2"/>
        </w:numPr>
        <w:spacing w:line="360" w:lineRule="auto"/>
        <w:jc w:val="both"/>
        <w:rPr>
          <w:rFonts w:ascii="David" w:hAnsi="David"/>
          <w:rtl/>
        </w:rPr>
      </w:pPr>
      <w:r w:rsidRPr="005209A7">
        <w:rPr>
          <w:rFonts w:ascii="David" w:hAnsi="David"/>
          <w:b/>
          <w:bCs/>
          <w:rtl/>
        </w:rPr>
        <w:t>מדיניות הענישה הנוהגת</w:t>
      </w:r>
      <w:r w:rsidRPr="00762597">
        <w:rPr>
          <w:rFonts w:ascii="David" w:hAnsi="David"/>
          <w:b/>
          <w:bCs/>
          <w:rtl/>
        </w:rPr>
        <w:t xml:space="preserve"> –</w:t>
      </w:r>
      <w:r>
        <w:rPr>
          <w:rFonts w:ascii="David" w:hAnsi="David" w:hint="cs"/>
          <w:rtl/>
        </w:rPr>
        <w:t>בעבירות של גניבת טלפון העונש הנהוג או בין עבודות שירות למאסר, בהתאם למתחם שבנקבע ב</w:t>
      </w:r>
      <w:r w:rsidRPr="00762597">
        <w:rPr>
          <w:rFonts w:ascii="David" w:hAnsi="David"/>
          <w:rtl/>
        </w:rPr>
        <w:t>רע"פ קליינר שצוטט לעיל</w:t>
      </w:r>
      <w:r>
        <w:rPr>
          <w:rFonts w:ascii="David" w:hAnsi="David" w:hint="cs"/>
          <w:rtl/>
        </w:rPr>
        <w:t xml:space="preserve"> בין חודשיים ל-8 חודשי מאסר. </w:t>
      </w:r>
      <w:r w:rsidRPr="00762597">
        <w:rPr>
          <w:rFonts w:ascii="David" w:hAnsi="David"/>
          <w:rtl/>
        </w:rPr>
        <w:t xml:space="preserve">בעבירות של החזקת סם לצריכה עצמית מתחמי הענישה נעים בין מאסר על תנאי ועש שישה חודשי מאסר בפועל. בעבירות איומים מתחמי הענישה והענישה מגוונת בהתאם לנסיבות כל מקרה. </w:t>
      </w:r>
      <w:r w:rsidRPr="00762597">
        <w:rPr>
          <w:rFonts w:ascii="David" w:eastAsia="Calibri" w:hAnsi="David"/>
          <w:rtl/>
        </w:rPr>
        <w:t>ב</w:t>
      </w:r>
      <w:hyperlink r:id="rId26" w:history="1">
        <w:r w:rsidR="005C1981" w:rsidRPr="005C1981">
          <w:rPr>
            <w:rFonts w:ascii="David" w:eastAsia="Calibri" w:hAnsi="David"/>
            <w:color w:val="0000FF"/>
            <w:u w:val="single"/>
            <w:rtl/>
          </w:rPr>
          <w:t>רע"פ 1293/08</w:t>
        </w:r>
      </w:hyperlink>
      <w:r w:rsidRPr="00762597">
        <w:rPr>
          <w:rFonts w:ascii="David" w:eastAsia="Calibri" w:hAnsi="David"/>
          <w:rtl/>
        </w:rPr>
        <w:t xml:space="preserve"> </w:t>
      </w:r>
      <w:r w:rsidRPr="002853C4">
        <w:rPr>
          <w:rFonts w:eastAsia="Calibri"/>
          <w:b/>
          <w:bCs/>
          <w:rtl/>
        </w:rPr>
        <w:t>קורניק נ' מ"י</w:t>
      </w:r>
      <w:r w:rsidRPr="00762597">
        <w:rPr>
          <w:rFonts w:ascii="David" w:eastAsia="Calibri" w:hAnsi="David"/>
          <w:rtl/>
        </w:rPr>
        <w:t xml:space="preserve"> (מיום 25.6.2008) נדון נאשם שאיים על גרושתו ועל ילדיו ל-12 חודשי מאסר. ב</w:t>
      </w:r>
      <w:hyperlink r:id="rId27" w:history="1">
        <w:r w:rsidR="005C1981" w:rsidRPr="005C1981">
          <w:rPr>
            <w:rFonts w:ascii="David" w:eastAsia="Calibri" w:hAnsi="David"/>
            <w:color w:val="0000FF"/>
            <w:u w:val="single"/>
            <w:rtl/>
          </w:rPr>
          <w:t>רע"פ 8253/18</w:t>
        </w:r>
      </w:hyperlink>
      <w:r w:rsidRPr="00762597">
        <w:rPr>
          <w:rFonts w:ascii="David" w:eastAsia="Calibri" w:hAnsi="David"/>
          <w:rtl/>
        </w:rPr>
        <w:t xml:space="preserve"> </w:t>
      </w:r>
      <w:r w:rsidRPr="002853C4">
        <w:rPr>
          <w:rFonts w:ascii="David" w:eastAsia="Calibri" w:hAnsi="David"/>
          <w:rtl/>
        </w:rPr>
        <w:t>ינאי נ' מ"י</w:t>
      </w:r>
      <w:r w:rsidRPr="00762597">
        <w:rPr>
          <w:rFonts w:ascii="David" w:eastAsia="Calibri" w:hAnsi="David"/>
          <w:rtl/>
        </w:rPr>
        <w:t xml:space="preserve"> (מיום 25.11.2018) אושר מתחם ענישה שבין מספר חודשי מאסר ל-12 חודשים ועונש של 6 חודשי מאסר בעבודות שירות בנסיבות של איומים באולם ביהמ"ש על שופט, על בת זוג ועל עו"ד. </w:t>
      </w:r>
    </w:p>
    <w:p w14:paraId="4F92FB95" w14:textId="77777777" w:rsidR="00C04099" w:rsidRPr="00C04099" w:rsidRDefault="00C04099" w:rsidP="00C04099">
      <w:pPr>
        <w:spacing w:line="360" w:lineRule="auto"/>
        <w:jc w:val="both"/>
        <w:rPr>
          <w:rFonts w:ascii="David" w:eastAsia="Calibri" w:hAnsi="David"/>
          <w:u w:val="single"/>
          <w:rtl/>
        </w:rPr>
      </w:pPr>
    </w:p>
    <w:p w14:paraId="54CA546D" w14:textId="77777777" w:rsidR="00C04099" w:rsidRPr="005209A7" w:rsidRDefault="00C04099" w:rsidP="00C04099">
      <w:pPr>
        <w:pStyle w:val="a9"/>
        <w:numPr>
          <w:ilvl w:val="0"/>
          <w:numId w:val="2"/>
        </w:numPr>
        <w:spacing w:line="360" w:lineRule="auto"/>
        <w:jc w:val="both"/>
        <w:rPr>
          <w:rFonts w:ascii="David" w:hAnsi="David"/>
          <w:rtl/>
        </w:rPr>
      </w:pPr>
      <w:r w:rsidRPr="005209A7">
        <w:rPr>
          <w:rFonts w:ascii="David" w:hAnsi="David"/>
          <w:b/>
          <w:bCs/>
          <w:rtl/>
        </w:rPr>
        <w:t>מתחם הענישה</w:t>
      </w:r>
      <w:r w:rsidRPr="005209A7">
        <w:rPr>
          <w:rFonts w:ascii="David" w:hAnsi="David"/>
          <w:rtl/>
        </w:rPr>
        <w:t xml:space="preserve"> – לפיכך, </w:t>
      </w:r>
      <w:r w:rsidRPr="005209A7">
        <w:rPr>
          <w:rFonts w:ascii="David" w:hAnsi="David" w:hint="cs"/>
          <w:rtl/>
        </w:rPr>
        <w:t xml:space="preserve">בתיק העיקרי יעמוד המתחם על בין חודשיים ל-8 חודשי מאסר, ואילו בתיק המצורף יעמוד המתחם על חודש ועד 6 חודשי מאסר. </w:t>
      </w:r>
    </w:p>
    <w:p w14:paraId="7115B682" w14:textId="77777777" w:rsidR="00C04099" w:rsidRDefault="00C04099" w:rsidP="00C04099">
      <w:pPr>
        <w:spacing w:line="360" w:lineRule="auto"/>
        <w:jc w:val="both"/>
        <w:rPr>
          <w:rFonts w:ascii="David" w:hAnsi="David"/>
          <w:b/>
          <w:bCs/>
          <w:rtl/>
        </w:rPr>
      </w:pPr>
    </w:p>
    <w:p w14:paraId="69077C0E" w14:textId="77777777" w:rsidR="00C04099" w:rsidRDefault="00C04099" w:rsidP="00C04099">
      <w:pPr>
        <w:spacing w:line="360" w:lineRule="auto"/>
        <w:jc w:val="both"/>
        <w:rPr>
          <w:rFonts w:ascii="David" w:hAnsi="David"/>
          <w:rtl/>
        </w:rPr>
      </w:pPr>
      <w:r>
        <w:rPr>
          <w:rFonts w:ascii="David" w:hAnsi="David"/>
          <w:b/>
          <w:bCs/>
          <w:u w:val="single"/>
          <w:rtl/>
        </w:rPr>
        <w:t xml:space="preserve">נסיבות שאינן קשורות בביצוע העבירה </w:t>
      </w:r>
    </w:p>
    <w:p w14:paraId="5F2F1567" w14:textId="77777777" w:rsidR="00C04099" w:rsidRPr="005209A7" w:rsidRDefault="00C04099" w:rsidP="00C04099">
      <w:pPr>
        <w:pStyle w:val="a9"/>
        <w:numPr>
          <w:ilvl w:val="0"/>
          <w:numId w:val="2"/>
        </w:numPr>
        <w:spacing w:line="360" w:lineRule="auto"/>
        <w:jc w:val="both"/>
        <w:rPr>
          <w:rFonts w:ascii="David" w:hAnsi="David"/>
          <w:rtl/>
        </w:rPr>
      </w:pPr>
      <w:r w:rsidRPr="005209A7">
        <w:rPr>
          <w:rFonts w:ascii="David" w:hAnsi="David"/>
          <w:rtl/>
        </w:rPr>
        <w:t xml:space="preserve">ניתן לתת משקל לנסיבות הבאות שאינן קשורות בביצוע העבירה, במסגרת גזירת העונש בתוך המתחם: </w:t>
      </w:r>
      <w:r w:rsidRPr="005209A7">
        <w:rPr>
          <w:rFonts w:ascii="David" w:hAnsi="David" w:hint="cs"/>
          <w:rtl/>
        </w:rPr>
        <w:t xml:space="preserve">לקולה, הודאת הנאשם בשני תיקים, קבלת אחריות לפניי וחסכון מזמן העדים ומזמן בית המשפט. </w:t>
      </w:r>
      <w:r>
        <w:rPr>
          <w:rFonts w:ascii="David" w:hAnsi="David" w:hint="cs"/>
          <w:rtl/>
        </w:rPr>
        <w:t xml:space="preserve">בעת הכנת גזר הדין לאחר הטיעונים לעונש, התכוונתי לזקוף לזכותו של הנאשם את העובדה שבשנים האחרונות ניכרה מגמת התייצבות במצבו. אלא שלמרבה הצער, בין מועד שמיעת הטיעונים לעונש ליום זה, מועד מתן גזר הדין, התברר כי הנאשם נעצר בתיק אחר, ועל-כן הכתיב במידה רבה, את תוצאת ההליך כאן מבחינה עונשית. </w:t>
      </w:r>
    </w:p>
    <w:p w14:paraId="2C54F4F9" w14:textId="77777777" w:rsidR="00C04099" w:rsidRDefault="00C04099" w:rsidP="00C04099">
      <w:pPr>
        <w:spacing w:line="360" w:lineRule="auto"/>
        <w:jc w:val="both"/>
        <w:rPr>
          <w:rFonts w:ascii="David" w:hAnsi="David"/>
          <w:rtl/>
        </w:rPr>
      </w:pPr>
    </w:p>
    <w:p w14:paraId="5246C527" w14:textId="77777777" w:rsidR="00C04099" w:rsidRDefault="00C04099" w:rsidP="00C04099">
      <w:pPr>
        <w:spacing w:line="360" w:lineRule="auto"/>
        <w:jc w:val="both"/>
        <w:rPr>
          <w:rFonts w:ascii="David" w:hAnsi="David"/>
          <w:rtl/>
        </w:rPr>
      </w:pPr>
      <w:r>
        <w:rPr>
          <w:rFonts w:ascii="David" w:hAnsi="David"/>
          <w:b/>
          <w:bCs/>
          <w:u w:val="single"/>
          <w:rtl/>
        </w:rPr>
        <w:t>המיקום במתחם</w:t>
      </w:r>
      <w:r>
        <w:rPr>
          <w:rFonts w:ascii="David" w:hAnsi="David"/>
          <w:rtl/>
        </w:rPr>
        <w:t xml:space="preserve"> – </w:t>
      </w:r>
      <w:r>
        <w:rPr>
          <w:rFonts w:ascii="David" w:hAnsi="David" w:hint="cs"/>
          <w:rtl/>
        </w:rPr>
        <w:t>במכלול הנסיבות, יש למקם את הנאשם עד לאמצע המתחמים.</w:t>
      </w:r>
    </w:p>
    <w:p w14:paraId="00065B10" w14:textId="77777777" w:rsidR="00C04099" w:rsidRDefault="00C04099" w:rsidP="00C04099">
      <w:pPr>
        <w:spacing w:line="360" w:lineRule="auto"/>
        <w:jc w:val="both"/>
        <w:rPr>
          <w:rFonts w:ascii="David" w:hAnsi="David"/>
          <w:b/>
          <w:bCs/>
          <w:u w:val="single"/>
          <w:rtl/>
        </w:rPr>
      </w:pPr>
    </w:p>
    <w:p w14:paraId="0EE02BE3" w14:textId="77777777" w:rsidR="00C04099" w:rsidRDefault="00C04099" w:rsidP="00C04099">
      <w:pPr>
        <w:spacing w:line="360" w:lineRule="auto"/>
        <w:jc w:val="both"/>
        <w:rPr>
          <w:rFonts w:ascii="David" w:hAnsi="David"/>
          <w:b/>
          <w:bCs/>
          <w:u w:val="single"/>
          <w:rtl/>
        </w:rPr>
      </w:pPr>
      <w:r>
        <w:rPr>
          <w:rFonts w:ascii="David" w:hAnsi="David"/>
          <w:b/>
          <w:bCs/>
          <w:u w:val="single"/>
          <w:rtl/>
        </w:rPr>
        <w:t>גזירת הדין</w:t>
      </w:r>
    </w:p>
    <w:p w14:paraId="49006A59" w14:textId="77777777" w:rsidR="00C04099" w:rsidRDefault="00C04099" w:rsidP="00C04099">
      <w:pPr>
        <w:spacing w:line="360" w:lineRule="auto"/>
        <w:jc w:val="both"/>
        <w:rPr>
          <w:rFonts w:ascii="David" w:hAnsi="David"/>
          <w:rtl/>
        </w:rPr>
      </w:pPr>
      <w:r>
        <w:rPr>
          <w:rFonts w:ascii="David" w:hAnsi="David"/>
          <w:rtl/>
        </w:rPr>
        <w:t>לפיכך, אני מחליט לגזור על הנאשם את העונשים הבאים:</w:t>
      </w:r>
    </w:p>
    <w:p w14:paraId="2FFCB962" w14:textId="77777777" w:rsidR="00C04099" w:rsidRDefault="00C04099" w:rsidP="00C04099">
      <w:pPr>
        <w:numPr>
          <w:ilvl w:val="0"/>
          <w:numId w:val="1"/>
        </w:numPr>
        <w:spacing w:after="160" w:line="360" w:lineRule="auto"/>
        <w:contextualSpacing/>
        <w:jc w:val="both"/>
        <w:rPr>
          <w:rFonts w:ascii="David" w:hAnsi="David"/>
        </w:rPr>
      </w:pPr>
      <w:r>
        <w:rPr>
          <w:rFonts w:ascii="David" w:hAnsi="David" w:hint="cs"/>
          <w:rtl/>
        </w:rPr>
        <w:t>4 חודשי מאסר בפועל בגין שני התיקים בניכוי ימי מעצרו ככל שנעצר בהם, ע"פ חישוב שב"ס שיכריע;</w:t>
      </w:r>
    </w:p>
    <w:p w14:paraId="0D60BF31" w14:textId="77777777" w:rsidR="00C04099" w:rsidRDefault="00C04099" w:rsidP="00C04099">
      <w:pPr>
        <w:numPr>
          <w:ilvl w:val="0"/>
          <w:numId w:val="1"/>
        </w:numPr>
        <w:spacing w:after="160" w:line="360" w:lineRule="auto"/>
        <w:contextualSpacing/>
        <w:jc w:val="both"/>
        <w:rPr>
          <w:rFonts w:ascii="David" w:hAnsi="David"/>
        </w:rPr>
      </w:pPr>
      <w:r>
        <w:rPr>
          <w:rFonts w:ascii="David" w:hAnsi="David" w:hint="cs"/>
          <w:rtl/>
        </w:rPr>
        <w:t>מפעיל את המאסר המותנה בתיק התנאי של 6 חודשים, וזאת 3 חודשים בחופף ו-3 חודשים במצטבר למאסר שהטלתי עליו. סה"כ ירצה הנאשם 7 חודשי מאסר בפועל החל מהיום, בניכוי ימי מעצרו ע"פ חישוב שב"ס שיכריע (בשני התיקים);</w:t>
      </w:r>
    </w:p>
    <w:p w14:paraId="5393856E" w14:textId="77777777" w:rsidR="00C04099" w:rsidRDefault="00C04099" w:rsidP="00C04099">
      <w:pPr>
        <w:numPr>
          <w:ilvl w:val="0"/>
          <w:numId w:val="1"/>
        </w:numPr>
        <w:spacing w:after="160" w:line="360" w:lineRule="auto"/>
        <w:contextualSpacing/>
        <w:jc w:val="both"/>
        <w:rPr>
          <w:rFonts w:ascii="David" w:hAnsi="David"/>
        </w:rPr>
      </w:pPr>
      <w:r>
        <w:rPr>
          <w:rFonts w:ascii="David" w:hAnsi="David" w:hint="cs"/>
          <w:rtl/>
        </w:rPr>
        <w:t xml:space="preserve">6 </w:t>
      </w:r>
      <w:r>
        <w:rPr>
          <w:rFonts w:ascii="David" w:hAnsi="David"/>
          <w:rtl/>
        </w:rPr>
        <w:t xml:space="preserve">חודשי מאסר, שלא ירוצו אלא אם יעבור הנאשם </w:t>
      </w:r>
      <w:r>
        <w:rPr>
          <w:rFonts w:ascii="David" w:hAnsi="David" w:hint="cs"/>
          <w:rtl/>
        </w:rPr>
        <w:t>כל עבירת רכוש למעט החזקת נכס החשוד כגנוב ולמעט היזק לרכוש, בתוך שלוש שנים משחרורו;</w:t>
      </w:r>
    </w:p>
    <w:p w14:paraId="5D72A380" w14:textId="77777777" w:rsidR="00C04099" w:rsidRDefault="00C04099" w:rsidP="00C04099">
      <w:pPr>
        <w:numPr>
          <w:ilvl w:val="0"/>
          <w:numId w:val="1"/>
        </w:numPr>
        <w:spacing w:after="160" w:line="360" w:lineRule="auto"/>
        <w:contextualSpacing/>
        <w:jc w:val="both"/>
        <w:rPr>
          <w:rFonts w:ascii="David" w:hAnsi="David"/>
        </w:rPr>
      </w:pPr>
      <w:r>
        <w:rPr>
          <w:rFonts w:ascii="David" w:hAnsi="David" w:hint="cs"/>
          <w:rtl/>
        </w:rPr>
        <w:t xml:space="preserve">חודשיים מאסר, שלא ירוצו אלא אם יעבור הנאשם כל עבירת פשע לפי </w:t>
      </w:r>
      <w:hyperlink r:id="rId28" w:history="1">
        <w:r w:rsidR="005C1981" w:rsidRPr="005C1981">
          <w:rPr>
            <w:rFonts w:ascii="David" w:hAnsi="David"/>
            <w:color w:val="0000FF"/>
            <w:u w:val="single"/>
            <w:rtl/>
          </w:rPr>
          <w:t>פקודת הסמים המסוכנים</w:t>
        </w:r>
      </w:hyperlink>
      <w:r>
        <w:rPr>
          <w:rFonts w:ascii="David" w:hAnsi="David" w:hint="cs"/>
          <w:rtl/>
        </w:rPr>
        <w:t xml:space="preserve"> בתך שלוש שנים משחרורו;</w:t>
      </w:r>
    </w:p>
    <w:p w14:paraId="11F75DD7" w14:textId="77777777" w:rsidR="00C04099" w:rsidRDefault="00C04099" w:rsidP="00C04099">
      <w:pPr>
        <w:numPr>
          <w:ilvl w:val="0"/>
          <w:numId w:val="1"/>
        </w:numPr>
        <w:spacing w:after="160" w:line="360" w:lineRule="auto"/>
        <w:contextualSpacing/>
        <w:jc w:val="both"/>
        <w:rPr>
          <w:rFonts w:ascii="David" w:hAnsi="David"/>
        </w:rPr>
      </w:pPr>
      <w:r>
        <w:rPr>
          <w:rFonts w:ascii="David" w:hAnsi="David" w:hint="cs"/>
          <w:rtl/>
        </w:rPr>
        <w:t>נוכח שליחתו של הנאשם למאסר בפועל מאחורי סורג ובריח, איני מטיל עליו רכיב עונשי כספי, מלבד התחייבות בסך 5,000 ₪ שלא יעבור בתוך שנתיים משחרורו עבירות פשע לפי פקודת הסמים או גניבה.</w:t>
      </w:r>
    </w:p>
    <w:p w14:paraId="59D7A9A4" w14:textId="77777777" w:rsidR="00C04099" w:rsidRDefault="00C04099" w:rsidP="00C04099">
      <w:pPr>
        <w:spacing w:line="360" w:lineRule="auto"/>
        <w:jc w:val="both"/>
        <w:rPr>
          <w:rFonts w:ascii="David" w:hAnsi="David"/>
          <w:b/>
          <w:bCs/>
          <w:rtl/>
        </w:rPr>
      </w:pPr>
    </w:p>
    <w:p w14:paraId="4193DCAF" w14:textId="77777777" w:rsidR="00C04099" w:rsidRDefault="00C04099" w:rsidP="00C04099">
      <w:pPr>
        <w:spacing w:line="360" w:lineRule="auto"/>
        <w:rPr>
          <w:rFonts w:ascii="David" w:hAnsi="David"/>
          <w:rtl/>
        </w:rPr>
      </w:pPr>
    </w:p>
    <w:p w14:paraId="6085F2D3" w14:textId="77777777" w:rsidR="00C04099" w:rsidRDefault="00C04099" w:rsidP="00C04099">
      <w:pPr>
        <w:spacing w:line="360" w:lineRule="auto"/>
        <w:rPr>
          <w:rFonts w:ascii="David" w:hAnsi="David"/>
          <w:rtl/>
        </w:rPr>
      </w:pPr>
      <w:r>
        <w:rPr>
          <w:rFonts w:ascii="David" w:hAnsi="David"/>
          <w:rtl/>
        </w:rPr>
        <w:t>מורה על השמדת הסמים.</w:t>
      </w:r>
    </w:p>
    <w:p w14:paraId="0DC16CE9" w14:textId="77777777" w:rsidR="00C04099" w:rsidRDefault="00C04099" w:rsidP="00C04099">
      <w:pPr>
        <w:spacing w:line="360" w:lineRule="auto"/>
        <w:rPr>
          <w:rFonts w:ascii="David" w:hAnsi="David"/>
          <w:rtl/>
        </w:rPr>
      </w:pPr>
    </w:p>
    <w:p w14:paraId="507BDB78" w14:textId="77777777" w:rsidR="00C04099" w:rsidRDefault="005C1981" w:rsidP="00C04099">
      <w:pPr>
        <w:spacing w:line="360" w:lineRule="auto"/>
        <w:rPr>
          <w:rFonts w:ascii="David" w:hAnsi="David"/>
        </w:rPr>
      </w:pPr>
      <w:r w:rsidRPr="005C1981">
        <w:rPr>
          <w:rFonts w:ascii="David" w:hAnsi="David"/>
          <w:color w:val="FFFFFF"/>
          <w:sz w:val="2"/>
          <w:szCs w:val="2"/>
          <w:rtl/>
        </w:rPr>
        <w:t>5129371</w:t>
      </w:r>
      <w:r w:rsidR="00C04099">
        <w:rPr>
          <w:rFonts w:ascii="David" w:hAnsi="David"/>
          <w:rtl/>
        </w:rPr>
        <w:t>יש לשלוח לשירות המבחן ולממונה על עבודות שירות.</w:t>
      </w:r>
    </w:p>
    <w:p w14:paraId="3A9F669B" w14:textId="77777777" w:rsidR="00C04099" w:rsidRPr="005C1981" w:rsidRDefault="005C1981" w:rsidP="00C04099">
      <w:pPr>
        <w:rPr>
          <w:rFonts w:ascii="Arial" w:hAnsi="Arial"/>
          <w:b/>
          <w:bCs/>
          <w:color w:val="FFFFFF"/>
          <w:sz w:val="2"/>
          <w:szCs w:val="2"/>
          <w:rtl/>
        </w:rPr>
      </w:pPr>
      <w:r w:rsidRPr="005C1981">
        <w:rPr>
          <w:rFonts w:ascii="Arial" w:hAnsi="Arial"/>
          <w:b/>
          <w:bCs/>
          <w:color w:val="FFFFFF"/>
          <w:sz w:val="2"/>
          <w:szCs w:val="2"/>
          <w:rtl/>
        </w:rPr>
        <w:t>54678313</w:t>
      </w:r>
    </w:p>
    <w:p w14:paraId="10302440" w14:textId="77777777" w:rsidR="00C04099" w:rsidRPr="000F2247" w:rsidRDefault="00C04099" w:rsidP="00C04099">
      <w:pPr>
        <w:rPr>
          <w:rFonts w:ascii="Arial" w:hAnsi="Arial"/>
          <w:b/>
          <w:bCs/>
          <w:sz w:val="26"/>
          <w:szCs w:val="26"/>
          <w:rtl/>
        </w:rPr>
      </w:pPr>
    </w:p>
    <w:p w14:paraId="21EB59DC" w14:textId="77777777" w:rsidR="00C04099" w:rsidRPr="000F2247" w:rsidRDefault="005C1981" w:rsidP="00C04099">
      <w:pPr>
        <w:rPr>
          <w:rFonts w:ascii="Arial" w:hAnsi="Arial"/>
          <w:b/>
          <w:bCs/>
          <w:sz w:val="26"/>
          <w:szCs w:val="26"/>
          <w:rtl/>
        </w:rPr>
      </w:pPr>
      <w:bookmarkStart w:id="8" w:name="Nitan"/>
      <w:r>
        <w:rPr>
          <w:rFonts w:ascii="Arial" w:hAnsi="Arial"/>
          <w:b/>
          <w:bCs/>
          <w:sz w:val="26"/>
          <w:szCs w:val="26"/>
          <w:rtl/>
        </w:rPr>
        <w:t xml:space="preserve">ניתן היום,  כ"ח תמוז תשפ"ג, 17 יולי 2023, במעמד הצדדים. </w:t>
      </w:r>
      <w:bookmarkEnd w:id="8"/>
    </w:p>
    <w:p w14:paraId="5CE2FFA6" w14:textId="77777777" w:rsidR="00C04099" w:rsidRPr="000F2247" w:rsidRDefault="00C04099" w:rsidP="005C198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B765C06" w14:textId="77777777" w:rsidR="00C04099" w:rsidRPr="00555154" w:rsidRDefault="00555154" w:rsidP="00C04099">
      <w:pPr>
        <w:jc w:val="center"/>
        <w:rPr>
          <w:rFonts w:ascii="Arial" w:hAnsi="Arial"/>
          <w:b/>
          <w:bCs/>
          <w:color w:val="FFFFFF"/>
          <w:sz w:val="2"/>
          <w:szCs w:val="2"/>
          <w:rtl/>
        </w:rPr>
      </w:pPr>
      <w:r w:rsidRPr="00555154">
        <w:rPr>
          <w:rFonts w:ascii="Arial" w:hAnsi="Arial"/>
          <w:b/>
          <w:bCs/>
          <w:color w:val="FFFFFF"/>
          <w:sz w:val="2"/>
          <w:szCs w:val="2"/>
          <w:rtl/>
        </w:rPr>
        <w:t>5129371</w:t>
      </w:r>
    </w:p>
    <w:p w14:paraId="56B5080D" w14:textId="77777777" w:rsidR="00955445" w:rsidRPr="00555154" w:rsidRDefault="00555154" w:rsidP="005C1981">
      <w:pPr>
        <w:keepNext/>
        <w:rPr>
          <w:rFonts w:ascii="David" w:hAnsi="David"/>
          <w:color w:val="FFFFFF"/>
          <w:sz w:val="2"/>
          <w:szCs w:val="2"/>
          <w:rtl/>
        </w:rPr>
      </w:pPr>
      <w:r w:rsidRPr="00555154">
        <w:rPr>
          <w:rFonts w:ascii="David" w:hAnsi="David"/>
          <w:color w:val="FFFFFF"/>
          <w:sz w:val="2"/>
          <w:szCs w:val="2"/>
          <w:rtl/>
        </w:rPr>
        <w:t>54678313</w:t>
      </w:r>
    </w:p>
    <w:p w14:paraId="7A02CB90" w14:textId="77777777" w:rsidR="005C1981" w:rsidRDefault="005C1981" w:rsidP="005C1981">
      <w:pPr>
        <w:rPr>
          <w:rtl/>
        </w:rPr>
      </w:pPr>
    </w:p>
    <w:p w14:paraId="58484248" w14:textId="77777777" w:rsidR="005C1981" w:rsidRDefault="005C1981" w:rsidP="005C1981">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7239E71" w14:textId="77777777" w:rsidR="00555154" w:rsidRPr="00555154" w:rsidRDefault="00555154" w:rsidP="00555154">
      <w:pPr>
        <w:keepNext/>
        <w:rPr>
          <w:rFonts w:ascii="David" w:hAnsi="David"/>
          <w:color w:val="000000"/>
          <w:sz w:val="22"/>
          <w:szCs w:val="22"/>
          <w:rtl/>
        </w:rPr>
      </w:pPr>
    </w:p>
    <w:p w14:paraId="5C825088" w14:textId="77777777" w:rsidR="00555154" w:rsidRPr="00555154" w:rsidRDefault="00555154" w:rsidP="00555154">
      <w:pPr>
        <w:keepNext/>
        <w:rPr>
          <w:rFonts w:ascii="David" w:hAnsi="David"/>
          <w:color w:val="000000"/>
          <w:sz w:val="22"/>
          <w:szCs w:val="22"/>
          <w:rtl/>
        </w:rPr>
      </w:pPr>
      <w:r w:rsidRPr="00555154">
        <w:rPr>
          <w:rFonts w:ascii="David" w:hAnsi="David"/>
          <w:color w:val="000000"/>
          <w:sz w:val="22"/>
          <w:szCs w:val="22"/>
          <w:rtl/>
        </w:rPr>
        <w:t>דוד שאול גבאי ריכטר 54678313-/</w:t>
      </w:r>
    </w:p>
    <w:p w14:paraId="0E585870" w14:textId="77777777" w:rsidR="005C1981" w:rsidRPr="005C1981" w:rsidRDefault="00555154" w:rsidP="00555154">
      <w:pPr>
        <w:rPr>
          <w:color w:val="0000FF"/>
          <w:u w:val="single"/>
        </w:rPr>
      </w:pPr>
      <w:r w:rsidRPr="00555154">
        <w:rPr>
          <w:color w:val="000000"/>
          <w:u w:val="single"/>
          <w:rtl/>
        </w:rPr>
        <w:t>נוסח מסמך זה כפוף לשינויי ניסוח ועריכה</w:t>
      </w:r>
    </w:p>
    <w:sectPr w:rsidR="005C1981" w:rsidRPr="005C1981" w:rsidSect="00555154">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766AD" w14:textId="77777777" w:rsidR="00BA28AF" w:rsidRDefault="00BA28AF" w:rsidP="0054519D">
      <w:r>
        <w:separator/>
      </w:r>
    </w:p>
  </w:endnote>
  <w:endnote w:type="continuationSeparator" w:id="0">
    <w:p w14:paraId="4BDB55BD" w14:textId="77777777" w:rsidR="00BA28AF" w:rsidRDefault="00BA28AF" w:rsidP="0054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316B3" w14:textId="77777777" w:rsidR="00555154" w:rsidRDefault="00555154" w:rsidP="0055515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4AC1B8" w14:textId="77777777" w:rsidR="00F84EEC" w:rsidRPr="00555154" w:rsidRDefault="00555154" w:rsidP="00555154">
    <w:pPr>
      <w:pStyle w:val="a5"/>
      <w:pBdr>
        <w:top w:val="single" w:sz="4" w:space="1" w:color="auto"/>
        <w:between w:val="single" w:sz="4" w:space="0" w:color="auto"/>
      </w:pBdr>
      <w:spacing w:after="60"/>
      <w:jc w:val="center"/>
      <w:rPr>
        <w:rFonts w:ascii="FrankRuehl" w:hAnsi="FrankRuehl" w:cs="FrankRuehl"/>
        <w:color w:val="000000"/>
      </w:rPr>
    </w:pPr>
    <w:r w:rsidRPr="005551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0C3D5" w14:textId="77777777" w:rsidR="00555154" w:rsidRDefault="00555154" w:rsidP="0055515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3264">
      <w:rPr>
        <w:rFonts w:ascii="FrankRuehl" w:hAnsi="FrankRuehl" w:cs="FrankRuehl"/>
        <w:noProof/>
        <w:rtl/>
      </w:rPr>
      <w:t>1</w:t>
    </w:r>
    <w:r>
      <w:rPr>
        <w:rFonts w:ascii="FrankRuehl" w:hAnsi="FrankRuehl" w:cs="FrankRuehl"/>
        <w:rtl/>
      </w:rPr>
      <w:fldChar w:fldCharType="end"/>
    </w:r>
  </w:p>
  <w:p w14:paraId="47058FC8" w14:textId="77777777" w:rsidR="00F84EEC" w:rsidRPr="00555154" w:rsidRDefault="00555154" w:rsidP="00555154">
    <w:pPr>
      <w:pStyle w:val="a5"/>
      <w:pBdr>
        <w:top w:val="single" w:sz="4" w:space="1" w:color="auto"/>
        <w:between w:val="single" w:sz="4" w:space="0" w:color="auto"/>
      </w:pBdr>
      <w:spacing w:after="60"/>
      <w:jc w:val="center"/>
      <w:rPr>
        <w:rFonts w:ascii="FrankRuehl" w:hAnsi="FrankRuehl" w:cs="FrankRuehl"/>
        <w:color w:val="000000"/>
      </w:rPr>
    </w:pPr>
    <w:r w:rsidRPr="00555154">
      <w:rPr>
        <w:rFonts w:ascii="FrankRuehl" w:hAnsi="FrankRuehl" w:cs="FrankRuehl"/>
        <w:color w:val="000000"/>
      </w:rPr>
      <w:pict w14:anchorId="5A010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EF118" w14:textId="77777777" w:rsidR="00BA28AF" w:rsidRDefault="00BA28AF" w:rsidP="0054519D">
      <w:r>
        <w:separator/>
      </w:r>
    </w:p>
  </w:footnote>
  <w:footnote w:type="continuationSeparator" w:id="0">
    <w:p w14:paraId="5AA70705" w14:textId="77777777" w:rsidR="00BA28AF" w:rsidRDefault="00BA28AF" w:rsidP="00545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092D5" w14:textId="77777777" w:rsidR="005C1981" w:rsidRPr="00555154" w:rsidRDefault="00555154" w:rsidP="0055515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7441-02-20</w:t>
    </w:r>
    <w:r>
      <w:rPr>
        <w:rFonts w:ascii="David" w:hAnsi="David"/>
        <w:color w:val="000000"/>
        <w:sz w:val="22"/>
        <w:szCs w:val="22"/>
        <w:rtl/>
      </w:rPr>
      <w:tab/>
      <w:t xml:space="preserve"> מדינת ישראל נ' שלמה גז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DD930" w14:textId="77777777" w:rsidR="005C1981" w:rsidRPr="00555154" w:rsidRDefault="00555154" w:rsidP="0055515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7441-02-20</w:t>
    </w:r>
    <w:r>
      <w:rPr>
        <w:rFonts w:ascii="David" w:hAnsi="David"/>
        <w:color w:val="000000"/>
        <w:sz w:val="22"/>
        <w:szCs w:val="22"/>
        <w:rtl/>
      </w:rPr>
      <w:tab/>
      <w:t xml:space="preserve"> מדינת ישראל נ' שלמה גז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0535A"/>
    <w:multiLevelType w:val="hybridMultilevel"/>
    <w:tmpl w:val="E908735E"/>
    <w:lvl w:ilvl="0" w:tplc="20280714">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52A6B"/>
    <w:multiLevelType w:val="hybridMultilevel"/>
    <w:tmpl w:val="2034D674"/>
    <w:lvl w:ilvl="0" w:tplc="9E104F7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D5B689C"/>
    <w:multiLevelType w:val="hybridMultilevel"/>
    <w:tmpl w:val="208E3610"/>
    <w:lvl w:ilvl="0" w:tplc="F3802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109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0919666">
    <w:abstractNumId w:val="1"/>
  </w:num>
  <w:num w:numId="3" w16cid:durableId="194295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4099"/>
    <w:rsid w:val="0014122E"/>
    <w:rsid w:val="001B5A3B"/>
    <w:rsid w:val="002E6262"/>
    <w:rsid w:val="003C0A43"/>
    <w:rsid w:val="0054519D"/>
    <w:rsid w:val="00555154"/>
    <w:rsid w:val="005C1981"/>
    <w:rsid w:val="00702FA2"/>
    <w:rsid w:val="007C7D91"/>
    <w:rsid w:val="00955445"/>
    <w:rsid w:val="00A53264"/>
    <w:rsid w:val="00AD37D1"/>
    <w:rsid w:val="00B37986"/>
    <w:rsid w:val="00BA28AF"/>
    <w:rsid w:val="00C04099"/>
    <w:rsid w:val="00F84E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075261"/>
  <w15:chartTrackingRefBased/>
  <w15:docId w15:val="{4D8D8C87-2E9E-43B7-B50D-38F79332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409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4099"/>
    <w:pPr>
      <w:tabs>
        <w:tab w:val="center" w:pos="4153"/>
        <w:tab w:val="right" w:pos="8306"/>
      </w:tabs>
    </w:pPr>
  </w:style>
  <w:style w:type="character" w:customStyle="1" w:styleId="a4">
    <w:name w:val="כותרת עליונה תו"/>
    <w:link w:val="a3"/>
    <w:rsid w:val="00C04099"/>
    <w:rPr>
      <w:rFonts w:ascii="Times New Roman" w:eastAsia="Times New Roman" w:hAnsi="Times New Roman" w:cs="David"/>
      <w:sz w:val="24"/>
      <w:szCs w:val="24"/>
    </w:rPr>
  </w:style>
  <w:style w:type="paragraph" w:styleId="a5">
    <w:name w:val="footer"/>
    <w:basedOn w:val="a"/>
    <w:link w:val="a6"/>
    <w:rsid w:val="00C04099"/>
    <w:pPr>
      <w:tabs>
        <w:tab w:val="center" w:pos="4153"/>
        <w:tab w:val="right" w:pos="8306"/>
      </w:tabs>
    </w:pPr>
  </w:style>
  <w:style w:type="character" w:customStyle="1" w:styleId="a6">
    <w:name w:val="כותרת תחתונה תו"/>
    <w:link w:val="a5"/>
    <w:rsid w:val="00C04099"/>
    <w:rPr>
      <w:rFonts w:ascii="Times New Roman" w:eastAsia="Times New Roman" w:hAnsi="Times New Roman" w:cs="David"/>
      <w:sz w:val="24"/>
      <w:szCs w:val="24"/>
    </w:rPr>
  </w:style>
  <w:style w:type="table" w:styleId="a7">
    <w:name w:val="Table Grid"/>
    <w:basedOn w:val="a1"/>
    <w:rsid w:val="00C040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4099"/>
  </w:style>
  <w:style w:type="paragraph" w:styleId="a9">
    <w:name w:val="List Paragraph"/>
    <w:basedOn w:val="a"/>
    <w:qFormat/>
    <w:rsid w:val="00C04099"/>
    <w:pPr>
      <w:ind w:left="720"/>
      <w:contextualSpacing/>
    </w:pPr>
  </w:style>
  <w:style w:type="character" w:styleId="Hyperlink">
    <w:name w:val="Hyperlink"/>
    <w:rsid w:val="005C1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422058"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60067" TargetMode="External"/><Relationship Id="rId3" Type="http://schemas.openxmlformats.org/officeDocument/2006/relationships/settings" Target="settings.xml"/><Relationship Id="rId21" Type="http://schemas.openxmlformats.org/officeDocument/2006/relationships/hyperlink" Target="http://www.nevo.co.il/law/70301/192"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081436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4216/7.c"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824501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2877214"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 TargetMode="External"/><Relationship Id="rId19" Type="http://schemas.openxmlformats.org/officeDocument/2006/relationships/hyperlink" Target="http://www.nevo.co.il/law/4216/7.a"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law/70301/384"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16328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1827</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10946</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3670133</vt:i4>
      </vt:variant>
      <vt:variant>
        <vt:i4>63</vt:i4>
      </vt:variant>
      <vt:variant>
        <vt:i4>0</vt:i4>
      </vt:variant>
      <vt:variant>
        <vt:i4>5</vt:i4>
      </vt:variant>
      <vt:variant>
        <vt:lpwstr>http://www.nevo.co.il/case/25163288</vt:lpwstr>
      </vt:variant>
      <vt:variant>
        <vt:lpwstr/>
      </vt:variant>
      <vt:variant>
        <vt:i4>3407989</vt:i4>
      </vt:variant>
      <vt:variant>
        <vt:i4>60</vt:i4>
      </vt:variant>
      <vt:variant>
        <vt:i4>0</vt:i4>
      </vt:variant>
      <vt:variant>
        <vt:i4>5</vt:i4>
      </vt:variant>
      <vt:variant>
        <vt:lpwstr>http://www.nevo.co.il/case/5760067</vt:lpwstr>
      </vt:variant>
      <vt:variant>
        <vt:lpwstr/>
      </vt:variant>
      <vt:variant>
        <vt:i4>3670134</vt:i4>
      </vt:variant>
      <vt:variant>
        <vt:i4>57</vt:i4>
      </vt:variant>
      <vt:variant>
        <vt:i4>0</vt:i4>
      </vt:variant>
      <vt:variant>
        <vt:i4>5</vt:i4>
      </vt:variant>
      <vt:variant>
        <vt:lpwstr>http://www.nevo.co.il/case/20814366</vt:lpwstr>
      </vt:variant>
      <vt:variant>
        <vt:lpwstr/>
      </vt:variant>
      <vt:variant>
        <vt:i4>3407986</vt:i4>
      </vt:variant>
      <vt:variant>
        <vt:i4>54</vt:i4>
      </vt:variant>
      <vt:variant>
        <vt:i4>0</vt:i4>
      </vt:variant>
      <vt:variant>
        <vt:i4>5</vt:i4>
      </vt:variant>
      <vt:variant>
        <vt:lpwstr>http://www.nevo.co.il/case/8245018</vt:lpwstr>
      </vt:variant>
      <vt:variant>
        <vt:lpwstr/>
      </vt:variant>
      <vt:variant>
        <vt:i4>3932275</vt:i4>
      </vt:variant>
      <vt:variant>
        <vt:i4>51</vt:i4>
      </vt:variant>
      <vt:variant>
        <vt:i4>0</vt:i4>
      </vt:variant>
      <vt:variant>
        <vt:i4>5</vt:i4>
      </vt:variant>
      <vt:variant>
        <vt:lpwstr>http://www.nevo.co.il/case/22877214</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3539069</vt:i4>
      </vt:variant>
      <vt:variant>
        <vt:i4>36</vt:i4>
      </vt:variant>
      <vt:variant>
        <vt:i4>0</vt:i4>
      </vt:variant>
      <vt:variant>
        <vt:i4>5</vt:i4>
      </vt:variant>
      <vt:variant>
        <vt:lpwstr>http://www.nevo.co.il/case/28051453</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7995492</vt:i4>
      </vt:variant>
      <vt:variant>
        <vt:i4>24</vt:i4>
      </vt:variant>
      <vt:variant>
        <vt:i4>0</vt:i4>
      </vt:variant>
      <vt:variant>
        <vt:i4>5</vt:i4>
      </vt:variant>
      <vt:variant>
        <vt:lpwstr>http://www.nevo.co.il/law/70301</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3211376</vt:i4>
      </vt:variant>
      <vt:variant>
        <vt:i4>18</vt:i4>
      </vt:variant>
      <vt:variant>
        <vt:i4>0</vt:i4>
      </vt:variant>
      <vt:variant>
        <vt:i4>5</vt:i4>
      </vt:variant>
      <vt:variant>
        <vt:lpwstr>http://www.nevo.co.il/case/26422058</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7441;73165</vt:lpwstr>
  </property>
  <property fmtid="{D5CDD505-2E9C-101B-9397-08002B2CF9AE}" pid="6" name="NEWPARTB">
    <vt:lpwstr>02;10</vt:lpwstr>
  </property>
  <property fmtid="{D5CDD505-2E9C-101B-9397-08002B2CF9AE}" pid="7" name="NEWPARTC">
    <vt:lpwstr>20;21</vt:lpwstr>
  </property>
  <property fmtid="{D5CDD505-2E9C-101B-9397-08002B2CF9AE}" pid="8" name="APPELLANT">
    <vt:lpwstr>מדינת ישראל</vt:lpwstr>
  </property>
  <property fmtid="{D5CDD505-2E9C-101B-9397-08002B2CF9AE}" pid="9" name="APPELLEE">
    <vt:lpwstr>שלמה גז</vt:lpwstr>
  </property>
  <property fmtid="{D5CDD505-2E9C-101B-9397-08002B2CF9AE}" pid="10" name="LAWYER">
    <vt:lpwstr>ורד בירגר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20230717</vt:lpwstr>
  </property>
  <property fmtid="{D5CDD505-2E9C-101B-9397-08002B2CF9AE}" pid="14" name="TYPE_N_DATE">
    <vt:lpwstr>38020230717</vt:lpwstr>
  </property>
  <property fmtid="{D5CDD505-2E9C-101B-9397-08002B2CF9AE}" pid="15" name="WORDNUMPAGES">
    <vt:lpwstr>5</vt:lpwstr>
  </property>
  <property fmtid="{D5CDD505-2E9C-101B-9397-08002B2CF9AE}" pid="16" name="TYPE_ABS_DATE">
    <vt:lpwstr>380020230717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26422058;28051453;22877214;8245018;20814366;5760067;25163288</vt:lpwstr>
  </property>
  <property fmtid="{D5CDD505-2E9C-101B-9397-08002B2CF9AE}" pid="36" name="LAWLISTTMP1">
    <vt:lpwstr>70301/384;192</vt:lpwstr>
  </property>
  <property fmtid="{D5CDD505-2E9C-101B-9397-08002B2CF9AE}" pid="37" name="LAWLISTTMP2">
    <vt:lpwstr>4216/007.a:2;007.c:2</vt:lpwstr>
  </property>
</Properties>
</file>