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5787B" w:rsidRPr="00E1490D" w14:paraId="31F56F7E" w14:textId="77777777" w:rsidTr="00472E4E">
        <w:trPr>
          <w:trHeight w:hRule="exact" w:val="418"/>
          <w:jc w:val="center"/>
        </w:trPr>
        <w:tc>
          <w:tcPr>
            <w:tcW w:w="8721" w:type="dxa"/>
            <w:gridSpan w:val="2"/>
          </w:tcPr>
          <w:p w14:paraId="614BBF44" w14:textId="77777777" w:rsidR="0045787B" w:rsidRPr="00E1490D" w:rsidRDefault="0045787B" w:rsidP="001D19FB">
            <w:pPr>
              <w:pStyle w:val="a3"/>
              <w:jc w:val="center"/>
              <w:rPr>
                <w:rFonts w:ascii="Tahoma" w:hAnsi="Tahoma" w:cs="Tahoma"/>
                <w:color w:val="000080"/>
                <w:rtl/>
              </w:rPr>
            </w:pPr>
            <w:bookmarkStart w:id="0" w:name="LastJudge"/>
            <w:r w:rsidRPr="00E1490D">
              <w:rPr>
                <w:rFonts w:ascii="Tahoma" w:hAnsi="Tahoma" w:cs="Tahoma"/>
                <w:b/>
                <w:bCs/>
                <w:color w:val="000080"/>
                <w:rtl/>
              </w:rPr>
              <w:t>בית משפט השלום באשקלון</w:t>
            </w:r>
          </w:p>
        </w:tc>
      </w:tr>
      <w:tr w:rsidR="0045787B" w:rsidRPr="00E1490D" w14:paraId="53FB89C5" w14:textId="77777777" w:rsidTr="00472E4E">
        <w:trPr>
          <w:trHeight w:val="337"/>
          <w:jc w:val="center"/>
        </w:trPr>
        <w:tc>
          <w:tcPr>
            <w:tcW w:w="5054" w:type="dxa"/>
          </w:tcPr>
          <w:p w14:paraId="2FC2FBCF" w14:textId="77777777" w:rsidR="0045787B" w:rsidRPr="00E1490D" w:rsidRDefault="0045787B" w:rsidP="001D19FB">
            <w:pPr>
              <w:rPr>
                <w:b/>
                <w:bCs/>
                <w:sz w:val="28"/>
                <w:szCs w:val="28"/>
              </w:rPr>
            </w:pPr>
            <w:r w:rsidRPr="00E1490D">
              <w:rPr>
                <w:b/>
                <w:bCs/>
                <w:sz w:val="26"/>
                <w:szCs w:val="26"/>
                <w:rtl/>
              </w:rPr>
              <w:t>ת"פ</w:t>
            </w:r>
            <w:r w:rsidRPr="00E1490D">
              <w:rPr>
                <w:b/>
                <w:bCs/>
                <w:sz w:val="28"/>
                <w:szCs w:val="28"/>
                <w:rtl/>
              </w:rPr>
              <w:t xml:space="preserve">  </w:t>
            </w:r>
            <w:r w:rsidRPr="00E1490D">
              <w:rPr>
                <w:b/>
                <w:bCs/>
                <w:sz w:val="26"/>
                <w:szCs w:val="26"/>
                <w:rtl/>
              </w:rPr>
              <w:t>24895-03-20</w:t>
            </w:r>
            <w:r w:rsidRPr="00E1490D">
              <w:rPr>
                <w:b/>
                <w:bCs/>
                <w:sz w:val="28"/>
                <w:szCs w:val="28"/>
                <w:rtl/>
              </w:rPr>
              <w:t xml:space="preserve"> </w:t>
            </w:r>
            <w:r w:rsidRPr="00E1490D">
              <w:rPr>
                <w:b/>
                <w:bCs/>
                <w:sz w:val="26"/>
                <w:szCs w:val="26"/>
                <w:rtl/>
              </w:rPr>
              <w:t>מדינת ישראל נ' אלחזוב</w:t>
            </w:r>
            <w:r w:rsidRPr="00E1490D">
              <w:rPr>
                <w:b/>
                <w:bCs/>
                <w:sz w:val="28"/>
                <w:szCs w:val="28"/>
                <w:rtl/>
              </w:rPr>
              <w:t xml:space="preserve">    </w:t>
            </w:r>
          </w:p>
          <w:p w14:paraId="6642EF2A" w14:textId="77777777" w:rsidR="0045787B" w:rsidRPr="00E1490D" w:rsidRDefault="0045787B" w:rsidP="001D19FB">
            <w:pPr>
              <w:rPr>
                <w:rFonts w:cs="FrankRuehl"/>
                <w:sz w:val="28"/>
                <w:szCs w:val="28"/>
                <w:rtl/>
              </w:rPr>
            </w:pPr>
            <w:r w:rsidRPr="00E1490D">
              <w:rPr>
                <w:b/>
                <w:bCs/>
                <w:sz w:val="26"/>
                <w:szCs w:val="26"/>
                <w:rtl/>
              </w:rPr>
              <w:t>ת"פ</w:t>
            </w:r>
            <w:r w:rsidRPr="00E1490D">
              <w:rPr>
                <w:b/>
                <w:bCs/>
                <w:sz w:val="28"/>
                <w:szCs w:val="28"/>
                <w:rtl/>
              </w:rPr>
              <w:t xml:space="preserve">  </w:t>
            </w:r>
            <w:r w:rsidRPr="00E1490D">
              <w:rPr>
                <w:b/>
                <w:bCs/>
                <w:sz w:val="26"/>
                <w:szCs w:val="26"/>
                <w:rtl/>
              </w:rPr>
              <w:t>67506-06-20</w:t>
            </w:r>
            <w:r w:rsidRPr="00E1490D">
              <w:rPr>
                <w:b/>
                <w:bCs/>
                <w:sz w:val="28"/>
                <w:szCs w:val="28"/>
                <w:rtl/>
              </w:rPr>
              <w:t xml:space="preserve"> </w:t>
            </w:r>
            <w:r w:rsidRPr="00E1490D">
              <w:rPr>
                <w:b/>
                <w:bCs/>
                <w:sz w:val="26"/>
                <w:szCs w:val="26"/>
                <w:rtl/>
              </w:rPr>
              <w:t>מדינת ישראל נ' אלחזוב</w:t>
            </w:r>
          </w:p>
        </w:tc>
        <w:tc>
          <w:tcPr>
            <w:tcW w:w="3667" w:type="dxa"/>
          </w:tcPr>
          <w:p w14:paraId="30DE1C97" w14:textId="77777777" w:rsidR="0045787B" w:rsidRPr="00E1490D" w:rsidRDefault="0045787B" w:rsidP="001D19FB">
            <w:pPr>
              <w:pStyle w:val="a3"/>
              <w:jc w:val="right"/>
              <w:rPr>
                <w:rFonts w:cs="FrankRuehl"/>
                <w:sz w:val="28"/>
                <w:szCs w:val="28"/>
                <w:rtl/>
              </w:rPr>
            </w:pPr>
          </w:p>
        </w:tc>
      </w:tr>
    </w:tbl>
    <w:p w14:paraId="73E13E41" w14:textId="77777777" w:rsidR="0045787B" w:rsidRPr="00E1490D" w:rsidRDefault="0045787B" w:rsidP="0045787B">
      <w:pPr>
        <w:pStyle w:val="a3"/>
        <w:spacing w:line="360" w:lineRule="auto"/>
        <w:rPr>
          <w:rtl/>
        </w:rPr>
      </w:pPr>
      <w:r w:rsidRPr="00E1490D">
        <w:rPr>
          <w:rFonts w:hint="cs"/>
          <w:rtl/>
        </w:rPr>
        <w:t xml:space="preserve"> </w:t>
      </w:r>
    </w:p>
    <w:p w14:paraId="231E2ED6" w14:textId="77777777" w:rsidR="0045787B" w:rsidRPr="00E1490D" w:rsidRDefault="0045787B" w:rsidP="0045787B">
      <w:pPr>
        <w:rPr>
          <w:sz w:val="26"/>
          <w:szCs w:val="26"/>
          <w:rtl/>
        </w:rPr>
      </w:pPr>
    </w:p>
    <w:p w14:paraId="57F79EE2" w14:textId="77777777" w:rsidR="0045787B" w:rsidRPr="00E1490D" w:rsidRDefault="0045787B" w:rsidP="0045787B">
      <w:pPr>
        <w:rPr>
          <w:sz w:val="26"/>
          <w:szCs w:val="26"/>
          <w:rtl/>
        </w:rPr>
      </w:pPr>
    </w:p>
    <w:tbl>
      <w:tblPr>
        <w:bidiVisual/>
        <w:tblW w:w="8535" w:type="dxa"/>
        <w:tblInd w:w="289" w:type="dxa"/>
        <w:tblLook w:val="01E0" w:firstRow="1" w:lastRow="1" w:firstColumn="1" w:lastColumn="1" w:noHBand="0" w:noVBand="0"/>
      </w:tblPr>
      <w:tblGrid>
        <w:gridCol w:w="1800"/>
        <w:gridCol w:w="6735"/>
      </w:tblGrid>
      <w:tr w:rsidR="0045787B" w:rsidRPr="00E1490D" w14:paraId="37538436" w14:textId="77777777" w:rsidTr="0045787B">
        <w:tc>
          <w:tcPr>
            <w:tcW w:w="8535" w:type="dxa"/>
            <w:gridSpan w:val="2"/>
            <w:shd w:val="clear" w:color="auto" w:fill="auto"/>
          </w:tcPr>
          <w:p w14:paraId="51972775" w14:textId="77777777" w:rsidR="0045787B" w:rsidRPr="00E1490D" w:rsidRDefault="0045787B" w:rsidP="001D19FB">
            <w:pPr>
              <w:rPr>
                <w:rFonts w:ascii="David" w:hAnsi="David"/>
                <w:b/>
                <w:bCs/>
                <w:sz w:val="28"/>
                <w:szCs w:val="28"/>
              </w:rPr>
            </w:pPr>
            <w:r w:rsidRPr="00E1490D">
              <w:rPr>
                <w:rFonts w:ascii="David" w:hAnsi="David"/>
                <w:b/>
                <w:bCs/>
                <w:sz w:val="26"/>
                <w:szCs w:val="26"/>
                <w:rtl/>
              </w:rPr>
              <w:t>לפני כב' השופטת זהר דולב להמן</w:t>
            </w:r>
          </w:p>
          <w:p w14:paraId="2ED187CD" w14:textId="77777777" w:rsidR="0045787B" w:rsidRPr="00E1490D" w:rsidRDefault="0045787B" w:rsidP="0045787B">
            <w:pPr>
              <w:ind w:left="26"/>
              <w:rPr>
                <w:b/>
                <w:bCs/>
                <w:sz w:val="28"/>
                <w:szCs w:val="28"/>
                <w:rtl/>
              </w:rPr>
            </w:pPr>
          </w:p>
        </w:tc>
      </w:tr>
      <w:tr w:rsidR="0045787B" w:rsidRPr="00E1490D" w14:paraId="15691866" w14:textId="77777777" w:rsidTr="0045787B">
        <w:tc>
          <w:tcPr>
            <w:tcW w:w="1800" w:type="dxa"/>
            <w:shd w:val="clear" w:color="auto" w:fill="auto"/>
          </w:tcPr>
          <w:p w14:paraId="1A03E310" w14:textId="77777777" w:rsidR="0045787B" w:rsidRPr="00E1490D" w:rsidRDefault="0045787B" w:rsidP="001D19FB">
            <w:pPr>
              <w:rPr>
                <w:b/>
                <w:bCs/>
                <w:sz w:val="28"/>
                <w:szCs w:val="28"/>
                <w:rtl/>
              </w:rPr>
            </w:pPr>
            <w:bookmarkStart w:id="1" w:name="FirstAppellant"/>
            <w:bookmarkStart w:id="2" w:name="FirstLawyer"/>
            <w:r w:rsidRPr="00E1490D">
              <w:rPr>
                <w:b/>
                <w:bCs/>
                <w:sz w:val="26"/>
                <w:szCs w:val="26"/>
                <w:rtl/>
              </w:rPr>
              <w:t>המאשימה:</w:t>
            </w:r>
          </w:p>
        </w:tc>
        <w:tc>
          <w:tcPr>
            <w:tcW w:w="6735" w:type="dxa"/>
            <w:shd w:val="clear" w:color="auto" w:fill="auto"/>
          </w:tcPr>
          <w:p w14:paraId="222A8F51" w14:textId="77777777" w:rsidR="0045787B" w:rsidRPr="00E1490D" w:rsidRDefault="0045787B" w:rsidP="001D19FB">
            <w:pPr>
              <w:rPr>
                <w:rFonts w:ascii="David" w:hAnsi="David"/>
                <w:sz w:val="26"/>
                <w:szCs w:val="26"/>
                <w:rtl/>
              </w:rPr>
            </w:pPr>
            <w:r w:rsidRPr="00E1490D">
              <w:rPr>
                <w:rFonts w:ascii="David" w:hAnsi="David"/>
                <w:b/>
                <w:bCs/>
                <w:sz w:val="26"/>
                <w:szCs w:val="26"/>
                <w:rtl/>
              </w:rPr>
              <w:t xml:space="preserve">מדינת ישראל </w:t>
            </w:r>
          </w:p>
          <w:p w14:paraId="55C8DA3C" w14:textId="77777777" w:rsidR="0045787B" w:rsidRPr="00E1490D" w:rsidRDefault="0045787B" w:rsidP="001D19FB">
            <w:pPr>
              <w:rPr>
                <w:b/>
                <w:bCs/>
                <w:sz w:val="28"/>
                <w:szCs w:val="28"/>
                <w:rtl/>
              </w:rPr>
            </w:pPr>
            <w:r w:rsidRPr="00E1490D">
              <w:rPr>
                <w:rFonts w:ascii="David" w:hAnsi="David"/>
                <w:rtl/>
              </w:rPr>
              <w:t>ע"י ב"כ עוה"ד רעות בונה-ז'ורנו</w:t>
            </w:r>
          </w:p>
        </w:tc>
      </w:tr>
      <w:bookmarkEnd w:id="1"/>
      <w:bookmarkEnd w:id="2"/>
      <w:tr w:rsidR="0045787B" w:rsidRPr="00E1490D" w14:paraId="45A13D48" w14:textId="77777777" w:rsidTr="0045787B">
        <w:tc>
          <w:tcPr>
            <w:tcW w:w="8535" w:type="dxa"/>
            <w:gridSpan w:val="2"/>
            <w:shd w:val="clear" w:color="auto" w:fill="auto"/>
          </w:tcPr>
          <w:p w14:paraId="7BD9CA68" w14:textId="77777777" w:rsidR="0045787B" w:rsidRPr="00E1490D" w:rsidRDefault="0045787B" w:rsidP="0045787B">
            <w:pPr>
              <w:jc w:val="center"/>
              <w:rPr>
                <w:rFonts w:ascii="Arial" w:hAnsi="Arial"/>
                <w:b/>
                <w:bCs/>
                <w:sz w:val="28"/>
                <w:szCs w:val="28"/>
                <w:rtl/>
              </w:rPr>
            </w:pPr>
          </w:p>
          <w:p w14:paraId="6D36F150" w14:textId="77777777" w:rsidR="0045787B" w:rsidRPr="00E1490D" w:rsidRDefault="0045787B" w:rsidP="0045787B">
            <w:pPr>
              <w:jc w:val="center"/>
              <w:rPr>
                <w:rFonts w:ascii="Arial" w:hAnsi="Arial"/>
                <w:b/>
                <w:bCs/>
                <w:sz w:val="28"/>
                <w:szCs w:val="28"/>
                <w:rtl/>
              </w:rPr>
            </w:pPr>
            <w:r w:rsidRPr="00E1490D">
              <w:rPr>
                <w:rFonts w:ascii="Arial" w:hAnsi="Arial"/>
                <w:b/>
                <w:bCs/>
                <w:sz w:val="28"/>
                <w:szCs w:val="28"/>
                <w:rtl/>
              </w:rPr>
              <w:t>נ ג ד</w:t>
            </w:r>
          </w:p>
          <w:p w14:paraId="6FD47BE0" w14:textId="77777777" w:rsidR="0045787B" w:rsidRPr="00E1490D" w:rsidRDefault="0045787B" w:rsidP="0045787B">
            <w:pPr>
              <w:jc w:val="center"/>
              <w:rPr>
                <w:rFonts w:ascii="Arial" w:hAnsi="Arial"/>
                <w:b/>
                <w:bCs/>
                <w:sz w:val="28"/>
                <w:szCs w:val="28"/>
                <w:rtl/>
              </w:rPr>
            </w:pPr>
          </w:p>
        </w:tc>
      </w:tr>
      <w:tr w:rsidR="0045787B" w:rsidRPr="00E1490D" w14:paraId="761CDF7D" w14:textId="77777777" w:rsidTr="0045787B">
        <w:trPr>
          <w:trHeight w:val="593"/>
        </w:trPr>
        <w:tc>
          <w:tcPr>
            <w:tcW w:w="1800" w:type="dxa"/>
            <w:shd w:val="clear" w:color="auto" w:fill="auto"/>
          </w:tcPr>
          <w:p w14:paraId="55B8C534" w14:textId="77777777" w:rsidR="0045787B" w:rsidRPr="00E1490D" w:rsidRDefault="0045787B" w:rsidP="001D19FB">
            <w:pPr>
              <w:rPr>
                <w:b/>
                <w:bCs/>
                <w:sz w:val="28"/>
                <w:szCs w:val="28"/>
              </w:rPr>
            </w:pPr>
            <w:r w:rsidRPr="00E1490D">
              <w:rPr>
                <w:b/>
                <w:bCs/>
                <w:sz w:val="26"/>
                <w:szCs w:val="26"/>
                <w:rtl/>
              </w:rPr>
              <w:t>הנאשם:</w:t>
            </w:r>
          </w:p>
        </w:tc>
        <w:tc>
          <w:tcPr>
            <w:tcW w:w="6735" w:type="dxa"/>
            <w:shd w:val="clear" w:color="auto" w:fill="auto"/>
          </w:tcPr>
          <w:p w14:paraId="2C7231C3" w14:textId="77777777" w:rsidR="0045787B" w:rsidRPr="00E1490D" w:rsidRDefault="0045787B" w:rsidP="001D19FB">
            <w:pPr>
              <w:rPr>
                <w:szCs w:val="26"/>
                <w:rtl/>
              </w:rPr>
            </w:pPr>
            <w:r w:rsidRPr="00E1490D">
              <w:rPr>
                <w:rFonts w:ascii="David" w:hAnsi="David"/>
                <w:b/>
                <w:bCs/>
                <w:sz w:val="26"/>
                <w:szCs w:val="26"/>
                <w:rtl/>
              </w:rPr>
              <w:t>מיכאל אלחזוב</w:t>
            </w:r>
            <w:r w:rsidRPr="00E1490D">
              <w:rPr>
                <w:b/>
                <w:bCs/>
                <w:sz w:val="28"/>
                <w:szCs w:val="28"/>
                <w:rtl/>
              </w:rPr>
              <w:t xml:space="preserve"> </w:t>
            </w:r>
            <w:r w:rsidRPr="00E1490D">
              <w:rPr>
                <w:rFonts w:ascii="David" w:hAnsi="David"/>
                <w:rtl/>
              </w:rPr>
              <w:t>ת"ז</w:t>
            </w:r>
            <w:r w:rsidRPr="00E1490D">
              <w:rPr>
                <w:b/>
                <w:bCs/>
                <w:sz w:val="28"/>
                <w:szCs w:val="28"/>
                <w:rtl/>
              </w:rPr>
              <w:t xml:space="preserve"> </w:t>
            </w:r>
            <w:r w:rsidR="00E1490D">
              <w:rPr>
                <w:rFonts w:ascii="David" w:hAnsi="David"/>
              </w:rPr>
              <w:t>xxxxxxxxx</w:t>
            </w:r>
          </w:p>
          <w:p w14:paraId="33EBBF76" w14:textId="77777777" w:rsidR="0045787B" w:rsidRPr="00E1490D" w:rsidRDefault="0045787B" w:rsidP="001D19FB">
            <w:r w:rsidRPr="00E1490D">
              <w:rPr>
                <w:rtl/>
              </w:rPr>
              <w:t>ע"י ב"כ עוה"ד איתן פרידמן</w:t>
            </w:r>
          </w:p>
        </w:tc>
      </w:tr>
    </w:tbl>
    <w:p w14:paraId="4CB6C581" w14:textId="77777777" w:rsidR="0045787B" w:rsidRPr="00E1490D" w:rsidRDefault="0045787B" w:rsidP="0045787B">
      <w:pPr>
        <w:rPr>
          <w:sz w:val="26"/>
          <w:szCs w:val="26"/>
        </w:rPr>
      </w:pPr>
    </w:p>
    <w:p w14:paraId="1AC3D2E3" w14:textId="77777777" w:rsidR="00472E4E" w:rsidRPr="00472E4E" w:rsidRDefault="00472E4E" w:rsidP="00472E4E">
      <w:pPr>
        <w:spacing w:before="120" w:after="120" w:line="240" w:lineRule="exact"/>
        <w:ind w:left="283" w:hanging="283"/>
        <w:jc w:val="both"/>
        <w:rPr>
          <w:rFonts w:ascii="FrankRuehl" w:hAnsi="FrankRuehl" w:cs="FrankRuehl"/>
          <w:rtl/>
        </w:rPr>
      </w:pPr>
      <w:r w:rsidRPr="00472E4E">
        <w:rPr>
          <w:rFonts w:ascii="FrankRuehl" w:hAnsi="FrankRuehl" w:cs="FrankRuehl"/>
          <w:rtl/>
        </w:rPr>
        <w:t xml:space="preserve">חקיקה שאוזכרה: </w:t>
      </w:r>
    </w:p>
    <w:p w14:paraId="657E0CF4" w14:textId="77777777" w:rsidR="00472E4E" w:rsidRPr="00472E4E" w:rsidRDefault="00472E4E" w:rsidP="00472E4E">
      <w:pPr>
        <w:spacing w:before="120" w:after="120" w:line="240" w:lineRule="exact"/>
        <w:ind w:left="283" w:hanging="283"/>
        <w:jc w:val="both"/>
        <w:rPr>
          <w:rFonts w:ascii="FrankRuehl" w:hAnsi="FrankRuehl" w:cs="FrankRuehl"/>
          <w:color w:val="0000FF"/>
          <w:rtl/>
        </w:rPr>
      </w:pPr>
      <w:hyperlink r:id="rId7" w:history="1">
        <w:r w:rsidRPr="00472E4E">
          <w:rPr>
            <w:rStyle w:val="Hyperlink"/>
            <w:rFonts w:ascii="FrankRuehl" w:hAnsi="FrankRuehl" w:cs="FrankRuehl"/>
            <w:u w:val="none"/>
            <w:rtl/>
          </w:rPr>
          <w:t>פקודת הסמים המסוכנים [נוסח חדש], תשל"ג-1973</w:t>
        </w:r>
      </w:hyperlink>
      <w:r w:rsidRPr="00472E4E">
        <w:rPr>
          <w:rFonts w:ascii="FrankRuehl" w:hAnsi="FrankRuehl" w:cs="FrankRuehl"/>
          <w:color w:val="0000FF"/>
          <w:rtl/>
        </w:rPr>
        <w:t xml:space="preserve">: סע'  </w:t>
      </w:r>
      <w:hyperlink r:id="rId8" w:history="1">
        <w:r w:rsidRPr="00472E4E">
          <w:rPr>
            <w:rStyle w:val="Hyperlink"/>
            <w:rFonts w:ascii="FrankRuehl" w:hAnsi="FrankRuehl" w:cs="FrankRuehl"/>
            <w:u w:val="none"/>
          </w:rPr>
          <w:t>7</w:t>
        </w:r>
      </w:hyperlink>
      <w:r w:rsidRPr="00472E4E">
        <w:rPr>
          <w:rFonts w:ascii="FrankRuehl" w:hAnsi="FrankRuehl" w:cs="FrankRuehl"/>
          <w:color w:val="0000FF"/>
          <w:rtl/>
        </w:rPr>
        <w:t xml:space="preserve">(א), </w:t>
      </w:r>
      <w:hyperlink r:id="rId9" w:history="1">
        <w:r w:rsidRPr="00472E4E">
          <w:rPr>
            <w:rStyle w:val="Hyperlink"/>
            <w:rFonts w:ascii="FrankRuehl" w:hAnsi="FrankRuehl" w:cs="FrankRuehl"/>
            <w:u w:val="none"/>
          </w:rPr>
          <w:t>7</w:t>
        </w:r>
      </w:hyperlink>
      <w:r w:rsidRPr="00472E4E">
        <w:rPr>
          <w:rFonts w:ascii="FrankRuehl" w:hAnsi="FrankRuehl" w:cs="FrankRuehl"/>
          <w:color w:val="0000FF"/>
          <w:rtl/>
        </w:rPr>
        <w:t xml:space="preserve">(ג), </w:t>
      </w:r>
      <w:hyperlink r:id="rId10" w:history="1">
        <w:r w:rsidRPr="00472E4E">
          <w:rPr>
            <w:rStyle w:val="Hyperlink"/>
            <w:rFonts w:ascii="FrankRuehl" w:hAnsi="FrankRuehl" w:cs="FrankRuehl"/>
            <w:u w:val="none"/>
          </w:rPr>
          <w:t>37</w:t>
        </w:r>
        <w:r w:rsidRPr="00472E4E">
          <w:rPr>
            <w:rStyle w:val="Hyperlink"/>
            <w:rFonts w:ascii="FrankRuehl" w:hAnsi="FrankRuehl" w:cs="FrankRuehl"/>
            <w:u w:val="none"/>
            <w:rtl/>
          </w:rPr>
          <w:t>א</w:t>
        </w:r>
      </w:hyperlink>
    </w:p>
    <w:p w14:paraId="2FC3D937" w14:textId="77777777" w:rsidR="00472E4E" w:rsidRPr="00472E4E" w:rsidRDefault="00472E4E" w:rsidP="00472E4E">
      <w:pPr>
        <w:spacing w:before="120" w:after="120" w:line="240" w:lineRule="exact"/>
        <w:ind w:left="283" w:hanging="283"/>
        <w:jc w:val="both"/>
        <w:rPr>
          <w:rFonts w:ascii="FrankRuehl" w:hAnsi="FrankRuehl" w:cs="FrankRuehl"/>
          <w:color w:val="0000FF"/>
          <w:rtl/>
        </w:rPr>
      </w:pPr>
      <w:hyperlink r:id="rId11" w:history="1">
        <w:r w:rsidRPr="00472E4E">
          <w:rPr>
            <w:rStyle w:val="Hyperlink"/>
            <w:rFonts w:ascii="FrankRuehl" w:hAnsi="FrankRuehl" w:cs="FrankRuehl"/>
            <w:u w:val="none"/>
            <w:rtl/>
          </w:rPr>
          <w:t>חוק העונשין, תשל"ז-1977</w:t>
        </w:r>
      </w:hyperlink>
      <w:r w:rsidRPr="00472E4E">
        <w:rPr>
          <w:rFonts w:ascii="FrankRuehl" w:hAnsi="FrankRuehl" w:cs="FrankRuehl"/>
          <w:color w:val="0000FF"/>
          <w:rtl/>
        </w:rPr>
        <w:t xml:space="preserve">: סע'  </w:t>
      </w:r>
      <w:hyperlink r:id="rId12" w:history="1">
        <w:r w:rsidRPr="00472E4E">
          <w:rPr>
            <w:rStyle w:val="Hyperlink"/>
            <w:rFonts w:ascii="FrankRuehl" w:hAnsi="FrankRuehl" w:cs="FrankRuehl"/>
            <w:u w:val="none"/>
          </w:rPr>
          <w:t>40</w:t>
        </w:r>
        <w:r w:rsidRPr="00472E4E">
          <w:rPr>
            <w:rStyle w:val="Hyperlink"/>
            <w:rFonts w:ascii="FrankRuehl" w:hAnsi="FrankRuehl" w:cs="FrankRuehl"/>
            <w:u w:val="none"/>
            <w:rtl/>
          </w:rPr>
          <w:t>ג</w:t>
        </w:r>
      </w:hyperlink>
      <w:r w:rsidRPr="00472E4E">
        <w:rPr>
          <w:rFonts w:ascii="FrankRuehl" w:hAnsi="FrankRuehl" w:cs="FrankRuehl"/>
          <w:color w:val="0000FF"/>
          <w:rtl/>
        </w:rPr>
        <w:t xml:space="preserve">(א), </w:t>
      </w:r>
      <w:hyperlink r:id="rId13" w:history="1">
        <w:r w:rsidRPr="00472E4E">
          <w:rPr>
            <w:rStyle w:val="Hyperlink"/>
            <w:rFonts w:ascii="FrankRuehl" w:hAnsi="FrankRuehl" w:cs="FrankRuehl"/>
            <w:u w:val="none"/>
          </w:rPr>
          <w:t>40</w:t>
        </w:r>
        <w:r w:rsidRPr="00472E4E">
          <w:rPr>
            <w:rStyle w:val="Hyperlink"/>
            <w:rFonts w:ascii="FrankRuehl" w:hAnsi="FrankRuehl" w:cs="FrankRuehl"/>
            <w:u w:val="none"/>
            <w:rtl/>
          </w:rPr>
          <w:t>ג</w:t>
        </w:r>
      </w:hyperlink>
      <w:r w:rsidRPr="00472E4E">
        <w:rPr>
          <w:rFonts w:ascii="FrankRuehl" w:hAnsi="FrankRuehl" w:cs="FrankRuehl"/>
          <w:color w:val="0000FF"/>
          <w:rtl/>
        </w:rPr>
        <w:t xml:space="preserve">(ב), </w:t>
      </w:r>
      <w:hyperlink r:id="rId14" w:history="1">
        <w:r w:rsidRPr="00472E4E">
          <w:rPr>
            <w:rStyle w:val="Hyperlink"/>
            <w:rFonts w:ascii="FrankRuehl" w:hAnsi="FrankRuehl" w:cs="FrankRuehl"/>
            <w:u w:val="none"/>
          </w:rPr>
          <w:t>40</w:t>
        </w:r>
        <w:r w:rsidRPr="00472E4E">
          <w:rPr>
            <w:rStyle w:val="Hyperlink"/>
            <w:rFonts w:ascii="FrankRuehl" w:hAnsi="FrankRuehl" w:cs="FrankRuehl"/>
            <w:u w:val="none"/>
            <w:rtl/>
          </w:rPr>
          <w:t>ד</w:t>
        </w:r>
      </w:hyperlink>
      <w:r w:rsidRPr="00472E4E">
        <w:rPr>
          <w:rFonts w:ascii="FrankRuehl" w:hAnsi="FrankRuehl" w:cs="FrankRuehl"/>
          <w:color w:val="0000FF"/>
          <w:rtl/>
        </w:rPr>
        <w:t xml:space="preserve">, </w:t>
      </w:r>
      <w:hyperlink r:id="rId15" w:history="1">
        <w:r w:rsidRPr="00472E4E">
          <w:rPr>
            <w:rStyle w:val="Hyperlink"/>
            <w:rFonts w:ascii="FrankRuehl" w:hAnsi="FrankRuehl" w:cs="FrankRuehl"/>
            <w:u w:val="none"/>
          </w:rPr>
          <w:t>40</w:t>
        </w:r>
        <w:r w:rsidRPr="00472E4E">
          <w:rPr>
            <w:rStyle w:val="Hyperlink"/>
            <w:rFonts w:ascii="FrankRuehl" w:hAnsi="FrankRuehl" w:cs="FrankRuehl"/>
            <w:u w:val="none"/>
            <w:rtl/>
          </w:rPr>
          <w:t>ו</w:t>
        </w:r>
      </w:hyperlink>
      <w:r w:rsidRPr="00472E4E">
        <w:rPr>
          <w:rFonts w:ascii="FrankRuehl" w:hAnsi="FrankRuehl" w:cs="FrankRuehl"/>
          <w:color w:val="0000FF"/>
          <w:rtl/>
        </w:rPr>
        <w:t xml:space="preserve">, </w:t>
      </w:r>
      <w:hyperlink r:id="rId16" w:history="1">
        <w:r w:rsidRPr="00472E4E">
          <w:rPr>
            <w:rStyle w:val="Hyperlink"/>
            <w:rFonts w:ascii="FrankRuehl" w:hAnsi="FrankRuehl" w:cs="FrankRuehl"/>
            <w:u w:val="none"/>
          </w:rPr>
          <w:t>40</w:t>
        </w:r>
        <w:r w:rsidRPr="00472E4E">
          <w:rPr>
            <w:rStyle w:val="Hyperlink"/>
            <w:rFonts w:ascii="FrankRuehl" w:hAnsi="FrankRuehl" w:cs="FrankRuehl"/>
            <w:u w:val="none"/>
            <w:rtl/>
          </w:rPr>
          <w:t>ז</w:t>
        </w:r>
      </w:hyperlink>
      <w:r w:rsidRPr="00472E4E">
        <w:rPr>
          <w:rFonts w:ascii="FrankRuehl" w:hAnsi="FrankRuehl" w:cs="FrankRuehl"/>
          <w:color w:val="0000FF"/>
          <w:rtl/>
        </w:rPr>
        <w:t xml:space="preserve">, </w:t>
      </w:r>
      <w:hyperlink r:id="rId17" w:history="1">
        <w:r w:rsidRPr="00472E4E">
          <w:rPr>
            <w:rStyle w:val="Hyperlink"/>
            <w:rFonts w:ascii="FrankRuehl" w:hAnsi="FrankRuehl" w:cs="FrankRuehl"/>
            <w:u w:val="none"/>
          </w:rPr>
          <w:t>40</w:t>
        </w:r>
        <w:r w:rsidRPr="00472E4E">
          <w:rPr>
            <w:rStyle w:val="Hyperlink"/>
            <w:rFonts w:ascii="FrankRuehl" w:hAnsi="FrankRuehl" w:cs="FrankRuehl"/>
            <w:u w:val="none"/>
            <w:rtl/>
          </w:rPr>
          <w:t>ח</w:t>
        </w:r>
      </w:hyperlink>
      <w:r w:rsidRPr="00472E4E">
        <w:rPr>
          <w:rFonts w:ascii="FrankRuehl" w:hAnsi="FrankRuehl" w:cs="FrankRuehl"/>
          <w:color w:val="0000FF"/>
          <w:rtl/>
        </w:rPr>
        <w:t xml:space="preserve">, </w:t>
      </w:r>
      <w:hyperlink r:id="rId18" w:history="1">
        <w:r w:rsidRPr="00472E4E">
          <w:rPr>
            <w:rStyle w:val="Hyperlink"/>
            <w:rFonts w:ascii="FrankRuehl" w:hAnsi="FrankRuehl" w:cs="FrankRuehl"/>
            <w:u w:val="none"/>
          </w:rPr>
          <w:t>40</w:t>
        </w:r>
        <w:r w:rsidRPr="00472E4E">
          <w:rPr>
            <w:rStyle w:val="Hyperlink"/>
            <w:rFonts w:ascii="FrankRuehl" w:hAnsi="FrankRuehl" w:cs="FrankRuehl"/>
            <w:u w:val="none"/>
            <w:rtl/>
          </w:rPr>
          <w:t>יא</w:t>
        </w:r>
      </w:hyperlink>
      <w:r w:rsidRPr="00472E4E">
        <w:rPr>
          <w:rFonts w:ascii="FrankRuehl" w:hAnsi="FrankRuehl" w:cs="FrankRuehl"/>
          <w:color w:val="0000FF"/>
          <w:rtl/>
        </w:rPr>
        <w:t xml:space="preserve">, </w:t>
      </w:r>
      <w:hyperlink r:id="rId19" w:history="1">
        <w:r w:rsidRPr="00472E4E">
          <w:rPr>
            <w:rStyle w:val="Hyperlink"/>
            <w:rFonts w:ascii="FrankRuehl" w:hAnsi="FrankRuehl" w:cs="FrankRuehl"/>
            <w:u w:val="none"/>
          </w:rPr>
          <w:t>40</w:t>
        </w:r>
        <w:r w:rsidRPr="00472E4E">
          <w:rPr>
            <w:rStyle w:val="Hyperlink"/>
            <w:rFonts w:ascii="FrankRuehl" w:hAnsi="FrankRuehl" w:cs="FrankRuehl"/>
            <w:u w:val="none"/>
            <w:rtl/>
          </w:rPr>
          <w:t>יט</w:t>
        </w:r>
      </w:hyperlink>
    </w:p>
    <w:p w14:paraId="0770CE07" w14:textId="77777777" w:rsidR="0045787B" w:rsidRPr="00472E4E" w:rsidRDefault="0045787B" w:rsidP="00472E4E">
      <w:pPr>
        <w:rPr>
          <w:rFonts w:ascii="Arial" w:hAnsi="Arial"/>
          <w:sz w:val="26"/>
          <w:szCs w:val="26"/>
          <w:rtl/>
        </w:rPr>
      </w:pPr>
      <w:bookmarkStart w:id="3" w:name="LawTable_End"/>
      <w:bookmarkEnd w:id="3"/>
    </w:p>
    <w:tbl>
      <w:tblPr>
        <w:bidiVisual/>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8"/>
      </w:tblGrid>
      <w:tr w:rsidR="0045787B" w14:paraId="71F7285D" w14:textId="77777777" w:rsidTr="0045787B">
        <w:trPr>
          <w:trHeight w:val="624"/>
          <w:jc w:val="center"/>
        </w:trPr>
        <w:tc>
          <w:tcPr>
            <w:tcW w:w="8508" w:type="dxa"/>
            <w:tcBorders>
              <w:top w:val="nil"/>
              <w:left w:val="nil"/>
              <w:bottom w:val="nil"/>
              <w:right w:val="nil"/>
            </w:tcBorders>
            <w:shd w:val="clear" w:color="auto" w:fill="auto"/>
            <w:vAlign w:val="center"/>
          </w:tcPr>
          <w:p w14:paraId="0D9C9B1E" w14:textId="77777777" w:rsidR="00E1490D" w:rsidRPr="00E1490D" w:rsidRDefault="00E1490D" w:rsidP="00E1490D">
            <w:pPr>
              <w:jc w:val="center"/>
              <w:rPr>
                <w:rFonts w:ascii="David" w:hAnsi="David"/>
                <w:b/>
                <w:bCs/>
                <w:sz w:val="32"/>
                <w:szCs w:val="32"/>
                <w:u w:val="single"/>
                <w:rtl/>
              </w:rPr>
            </w:pPr>
            <w:bookmarkStart w:id="4" w:name="PsakDin" w:colFirst="0" w:colLast="0"/>
            <w:bookmarkEnd w:id="0"/>
            <w:r w:rsidRPr="00E1490D">
              <w:rPr>
                <w:rFonts w:ascii="David" w:hAnsi="David"/>
                <w:b/>
                <w:bCs/>
                <w:sz w:val="32"/>
                <w:szCs w:val="32"/>
                <w:u w:val="single"/>
                <w:rtl/>
              </w:rPr>
              <w:t>גזר דין</w:t>
            </w:r>
          </w:p>
          <w:p w14:paraId="4BF786B2" w14:textId="77777777" w:rsidR="0045787B" w:rsidRPr="00E1490D" w:rsidRDefault="0045787B" w:rsidP="00E1490D">
            <w:pPr>
              <w:jc w:val="center"/>
              <w:rPr>
                <w:rFonts w:ascii="David" w:hAnsi="David"/>
                <w:bCs/>
                <w:sz w:val="32"/>
                <w:szCs w:val="32"/>
                <w:u w:val="single"/>
                <w:rtl/>
              </w:rPr>
            </w:pPr>
          </w:p>
        </w:tc>
      </w:tr>
      <w:bookmarkEnd w:id="4"/>
    </w:tbl>
    <w:p w14:paraId="31D45F7D" w14:textId="77777777" w:rsidR="0045787B" w:rsidRPr="000F2247" w:rsidRDefault="0045787B" w:rsidP="0045787B">
      <w:pPr>
        <w:rPr>
          <w:rFonts w:ascii="Arial" w:hAnsi="Arial"/>
          <w:b/>
          <w:bCs/>
          <w:sz w:val="26"/>
          <w:szCs w:val="26"/>
          <w:rtl/>
        </w:rPr>
      </w:pPr>
    </w:p>
    <w:p w14:paraId="3B6000DF" w14:textId="77777777" w:rsidR="0045787B" w:rsidRDefault="0045787B" w:rsidP="0045787B">
      <w:pPr>
        <w:widowControl w:val="0"/>
        <w:spacing w:line="360" w:lineRule="auto"/>
        <w:jc w:val="both"/>
        <w:rPr>
          <w:rFonts w:ascii="David" w:hAnsi="David"/>
          <w:b/>
          <w:bCs/>
          <w:sz w:val="26"/>
          <w:szCs w:val="26"/>
        </w:rPr>
      </w:pPr>
      <w:r>
        <w:rPr>
          <w:rFonts w:ascii="David" w:hAnsi="David"/>
          <w:b/>
          <w:bCs/>
          <w:sz w:val="26"/>
          <w:szCs w:val="26"/>
          <w:rtl/>
        </w:rPr>
        <w:t>כתבי האישום, הסדר הטיעון, הכרעות הדין והשתלשלות ההליך</w:t>
      </w:r>
    </w:p>
    <w:p w14:paraId="6D0E4945" w14:textId="77777777" w:rsidR="0045787B" w:rsidRDefault="0045787B" w:rsidP="0045787B">
      <w:pPr>
        <w:pStyle w:val="aa"/>
        <w:widowControl w:val="0"/>
        <w:numPr>
          <w:ilvl w:val="0"/>
          <w:numId w:val="1"/>
        </w:numPr>
        <w:snapToGrid w:val="0"/>
        <w:spacing w:line="360" w:lineRule="auto"/>
        <w:ind w:left="360"/>
        <w:jc w:val="both"/>
        <w:rPr>
          <w:rFonts w:ascii="Times New Roman" w:hAnsi="Times New Roman"/>
          <w:rtl/>
        </w:rPr>
      </w:pPr>
      <w:bookmarkStart w:id="5" w:name="ABSTRACT_START"/>
      <w:bookmarkEnd w:id="5"/>
      <w:r>
        <w:rPr>
          <w:rtl/>
        </w:rPr>
        <w:t>בתיקים שבכותרת ניתנו שתי הכרעות דין בשני מועדים, בפני שני מותבים שונים. ב-16.11.21 הוצג הסדר טיעון בפני הנשיא (כתוארו אז) כב' הש' גביזון, במסגרתו ב</w:t>
      </w:r>
      <w:hyperlink r:id="rId20" w:history="1">
        <w:r w:rsidR="00E1490D" w:rsidRPr="00E1490D">
          <w:rPr>
            <w:color w:val="0000FF"/>
            <w:u w:val="single"/>
            <w:rtl/>
          </w:rPr>
          <w:t>ת"פ 24895-03-20</w:t>
        </w:r>
      </w:hyperlink>
      <w:r>
        <w:rPr>
          <w:rtl/>
        </w:rPr>
        <w:t xml:space="preserve"> (להלן: </w:t>
      </w:r>
      <w:r>
        <w:rPr>
          <w:b/>
          <w:bCs/>
          <w:rtl/>
        </w:rPr>
        <w:t>התיק העיקרי</w:t>
      </w:r>
      <w:r>
        <w:rPr>
          <w:rtl/>
        </w:rPr>
        <w:t>), הורשע הנאשם על פי הודאתו בכתב אישום מתוקן ב-</w:t>
      </w:r>
      <w:r>
        <w:rPr>
          <w:b/>
          <w:bCs/>
          <w:rtl/>
        </w:rPr>
        <w:t>החזקת סמים שלא לצריכה עצמית</w:t>
      </w:r>
      <w:r>
        <w:rPr>
          <w:rtl/>
        </w:rPr>
        <w:t xml:space="preserve">, בהתאם </w:t>
      </w:r>
      <w:hyperlink r:id="rId21" w:history="1">
        <w:r w:rsidR="00472E4E" w:rsidRPr="00472E4E">
          <w:rPr>
            <w:rStyle w:val="Hyperlink"/>
            <w:color w:val="0000FF"/>
            <w:rtl/>
          </w:rPr>
          <w:t>לסעיפים 7(א)</w:t>
        </w:r>
      </w:hyperlink>
      <w:r>
        <w:rPr>
          <w:rtl/>
        </w:rPr>
        <w:t xml:space="preserve"> ו-</w:t>
      </w:r>
      <w:hyperlink r:id="rId22" w:history="1">
        <w:r w:rsidR="00472E4E" w:rsidRPr="00472E4E">
          <w:rPr>
            <w:rStyle w:val="Hyperlink"/>
            <w:color w:val="0000FF"/>
            <w:rtl/>
          </w:rPr>
          <w:t>7(ג)</w:t>
        </w:r>
      </w:hyperlink>
      <w:r>
        <w:rPr>
          <w:rtl/>
        </w:rPr>
        <w:t xml:space="preserve"> רישא ל-</w:t>
      </w:r>
      <w:hyperlink r:id="rId23" w:history="1">
        <w:r w:rsidR="00E1490D" w:rsidRPr="00E1490D">
          <w:rPr>
            <w:rFonts w:ascii="Miriam" w:hAnsi="Miriam" w:cs="Miriam"/>
            <w:b/>
            <w:bCs/>
            <w:color w:val="0000FF"/>
            <w:sz w:val="22"/>
            <w:szCs w:val="22"/>
            <w:u w:val="single"/>
            <w:rtl/>
          </w:rPr>
          <w:t>פקודת הסמים המסוכנים</w:t>
        </w:r>
      </w:hyperlink>
      <w:r>
        <w:rPr>
          <w:rFonts w:ascii="Miriam" w:hAnsi="Miriam" w:cs="Miriam"/>
          <w:b/>
          <w:bCs/>
          <w:sz w:val="22"/>
          <w:szCs w:val="22"/>
          <w:rtl/>
        </w:rPr>
        <w:t xml:space="preserve"> [נוסח חדש]</w:t>
      </w:r>
      <w:r>
        <w:rPr>
          <w:rFonts w:ascii="Miriam" w:hAnsi="Miriam" w:cs="Miriam"/>
          <w:sz w:val="22"/>
          <w:szCs w:val="22"/>
          <w:rtl/>
        </w:rPr>
        <w:t xml:space="preserve">, </w:t>
      </w:r>
      <w:r>
        <w:rPr>
          <w:rtl/>
        </w:rPr>
        <w:t>התשל"ג-197</w:t>
      </w:r>
      <w:bookmarkStart w:id="6" w:name="ABSTRACT_END"/>
      <w:bookmarkEnd w:id="6"/>
      <w:r>
        <w:rPr>
          <w:rtl/>
        </w:rPr>
        <w:t xml:space="preserve">3 (להלן: </w:t>
      </w:r>
      <w:r>
        <w:rPr>
          <w:rFonts w:ascii="Miriam" w:hAnsi="Miriam" w:cs="Miriam"/>
          <w:b/>
          <w:bCs/>
          <w:sz w:val="22"/>
          <w:szCs w:val="22"/>
          <w:rtl/>
        </w:rPr>
        <w:t>פקודת הסמים</w:t>
      </w:r>
      <w:r>
        <w:rPr>
          <w:rtl/>
        </w:rPr>
        <w:t xml:space="preserve">). במועד זה הציגו ב"כ הצדדים הסכמה להגיש בקשה מוסכמת לצירוף </w:t>
      </w:r>
      <w:hyperlink r:id="rId24" w:history="1">
        <w:r w:rsidR="00E1490D" w:rsidRPr="00E1490D">
          <w:rPr>
            <w:color w:val="0000FF"/>
            <w:u w:val="single"/>
            <w:rtl/>
          </w:rPr>
          <w:t>ת"פ 67506-06-20</w:t>
        </w:r>
      </w:hyperlink>
      <w:r>
        <w:rPr>
          <w:rtl/>
        </w:rPr>
        <w:t xml:space="preserve"> (להלן: </w:t>
      </w:r>
      <w:r>
        <w:rPr>
          <w:b/>
          <w:bCs/>
          <w:rtl/>
        </w:rPr>
        <w:t>התיק המצורף</w:t>
      </w:r>
      <w:r>
        <w:rPr>
          <w:rtl/>
        </w:rPr>
        <w:t xml:space="preserve">). </w:t>
      </w:r>
    </w:p>
    <w:p w14:paraId="581DC93C" w14:textId="77777777" w:rsidR="0045787B" w:rsidRDefault="0045787B" w:rsidP="0045787B">
      <w:pPr>
        <w:pStyle w:val="aa"/>
        <w:widowControl w:val="0"/>
        <w:snapToGrid w:val="0"/>
        <w:spacing w:line="360" w:lineRule="auto"/>
        <w:ind w:left="360"/>
        <w:jc w:val="both"/>
      </w:pPr>
      <w:r>
        <w:rPr>
          <w:rtl/>
        </w:rPr>
        <w:t>בתיק המצורף הוצג ב-24.3.21 הסדר טיעון בפני כב' השופטת לחיאני שהם, במסגרתו הורשע הנאשם על פי הודאתו בכתב אישום מתוקן, ב-</w:t>
      </w:r>
      <w:r>
        <w:rPr>
          <w:b/>
          <w:bCs/>
          <w:rtl/>
        </w:rPr>
        <w:t>החזקת סמים שלא לצריכה עצמית</w:t>
      </w:r>
      <w:r>
        <w:rPr>
          <w:rtl/>
        </w:rPr>
        <w:t xml:space="preserve">, בהתאם </w:t>
      </w:r>
      <w:hyperlink r:id="rId25" w:history="1">
        <w:r w:rsidR="00472E4E" w:rsidRPr="00472E4E">
          <w:rPr>
            <w:rStyle w:val="Hyperlink"/>
            <w:color w:val="0000FF"/>
            <w:rtl/>
          </w:rPr>
          <w:t>לסעיפים 7(א)</w:t>
        </w:r>
      </w:hyperlink>
      <w:r>
        <w:rPr>
          <w:rtl/>
        </w:rPr>
        <w:t xml:space="preserve"> ו-</w:t>
      </w:r>
      <w:hyperlink r:id="rId26" w:history="1">
        <w:r w:rsidR="00472E4E" w:rsidRPr="00472E4E">
          <w:rPr>
            <w:rStyle w:val="Hyperlink"/>
            <w:color w:val="0000FF"/>
            <w:rtl/>
          </w:rPr>
          <w:t>7(ג)</w:t>
        </w:r>
      </w:hyperlink>
      <w:r>
        <w:rPr>
          <w:rtl/>
        </w:rPr>
        <w:t xml:space="preserve"> רישא ל-</w:t>
      </w:r>
      <w:r>
        <w:rPr>
          <w:rFonts w:ascii="Miriam" w:hAnsi="Miriam" w:cs="Miriam"/>
          <w:b/>
          <w:bCs/>
          <w:sz w:val="22"/>
          <w:szCs w:val="22"/>
          <w:rtl/>
        </w:rPr>
        <w:t>פקודת הסמים</w:t>
      </w:r>
      <w:r>
        <w:rPr>
          <w:rtl/>
        </w:rPr>
        <w:t xml:space="preserve">. ב-24.11.21 ניתנה הסכמת כב' הש' לחיאני שהם לצירוף התיק לתיק העיקרי. </w:t>
      </w:r>
    </w:p>
    <w:p w14:paraId="09BDF5AA" w14:textId="77777777" w:rsidR="0045787B" w:rsidRDefault="0045787B" w:rsidP="0045787B">
      <w:pPr>
        <w:pStyle w:val="aa"/>
        <w:widowControl w:val="0"/>
        <w:snapToGrid w:val="0"/>
        <w:spacing w:line="360" w:lineRule="auto"/>
        <w:ind w:left="360"/>
        <w:jc w:val="both"/>
      </w:pPr>
      <w:r>
        <w:rPr>
          <w:rtl/>
        </w:rPr>
        <w:t xml:space="preserve">שני הסדרי הטיעון לא כללו הסכמה עונשית. לאחר הרשעותיו הופנה הנאשם לשירות המבחן לעריכת תסקיר בעניינו. ב-17.11.21 קבע כב' הש' הבכיר נחמיאס כי הטיעונים לעונש ישמעו בפניו ב-20.3.22. מועד זה נדחה ל-31.5.22 ובהמשך נותב התיק לכב' הש' בונדה. הדיונים נדחו מעת לעת מסיבות שונות עד שלבסוף הטיעונים לעונש נשמעו בפני ב-14.3.24. </w:t>
      </w:r>
    </w:p>
    <w:p w14:paraId="57863FB1" w14:textId="77777777" w:rsidR="0045787B" w:rsidRDefault="0045787B" w:rsidP="0045787B">
      <w:pPr>
        <w:pStyle w:val="aa"/>
        <w:widowControl w:val="0"/>
        <w:snapToGrid w:val="0"/>
        <w:spacing w:line="360" w:lineRule="auto"/>
        <w:ind w:left="360"/>
        <w:jc w:val="both"/>
      </w:pPr>
    </w:p>
    <w:p w14:paraId="54464756" w14:textId="77777777" w:rsidR="0045787B" w:rsidRDefault="0045787B" w:rsidP="0045787B">
      <w:pPr>
        <w:pStyle w:val="aa"/>
        <w:widowControl w:val="0"/>
        <w:numPr>
          <w:ilvl w:val="0"/>
          <w:numId w:val="1"/>
        </w:numPr>
        <w:snapToGrid w:val="0"/>
        <w:spacing w:line="360" w:lineRule="auto"/>
        <w:ind w:left="360"/>
        <w:jc w:val="both"/>
        <w:rPr>
          <w:rFonts w:ascii="Times New Roman" w:hAnsi="Times New Roman"/>
          <w:rtl/>
        </w:rPr>
      </w:pPr>
      <w:r>
        <w:rPr>
          <w:rtl/>
        </w:rPr>
        <w:t xml:space="preserve">בהתאם לעובדות כתבי האישום הנאשם התגורר בדירה ברח' עמיעוז 6/1 אשקלון (להלן: </w:t>
      </w:r>
      <w:r>
        <w:rPr>
          <w:b/>
          <w:bCs/>
          <w:rtl/>
        </w:rPr>
        <w:t>הדירה</w:t>
      </w:r>
      <w:r>
        <w:rPr>
          <w:rtl/>
        </w:rPr>
        <w:t>), בה החזיק בסמים מסוגים ובכמויות כמפורט להלן, בהתאם לסדר הכרונולוגי של ביצוע העבירות:</w:t>
      </w:r>
    </w:p>
    <w:p w14:paraId="272B8682" w14:textId="77777777" w:rsidR="0045787B" w:rsidRDefault="0045787B" w:rsidP="0045787B">
      <w:pPr>
        <w:pStyle w:val="aa"/>
        <w:widowControl w:val="0"/>
        <w:snapToGrid w:val="0"/>
        <w:ind w:left="360"/>
        <w:jc w:val="both"/>
      </w:pPr>
    </w:p>
    <w:p w14:paraId="4BD40204" w14:textId="77777777" w:rsidR="0045787B" w:rsidRDefault="0045787B" w:rsidP="0045787B">
      <w:pPr>
        <w:pStyle w:val="aa"/>
        <w:widowControl w:val="0"/>
        <w:numPr>
          <w:ilvl w:val="1"/>
          <w:numId w:val="1"/>
        </w:numPr>
        <w:snapToGrid w:val="0"/>
        <w:spacing w:line="360" w:lineRule="auto"/>
        <w:ind w:left="794" w:hanging="397"/>
        <w:jc w:val="both"/>
        <w:rPr>
          <w:u w:val="single"/>
        </w:rPr>
      </w:pPr>
      <w:r>
        <w:rPr>
          <w:u w:val="single"/>
          <w:rtl/>
        </w:rPr>
        <w:t>בהתאם לעובדות התיק המצורף</w:t>
      </w:r>
      <w:r>
        <w:rPr>
          <w:rtl/>
        </w:rPr>
        <w:t xml:space="preserve"> – ב-23.9.19, ב-7:53 או בסמוך לכך, בארון שבחדר השינה בדירה, החזיק 100 גרם קנבוס, שלא לצריכתו העצמית, וכן החזיק בסמוך משקל אלקטרוני. </w:t>
      </w:r>
    </w:p>
    <w:p w14:paraId="1F5E36A9" w14:textId="77777777" w:rsidR="0045787B" w:rsidRDefault="0045787B" w:rsidP="0045787B">
      <w:pPr>
        <w:pStyle w:val="aa"/>
        <w:widowControl w:val="0"/>
        <w:snapToGrid w:val="0"/>
        <w:ind w:left="794"/>
        <w:jc w:val="both"/>
        <w:rPr>
          <w:u w:val="single"/>
        </w:rPr>
      </w:pPr>
    </w:p>
    <w:p w14:paraId="7C63B7C0" w14:textId="77777777" w:rsidR="0045787B" w:rsidRDefault="0045787B" w:rsidP="0045787B">
      <w:pPr>
        <w:pStyle w:val="aa"/>
        <w:widowControl w:val="0"/>
        <w:numPr>
          <w:ilvl w:val="1"/>
          <w:numId w:val="1"/>
        </w:numPr>
        <w:snapToGrid w:val="0"/>
        <w:spacing w:line="360" w:lineRule="auto"/>
        <w:ind w:left="794" w:hanging="397"/>
        <w:jc w:val="both"/>
        <w:rPr>
          <w:u w:val="single"/>
        </w:rPr>
      </w:pPr>
      <w:r>
        <w:rPr>
          <w:u w:val="single"/>
          <w:rtl/>
        </w:rPr>
        <w:t>בהתאם לעובדות התיק העיקרי</w:t>
      </w:r>
      <w:r>
        <w:rPr>
          <w:rtl/>
        </w:rPr>
        <w:t xml:space="preserve"> – ב-4.3.20, ב-22:00 או בסמוך לכך, החזיק הנאשם במכנסיים מקופלים בארון בגדים בדירה, 9 מנות קוקאין, במשקל נטו של 1 גרם עם סטייה של 0.1026 +/- גרם ו-6.5 גרם קוקאין בשקית שקופה בארון בדירה.  </w:t>
      </w:r>
    </w:p>
    <w:p w14:paraId="188D3019" w14:textId="77777777" w:rsidR="0045787B" w:rsidRDefault="0045787B" w:rsidP="0045787B">
      <w:pPr>
        <w:widowControl w:val="0"/>
        <w:spacing w:line="360" w:lineRule="auto"/>
        <w:jc w:val="both"/>
        <w:rPr>
          <w:rFonts w:ascii="David" w:hAnsi="David"/>
          <w:b/>
          <w:bCs/>
          <w:sz w:val="26"/>
          <w:szCs w:val="26"/>
        </w:rPr>
      </w:pPr>
    </w:p>
    <w:p w14:paraId="7B7ADF8F" w14:textId="77777777" w:rsidR="0045787B" w:rsidRDefault="0045787B" w:rsidP="0045787B">
      <w:pPr>
        <w:widowControl w:val="0"/>
        <w:spacing w:line="360" w:lineRule="auto"/>
        <w:jc w:val="both"/>
        <w:rPr>
          <w:rFonts w:ascii="David" w:hAnsi="David"/>
          <w:b/>
          <w:bCs/>
          <w:sz w:val="26"/>
          <w:szCs w:val="26"/>
          <w:rtl/>
        </w:rPr>
      </w:pPr>
      <w:r>
        <w:rPr>
          <w:rFonts w:ascii="David" w:hAnsi="David"/>
          <w:b/>
          <w:bCs/>
          <w:sz w:val="26"/>
          <w:szCs w:val="26"/>
          <w:rtl/>
        </w:rPr>
        <w:t>קביעת מתחמי העונש ההולמים</w:t>
      </w:r>
    </w:p>
    <w:p w14:paraId="33DF5ECC" w14:textId="77777777" w:rsidR="0045787B" w:rsidRDefault="0045787B" w:rsidP="0045787B">
      <w:pPr>
        <w:numPr>
          <w:ilvl w:val="0"/>
          <w:numId w:val="1"/>
        </w:numPr>
        <w:snapToGrid w:val="0"/>
        <w:spacing w:line="360" w:lineRule="auto"/>
        <w:ind w:left="360"/>
        <w:jc w:val="both"/>
      </w:pPr>
      <w:r>
        <w:rPr>
          <w:sz w:val="20"/>
          <w:rtl/>
          <w:lang w:eastAsia="he-IL"/>
        </w:rPr>
        <w:t>הנאשם, כאמור, הורשע בכמה עבירות. בהתאם להוראת תיקון 113 ל-</w:t>
      </w:r>
      <w:hyperlink r:id="rId27" w:history="1">
        <w:r w:rsidR="00E1490D" w:rsidRPr="00E1490D">
          <w:rPr>
            <w:rFonts w:ascii="Miriam" w:hAnsi="Miriam" w:cs="Miriam"/>
            <w:b/>
            <w:bCs/>
            <w:color w:val="0000FF"/>
            <w:sz w:val="16"/>
            <w:szCs w:val="22"/>
            <w:u w:val="single"/>
            <w:rtl/>
            <w:lang w:eastAsia="he-IL"/>
          </w:rPr>
          <w:t>חוק העונשין</w:t>
        </w:r>
      </w:hyperlink>
      <w:r>
        <w:rPr>
          <w:rtl/>
        </w:rPr>
        <w:t xml:space="preserve"> </w:t>
      </w:r>
      <w:r>
        <w:rPr>
          <w:rFonts w:ascii="David" w:hAnsi="David"/>
          <w:rtl/>
        </w:rPr>
        <w:t>ול"</w:t>
      </w:r>
      <w:r>
        <w:rPr>
          <w:rFonts w:ascii="David" w:hAnsi="David"/>
          <w:b/>
          <w:bCs/>
          <w:rtl/>
        </w:rPr>
        <w:t>מבחן הקשר ההדוק</w:t>
      </w:r>
      <w:r>
        <w:rPr>
          <w:rFonts w:ascii="David" w:hAnsi="David"/>
          <w:rtl/>
        </w:rPr>
        <w:t>"</w:t>
      </w:r>
      <w:r>
        <w:rPr>
          <w:rFonts w:ascii="David" w:hAnsi="David"/>
          <w:color w:val="000000"/>
          <w:rtl/>
        </w:rPr>
        <w:t xml:space="preserve"> שנקבע ב-</w:t>
      </w:r>
      <w:hyperlink r:id="rId28" w:history="1">
        <w:r w:rsidR="00E1490D" w:rsidRPr="00E1490D">
          <w:rPr>
            <w:rFonts w:ascii="David" w:hAnsi="David"/>
            <w:color w:val="0000FF"/>
            <w:u w:val="single"/>
            <w:rtl/>
          </w:rPr>
          <w:t>ע"פ 4910/13</w:t>
        </w:r>
      </w:hyperlink>
      <w:r>
        <w:rPr>
          <w:rFonts w:ascii="David" w:hAnsi="David"/>
          <w:rtl/>
          <w:lang w:eastAsia="he-IL"/>
        </w:rPr>
        <w:t xml:space="preserve"> </w:t>
      </w:r>
      <w:r>
        <w:rPr>
          <w:rFonts w:ascii="Miriam" w:hAnsi="Miriam" w:cs="Miriam"/>
          <w:b/>
          <w:bCs/>
          <w:sz w:val="22"/>
          <w:szCs w:val="22"/>
          <w:rtl/>
          <w:lang w:eastAsia="he-IL"/>
        </w:rPr>
        <w:t>ג'אבר נ' מדינת ישראל</w:t>
      </w:r>
      <w:r>
        <w:rPr>
          <w:rFonts w:ascii="David" w:hAnsi="David"/>
          <w:sz w:val="22"/>
          <w:szCs w:val="22"/>
          <w:rtl/>
        </w:rPr>
        <w:t xml:space="preserve"> </w:t>
      </w:r>
      <w:r>
        <w:rPr>
          <w:rFonts w:ascii="David" w:hAnsi="David"/>
          <w:rtl/>
        </w:rPr>
        <w:t>(29.10.14)</w:t>
      </w:r>
      <w:r>
        <w:rPr>
          <w:rFonts w:ascii="David" w:hAnsi="David"/>
          <w:szCs w:val="28"/>
          <w:rtl/>
          <w:lang w:eastAsia="he-IL"/>
        </w:rPr>
        <w:t xml:space="preserve"> </w:t>
      </w:r>
      <w:r>
        <w:rPr>
          <w:sz w:val="20"/>
          <w:rtl/>
          <w:lang w:eastAsia="he-IL"/>
        </w:rPr>
        <w:t>אני קובעת כי לא מדובר ב"</w:t>
      </w:r>
      <w:r>
        <w:rPr>
          <w:b/>
          <w:bCs/>
          <w:sz w:val="20"/>
          <w:rtl/>
          <w:lang w:eastAsia="he-IL"/>
        </w:rPr>
        <w:t>תכנית עבריינית אחת</w:t>
      </w:r>
      <w:r>
        <w:rPr>
          <w:sz w:val="20"/>
          <w:rtl/>
          <w:lang w:eastAsia="he-IL"/>
        </w:rPr>
        <w:t xml:space="preserve">", אלא בשני אירועים, הנפרדים זה מזה במספר נתונים: </w:t>
      </w:r>
      <w:r>
        <w:rPr>
          <w:rtl/>
        </w:rPr>
        <w:t xml:space="preserve">ראשית, המועדים השונים בהם בוצעו העבירות. בנוסף קיים שוני בסוגי הסמים שהוחזקו. </w:t>
      </w:r>
      <w:r>
        <w:rPr>
          <w:sz w:val="20"/>
          <w:rtl/>
          <w:lang w:eastAsia="he-IL"/>
        </w:rPr>
        <w:t>כפועל יוצא מכך קיים שוני הן בעוצמת הפגיעה בערכים המוגנים והן במדיניות הענישה הנהוגה בפסיקה. משכך מקובלת עלי טענת ב"כ המאשימה, כי יש לקבוע 2 מתחמים נפרדים. עם זאת, בהינתן קיומה של חפיפה מסוימת במהות הערכים החברתיים שנפגעו ובנסיבות ביצוע העבירות, מצאתי כי יש לאחד סקירתם. לכך גם יש להוסיף כי קיים חוט מקשר בין העבירות השונות בכלל, ובפרט בנוגע לנסיבות ביצוע העבירות ולנסיבותיו האישיות של הנאשם. אשר על כן</w:t>
      </w:r>
      <w:r>
        <w:rPr>
          <w:rtl/>
        </w:rPr>
        <w:t xml:space="preserve">, אתייחס במאוחד לאמות המידה ואבני הבוחן בהן התחשבתי בקביעת מתחמי העונש ההולמים, בהתאם </w:t>
      </w:r>
      <w:hyperlink r:id="rId29" w:history="1">
        <w:r w:rsidR="00472E4E" w:rsidRPr="00472E4E">
          <w:rPr>
            <w:rStyle w:val="Hyperlink"/>
            <w:color w:val="0000FF"/>
            <w:rtl/>
          </w:rPr>
          <w:t>לסעיף 40ג(א)</w:t>
        </w:r>
      </w:hyperlink>
      <w:r>
        <w:rPr>
          <w:rtl/>
        </w:rPr>
        <w:t xml:space="preserve"> ל</w:t>
      </w:r>
      <w:hyperlink r:id="rId30" w:history="1">
        <w:r w:rsidR="00E1490D" w:rsidRPr="00E1490D">
          <w:rPr>
            <w:rFonts w:ascii="Miriam" w:hAnsi="Miriam" w:cs="Miriam"/>
            <w:b/>
            <w:bCs/>
            <w:color w:val="0000FF"/>
            <w:sz w:val="16"/>
            <w:szCs w:val="22"/>
            <w:u w:val="single"/>
            <w:rtl/>
          </w:rPr>
          <w:t>חוק העונשין</w:t>
        </w:r>
      </w:hyperlink>
      <w:r>
        <w:rPr>
          <w:rtl/>
        </w:rPr>
        <w:t>, כמפורט להלן</w:t>
      </w:r>
      <w:r>
        <w:rPr>
          <w:sz w:val="20"/>
          <w:rtl/>
          <w:lang w:eastAsia="he-IL"/>
        </w:rPr>
        <w:t>:</w:t>
      </w:r>
    </w:p>
    <w:p w14:paraId="1B4476AD" w14:textId="77777777" w:rsidR="0045787B" w:rsidRDefault="0045787B" w:rsidP="0045787B">
      <w:pPr>
        <w:snapToGrid w:val="0"/>
        <w:spacing w:line="360" w:lineRule="auto"/>
        <w:ind w:left="360"/>
        <w:jc w:val="both"/>
      </w:pPr>
    </w:p>
    <w:p w14:paraId="2C899806" w14:textId="77777777" w:rsidR="0045787B" w:rsidRDefault="0045787B" w:rsidP="0045787B">
      <w:pPr>
        <w:numPr>
          <w:ilvl w:val="1"/>
          <w:numId w:val="1"/>
        </w:numPr>
        <w:spacing w:line="360" w:lineRule="auto"/>
        <w:ind w:left="794" w:hanging="397"/>
        <w:jc w:val="both"/>
        <w:rPr>
          <w:rFonts w:ascii="Arial" w:hAnsi="Arial"/>
          <w:b/>
          <w:bCs/>
          <w:sz w:val="20"/>
          <w:lang w:eastAsia="he-IL"/>
        </w:rPr>
      </w:pPr>
      <w:r>
        <w:rPr>
          <w:b/>
          <w:bCs/>
          <w:sz w:val="20"/>
          <w:rtl/>
          <w:lang w:eastAsia="he-IL"/>
        </w:rPr>
        <w:t>הערכים החברתיים שנפגעו מביצוע העבירות</w:t>
      </w:r>
      <w:r>
        <w:rPr>
          <w:sz w:val="20"/>
          <w:rtl/>
          <w:lang w:eastAsia="he-IL"/>
        </w:rPr>
        <w:t xml:space="preserve"> הם שלומו ובריאותו של הציבור</w:t>
      </w:r>
      <w:r>
        <w:rPr>
          <w:rFonts w:ascii="David" w:hAnsi="David"/>
          <w:rtl/>
          <w:lang w:eastAsia="he-IL"/>
        </w:rPr>
        <w:t xml:space="preserve"> מפני הנזקים הישירים והעקיפים שנגרמים עקב השימוש בסמים.</w:t>
      </w:r>
      <w:r>
        <w:rPr>
          <w:sz w:val="20"/>
          <w:rtl/>
          <w:lang w:eastAsia="he-IL"/>
        </w:rPr>
        <w:t xml:space="preserve"> עבירות הסמים מחוללות פשיעה, אגב הפצת הסם וצריכתו.</w:t>
      </w:r>
      <w:r>
        <w:rPr>
          <w:rFonts w:ascii="David" w:hAnsi="David"/>
          <w:rtl/>
          <w:lang w:eastAsia="he-IL"/>
        </w:rPr>
        <w:t xml:space="preserve"> מעבר לנזקים הישירים הנגרמים למשתמשי הסם,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בשל הצורך להשיג את מנת הסם, ולעיתים אף אלימות, שמבוצעות כתוצאה מהשימוש בסמים, או במהלך ביצוע עבירות הרכוש</w:t>
      </w:r>
      <w:r>
        <w:rPr>
          <w:sz w:val="20"/>
          <w:rtl/>
          <w:lang w:eastAsia="he-IL"/>
        </w:rPr>
        <w:t xml:space="preserve">. </w:t>
      </w:r>
    </w:p>
    <w:p w14:paraId="3599FB77" w14:textId="77777777" w:rsidR="0045787B" w:rsidRDefault="0045787B" w:rsidP="0045787B">
      <w:pPr>
        <w:spacing w:line="360" w:lineRule="auto"/>
        <w:ind w:left="794"/>
        <w:jc w:val="both"/>
        <w:rPr>
          <w:rFonts w:ascii="Arial" w:hAnsi="Arial"/>
          <w:b/>
          <w:bCs/>
          <w:sz w:val="20"/>
          <w:lang w:eastAsia="he-IL"/>
        </w:rPr>
      </w:pPr>
    </w:p>
    <w:p w14:paraId="6F50E389" w14:textId="77777777" w:rsidR="0045787B" w:rsidRDefault="0045787B" w:rsidP="0045787B">
      <w:pPr>
        <w:numPr>
          <w:ilvl w:val="1"/>
          <w:numId w:val="1"/>
        </w:numPr>
        <w:snapToGrid w:val="0"/>
        <w:spacing w:line="360" w:lineRule="auto"/>
        <w:ind w:left="794" w:hanging="397"/>
        <w:jc w:val="both"/>
        <w:rPr>
          <w:sz w:val="20"/>
          <w:rtl/>
          <w:lang w:eastAsia="he-IL"/>
        </w:rPr>
      </w:pPr>
      <w:r>
        <w:rPr>
          <w:rFonts w:ascii="David" w:hAnsi="David"/>
          <w:b/>
          <w:bCs/>
          <w:rtl/>
        </w:rPr>
        <w:t>בתיק העיקרי, מידת הפגיעה בערכים החברתיים היא משמעותית וגבוהה</w:t>
      </w:r>
      <w:r>
        <w:rPr>
          <w:rFonts w:ascii="David" w:hAnsi="David"/>
          <w:rtl/>
        </w:rPr>
        <w:t xml:space="preserve"> כנטען על ידי ב"כ המאשימה, נוכח כמויות הסם וסוגו.</w:t>
      </w:r>
      <w:r>
        <w:rPr>
          <w:rFonts w:ascii="Arial" w:hAnsi="Arial"/>
          <w:sz w:val="20"/>
          <w:rtl/>
          <w:lang w:eastAsia="he-IL"/>
        </w:rPr>
        <w:t xml:space="preserve"> </w:t>
      </w:r>
      <w:r>
        <w:rPr>
          <w:rFonts w:ascii="Arial" w:hAnsi="Arial"/>
          <w:b/>
          <w:bCs/>
          <w:sz w:val="20"/>
          <w:rtl/>
          <w:lang w:eastAsia="he-IL"/>
        </w:rPr>
        <w:t>בתיק המצורף</w:t>
      </w:r>
      <w:r>
        <w:rPr>
          <w:rFonts w:ascii="Arial" w:hAnsi="Arial"/>
          <w:sz w:val="20"/>
          <w:rtl/>
          <w:lang w:eastAsia="he-IL"/>
        </w:rPr>
        <w:t xml:space="preserve">, מקובלת עליי טענת ב"כ המאשימה כי </w:t>
      </w:r>
      <w:r>
        <w:rPr>
          <w:rFonts w:ascii="Arial" w:hAnsi="Arial"/>
          <w:b/>
          <w:bCs/>
          <w:sz w:val="20"/>
          <w:rtl/>
          <w:lang w:eastAsia="he-IL"/>
        </w:rPr>
        <w:t>מידת הפגיעה בערכים החברתיים היא ברף הבינוני-נמוך</w:t>
      </w:r>
      <w:r>
        <w:rPr>
          <w:rFonts w:ascii="Arial" w:hAnsi="Arial"/>
          <w:sz w:val="20"/>
          <w:rtl/>
          <w:lang w:eastAsia="he-IL"/>
        </w:rPr>
        <w:t>.</w:t>
      </w:r>
      <w:r>
        <w:rPr>
          <w:sz w:val="20"/>
          <w:rtl/>
          <w:lang w:eastAsia="he-IL"/>
        </w:rPr>
        <w:t xml:space="preserve"> בית המשפט העליון עמד לא אחת על פגיעתן הרבה של עבירות הסמים בערכים המוגנים ועל תפקיד בית המשפט במאבק בנגע הסמים, כמו הצורך להכות בכל אחת ואחת מחוליות הפצת הסם, לרבות בהחזקתו שלא לצריכה עצמית. בסעיף 5 לפסק דינו ב</w:t>
      </w:r>
      <w:hyperlink r:id="rId31" w:history="1">
        <w:r w:rsidR="00E1490D" w:rsidRPr="00E1490D">
          <w:rPr>
            <w:color w:val="0000FF"/>
            <w:sz w:val="20"/>
            <w:u w:val="single"/>
            <w:rtl/>
            <w:lang w:eastAsia="he-IL"/>
          </w:rPr>
          <w:t>ע"פ 3172/13</w:t>
        </w:r>
      </w:hyperlink>
      <w:r>
        <w:rPr>
          <w:sz w:val="20"/>
          <w:rtl/>
          <w:lang w:eastAsia="he-IL"/>
        </w:rPr>
        <w:t xml:space="preserve"> </w:t>
      </w:r>
      <w:r>
        <w:rPr>
          <w:rFonts w:cs="Miriam"/>
          <w:b/>
          <w:bCs/>
          <w:sz w:val="18"/>
          <w:szCs w:val="22"/>
          <w:rtl/>
          <w:lang w:eastAsia="he-IL"/>
        </w:rPr>
        <w:t>סואעד נ' מדינת ישראל</w:t>
      </w:r>
      <w:r>
        <w:rPr>
          <w:sz w:val="18"/>
          <w:szCs w:val="22"/>
          <w:rtl/>
          <w:lang w:eastAsia="he-IL"/>
        </w:rPr>
        <w:t xml:space="preserve"> </w:t>
      </w:r>
      <w:r>
        <w:rPr>
          <w:sz w:val="20"/>
          <w:rtl/>
          <w:lang w:eastAsia="he-IL"/>
        </w:rPr>
        <w:t>(7.1.14) קבע כב' השופט עמית דברים הרלוונטיים גם לענייננו, באשר למידת הפגיעה של נגע הסמים בערכים המוגנים:</w:t>
      </w:r>
    </w:p>
    <w:p w14:paraId="0D3600C6" w14:textId="77777777" w:rsidR="0045787B" w:rsidRPr="0045787B" w:rsidRDefault="0045787B" w:rsidP="0045787B">
      <w:pPr>
        <w:ind w:left="2160" w:right="1134"/>
        <w:jc w:val="both"/>
        <w:rPr>
          <w:rFonts w:ascii="Calibri" w:hAnsi="Calibri"/>
          <w:rtl/>
        </w:rPr>
      </w:pPr>
    </w:p>
    <w:p w14:paraId="6BC86519" w14:textId="77777777" w:rsidR="0045787B" w:rsidRPr="0045787B" w:rsidRDefault="0045787B" w:rsidP="0045787B">
      <w:pPr>
        <w:ind w:left="2160" w:right="1134"/>
        <w:jc w:val="both"/>
        <w:rPr>
          <w:rFonts w:ascii="Calibri" w:hAnsi="Calibri"/>
          <w:rtl/>
        </w:rPr>
      </w:pPr>
      <w:r w:rsidRPr="0045787B">
        <w:rPr>
          <w:rFonts w:ascii="Calibri" w:hAnsi="Calibri"/>
          <w:rtl/>
        </w:rPr>
        <w:lastRenderedPageBreak/>
        <w:t>"</w:t>
      </w:r>
      <w:r w:rsidRPr="0045787B">
        <w:rPr>
          <w:rFonts w:ascii="Calibri" w:hAnsi="Calibri"/>
          <w:b/>
          <w:bCs/>
          <w:rtl/>
        </w:rPr>
        <w:t>על</w:t>
      </w:r>
      <w:r w:rsidRPr="0045787B">
        <w:rPr>
          <w:rFonts w:ascii="Calibri" w:hAnsi="Calibri"/>
          <w:b/>
          <w:bCs/>
        </w:rPr>
        <w:t xml:space="preserve"> </w:t>
      </w:r>
      <w:r w:rsidRPr="0045787B">
        <w:rPr>
          <w:rFonts w:ascii="Calibri" w:hAnsi="Calibri"/>
          <w:b/>
          <w:bCs/>
          <w:rtl/>
        </w:rPr>
        <w:t>פגיעתן</w:t>
      </w:r>
      <w:r w:rsidRPr="0045787B">
        <w:rPr>
          <w:rFonts w:ascii="Calibri" w:hAnsi="Calibri"/>
          <w:b/>
          <w:bCs/>
        </w:rPr>
        <w:t xml:space="preserve"> </w:t>
      </w:r>
      <w:r w:rsidRPr="0045787B">
        <w:rPr>
          <w:rFonts w:ascii="Calibri" w:hAnsi="Calibri"/>
          <w:b/>
          <w:bCs/>
          <w:rtl/>
        </w:rPr>
        <w:t>הרעה</w:t>
      </w:r>
      <w:r w:rsidRPr="0045787B">
        <w:rPr>
          <w:rFonts w:ascii="Calibri" w:hAnsi="Calibri"/>
          <w:b/>
          <w:bCs/>
        </w:rPr>
        <w:t xml:space="preserve"> </w:t>
      </w:r>
      <w:r w:rsidRPr="0045787B">
        <w:rPr>
          <w:rFonts w:ascii="Calibri" w:hAnsi="Calibri"/>
          <w:b/>
          <w:bCs/>
          <w:rtl/>
        </w:rPr>
        <w:t>של</w:t>
      </w:r>
      <w:r w:rsidRPr="0045787B">
        <w:rPr>
          <w:rFonts w:ascii="Calibri" w:hAnsi="Calibri"/>
          <w:b/>
          <w:bCs/>
        </w:rPr>
        <w:t xml:space="preserve"> </w:t>
      </w:r>
      <w:r w:rsidRPr="0045787B">
        <w:rPr>
          <w:rFonts w:ascii="Calibri" w:hAnsi="Calibri"/>
          <w:b/>
          <w:bCs/>
          <w:rtl/>
        </w:rPr>
        <w:t>עבירות</w:t>
      </w:r>
      <w:r w:rsidRPr="0045787B">
        <w:rPr>
          <w:rFonts w:ascii="Calibri" w:hAnsi="Calibri"/>
          <w:b/>
          <w:bCs/>
        </w:rPr>
        <w:t xml:space="preserve"> </w:t>
      </w:r>
      <w:r w:rsidRPr="0045787B">
        <w:rPr>
          <w:rFonts w:ascii="Calibri" w:hAnsi="Calibri"/>
          <w:b/>
          <w:bCs/>
          <w:rtl/>
        </w:rPr>
        <w:t>הסמים</w:t>
      </w:r>
      <w:r w:rsidRPr="0045787B">
        <w:rPr>
          <w:rFonts w:ascii="Calibri" w:hAnsi="Calibri"/>
          <w:b/>
          <w:bCs/>
        </w:rPr>
        <w:t xml:space="preserve"> </w:t>
      </w:r>
      <w:r w:rsidRPr="0045787B">
        <w:rPr>
          <w:rFonts w:ascii="Calibri" w:hAnsi="Calibri"/>
          <w:b/>
          <w:bCs/>
          <w:rtl/>
        </w:rPr>
        <w:t>ועל</w:t>
      </w:r>
      <w:r w:rsidRPr="0045787B">
        <w:rPr>
          <w:rFonts w:ascii="Calibri" w:hAnsi="Calibri"/>
          <w:b/>
          <w:bCs/>
        </w:rPr>
        <w:t xml:space="preserve"> </w:t>
      </w:r>
      <w:r w:rsidRPr="0045787B">
        <w:rPr>
          <w:rFonts w:ascii="Calibri" w:hAnsi="Calibri"/>
          <w:b/>
          <w:bCs/>
          <w:rtl/>
        </w:rPr>
        <w:t>תפקידו</w:t>
      </w:r>
      <w:r w:rsidRPr="0045787B">
        <w:rPr>
          <w:rFonts w:ascii="Calibri" w:hAnsi="Calibri"/>
          <w:b/>
          <w:bCs/>
        </w:rPr>
        <w:t xml:space="preserve"> </w:t>
      </w:r>
      <w:r w:rsidRPr="0045787B">
        <w:rPr>
          <w:rFonts w:ascii="Calibri" w:hAnsi="Calibri"/>
          <w:b/>
          <w:bCs/>
          <w:rtl/>
        </w:rPr>
        <w:t>של</w:t>
      </w:r>
      <w:r w:rsidRPr="0045787B">
        <w:rPr>
          <w:rFonts w:ascii="Calibri" w:hAnsi="Calibri"/>
          <w:b/>
          <w:bCs/>
        </w:rPr>
        <w:t xml:space="preserve"> </w:t>
      </w:r>
      <w:r w:rsidRPr="0045787B">
        <w:rPr>
          <w:rFonts w:ascii="Calibri" w:hAnsi="Calibri"/>
          <w:b/>
          <w:bCs/>
          <w:rtl/>
        </w:rPr>
        <w:t>בית</w:t>
      </w:r>
      <w:r w:rsidRPr="0045787B">
        <w:rPr>
          <w:rFonts w:ascii="Calibri" w:hAnsi="Calibri"/>
          <w:b/>
          <w:bCs/>
        </w:rPr>
        <w:t xml:space="preserve"> </w:t>
      </w:r>
      <w:r w:rsidRPr="0045787B">
        <w:rPr>
          <w:rFonts w:ascii="Calibri" w:hAnsi="Calibri"/>
          <w:b/>
          <w:bCs/>
          <w:rtl/>
        </w:rPr>
        <w:t>המשפט</w:t>
      </w:r>
      <w:r w:rsidRPr="0045787B">
        <w:rPr>
          <w:rFonts w:ascii="Calibri" w:hAnsi="Calibri"/>
          <w:b/>
          <w:bCs/>
        </w:rPr>
        <w:t xml:space="preserve"> </w:t>
      </w:r>
      <w:r w:rsidRPr="0045787B">
        <w:rPr>
          <w:rFonts w:ascii="Calibri" w:hAnsi="Calibri"/>
          <w:b/>
          <w:bCs/>
          <w:rtl/>
        </w:rPr>
        <w:t>במאבק</w:t>
      </w:r>
      <w:r w:rsidRPr="0045787B">
        <w:rPr>
          <w:rFonts w:ascii="Calibri" w:hAnsi="Calibri"/>
          <w:b/>
          <w:bCs/>
        </w:rPr>
        <w:t xml:space="preserve"> </w:t>
      </w:r>
      <w:r w:rsidRPr="0045787B">
        <w:rPr>
          <w:rFonts w:ascii="Calibri" w:hAnsi="Calibri"/>
          <w:b/>
          <w:bCs/>
          <w:rtl/>
        </w:rPr>
        <w:t>בנגע</w:t>
      </w:r>
      <w:r w:rsidRPr="0045787B">
        <w:rPr>
          <w:rFonts w:ascii="Calibri" w:hAnsi="Calibri"/>
          <w:b/>
          <w:bCs/>
        </w:rPr>
        <w:t xml:space="preserve"> </w:t>
      </w:r>
      <w:r w:rsidRPr="0045787B">
        <w:rPr>
          <w:rFonts w:ascii="Calibri" w:hAnsi="Calibri"/>
          <w:b/>
          <w:bCs/>
          <w:rtl/>
        </w:rPr>
        <w:t>הסמים</w:t>
      </w:r>
      <w:r w:rsidRPr="0045787B">
        <w:rPr>
          <w:rFonts w:ascii="Calibri" w:hAnsi="Calibri"/>
          <w:b/>
          <w:bCs/>
        </w:rPr>
        <w:t xml:space="preserve"> </w:t>
      </w:r>
      <w:r w:rsidRPr="0045787B">
        <w:rPr>
          <w:rFonts w:ascii="Calibri" w:hAnsi="Calibri"/>
          <w:b/>
          <w:bCs/>
          <w:rtl/>
        </w:rPr>
        <w:t>לצד</w:t>
      </w:r>
      <w:r w:rsidRPr="0045787B">
        <w:rPr>
          <w:rFonts w:ascii="Calibri" w:hAnsi="Calibri"/>
          <w:b/>
          <w:bCs/>
        </w:rPr>
        <w:t xml:space="preserve"> </w:t>
      </w:r>
      <w:r w:rsidRPr="0045787B">
        <w:rPr>
          <w:rFonts w:ascii="Calibri" w:hAnsi="Calibri"/>
          <w:b/>
          <w:bCs/>
          <w:rtl/>
        </w:rPr>
        <w:t>גורמים</w:t>
      </w:r>
      <w:r w:rsidRPr="0045787B">
        <w:rPr>
          <w:rFonts w:ascii="Calibri" w:hAnsi="Calibri"/>
          <w:b/>
          <w:bCs/>
        </w:rPr>
        <w:t xml:space="preserve"> </w:t>
      </w:r>
      <w:r w:rsidRPr="0045787B">
        <w:rPr>
          <w:rFonts w:ascii="Calibri" w:hAnsi="Calibri"/>
          <w:b/>
          <w:bCs/>
          <w:rtl/>
        </w:rPr>
        <w:t>וגופים</w:t>
      </w:r>
      <w:r w:rsidRPr="0045787B">
        <w:rPr>
          <w:rFonts w:ascii="Calibri" w:hAnsi="Calibri"/>
          <w:b/>
          <w:bCs/>
        </w:rPr>
        <w:t xml:space="preserve"> </w:t>
      </w:r>
      <w:r w:rsidRPr="0045787B">
        <w:rPr>
          <w:rFonts w:ascii="Calibri" w:hAnsi="Calibri"/>
          <w:b/>
          <w:bCs/>
          <w:rtl/>
        </w:rPr>
        <w:t>נוספים, עמד</w:t>
      </w:r>
      <w:r w:rsidRPr="0045787B">
        <w:rPr>
          <w:rFonts w:ascii="Calibri" w:hAnsi="Calibri"/>
          <w:b/>
          <w:bCs/>
        </w:rPr>
        <w:t xml:space="preserve"> </w:t>
      </w:r>
      <w:r w:rsidRPr="0045787B">
        <w:rPr>
          <w:rFonts w:ascii="Calibri" w:hAnsi="Calibri"/>
          <w:b/>
          <w:bCs/>
          <w:rtl/>
        </w:rPr>
        <w:t>בית</w:t>
      </w:r>
      <w:r w:rsidRPr="0045787B">
        <w:rPr>
          <w:rFonts w:ascii="Calibri" w:hAnsi="Calibri"/>
          <w:b/>
          <w:bCs/>
        </w:rPr>
        <w:t xml:space="preserve"> </w:t>
      </w:r>
      <w:r w:rsidRPr="0045787B">
        <w:rPr>
          <w:rFonts w:ascii="Calibri" w:hAnsi="Calibri"/>
          <w:b/>
          <w:bCs/>
          <w:rtl/>
        </w:rPr>
        <w:t>משפט</w:t>
      </w:r>
      <w:r w:rsidRPr="0045787B">
        <w:rPr>
          <w:rFonts w:ascii="Calibri" w:hAnsi="Calibri"/>
          <w:b/>
          <w:bCs/>
        </w:rPr>
        <w:t xml:space="preserve"> </w:t>
      </w:r>
      <w:r w:rsidRPr="0045787B">
        <w:rPr>
          <w:rFonts w:ascii="Calibri" w:hAnsi="Calibri"/>
          <w:b/>
          <w:bCs/>
          <w:rtl/>
        </w:rPr>
        <w:t>זה</w:t>
      </w:r>
      <w:r w:rsidRPr="0045787B">
        <w:rPr>
          <w:rFonts w:ascii="Calibri" w:hAnsi="Calibri"/>
          <w:b/>
          <w:bCs/>
        </w:rPr>
        <w:t xml:space="preserve"> </w:t>
      </w:r>
      <w:r w:rsidRPr="0045787B">
        <w:rPr>
          <w:rFonts w:ascii="Calibri" w:hAnsi="Calibri"/>
          <w:b/>
          <w:bCs/>
          <w:rtl/>
        </w:rPr>
        <w:t>פעמים</w:t>
      </w:r>
      <w:r w:rsidRPr="0045787B">
        <w:rPr>
          <w:rFonts w:ascii="Calibri" w:hAnsi="Calibri"/>
          <w:b/>
          <w:bCs/>
        </w:rPr>
        <w:t xml:space="preserve"> </w:t>
      </w:r>
      <w:r w:rsidRPr="0045787B">
        <w:rPr>
          <w:rFonts w:ascii="Calibri" w:hAnsi="Calibri"/>
          <w:b/>
          <w:bCs/>
          <w:rtl/>
        </w:rPr>
        <w:t>רבות</w:t>
      </w:r>
      <w:r w:rsidRPr="0045787B">
        <w:rPr>
          <w:rFonts w:ascii="Calibri" w:hAnsi="Calibri"/>
          <w:rtl/>
        </w:rPr>
        <w:t xml:space="preserve">... </w:t>
      </w:r>
      <w:r w:rsidRPr="0045787B">
        <w:rPr>
          <w:rFonts w:ascii="Calibri" w:hAnsi="Calibri"/>
          <w:b/>
          <w:bCs/>
          <w:rtl/>
        </w:rPr>
        <w:t>אין</w:t>
      </w:r>
      <w:r w:rsidRPr="0045787B">
        <w:rPr>
          <w:rFonts w:ascii="Calibri" w:hAnsi="Calibri"/>
          <w:b/>
          <w:bCs/>
        </w:rPr>
        <w:t xml:space="preserve"> </w:t>
      </w:r>
      <w:r w:rsidRPr="0045787B">
        <w:rPr>
          <w:rFonts w:ascii="Calibri" w:hAnsi="Calibri"/>
          <w:b/>
          <w:bCs/>
          <w:rtl/>
        </w:rPr>
        <w:t>ספור</w:t>
      </w:r>
      <w:r w:rsidRPr="0045787B">
        <w:rPr>
          <w:rFonts w:ascii="Calibri" w:hAnsi="Calibri"/>
          <w:b/>
          <w:bCs/>
        </w:rPr>
        <w:t xml:space="preserve"> </w:t>
      </w:r>
      <w:r w:rsidRPr="0045787B">
        <w:rPr>
          <w:rFonts w:ascii="Calibri" w:hAnsi="Calibri"/>
          <w:b/>
          <w:bCs/>
          <w:rtl/>
        </w:rPr>
        <w:t>מילים</w:t>
      </w:r>
      <w:r w:rsidRPr="0045787B">
        <w:rPr>
          <w:rFonts w:ascii="Calibri" w:hAnsi="Calibri"/>
          <w:b/>
          <w:bCs/>
        </w:rPr>
        <w:t xml:space="preserve"> </w:t>
      </w:r>
      <w:r w:rsidRPr="0045787B">
        <w:rPr>
          <w:rFonts w:ascii="Calibri" w:hAnsi="Calibri"/>
          <w:b/>
          <w:bCs/>
          <w:rtl/>
        </w:rPr>
        <w:t>נאמרו</w:t>
      </w:r>
      <w:r w:rsidRPr="0045787B">
        <w:rPr>
          <w:rFonts w:ascii="Calibri" w:hAnsi="Calibri"/>
          <w:b/>
          <w:bCs/>
        </w:rPr>
        <w:t xml:space="preserve"> </w:t>
      </w:r>
      <w:r w:rsidRPr="0045787B">
        <w:rPr>
          <w:rFonts w:ascii="Calibri" w:hAnsi="Calibri"/>
          <w:b/>
          <w:bCs/>
          <w:rtl/>
        </w:rPr>
        <w:t>בדבר</w:t>
      </w:r>
      <w:r w:rsidRPr="0045787B">
        <w:rPr>
          <w:rFonts w:ascii="Calibri" w:hAnsi="Calibri"/>
          <w:b/>
          <w:bCs/>
        </w:rPr>
        <w:t xml:space="preserve"> </w:t>
      </w:r>
      <w:r w:rsidRPr="0045787B">
        <w:rPr>
          <w:rFonts w:ascii="Calibri" w:hAnsi="Calibri"/>
          <w:b/>
          <w:bCs/>
          <w:rtl/>
        </w:rPr>
        <w:t>הצורך</w:t>
      </w:r>
      <w:r w:rsidRPr="0045787B">
        <w:rPr>
          <w:rFonts w:ascii="Calibri" w:hAnsi="Calibri"/>
          <w:b/>
          <w:bCs/>
        </w:rPr>
        <w:t xml:space="preserve"> </w:t>
      </w:r>
      <w:r w:rsidRPr="0045787B">
        <w:rPr>
          <w:rFonts w:ascii="Calibri" w:hAnsi="Calibri"/>
          <w:b/>
          <w:bCs/>
          <w:rtl/>
        </w:rPr>
        <w:t>להכות</w:t>
      </w:r>
      <w:r w:rsidRPr="0045787B">
        <w:rPr>
          <w:rFonts w:ascii="Calibri" w:hAnsi="Calibri"/>
          <w:b/>
          <w:bCs/>
        </w:rPr>
        <w:t xml:space="preserve"> </w:t>
      </w:r>
      <w:r w:rsidRPr="0045787B">
        <w:rPr>
          <w:rFonts w:ascii="Calibri" w:hAnsi="Calibri"/>
          <w:b/>
          <w:bCs/>
          <w:rtl/>
        </w:rPr>
        <w:t>בכל</w:t>
      </w:r>
      <w:r w:rsidRPr="0045787B">
        <w:rPr>
          <w:rFonts w:ascii="Calibri" w:hAnsi="Calibri"/>
          <w:b/>
          <w:bCs/>
        </w:rPr>
        <w:t xml:space="preserve"> </w:t>
      </w:r>
      <w:r w:rsidRPr="0045787B">
        <w:rPr>
          <w:rFonts w:ascii="Calibri" w:hAnsi="Calibri"/>
          <w:b/>
          <w:bCs/>
          <w:rtl/>
        </w:rPr>
        <w:t>אחת</w:t>
      </w:r>
      <w:r w:rsidRPr="0045787B">
        <w:rPr>
          <w:rFonts w:ascii="Calibri" w:hAnsi="Calibri"/>
          <w:b/>
          <w:bCs/>
        </w:rPr>
        <w:t xml:space="preserve"> </w:t>
      </w:r>
      <w:r w:rsidRPr="0045787B">
        <w:rPr>
          <w:rFonts w:ascii="Calibri" w:hAnsi="Calibri"/>
          <w:b/>
          <w:bCs/>
          <w:rtl/>
        </w:rPr>
        <w:t>ואחת</w:t>
      </w:r>
      <w:r w:rsidRPr="0045787B">
        <w:rPr>
          <w:rFonts w:ascii="Calibri" w:hAnsi="Calibri"/>
          <w:b/>
          <w:bCs/>
        </w:rPr>
        <w:t xml:space="preserve"> </w:t>
      </w:r>
      <w:r w:rsidRPr="0045787B">
        <w:rPr>
          <w:rFonts w:ascii="Calibri" w:hAnsi="Calibri"/>
          <w:b/>
          <w:bCs/>
          <w:rtl/>
        </w:rPr>
        <w:t>מחוליות</w:t>
      </w:r>
      <w:r w:rsidRPr="0045787B">
        <w:rPr>
          <w:rFonts w:ascii="Calibri" w:hAnsi="Calibri"/>
          <w:b/>
          <w:bCs/>
        </w:rPr>
        <w:t xml:space="preserve"> </w:t>
      </w:r>
      <w:r w:rsidRPr="0045787B">
        <w:rPr>
          <w:rFonts w:ascii="Calibri" w:hAnsi="Calibri"/>
          <w:b/>
          <w:bCs/>
          <w:rtl/>
        </w:rPr>
        <w:t>הפצת</w:t>
      </w:r>
      <w:r w:rsidRPr="0045787B">
        <w:rPr>
          <w:rFonts w:ascii="Calibri" w:hAnsi="Calibri"/>
          <w:b/>
          <w:bCs/>
        </w:rPr>
        <w:t xml:space="preserve"> </w:t>
      </w:r>
      <w:r w:rsidRPr="0045787B">
        <w:rPr>
          <w:rFonts w:ascii="Calibri" w:hAnsi="Calibri"/>
          <w:b/>
          <w:bCs/>
          <w:rtl/>
        </w:rPr>
        <w:t>הסם</w:t>
      </w:r>
      <w:r w:rsidRPr="0045787B">
        <w:rPr>
          <w:rFonts w:ascii="Calibri" w:hAnsi="Calibri"/>
          <w:b/>
          <w:bCs/>
        </w:rPr>
        <w:t xml:space="preserve"> </w:t>
      </w:r>
      <w:r w:rsidRPr="0045787B">
        <w:rPr>
          <w:rFonts w:ascii="Calibri" w:hAnsi="Calibri"/>
          <w:b/>
          <w:bCs/>
          <w:rtl/>
        </w:rPr>
        <w:t>ואם</w:t>
      </w:r>
      <w:r w:rsidRPr="0045787B">
        <w:rPr>
          <w:rFonts w:ascii="Calibri" w:hAnsi="Calibri"/>
          <w:b/>
          <w:bCs/>
        </w:rPr>
        <w:t xml:space="preserve"> </w:t>
      </w:r>
      <w:r w:rsidRPr="0045787B">
        <w:rPr>
          <w:rFonts w:ascii="Calibri" w:hAnsi="Calibri"/>
          <w:b/>
          <w:bCs/>
          <w:rtl/>
        </w:rPr>
        <w:t>אוסיף</w:t>
      </w:r>
      <w:r w:rsidRPr="0045787B">
        <w:rPr>
          <w:rFonts w:ascii="Calibri" w:hAnsi="Calibri"/>
          <w:b/>
          <w:bCs/>
        </w:rPr>
        <w:t xml:space="preserve"> </w:t>
      </w:r>
      <w:r w:rsidRPr="0045787B">
        <w:rPr>
          <w:rFonts w:ascii="Calibri" w:hAnsi="Calibri"/>
          <w:b/>
          <w:bCs/>
          <w:rtl/>
        </w:rPr>
        <w:t>דברים, אהיה</w:t>
      </w:r>
      <w:r w:rsidRPr="0045787B">
        <w:rPr>
          <w:rFonts w:ascii="Calibri" w:hAnsi="Calibri"/>
          <w:b/>
          <w:bCs/>
        </w:rPr>
        <w:t xml:space="preserve"> </w:t>
      </w:r>
      <w:r w:rsidRPr="0045787B">
        <w:rPr>
          <w:rFonts w:ascii="Calibri" w:hAnsi="Calibri"/>
          <w:b/>
          <w:bCs/>
          <w:rtl/>
        </w:rPr>
        <w:t>כמכניס</w:t>
      </w:r>
      <w:r w:rsidRPr="0045787B">
        <w:rPr>
          <w:rFonts w:ascii="Calibri" w:hAnsi="Calibri"/>
          <w:b/>
          <w:bCs/>
        </w:rPr>
        <w:t xml:space="preserve"> </w:t>
      </w:r>
      <w:r w:rsidRPr="0045787B">
        <w:rPr>
          <w:rFonts w:ascii="Calibri" w:hAnsi="Calibri"/>
          <w:b/>
          <w:bCs/>
          <w:rtl/>
        </w:rPr>
        <w:t>תבן</w:t>
      </w:r>
      <w:r w:rsidRPr="0045787B">
        <w:rPr>
          <w:rFonts w:ascii="Calibri" w:hAnsi="Calibri"/>
          <w:b/>
          <w:bCs/>
        </w:rPr>
        <w:t xml:space="preserve"> </w:t>
      </w:r>
      <w:r w:rsidRPr="0045787B">
        <w:rPr>
          <w:rFonts w:ascii="Calibri" w:hAnsi="Calibri"/>
          <w:b/>
          <w:bCs/>
          <w:rtl/>
        </w:rPr>
        <w:t>לעפריים</w:t>
      </w:r>
      <w:r w:rsidRPr="0045787B">
        <w:rPr>
          <w:rFonts w:ascii="Calibri" w:hAnsi="Calibri"/>
          <w:rtl/>
        </w:rPr>
        <w:t>...".</w:t>
      </w:r>
    </w:p>
    <w:p w14:paraId="01DB60A1" w14:textId="77777777" w:rsidR="0045787B" w:rsidRPr="0045787B" w:rsidRDefault="0045787B" w:rsidP="0045787B">
      <w:pPr>
        <w:spacing w:line="360" w:lineRule="auto"/>
        <w:ind w:left="1134" w:right="1134"/>
        <w:jc w:val="both"/>
        <w:rPr>
          <w:rFonts w:ascii="Calibri" w:hAnsi="Calibri"/>
          <w:rtl/>
        </w:rPr>
      </w:pPr>
    </w:p>
    <w:p w14:paraId="5816AD5F" w14:textId="77777777" w:rsidR="0045787B" w:rsidRDefault="0045787B" w:rsidP="0045787B">
      <w:pPr>
        <w:numPr>
          <w:ilvl w:val="1"/>
          <w:numId w:val="1"/>
        </w:numPr>
        <w:snapToGrid w:val="0"/>
        <w:spacing w:line="360" w:lineRule="auto"/>
        <w:ind w:left="794" w:hanging="397"/>
        <w:jc w:val="both"/>
        <w:rPr>
          <w:rFonts w:ascii="David" w:hAnsi="David"/>
          <w:rtl/>
          <w:lang w:eastAsia="he-IL"/>
        </w:rPr>
      </w:pPr>
      <w:r>
        <w:rPr>
          <w:sz w:val="20"/>
          <w:rtl/>
          <w:lang w:eastAsia="he-IL"/>
        </w:rPr>
        <w:t xml:space="preserve">בחינת </w:t>
      </w:r>
      <w:r>
        <w:rPr>
          <w:b/>
          <w:bCs/>
          <w:sz w:val="20"/>
          <w:rtl/>
          <w:lang w:eastAsia="he-IL"/>
        </w:rPr>
        <w:t>מדיניות הענישה הנהוגה</w:t>
      </w:r>
      <w:r>
        <w:rPr>
          <w:sz w:val="20"/>
          <w:rtl/>
          <w:lang w:eastAsia="he-IL"/>
        </w:rPr>
        <w:t xml:space="preserve"> מלמדת על קשת רחבה של ענישה, כאשר סוג העונש ומשכו תלוי בסוג הסם, כמותו ונסיבות החזקתו.</w:t>
      </w:r>
      <w:r>
        <w:rPr>
          <w:rFonts w:ascii="David" w:hAnsi="David"/>
          <w:rtl/>
        </w:rPr>
        <w:t xml:space="preserve"> במהלך הטיעונים לעונש הופניתי אל פסקי-דין של בתי המשפט השונים, כאשר כל צד הציג פסיקה התומכת בעמדתו ועליה הוספתי פסיקה. כל מקרה לנסיבותיו ויש לאבחן המקרים השונים למקרה שלפניי, אם כי יש גזרי-דין מהם ניתן לגזור אמת-מידה עונשית הולמת למקרה שלפניי</w:t>
      </w:r>
      <w:r>
        <w:rPr>
          <w:rFonts w:ascii="David" w:hAnsi="David"/>
          <w:rtl/>
          <w:lang w:eastAsia="he-IL"/>
        </w:rPr>
        <w:t>, הכל כמפורט להלן –</w:t>
      </w:r>
    </w:p>
    <w:p w14:paraId="7905E7C8" w14:textId="77777777" w:rsidR="0045787B" w:rsidRDefault="0045787B" w:rsidP="0045787B">
      <w:pPr>
        <w:snapToGrid w:val="0"/>
        <w:ind w:left="794"/>
        <w:jc w:val="both"/>
        <w:rPr>
          <w:rFonts w:ascii="David" w:hAnsi="David"/>
          <w:lang w:eastAsia="he-IL"/>
        </w:rPr>
      </w:pPr>
    </w:p>
    <w:bookmarkStart w:id="7" w:name="_Hlk168752062"/>
    <w:p w14:paraId="7299E56E" w14:textId="77777777" w:rsidR="0045787B" w:rsidRDefault="00E1490D" w:rsidP="0045787B">
      <w:pPr>
        <w:pStyle w:val="aa"/>
        <w:widowControl w:val="0"/>
        <w:numPr>
          <w:ilvl w:val="0"/>
          <w:numId w:val="2"/>
        </w:numPr>
        <w:tabs>
          <w:tab w:val="left" w:pos="850"/>
        </w:tabs>
        <w:snapToGrid w:val="0"/>
        <w:spacing w:line="360" w:lineRule="auto"/>
        <w:ind w:left="1134" w:hanging="340"/>
        <w:jc w:val="both"/>
        <w:rPr>
          <w:rFonts w:ascii="Times New Roman" w:hAnsi="Times New Roman"/>
        </w:rPr>
      </w:pPr>
      <w:r w:rsidRPr="00E1490D">
        <w:rPr>
          <w:color w:val="0000FF"/>
          <w:u w:val="single"/>
          <w:rtl/>
        </w:rPr>
        <w:fldChar w:fldCharType="begin"/>
      </w:r>
      <w:r w:rsidRPr="00E1490D">
        <w:rPr>
          <w:color w:val="0000FF"/>
          <w:u w:val="single"/>
          <w:rtl/>
        </w:rPr>
        <w:instrText xml:space="preserve"> </w:instrText>
      </w:r>
      <w:r w:rsidRPr="00E1490D">
        <w:rPr>
          <w:color w:val="0000FF"/>
          <w:u w:val="single"/>
        </w:rPr>
        <w:instrText xml:space="preserve">HYPERLINK </w:instrText>
      </w:r>
      <w:r w:rsidRPr="00E1490D">
        <w:rPr>
          <w:color w:val="0000FF"/>
          <w:u w:val="single"/>
          <w:rtl/>
        </w:rPr>
        <w:instrText>"</w:instrText>
      </w:r>
      <w:r w:rsidRPr="00E1490D">
        <w:rPr>
          <w:color w:val="0000FF"/>
          <w:u w:val="single"/>
        </w:rPr>
        <w:instrText>http://www.nevo.co.il/case/28854489"</w:instrText>
      </w:r>
      <w:r w:rsidRPr="00E1490D">
        <w:rPr>
          <w:color w:val="0000FF"/>
          <w:u w:val="single"/>
          <w:rtl/>
        </w:rPr>
        <w:instrText xml:space="preserve"> </w:instrText>
      </w:r>
      <w:r w:rsidRPr="00E1490D">
        <w:rPr>
          <w:color w:val="0000FF"/>
          <w:u w:val="single"/>
          <w:rtl/>
        </w:rPr>
      </w:r>
      <w:r w:rsidRPr="00E1490D">
        <w:rPr>
          <w:color w:val="0000FF"/>
          <w:u w:val="single"/>
          <w:rtl/>
        </w:rPr>
        <w:fldChar w:fldCharType="separate"/>
      </w:r>
      <w:r w:rsidRPr="00E1490D">
        <w:rPr>
          <w:color w:val="0000FF"/>
          <w:u w:val="single"/>
          <w:rtl/>
        </w:rPr>
        <w:t>רע"פ 5382/22</w:t>
      </w:r>
      <w:r w:rsidRPr="00E1490D">
        <w:rPr>
          <w:color w:val="0000FF"/>
          <w:u w:val="single"/>
          <w:rtl/>
        </w:rPr>
        <w:fldChar w:fldCharType="end"/>
      </w:r>
      <w:r w:rsidR="0045787B">
        <w:rPr>
          <w:rtl/>
        </w:rPr>
        <w:t xml:space="preserve"> </w:t>
      </w:r>
      <w:r w:rsidR="0045787B">
        <w:rPr>
          <w:rFonts w:ascii="Miriam" w:hAnsi="Miriam" w:cs="Miriam"/>
          <w:b/>
          <w:bCs/>
          <w:sz w:val="22"/>
          <w:szCs w:val="22"/>
          <w:rtl/>
        </w:rPr>
        <w:t xml:space="preserve">דסיה נ' מדינת ישראל </w:t>
      </w:r>
      <w:r w:rsidR="0045787B">
        <w:rPr>
          <w:rtl/>
        </w:rPr>
        <w:t xml:space="preserve">(28.8.22) – נדחו ערעור ובקשת רשות ערעור על </w:t>
      </w:r>
      <w:hyperlink r:id="rId32" w:history="1">
        <w:r w:rsidRPr="00E1490D">
          <w:rPr>
            <w:color w:val="0000FF"/>
            <w:u w:val="single"/>
            <w:rtl/>
          </w:rPr>
          <w:t>ת"פ (שלום-ראשל"צ) 43850-06-21</w:t>
        </w:r>
      </w:hyperlink>
      <w:r w:rsidR="0045787B">
        <w:rPr>
          <w:rtl/>
        </w:rPr>
        <w:t xml:space="preserve"> </w:t>
      </w:r>
      <w:r w:rsidR="0045787B">
        <w:rPr>
          <w:rFonts w:ascii="Miriam" w:hAnsi="Miriam" w:cs="Miriam"/>
          <w:b/>
          <w:bCs/>
          <w:sz w:val="22"/>
          <w:szCs w:val="22"/>
          <w:rtl/>
        </w:rPr>
        <w:t>מדינת ישראל נ' דסיה</w:t>
      </w:r>
      <w:r w:rsidR="0045787B">
        <w:rPr>
          <w:sz w:val="22"/>
          <w:szCs w:val="22"/>
          <w:rtl/>
        </w:rPr>
        <w:t xml:space="preserve"> </w:t>
      </w:r>
      <w:r w:rsidR="0045787B">
        <w:rPr>
          <w:rtl/>
        </w:rPr>
        <w:t xml:space="preserve">(20.3.22), אליו הפנתה ב"כ המאשימה. בגין הרשעתו, על פי הודאתו, בהחזקה שלא לצריכה עצמית של כ-74.8 גרם קנבוס וכ-3.4 גרם קוקאין, ב-7 שקיות – נקבע מתחם 8–18 חודשי מאסר בפועל וענישה נלווית. על צעיר (כבן 24), שהודה, נטל אחריות, אשר לחובתו 5 הרשעות קודמות, עוד מהתקופה בה היה נער, בעבירות מגוונות (בגין חלקן ריצה מאסר בפועל), תוך התחשבות בתקופה בה שהה במעצר ובתנאים מגבילים והתרשמות שירות המבחן, לרבות שלילה בתוקף של כל נזקקות טיפולית והמשך שימוש בסמים – הושתו 10 חודשי מאסר בפועל, הופעל מאסר מותנה במצטבר, כך שירצה סך הכול 11 חודשי מאסר בפועל, בניכוי ימי מעצרו. עוד הושתו מאסרים מותנים, קנס בסך 1,000 ₪, פסילה בפועל ועל תנאי וכן הופעלה התחייבות בסך 500 ₪. </w:t>
      </w:r>
      <w:bookmarkStart w:id="8" w:name="_Hlk168752487"/>
      <w:r w:rsidR="0045787B">
        <w:rPr>
          <w:rtl/>
        </w:rPr>
        <w:t>בדחיית הערעור ובקשת רשות הערעור נקבע כי מתחם העונש מקובל ומעוגן היטב בפסיקה מחייבת ונוהגת וכי העונש "</w:t>
      </w:r>
      <w:r w:rsidR="0045787B">
        <w:rPr>
          <w:b/>
          <w:bCs/>
          <w:rtl/>
        </w:rPr>
        <w:t>הולם את חומרת מעשיו ומתחשב כראוי בנסיבות ביצוע העבירה ובנסיבותיו האישיות לקולה ולחומרה</w:t>
      </w:r>
      <w:r w:rsidR="0045787B">
        <w:rPr>
          <w:rtl/>
        </w:rPr>
        <w:t>"</w:t>
      </w:r>
      <w:bookmarkEnd w:id="8"/>
      <w:r w:rsidR="0045787B">
        <w:rPr>
          <w:rtl/>
        </w:rPr>
        <w:t>.</w:t>
      </w:r>
    </w:p>
    <w:p w14:paraId="15039DE1" w14:textId="77777777" w:rsidR="0045787B" w:rsidRDefault="0045787B" w:rsidP="0045787B">
      <w:pPr>
        <w:pStyle w:val="aa"/>
      </w:pPr>
    </w:p>
    <w:p w14:paraId="46CC9063" w14:textId="77777777" w:rsidR="0045787B" w:rsidRDefault="00E1490D" w:rsidP="0045787B">
      <w:pPr>
        <w:pStyle w:val="aa"/>
        <w:widowControl w:val="0"/>
        <w:numPr>
          <w:ilvl w:val="0"/>
          <w:numId w:val="2"/>
        </w:numPr>
        <w:tabs>
          <w:tab w:val="left" w:pos="850"/>
        </w:tabs>
        <w:snapToGrid w:val="0"/>
        <w:spacing w:line="360" w:lineRule="auto"/>
        <w:ind w:left="1191" w:hanging="397"/>
        <w:jc w:val="both"/>
      </w:pPr>
      <w:hyperlink r:id="rId33" w:history="1">
        <w:r w:rsidRPr="00E1490D">
          <w:rPr>
            <w:color w:val="0000FF"/>
            <w:u w:val="single"/>
            <w:rtl/>
          </w:rPr>
          <w:t>רע"פ 4214/22</w:t>
        </w:r>
      </w:hyperlink>
      <w:r w:rsidR="0045787B">
        <w:rPr>
          <w:rtl/>
        </w:rPr>
        <w:t xml:space="preserve"> </w:t>
      </w:r>
      <w:r w:rsidR="0045787B">
        <w:rPr>
          <w:rFonts w:ascii="Miriam" w:hAnsi="Miriam" w:cs="Miriam"/>
          <w:b/>
          <w:bCs/>
          <w:szCs w:val="22"/>
          <w:rtl/>
        </w:rPr>
        <w:t>יצחק נ' מדינת ישראל</w:t>
      </w:r>
      <w:r w:rsidR="0045787B">
        <w:rPr>
          <w:rtl/>
        </w:rPr>
        <w:t xml:space="preserve"> (7.7.22) – נדחו ערעור ובקשת רשות ערעור של מי שהחזיק כ-150 גרם קנבוס. נקבע מתחם הנע ממאסר מותנה עד 10 חודשי מאסר בפועל. הרשעת המבקש – נעדר עבר פלילי, ששיתף פעולה עם שירות המבחן – נותרה על כנה, חרף התרשמותו החיובית של שירות המבחן והמלצתו לבטלה, משלא הוכח נזק קונקרטי או פוטנציאל פגיעה בתעסוקת המבקש או בשיקומו. הושתו מאסרים מותנים, מבחן, של"ץ, פסילה על תנאי, התחייבות וקנס.</w:t>
      </w:r>
    </w:p>
    <w:p w14:paraId="30CC0307" w14:textId="77777777" w:rsidR="0045787B" w:rsidRDefault="0045787B" w:rsidP="0045787B">
      <w:pPr>
        <w:pStyle w:val="aa"/>
        <w:widowControl w:val="0"/>
        <w:tabs>
          <w:tab w:val="left" w:pos="850"/>
        </w:tabs>
        <w:snapToGrid w:val="0"/>
        <w:ind w:left="1134"/>
        <w:jc w:val="both"/>
        <w:rPr>
          <w:sz w:val="20"/>
          <w:rtl/>
          <w:lang w:eastAsia="he-IL"/>
        </w:rPr>
      </w:pPr>
    </w:p>
    <w:bookmarkEnd w:id="7"/>
    <w:p w14:paraId="1D9CEDF3" w14:textId="77777777" w:rsidR="0045787B" w:rsidRDefault="00E1490D" w:rsidP="0045787B">
      <w:pPr>
        <w:pStyle w:val="aa"/>
        <w:widowControl w:val="0"/>
        <w:numPr>
          <w:ilvl w:val="0"/>
          <w:numId w:val="2"/>
        </w:numPr>
        <w:tabs>
          <w:tab w:val="left" w:pos="850"/>
        </w:tabs>
        <w:snapToGrid w:val="0"/>
        <w:spacing w:line="360" w:lineRule="auto"/>
        <w:ind w:left="1191" w:hanging="397"/>
        <w:jc w:val="both"/>
        <w:rPr>
          <w:rFonts w:ascii="Times New Roman" w:hAnsi="Times New Roman"/>
          <w:sz w:val="20"/>
          <w:lang w:eastAsia="he-IL"/>
        </w:rPr>
      </w:pPr>
      <w:r w:rsidRPr="00E1490D">
        <w:rPr>
          <w:color w:val="0000FF"/>
          <w:sz w:val="20"/>
          <w:u w:val="single"/>
          <w:rtl/>
          <w:lang w:eastAsia="he-IL"/>
        </w:rPr>
        <w:fldChar w:fldCharType="begin"/>
      </w:r>
      <w:r w:rsidRPr="00E1490D">
        <w:rPr>
          <w:color w:val="0000FF"/>
          <w:sz w:val="20"/>
          <w:u w:val="single"/>
          <w:rtl/>
          <w:lang w:eastAsia="he-IL"/>
        </w:rPr>
        <w:instrText xml:space="preserve"> </w:instrText>
      </w:r>
      <w:r w:rsidRPr="00E1490D">
        <w:rPr>
          <w:color w:val="0000FF"/>
          <w:sz w:val="20"/>
          <w:u w:val="single"/>
          <w:lang w:eastAsia="he-IL"/>
        </w:rPr>
        <w:instrText xml:space="preserve">HYPERLINK </w:instrText>
      </w:r>
      <w:r w:rsidRPr="00E1490D">
        <w:rPr>
          <w:color w:val="0000FF"/>
          <w:sz w:val="20"/>
          <w:u w:val="single"/>
          <w:rtl/>
          <w:lang w:eastAsia="he-IL"/>
        </w:rPr>
        <w:instrText>"</w:instrText>
      </w:r>
      <w:r w:rsidRPr="00E1490D">
        <w:rPr>
          <w:color w:val="0000FF"/>
          <w:sz w:val="20"/>
          <w:u w:val="single"/>
          <w:lang w:eastAsia="he-IL"/>
        </w:rPr>
        <w:instrText>http://www.nevo.co.il/case/23750765"</w:instrText>
      </w:r>
      <w:r w:rsidRPr="00E1490D">
        <w:rPr>
          <w:color w:val="0000FF"/>
          <w:sz w:val="20"/>
          <w:u w:val="single"/>
          <w:rtl/>
          <w:lang w:eastAsia="he-IL"/>
        </w:rPr>
        <w:instrText xml:space="preserve"> </w:instrText>
      </w:r>
      <w:r w:rsidRPr="00E1490D">
        <w:rPr>
          <w:color w:val="0000FF"/>
          <w:sz w:val="20"/>
          <w:u w:val="single"/>
          <w:rtl/>
          <w:lang w:eastAsia="he-IL"/>
        </w:rPr>
      </w:r>
      <w:r w:rsidRPr="00E1490D">
        <w:rPr>
          <w:color w:val="0000FF"/>
          <w:sz w:val="20"/>
          <w:u w:val="single"/>
          <w:rtl/>
          <w:lang w:eastAsia="he-IL"/>
        </w:rPr>
        <w:fldChar w:fldCharType="separate"/>
      </w:r>
      <w:r w:rsidRPr="00E1490D">
        <w:rPr>
          <w:color w:val="0000FF"/>
          <w:sz w:val="20"/>
          <w:u w:val="single"/>
          <w:rtl/>
          <w:lang w:eastAsia="he-IL"/>
        </w:rPr>
        <w:t>רע"פ 1473/18</w:t>
      </w:r>
      <w:r w:rsidRPr="00E1490D">
        <w:rPr>
          <w:color w:val="0000FF"/>
          <w:sz w:val="20"/>
          <w:u w:val="single"/>
          <w:rtl/>
          <w:lang w:eastAsia="he-IL"/>
        </w:rPr>
        <w:fldChar w:fldCharType="end"/>
      </w:r>
      <w:r w:rsidR="0045787B">
        <w:rPr>
          <w:sz w:val="20"/>
          <w:rtl/>
          <w:lang w:eastAsia="he-IL"/>
        </w:rPr>
        <w:t xml:space="preserve"> </w:t>
      </w:r>
      <w:r w:rsidR="0045787B">
        <w:rPr>
          <w:rFonts w:cs="Miriam"/>
          <w:b/>
          <w:bCs/>
          <w:sz w:val="18"/>
          <w:szCs w:val="22"/>
          <w:rtl/>
          <w:lang w:eastAsia="he-IL"/>
        </w:rPr>
        <w:t xml:space="preserve">אוחיון נ' מדינת ישראל </w:t>
      </w:r>
      <w:r w:rsidR="0045787B">
        <w:rPr>
          <w:rtl/>
          <w:lang w:eastAsia="he-IL"/>
        </w:rPr>
        <w:t>(22.4.18)</w:t>
      </w:r>
      <w:r w:rsidR="0045787B">
        <w:rPr>
          <w:sz w:val="20"/>
          <w:rtl/>
          <w:lang w:eastAsia="he-IL"/>
        </w:rPr>
        <w:t xml:space="preserve"> – נדחה ערעור על פסק דינו של בית המשפט המחוזי, שקיבל ערעור המדינה וקבע כי בהחזקת 5 יחידות קוקאין במשקל כולל של מעל 2 גרם, שלא לצריכה עצמית, מתחם העונש לא יכול להתחיל ממאסר מותנה, שכן: </w:t>
      </w:r>
      <w:r w:rsidR="0045787B" w:rsidRPr="0045787B">
        <w:rPr>
          <w:rFonts w:ascii="Calibri" w:hAnsi="Calibri"/>
          <w:rtl/>
        </w:rPr>
        <w:t>"</w:t>
      </w:r>
      <w:r w:rsidR="0045787B" w:rsidRPr="0045787B">
        <w:rPr>
          <w:rFonts w:ascii="Calibri" w:hAnsi="Calibri"/>
          <w:b/>
          <w:bCs/>
          <w:rtl/>
        </w:rPr>
        <w:t>לפי מגמת הפסיקה בסוג העבירה בו עסקינן, על הרף התחתון של מתחם העונש ההולם לעמוד, למצער, על שישה חודשי מאסר שניתן לרצותם בעבודות שירות</w:t>
      </w:r>
      <w:r w:rsidR="0045787B" w:rsidRPr="0045787B">
        <w:rPr>
          <w:rFonts w:ascii="Calibri" w:hAnsi="Calibri"/>
          <w:rtl/>
        </w:rPr>
        <w:t>...</w:t>
      </w:r>
      <w:r w:rsidR="0045787B" w:rsidRPr="0045787B">
        <w:rPr>
          <w:rFonts w:ascii="Calibri" w:hAnsi="Calibri"/>
          <w:b/>
          <w:bCs/>
          <w:rtl/>
        </w:rPr>
        <w:t xml:space="preserve"> אין הצדקה במקרה דנן להציב רף תחתון נמוך יותר, לנוכח הכמות המשמעותית של הסם המסוכן, אשר חולק למנות, וכן לאור העובדה, כי הסם נקנה עבור מסיבת רווקים</w:t>
      </w:r>
      <w:r w:rsidR="0045787B" w:rsidRPr="0045787B">
        <w:rPr>
          <w:rFonts w:ascii="Calibri" w:hAnsi="Calibri"/>
          <w:rtl/>
        </w:rPr>
        <w:t xml:space="preserve">". </w:t>
      </w:r>
    </w:p>
    <w:p w14:paraId="286144EB" w14:textId="77777777" w:rsidR="0045787B" w:rsidRDefault="0045787B" w:rsidP="0045787B">
      <w:pPr>
        <w:snapToGrid w:val="0"/>
        <w:spacing w:line="360" w:lineRule="auto"/>
        <w:ind w:left="1191"/>
        <w:jc w:val="both"/>
        <w:rPr>
          <w:rFonts w:ascii="David" w:hAnsi="David"/>
          <w:color w:val="000000"/>
          <w:shd w:val="clear" w:color="auto" w:fill="FFFFFF"/>
        </w:rPr>
      </w:pPr>
      <w:r>
        <w:rPr>
          <w:sz w:val="20"/>
          <w:rtl/>
          <w:lang w:eastAsia="he-IL"/>
        </w:rPr>
        <w:t xml:space="preserve">בית המשפט המחוזי קבע כי מתחם העונש ההולם הוא 12-6 חודשי מאסר לריצוי בפועל. על נאשם צעיר, נשוי ואב לילד, שלחובתו </w:t>
      </w:r>
      <w:r>
        <w:rPr>
          <w:rtl/>
        </w:rPr>
        <w:t>שתי הרשעות קודמות בגין החזקה ושימוש בסמים שלא לצריכה עצמית ובגין נהיגה תחת השפעת סמים או אלכוהול, אשר להתרשמות שירות המבחן נמצא "</w:t>
      </w:r>
      <w:r>
        <w:rPr>
          <w:rFonts w:ascii="David" w:hAnsi="David"/>
          <w:b/>
          <w:bCs/>
          <w:sz w:val="28"/>
          <w:rtl/>
        </w:rPr>
        <w:t>בעיצומו של הליך התפתחות אישית, משפחתית ותעסוקתית במטרה לערוך שינוי באורחות חייו</w:t>
      </w:r>
      <w:r>
        <w:rPr>
          <w:rtl/>
        </w:rPr>
        <w:t xml:space="preserve">", בעל יכולת לבחינה ביקורתית של התנהלותו, בצד סיכוי נמוך להישנות עבירות דומות – </w:t>
      </w:r>
      <w:r>
        <w:rPr>
          <w:sz w:val="20"/>
          <w:rtl/>
          <w:lang w:eastAsia="he-IL"/>
        </w:rPr>
        <w:t>הושתו, תוך חריגה מהמתחם, לאחר שבית המשפט התרשם כי מנהל אורח חיים נורמטיבי "</w:t>
      </w:r>
      <w:r>
        <w:rPr>
          <w:b/>
          <w:bCs/>
          <w:sz w:val="20"/>
          <w:rtl/>
          <w:lang w:eastAsia="he-IL"/>
        </w:rPr>
        <w:t>ונראה כי הניח את עולם הסמים מאחוריו</w:t>
      </w:r>
      <w:r>
        <w:rPr>
          <w:sz w:val="20"/>
          <w:rtl/>
          <w:lang w:eastAsia="he-IL"/>
        </w:rPr>
        <w:t xml:space="preserve">" – חודשיים מאסר לריצוי בעבודות שירות, לצד מאסר מותנה, קנס ופסילה מותנית, נוכח שיקולי שיקום שהצדיקו חריגה לקולה. </w:t>
      </w:r>
    </w:p>
    <w:p w14:paraId="369DA358" w14:textId="77777777" w:rsidR="0045787B" w:rsidRDefault="0045787B" w:rsidP="0045787B">
      <w:pPr>
        <w:pStyle w:val="aa"/>
        <w:widowControl w:val="0"/>
        <w:tabs>
          <w:tab w:val="left" w:pos="850"/>
        </w:tabs>
        <w:snapToGrid w:val="0"/>
        <w:ind w:left="1134"/>
        <w:jc w:val="both"/>
        <w:rPr>
          <w:color w:val="000000"/>
          <w:shd w:val="clear" w:color="auto" w:fill="FFFFFF"/>
        </w:rPr>
      </w:pPr>
    </w:p>
    <w:p w14:paraId="589034BE" w14:textId="77777777" w:rsidR="0045787B" w:rsidRDefault="00E1490D" w:rsidP="0045787B">
      <w:pPr>
        <w:pStyle w:val="aa"/>
        <w:widowControl w:val="0"/>
        <w:numPr>
          <w:ilvl w:val="0"/>
          <w:numId w:val="2"/>
        </w:numPr>
        <w:tabs>
          <w:tab w:val="left" w:pos="850"/>
        </w:tabs>
        <w:snapToGrid w:val="0"/>
        <w:spacing w:line="360" w:lineRule="auto"/>
        <w:ind w:left="1134" w:hanging="340"/>
        <w:jc w:val="both"/>
        <w:rPr>
          <w:rFonts w:ascii="Times New Roman" w:hAnsi="Times New Roman"/>
          <w:color w:val="000000"/>
          <w:shd w:val="clear" w:color="auto" w:fill="FFFFFF"/>
        </w:rPr>
      </w:pPr>
      <w:hyperlink r:id="rId34" w:history="1">
        <w:r w:rsidRPr="00E1490D">
          <w:rPr>
            <w:color w:val="0000FF"/>
            <w:u w:val="single"/>
            <w:rtl/>
          </w:rPr>
          <w:t>רע"פ 189/15</w:t>
        </w:r>
      </w:hyperlink>
      <w:r w:rsidR="0045787B">
        <w:rPr>
          <w:rtl/>
        </w:rPr>
        <w:t xml:space="preserve"> </w:t>
      </w:r>
      <w:r w:rsidR="0045787B">
        <w:rPr>
          <w:rFonts w:ascii="Miriam" w:hAnsi="Miriam" w:cs="Miriam"/>
          <w:b/>
          <w:bCs/>
          <w:sz w:val="22"/>
          <w:szCs w:val="22"/>
          <w:rtl/>
        </w:rPr>
        <w:t>כהן נ' מדינת ישראל</w:t>
      </w:r>
      <w:r w:rsidR="0045787B">
        <w:rPr>
          <w:sz w:val="22"/>
          <w:szCs w:val="22"/>
          <w:rtl/>
        </w:rPr>
        <w:t xml:space="preserve"> </w:t>
      </w:r>
      <w:r w:rsidR="0045787B">
        <w:rPr>
          <w:rtl/>
        </w:rPr>
        <w:t xml:space="preserve">(21.1.15) (להלן: </w:t>
      </w:r>
      <w:r w:rsidR="0045787B">
        <w:rPr>
          <w:rFonts w:ascii="Miriam" w:hAnsi="Miriam" w:cs="Miriam"/>
          <w:b/>
          <w:bCs/>
          <w:sz w:val="22"/>
          <w:szCs w:val="22"/>
          <w:rtl/>
        </w:rPr>
        <w:t>ענין כהן</w:t>
      </w:r>
      <w:r w:rsidR="0045787B">
        <w:rPr>
          <w:rtl/>
        </w:rPr>
        <w:t xml:space="preserve">), אליו הפנתה ב"כ המאשימה – </w:t>
      </w:r>
      <w:r w:rsidR="0045787B">
        <w:rPr>
          <w:color w:val="000000"/>
          <w:shd w:val="clear" w:color="auto" w:fill="FFFFFF"/>
          <w:rtl/>
        </w:rPr>
        <w:t>נדחו ערעור ובקשת רשות ערעור</w:t>
      </w:r>
      <w:r w:rsidR="0045787B">
        <w:rPr>
          <w:rFonts w:ascii="Miriam" w:hAnsi="Miriam" w:cs="Miriam"/>
          <w:color w:val="000000"/>
          <w:sz w:val="22"/>
          <w:szCs w:val="22"/>
          <w:shd w:val="clear" w:color="auto" w:fill="FFFFFF"/>
          <w:rtl/>
        </w:rPr>
        <w:t xml:space="preserve">. </w:t>
      </w:r>
      <w:r w:rsidR="0045787B">
        <w:rPr>
          <w:color w:val="000000"/>
          <w:shd w:val="clear" w:color="auto" w:fill="FFFFFF"/>
          <w:rtl/>
        </w:rPr>
        <w:t xml:space="preserve">המבקש (שהיה נאשם 1) הורשע בסחר, תיווך, החזקת 0.11 גרם חשיש וכן ב-החזקה בצוותא של 92.88 גרם חשיש, 3.0493 גרם קוקאין ב-6 שקיות ו-12.2719 גרם קוקאין. מי שהיה נאשם 2 הורשע ב-3 עבירות סחר (באחת מהן תיווך נאשם 1). בגין כל עבירת סחר ותיווך נקבע מתחם 8–18 חודשי מאסר בפועל, ובגין כל עבירת החזקה נקבע מתחם 6–12 חודשי מאסר בפועל. על המבקש הושתו 22 חודשי מאסר בפועל, מאסרים מותנים, קנס, התחייבות ופסילה על תנאי. </w:t>
      </w:r>
    </w:p>
    <w:p w14:paraId="2F444BB2" w14:textId="77777777" w:rsidR="0045787B" w:rsidRDefault="0045787B" w:rsidP="0045787B">
      <w:pPr>
        <w:pStyle w:val="aa"/>
        <w:widowControl w:val="0"/>
        <w:tabs>
          <w:tab w:val="left" w:pos="850"/>
        </w:tabs>
        <w:snapToGrid w:val="0"/>
        <w:spacing w:line="360" w:lineRule="auto"/>
        <w:ind w:left="1134"/>
        <w:jc w:val="both"/>
      </w:pPr>
      <w:r>
        <w:rPr>
          <w:color w:val="000000"/>
          <w:shd w:val="clear" w:color="auto" w:fill="FFFFFF"/>
          <w:rtl/>
        </w:rPr>
        <w:t>מקובלת עלי טענת ב"כ הנאשם, כי מאחר שהמבקש הורשע בעבירות נוספות – יש קושי לגזור מהעונש ב-</w:t>
      </w:r>
      <w:r>
        <w:rPr>
          <w:rFonts w:ascii="Miriam" w:hAnsi="Miriam" w:cs="Miriam"/>
          <w:b/>
          <w:bCs/>
          <w:sz w:val="22"/>
          <w:szCs w:val="22"/>
          <w:rtl/>
        </w:rPr>
        <w:t xml:space="preserve">ענין כהן </w:t>
      </w:r>
      <w:r>
        <w:rPr>
          <w:color w:val="000000"/>
          <w:shd w:val="clear" w:color="auto" w:fill="FFFFFF"/>
          <w:rtl/>
        </w:rPr>
        <w:t>אמת מידה עונשית הולמת לענייננו. עם זאת יצוין, כי בית המשפט נתן דעתו לעברו הנקי (פרט לעבירה אחת שלא הייתה רלוונטית), הודייתו וחרטתו, תוך נטילת אחריות ומאמצי השיקום הניכרים ולכן העמיד את עונשו בחלקים התחתונים של המתחמים. 3 הערכאות נתנו משקל לנסיבותיו האישיות ולשיקולי השיקום, תוך שנקבע כי חומרת המעשים לא מאפשרת מתן עדיפות לשיקולי השיקום עד לכדי חריגה מהמתחמים.</w:t>
      </w:r>
    </w:p>
    <w:p w14:paraId="6A18AA01" w14:textId="77777777" w:rsidR="0045787B" w:rsidRDefault="0045787B" w:rsidP="0045787B">
      <w:pPr>
        <w:pStyle w:val="aa"/>
        <w:widowControl w:val="0"/>
        <w:tabs>
          <w:tab w:val="left" w:pos="850"/>
        </w:tabs>
        <w:snapToGrid w:val="0"/>
        <w:ind w:left="1134"/>
        <w:jc w:val="both"/>
      </w:pPr>
    </w:p>
    <w:p w14:paraId="4F3EC6FF" w14:textId="77777777" w:rsidR="0045787B" w:rsidRDefault="00E1490D" w:rsidP="0045787B">
      <w:pPr>
        <w:pStyle w:val="aa"/>
        <w:widowControl w:val="0"/>
        <w:numPr>
          <w:ilvl w:val="0"/>
          <w:numId w:val="2"/>
        </w:numPr>
        <w:tabs>
          <w:tab w:val="left" w:pos="850"/>
        </w:tabs>
        <w:snapToGrid w:val="0"/>
        <w:spacing w:line="360" w:lineRule="auto"/>
        <w:ind w:left="1191" w:hanging="397"/>
        <w:jc w:val="both"/>
        <w:rPr>
          <w:rtl/>
        </w:rPr>
      </w:pPr>
      <w:hyperlink r:id="rId35" w:history="1">
        <w:r w:rsidRPr="00E1490D">
          <w:rPr>
            <w:color w:val="0000FF"/>
            <w:u w:val="single"/>
            <w:rtl/>
          </w:rPr>
          <w:t>רע"פ 747/14</w:t>
        </w:r>
      </w:hyperlink>
      <w:r w:rsidR="0045787B">
        <w:rPr>
          <w:rtl/>
        </w:rPr>
        <w:t xml:space="preserve"> </w:t>
      </w:r>
      <w:r w:rsidR="0045787B">
        <w:rPr>
          <w:rFonts w:ascii="Miriam" w:hAnsi="Miriam" w:cs="Miriam"/>
          <w:b/>
          <w:bCs/>
          <w:sz w:val="22"/>
          <w:szCs w:val="22"/>
          <w:rtl/>
        </w:rPr>
        <w:t>לוי נ' מדינת ישראל</w:t>
      </w:r>
      <w:r w:rsidR="0045787B">
        <w:rPr>
          <w:b/>
          <w:bCs/>
          <w:sz w:val="22"/>
          <w:szCs w:val="22"/>
          <w:rtl/>
        </w:rPr>
        <w:t xml:space="preserve"> </w:t>
      </w:r>
      <w:r w:rsidR="0045787B">
        <w:rPr>
          <w:rtl/>
        </w:rPr>
        <w:t xml:space="preserve">(11.2.14) (להלן: </w:t>
      </w:r>
      <w:r w:rsidR="0045787B">
        <w:rPr>
          <w:rFonts w:ascii="Miriam" w:hAnsi="Miriam" w:cs="Miriam"/>
          <w:b/>
          <w:bCs/>
          <w:sz w:val="22"/>
          <w:szCs w:val="22"/>
          <w:rtl/>
        </w:rPr>
        <w:t>ענין לוי</w:t>
      </w:r>
      <w:r w:rsidR="0045787B">
        <w:rPr>
          <w:rtl/>
        </w:rPr>
        <w:t xml:space="preserve">), אליו הפנתה ב"כ המאשימה – נדחו ערעור ובקשת רשות ערעור של מי שהורשע, לאחר ניהול הוכחות, בהחזקת כ-5 גרם הרואין מחולק ל-6 מנות ו-0.095 גרם קוקאין, שלא לצריכה עצמית </w:t>
      </w:r>
      <w:bookmarkStart w:id="9" w:name="_Hlk168736509"/>
      <w:r w:rsidR="0045787B">
        <w:rPr>
          <w:rtl/>
        </w:rPr>
        <w:t xml:space="preserve">וצירף תיק בו הודה והורשע על פי הודאתו בהחזקת כחצי גרם הרואין לצריכה עצמית. בית המשפט קבע כי לא ייחס משקל מכביד להרשעה בתיק שצורף ודחה בקשתו לקבל תסקיר משלים. </w:t>
      </w:r>
      <w:bookmarkEnd w:id="9"/>
      <w:r w:rsidR="0045787B">
        <w:rPr>
          <w:rtl/>
        </w:rPr>
        <w:t>נקבע מתחם 8–18 חודשי מאסר. בהתחשב, בין היתר, בשיקול שיקום, העונש נקבע ברף התחתון והושתו 8 חודשי מאסר בפועל, בניכוי ימי מעצרו, הגם ששירות המבחן המליץ בתסקירו, שהיה חיובי בעיקרו, להשית מאסר מותנה וצו מבחן. הושתו גם מאסרים מותנים, אך רשיונו לא נפסל, מחשש שתקשה על שיקומו לאחר שחרורו.</w:t>
      </w:r>
    </w:p>
    <w:p w14:paraId="36650E49" w14:textId="77777777" w:rsidR="0045787B" w:rsidRDefault="0045787B" w:rsidP="0045787B">
      <w:pPr>
        <w:pStyle w:val="aa"/>
        <w:widowControl w:val="0"/>
        <w:tabs>
          <w:tab w:val="left" w:pos="850"/>
        </w:tabs>
        <w:snapToGrid w:val="0"/>
        <w:spacing w:line="360" w:lineRule="auto"/>
        <w:ind w:left="1191"/>
        <w:jc w:val="both"/>
      </w:pPr>
      <w:bookmarkStart w:id="10" w:name="_Hlk168737906"/>
      <w:r>
        <w:rPr>
          <w:rtl/>
        </w:rPr>
        <w:t>מקובלת עלי טענת ב"כ הנאשם כי נסיבות ההחזקה ב-</w:t>
      </w:r>
      <w:r>
        <w:rPr>
          <w:rFonts w:ascii="Miriam" w:hAnsi="Miriam" w:cs="Miriam"/>
          <w:b/>
          <w:bCs/>
          <w:sz w:val="22"/>
          <w:szCs w:val="22"/>
          <w:rtl/>
        </w:rPr>
        <w:t>ענין לוי</w:t>
      </w:r>
      <w:r>
        <w:rPr>
          <w:rtl/>
        </w:rPr>
        <w:t xml:space="preserve"> חמורות מאלו שלפניי. עם זאת, בהינתן הקביעה כי להחזקת ההרואין לא ינתן משקל מכביד – ניתן להקיש מהמתחם ב-</w:t>
      </w:r>
      <w:r>
        <w:rPr>
          <w:rFonts w:ascii="Miriam" w:hAnsi="Miriam" w:cs="Miriam"/>
          <w:b/>
          <w:bCs/>
          <w:sz w:val="22"/>
          <w:szCs w:val="22"/>
          <w:rtl/>
        </w:rPr>
        <w:t xml:space="preserve">ענין לוי </w:t>
      </w:r>
      <w:r>
        <w:rPr>
          <w:rtl/>
        </w:rPr>
        <w:t>לענייננו. ניתן גם להקיש מהעונש לעניינו, הגם שמבחינת הנסיבות האישיות, עניינו של הנאשם שלפניי חמור פחות, גם בהתחשב בהודאתו ללא שמיעת ראיות. לצד זאת, יצויין כי בסופו של יום גם ב-</w:t>
      </w:r>
      <w:r>
        <w:rPr>
          <w:rFonts w:ascii="Miriam" w:hAnsi="Miriam" w:cs="Miriam"/>
          <w:b/>
          <w:bCs/>
          <w:sz w:val="22"/>
          <w:szCs w:val="22"/>
          <w:rtl/>
        </w:rPr>
        <w:t xml:space="preserve">ענין לוי </w:t>
      </w:r>
      <w:r>
        <w:rPr>
          <w:rtl/>
        </w:rPr>
        <w:t xml:space="preserve">מדובר היה במי </w:t>
      </w:r>
      <w:r>
        <w:rPr>
          <w:sz w:val="20"/>
          <w:rtl/>
          <w:lang w:eastAsia="he-IL"/>
        </w:rPr>
        <w:t>שנטל אחריות על מעשיו, שבוצעו על רקע מצבי דחק ומשברים בחייו, פנה מיוזמתו ליחידה להתמכרויות, עבר טיפול כשנה, נמצא נקי מסמים</w:t>
      </w:r>
      <w:bookmarkEnd w:id="10"/>
      <w:r>
        <w:rPr>
          <w:sz w:val="20"/>
          <w:rtl/>
          <w:lang w:eastAsia="he-IL"/>
        </w:rPr>
        <w:t>.</w:t>
      </w:r>
    </w:p>
    <w:p w14:paraId="5DE1E4B4" w14:textId="77777777" w:rsidR="0045787B" w:rsidRDefault="0045787B" w:rsidP="0045787B">
      <w:pPr>
        <w:pStyle w:val="aa"/>
        <w:widowControl w:val="0"/>
        <w:tabs>
          <w:tab w:val="left" w:pos="850"/>
        </w:tabs>
        <w:snapToGrid w:val="0"/>
        <w:spacing w:line="360" w:lineRule="auto"/>
        <w:ind w:left="1191"/>
        <w:jc w:val="both"/>
        <w:rPr>
          <w:rtl/>
        </w:rPr>
      </w:pPr>
      <w:r>
        <w:rPr>
          <w:sz w:val="20"/>
          <w:rtl/>
          <w:lang w:eastAsia="he-IL"/>
        </w:rPr>
        <w:t>זאת ועוד, בדחותו הבקשה קבע כב' הש' מלצר כי המאסר הוא לתקופה לא ממושכת, ואף קרובה יותר לענישה שנקבעה לעבירת החזקה לצריכה עצמית "</w:t>
      </w:r>
      <w:r>
        <w:rPr>
          <w:b/>
          <w:bCs/>
          <w:rtl/>
        </w:rPr>
        <w:t>בוודאי שאין לומר כי העונש שהושת על המבקש חורג ממדיניות הענישה המקובלת, או הראויה, ביחס לעבירות שבהן הורשע, בנסיבות ביצוען</w:t>
      </w:r>
      <w:r>
        <w:rPr>
          <w:rtl/>
        </w:rPr>
        <w:t xml:space="preserve">". </w:t>
      </w:r>
      <w:r>
        <w:rPr>
          <w:sz w:val="20"/>
          <w:rtl/>
          <w:lang w:eastAsia="he-IL"/>
        </w:rPr>
        <w:t>נקבע כי מצב בו הליך השיקום נמצא בתחילתו "</w:t>
      </w:r>
      <w:r>
        <w:rPr>
          <w:b/>
          <w:bCs/>
          <w:rtl/>
        </w:rPr>
        <w:t>איננו נמנה על אותם מקרים יוצאים מן הכלל שבהם מוצדק להעניק את הבכורה לשיקולי שיקומו של הנאשם ולהעדיפם על פני שיקולים אחרים, תוך חריגה לקולא ממתחם הענישה ההולם לעבירה בנסיבותיה</w:t>
      </w:r>
      <w:r>
        <w:rPr>
          <w:rtl/>
        </w:rPr>
        <w:t>" – להבדיל ממצב בו ההליך השיקומי הוכח כיעיל, נדיר, ייחודי והישגי השיקום היו מיוחדים.</w:t>
      </w:r>
    </w:p>
    <w:p w14:paraId="3E0FB398" w14:textId="77777777" w:rsidR="0045787B" w:rsidRDefault="0045787B" w:rsidP="0045787B">
      <w:pPr>
        <w:pStyle w:val="aa"/>
        <w:widowControl w:val="0"/>
        <w:tabs>
          <w:tab w:val="left" w:pos="850"/>
        </w:tabs>
        <w:snapToGrid w:val="0"/>
        <w:ind w:left="1134"/>
        <w:jc w:val="both"/>
        <w:rPr>
          <w:rtl/>
        </w:rPr>
      </w:pPr>
    </w:p>
    <w:p w14:paraId="7B699EC3" w14:textId="77777777" w:rsidR="0045787B" w:rsidRDefault="00E1490D" w:rsidP="0045787B">
      <w:pPr>
        <w:pStyle w:val="aa"/>
        <w:widowControl w:val="0"/>
        <w:numPr>
          <w:ilvl w:val="0"/>
          <w:numId w:val="2"/>
        </w:numPr>
        <w:tabs>
          <w:tab w:val="left" w:pos="850"/>
        </w:tabs>
        <w:snapToGrid w:val="0"/>
        <w:spacing w:line="360" w:lineRule="auto"/>
        <w:ind w:left="1134" w:hanging="340"/>
        <w:jc w:val="both"/>
        <w:rPr>
          <w:rtl/>
        </w:rPr>
      </w:pPr>
      <w:hyperlink r:id="rId36" w:history="1">
        <w:r w:rsidRPr="00E1490D">
          <w:rPr>
            <w:color w:val="0000FF"/>
            <w:u w:val="single"/>
            <w:rtl/>
          </w:rPr>
          <w:t>עפ"ג (מחוזי-ב"ש) 34270-03-18</w:t>
        </w:r>
      </w:hyperlink>
      <w:r w:rsidR="0045787B">
        <w:rPr>
          <w:rtl/>
        </w:rPr>
        <w:t xml:space="preserve"> </w:t>
      </w:r>
      <w:r w:rsidR="0045787B">
        <w:rPr>
          <w:rFonts w:ascii="Miriam" w:hAnsi="Miriam" w:cs="Miriam"/>
          <w:b/>
          <w:bCs/>
          <w:szCs w:val="22"/>
          <w:rtl/>
        </w:rPr>
        <w:t>זיתון נ' מדינת ישראל</w:t>
      </w:r>
      <w:r w:rsidR="0045787B">
        <w:rPr>
          <w:rtl/>
        </w:rPr>
        <w:t xml:space="preserve"> (13.5.18) – התקבל ערעור על גזר הדין ב-</w:t>
      </w:r>
      <w:hyperlink r:id="rId37" w:history="1">
        <w:r w:rsidRPr="00E1490D">
          <w:rPr>
            <w:color w:val="0000FF"/>
            <w:u w:val="single"/>
            <w:rtl/>
          </w:rPr>
          <w:t>ת"פ (שלום-אשק') 49156-08-15</w:t>
        </w:r>
      </w:hyperlink>
      <w:r w:rsidR="0045787B">
        <w:rPr>
          <w:rtl/>
        </w:rPr>
        <w:t xml:space="preserve"> </w:t>
      </w:r>
      <w:r w:rsidR="0045787B">
        <w:rPr>
          <w:rFonts w:ascii="Miriam" w:hAnsi="Miriam" w:cs="Miriam"/>
          <w:b/>
          <w:bCs/>
          <w:szCs w:val="22"/>
          <w:rtl/>
        </w:rPr>
        <w:t>מדינת ישראל נ' זיתון</w:t>
      </w:r>
      <w:r w:rsidR="0045787B">
        <w:rPr>
          <w:rtl/>
        </w:rPr>
        <w:t xml:space="preserve"> (4.2.18). בגין החזקת 8.46 גרם קוקאין נקבע מתחם 7–18 חודשי מאסר וענישה נלווית. בקבלת הערעור נקבע כי כל המאסר המותנה ירוצה בחופף ובהתאם לכך הופחת עונשו מ-10 ל-9 חודשי מאסר בפועל.</w:t>
      </w:r>
    </w:p>
    <w:p w14:paraId="1DFCA929" w14:textId="77777777" w:rsidR="0045787B" w:rsidRDefault="0045787B" w:rsidP="0045787B">
      <w:pPr>
        <w:pStyle w:val="aa"/>
        <w:widowControl w:val="0"/>
        <w:tabs>
          <w:tab w:val="left" w:pos="850"/>
        </w:tabs>
        <w:snapToGrid w:val="0"/>
        <w:ind w:left="1134"/>
        <w:jc w:val="both"/>
      </w:pPr>
    </w:p>
    <w:bookmarkStart w:id="11" w:name="_Hlk168738386"/>
    <w:p w14:paraId="00F2495D" w14:textId="77777777" w:rsidR="0045787B" w:rsidRDefault="00E1490D" w:rsidP="0045787B">
      <w:pPr>
        <w:pStyle w:val="aa"/>
        <w:widowControl w:val="0"/>
        <w:numPr>
          <w:ilvl w:val="0"/>
          <w:numId w:val="2"/>
        </w:numPr>
        <w:tabs>
          <w:tab w:val="left" w:pos="850"/>
        </w:tabs>
        <w:snapToGrid w:val="0"/>
        <w:spacing w:line="360" w:lineRule="auto"/>
        <w:ind w:left="1134" w:hanging="340"/>
        <w:jc w:val="both"/>
        <w:rPr>
          <w:rFonts w:ascii="Times New Roman" w:hAnsi="Times New Roman"/>
        </w:rPr>
      </w:pPr>
      <w:r w:rsidRPr="00E1490D">
        <w:rPr>
          <w:color w:val="0000FF"/>
          <w:u w:val="single"/>
          <w:rtl/>
        </w:rPr>
        <w:fldChar w:fldCharType="begin"/>
      </w:r>
      <w:r w:rsidRPr="00E1490D">
        <w:rPr>
          <w:color w:val="0000FF"/>
          <w:u w:val="single"/>
          <w:rtl/>
        </w:rPr>
        <w:instrText xml:space="preserve"> </w:instrText>
      </w:r>
      <w:r w:rsidRPr="00E1490D">
        <w:rPr>
          <w:color w:val="0000FF"/>
          <w:u w:val="single"/>
        </w:rPr>
        <w:instrText xml:space="preserve">HYPERLINK </w:instrText>
      </w:r>
      <w:r w:rsidRPr="00E1490D">
        <w:rPr>
          <w:color w:val="0000FF"/>
          <w:u w:val="single"/>
          <w:rtl/>
        </w:rPr>
        <w:instrText>"</w:instrText>
      </w:r>
      <w:r w:rsidRPr="00E1490D">
        <w:rPr>
          <w:color w:val="0000FF"/>
          <w:u w:val="single"/>
        </w:rPr>
        <w:instrText>http://www.nevo.co.il/case/22956321"</w:instrText>
      </w:r>
      <w:r w:rsidRPr="00E1490D">
        <w:rPr>
          <w:color w:val="0000FF"/>
          <w:u w:val="single"/>
          <w:rtl/>
        </w:rPr>
        <w:instrText xml:space="preserve"> </w:instrText>
      </w:r>
      <w:r w:rsidRPr="00E1490D">
        <w:rPr>
          <w:color w:val="0000FF"/>
          <w:u w:val="single"/>
          <w:rtl/>
        </w:rPr>
      </w:r>
      <w:r w:rsidRPr="00E1490D">
        <w:rPr>
          <w:color w:val="0000FF"/>
          <w:u w:val="single"/>
          <w:rtl/>
        </w:rPr>
        <w:fldChar w:fldCharType="separate"/>
      </w:r>
      <w:r w:rsidRPr="00E1490D">
        <w:rPr>
          <w:color w:val="0000FF"/>
          <w:u w:val="single"/>
          <w:rtl/>
        </w:rPr>
        <w:t>עפ"ג (מחוזי-י-ם) 7474-09-17</w:t>
      </w:r>
      <w:r w:rsidRPr="00E1490D">
        <w:rPr>
          <w:color w:val="0000FF"/>
          <w:u w:val="single"/>
          <w:rtl/>
        </w:rPr>
        <w:fldChar w:fldCharType="end"/>
      </w:r>
      <w:r w:rsidR="0045787B">
        <w:rPr>
          <w:rtl/>
        </w:rPr>
        <w:t xml:space="preserve"> </w:t>
      </w:r>
      <w:r w:rsidR="0045787B">
        <w:rPr>
          <w:rFonts w:ascii="Miriam" w:hAnsi="Miriam" w:cs="Miriam"/>
          <w:b/>
          <w:bCs/>
          <w:sz w:val="22"/>
          <w:szCs w:val="22"/>
          <w:rtl/>
        </w:rPr>
        <w:t>מדינת ישראל נ' שגב</w:t>
      </w:r>
      <w:r w:rsidR="0045787B">
        <w:rPr>
          <w:sz w:val="22"/>
          <w:szCs w:val="22"/>
          <w:rtl/>
        </w:rPr>
        <w:t xml:space="preserve"> </w:t>
      </w:r>
      <w:r w:rsidR="0045787B">
        <w:rPr>
          <w:rtl/>
        </w:rPr>
        <w:t>(8.3.18) – בגין הרשעתו, בהתאם להודאתו, בהחזקת 31.37 גרם קוקאין, שלא לצריכה עצמית נקבע מתחם 18-8 חודשי מאסר בפועל. תוך התחשבות בהליך שיקום שעבר הושתו 4 חודשי מאסר בפועל שירוצו בעבודות שירות, צו פיקוח לשנה, מאסרים מותנים ו-8,000 ₪ קנס. הערעור התקבל, אולם מטעמי שיקום נמצא שאין מקום להחמיר עם הנאשם ולהשית עליו עונש של מאסר מאחורי סורג ובריח ומשכך הושתו 6 חלף 4 חודשי מאסר בעבודות שירות</w:t>
      </w:r>
      <w:bookmarkEnd w:id="11"/>
      <w:r w:rsidR="0045787B">
        <w:rPr>
          <w:rtl/>
        </w:rPr>
        <w:t xml:space="preserve">. </w:t>
      </w:r>
    </w:p>
    <w:p w14:paraId="69F5227D" w14:textId="77777777" w:rsidR="0045787B" w:rsidRDefault="0045787B" w:rsidP="0045787B">
      <w:pPr>
        <w:pStyle w:val="aa"/>
        <w:widowControl w:val="0"/>
        <w:tabs>
          <w:tab w:val="left" w:pos="850"/>
        </w:tabs>
        <w:snapToGrid w:val="0"/>
        <w:ind w:left="1134"/>
        <w:jc w:val="both"/>
      </w:pPr>
    </w:p>
    <w:p w14:paraId="7C390DF8" w14:textId="77777777" w:rsidR="0045787B" w:rsidRDefault="00E1490D" w:rsidP="0045787B">
      <w:pPr>
        <w:pStyle w:val="aa"/>
        <w:widowControl w:val="0"/>
        <w:numPr>
          <w:ilvl w:val="0"/>
          <w:numId w:val="2"/>
        </w:numPr>
        <w:tabs>
          <w:tab w:val="left" w:pos="850"/>
        </w:tabs>
        <w:snapToGrid w:val="0"/>
        <w:spacing w:line="360" w:lineRule="auto"/>
        <w:ind w:left="1134" w:hanging="340"/>
        <w:jc w:val="both"/>
        <w:rPr>
          <w:rFonts w:ascii="Times New Roman" w:hAnsi="Times New Roman"/>
        </w:rPr>
      </w:pPr>
      <w:hyperlink r:id="rId38" w:history="1">
        <w:r w:rsidRPr="00E1490D">
          <w:rPr>
            <w:color w:val="0000FF"/>
            <w:u w:val="single"/>
            <w:rtl/>
          </w:rPr>
          <w:t>עפ"ג (מחוזי-ת"א) 6495-09-15</w:t>
        </w:r>
      </w:hyperlink>
      <w:r w:rsidR="0045787B">
        <w:rPr>
          <w:rtl/>
        </w:rPr>
        <w:t xml:space="preserve"> </w:t>
      </w:r>
      <w:r w:rsidR="0045787B">
        <w:rPr>
          <w:rFonts w:ascii="Miriam" w:hAnsi="Miriam" w:cs="Miriam"/>
          <w:b/>
          <w:bCs/>
          <w:szCs w:val="22"/>
          <w:rtl/>
        </w:rPr>
        <w:t>מדינת ישראל נ' דחל</w:t>
      </w:r>
      <w:r w:rsidR="0045787B">
        <w:rPr>
          <w:rtl/>
        </w:rPr>
        <w:t xml:space="preserve"> (2.12.15) – התקבל ערעור המדינה. בגין הרשעתו, על פי הודאתו, בהחזקת 5.04 גרם הרואין מחולק ל-7 מנות, שלא לצריכה עצמית (להלן: </w:t>
      </w:r>
      <w:r w:rsidR="0045787B">
        <w:rPr>
          <w:b/>
          <w:bCs/>
          <w:rtl/>
        </w:rPr>
        <w:t>האירוע הראשון</w:t>
      </w:r>
      <w:r w:rsidR="0045787B">
        <w:rPr>
          <w:rtl/>
        </w:rPr>
        <w:t xml:space="preserve">) נקבע מתחם 6–18 חודשי מאסר, חלף מתחם שתחילתו במאסר מותנה עד שנת מאסר בפועל. התיק הוחזר לבית משפט השלום לקבלת תסקיר וגזירת העונש. בתקופה זו החזיק 0.6628 גרם קוקאין ב-5 שקיות וכ-1 גרם הרואין, הפריע לשוטר ושיבש מהלכי משפט (להלן: </w:t>
      </w:r>
      <w:r w:rsidR="0045787B">
        <w:rPr>
          <w:b/>
          <w:bCs/>
          <w:rtl/>
        </w:rPr>
        <w:t>האירוע השני</w:t>
      </w:r>
      <w:r w:rsidR="0045787B">
        <w:rPr>
          <w:rtl/>
        </w:rPr>
        <w:t xml:space="preserve">). התיק באירוע השני צורף לתיק באירוע הראשון. נקבע מתחם 6–18 לכל אירוע. על צעיר, נעדר עבר פלילי, שהיה כבן 19 באירוע הראשון וכבן 21 באירוע השני – הושתו 12 חודשי מאסר </w:t>
      </w:r>
      <w:r w:rsidR="0045787B">
        <w:rPr>
          <w:rFonts w:hint="cs"/>
          <w:rtl/>
        </w:rPr>
        <w:t>ו</w:t>
      </w:r>
      <w:r w:rsidR="0045787B">
        <w:rPr>
          <w:rtl/>
        </w:rPr>
        <w:t>ענישה נלווית.</w:t>
      </w:r>
    </w:p>
    <w:p w14:paraId="33D9D25D" w14:textId="77777777" w:rsidR="0045787B" w:rsidRDefault="0045787B" w:rsidP="0045787B">
      <w:pPr>
        <w:pStyle w:val="aa"/>
      </w:pPr>
    </w:p>
    <w:bookmarkStart w:id="12" w:name="_Hlk168740592"/>
    <w:bookmarkStart w:id="13" w:name="_Hlk168738586"/>
    <w:p w14:paraId="46680995" w14:textId="77777777" w:rsidR="0045787B" w:rsidRDefault="00E1490D" w:rsidP="0045787B">
      <w:pPr>
        <w:pStyle w:val="aa"/>
        <w:widowControl w:val="0"/>
        <w:numPr>
          <w:ilvl w:val="0"/>
          <w:numId w:val="2"/>
        </w:numPr>
        <w:tabs>
          <w:tab w:val="left" w:pos="850"/>
        </w:tabs>
        <w:snapToGrid w:val="0"/>
        <w:spacing w:line="360" w:lineRule="auto"/>
        <w:ind w:left="1134" w:hanging="340"/>
        <w:jc w:val="both"/>
        <w:rPr>
          <w:rFonts w:ascii="Times New Roman" w:hAnsi="Times New Roman"/>
        </w:rPr>
      </w:pPr>
      <w:r w:rsidRPr="00E1490D">
        <w:rPr>
          <w:color w:val="0000FF"/>
          <w:u w:val="single"/>
          <w:rtl/>
        </w:rPr>
        <w:fldChar w:fldCharType="begin"/>
      </w:r>
      <w:r w:rsidRPr="00E1490D">
        <w:rPr>
          <w:color w:val="0000FF"/>
          <w:u w:val="single"/>
          <w:rtl/>
        </w:rPr>
        <w:instrText xml:space="preserve"> </w:instrText>
      </w:r>
      <w:r w:rsidRPr="00E1490D">
        <w:rPr>
          <w:color w:val="0000FF"/>
          <w:u w:val="single"/>
        </w:rPr>
        <w:instrText xml:space="preserve">HYPERLINK </w:instrText>
      </w:r>
      <w:r w:rsidRPr="00E1490D">
        <w:rPr>
          <w:color w:val="0000FF"/>
          <w:u w:val="single"/>
          <w:rtl/>
        </w:rPr>
        <w:instrText>"</w:instrText>
      </w:r>
      <w:r w:rsidRPr="00E1490D">
        <w:rPr>
          <w:color w:val="0000FF"/>
          <w:u w:val="single"/>
        </w:rPr>
        <w:instrText>http://www.nevo.co.il/case/20569205"</w:instrText>
      </w:r>
      <w:r w:rsidRPr="00E1490D">
        <w:rPr>
          <w:color w:val="0000FF"/>
          <w:u w:val="single"/>
          <w:rtl/>
        </w:rPr>
        <w:instrText xml:space="preserve"> </w:instrText>
      </w:r>
      <w:r w:rsidRPr="00E1490D">
        <w:rPr>
          <w:color w:val="0000FF"/>
          <w:u w:val="single"/>
          <w:rtl/>
        </w:rPr>
      </w:r>
      <w:r w:rsidRPr="00E1490D">
        <w:rPr>
          <w:color w:val="0000FF"/>
          <w:u w:val="single"/>
          <w:rtl/>
        </w:rPr>
        <w:fldChar w:fldCharType="separate"/>
      </w:r>
      <w:r w:rsidRPr="00E1490D">
        <w:rPr>
          <w:color w:val="0000FF"/>
          <w:u w:val="single"/>
          <w:rtl/>
        </w:rPr>
        <w:t>עפ"ג (מחוזי-ב"ש) 22489-09-15</w:t>
      </w:r>
      <w:r w:rsidRPr="00E1490D">
        <w:rPr>
          <w:color w:val="0000FF"/>
          <w:u w:val="single"/>
          <w:rtl/>
        </w:rPr>
        <w:fldChar w:fldCharType="end"/>
      </w:r>
      <w:r w:rsidR="0045787B">
        <w:rPr>
          <w:rtl/>
        </w:rPr>
        <w:t xml:space="preserve"> </w:t>
      </w:r>
      <w:r w:rsidR="0045787B">
        <w:rPr>
          <w:rFonts w:ascii="Miriam" w:hAnsi="Miriam" w:cs="Miriam"/>
          <w:b/>
          <w:bCs/>
          <w:sz w:val="22"/>
          <w:szCs w:val="22"/>
          <w:rtl/>
        </w:rPr>
        <w:t>חיים (עציר) נ' מדינת ישראל</w:t>
      </w:r>
      <w:r w:rsidR="0045787B">
        <w:rPr>
          <w:sz w:val="22"/>
          <w:szCs w:val="22"/>
          <w:rtl/>
        </w:rPr>
        <w:t xml:space="preserve"> </w:t>
      </w:r>
      <w:r w:rsidR="0045787B">
        <w:rPr>
          <w:rtl/>
        </w:rPr>
        <w:t xml:space="preserve">(11.11.15) – נדחה ערעור על </w:t>
      </w:r>
      <w:hyperlink r:id="rId39" w:history="1">
        <w:r w:rsidRPr="00E1490D">
          <w:rPr>
            <w:color w:val="0000FF"/>
            <w:u w:val="single"/>
            <w:rtl/>
          </w:rPr>
          <w:t>ת"פ (שלום-ב"ש) 56331-01-15</w:t>
        </w:r>
      </w:hyperlink>
      <w:r w:rsidR="0045787B">
        <w:rPr>
          <w:rtl/>
        </w:rPr>
        <w:t xml:space="preserve"> </w:t>
      </w:r>
      <w:r w:rsidR="0045787B">
        <w:rPr>
          <w:rFonts w:ascii="Miriam" w:hAnsi="Miriam" w:cs="Miriam"/>
          <w:b/>
          <w:bCs/>
          <w:sz w:val="22"/>
          <w:szCs w:val="22"/>
          <w:rtl/>
        </w:rPr>
        <w:t>מדינת ישראל נ' חיים</w:t>
      </w:r>
      <w:r w:rsidR="0045787B">
        <w:rPr>
          <w:b/>
          <w:bCs/>
          <w:sz w:val="22"/>
          <w:szCs w:val="22"/>
          <w:rtl/>
        </w:rPr>
        <w:t xml:space="preserve"> </w:t>
      </w:r>
      <w:r w:rsidR="0045787B">
        <w:rPr>
          <w:rtl/>
        </w:rPr>
        <w:t>(30.7.15), אליו הפנתה ב"כ המאשימה. בגין הרשעתו, על פי הודאתו, בהחזקת 20 מנות הרואין במשקל 4.6774 גרם, שלא לצריכתו העצמית, נקבע מתחם 9–18 חודשים מאסר בפועל. בית המשפט התחשב לקולה בכך שמדובר בנאשם כבן 60, שהודה והביע חרטה. מנגד ולחומרה, נתן דעתו לעברו המכביד המונה 36 הרשעות במגוון תחומים, לרבות הרשעה בעבירה של החזקת סם לצריכה עצמית בגינה הוטל עליו מאסר מותנה. בצד האמור, התחשב בית המשפט בכך שהסתבכותו האחרונה היתה כ-6 לפני מועד גזר הדין. הושתו 11 חודשי מאסר בפועל והופעל מאסר מותנה בן 3 חודשים, חלקו בחופף, לצד ענישה נלווית. בערעור נקבע כי העונש מתון בהינתן הכמות הרבה של ההרואין, כשהוא מחולק ל-20 מנות, אף בטרם הפנה לעברו המכביד מאוד בפלילים, בעיקר בעבירות סמים</w:t>
      </w:r>
      <w:bookmarkEnd w:id="12"/>
      <w:r w:rsidR="0045787B">
        <w:rPr>
          <w:rtl/>
        </w:rPr>
        <w:t xml:space="preserve">. </w:t>
      </w:r>
    </w:p>
    <w:p w14:paraId="20448421" w14:textId="77777777" w:rsidR="0045787B" w:rsidRDefault="0045787B" w:rsidP="0045787B">
      <w:pPr>
        <w:pStyle w:val="aa"/>
        <w:rPr>
          <w:rtl/>
        </w:rPr>
      </w:pPr>
    </w:p>
    <w:p w14:paraId="7F8DA825" w14:textId="77777777" w:rsidR="0045787B" w:rsidRDefault="00E1490D" w:rsidP="0045787B">
      <w:pPr>
        <w:pStyle w:val="aa"/>
        <w:widowControl w:val="0"/>
        <w:numPr>
          <w:ilvl w:val="0"/>
          <w:numId w:val="2"/>
        </w:numPr>
        <w:tabs>
          <w:tab w:val="left" w:pos="850"/>
        </w:tabs>
        <w:snapToGrid w:val="0"/>
        <w:spacing w:line="360" w:lineRule="auto"/>
        <w:ind w:left="1134" w:hanging="340"/>
        <w:jc w:val="both"/>
        <w:rPr>
          <w:rtl/>
        </w:rPr>
      </w:pPr>
      <w:hyperlink r:id="rId40" w:history="1">
        <w:r w:rsidRPr="00E1490D">
          <w:rPr>
            <w:color w:val="0000FF"/>
            <w:u w:val="single"/>
            <w:rtl/>
          </w:rPr>
          <w:t>ת"פ (שלום-קריות) 31993-05-22</w:t>
        </w:r>
      </w:hyperlink>
      <w:r w:rsidR="0045787B">
        <w:rPr>
          <w:rtl/>
        </w:rPr>
        <w:t xml:space="preserve"> </w:t>
      </w:r>
      <w:r w:rsidR="0045787B">
        <w:rPr>
          <w:rFonts w:ascii="Miriam" w:hAnsi="Miriam" w:cs="Miriam"/>
          <w:b/>
          <w:bCs/>
          <w:sz w:val="22"/>
          <w:szCs w:val="22"/>
          <w:rtl/>
        </w:rPr>
        <w:t>מדינת ישראל אזערי</w:t>
      </w:r>
      <w:r w:rsidR="0045787B">
        <w:rPr>
          <w:sz w:val="22"/>
          <w:szCs w:val="22"/>
          <w:rtl/>
        </w:rPr>
        <w:t xml:space="preserve"> </w:t>
      </w:r>
      <w:r w:rsidR="0045787B">
        <w:rPr>
          <w:rtl/>
        </w:rPr>
        <w:t>(13.2.24), אליו הפנה ב"כ הנאשם – נאשמת שהורשעה על פי הודאתה בהחזקת 5.8 גרם קוקאין ב-12 יחידות שונות, שלא לצריכה עצמית. נקבע מתחם הנע ממספר חודשי מאסר, שניתן לרצות בעבודות שירות, עד 18 חודשי מאסר בפועל, בצירוף ענישה נלווית. שירות המבחן לא בא בהמלצה טיפולית, שכן התרשם כי לצד התמודדותה עם מצב רפואי מורכב, נעדרת הנאשמת כוחות ומוטיבציה להשתלב בהליך טיפולי. בית המשפט חרג לקולה מהמתחם, משיקולי צדק, וגזר 4 חודשי מאסר מותנה ו-1,500 ₪ קנס</w:t>
      </w:r>
      <w:bookmarkEnd w:id="13"/>
      <w:r w:rsidR="0045787B">
        <w:rPr>
          <w:rtl/>
        </w:rPr>
        <w:t xml:space="preserve">. </w:t>
      </w:r>
    </w:p>
    <w:p w14:paraId="7878A28D" w14:textId="77777777" w:rsidR="0045787B" w:rsidRDefault="0045787B" w:rsidP="0045787B">
      <w:pPr>
        <w:pStyle w:val="aa"/>
      </w:pPr>
    </w:p>
    <w:p w14:paraId="4700F907" w14:textId="77777777" w:rsidR="0045787B" w:rsidRDefault="00E1490D" w:rsidP="0045787B">
      <w:pPr>
        <w:pStyle w:val="aa"/>
        <w:widowControl w:val="0"/>
        <w:numPr>
          <w:ilvl w:val="0"/>
          <w:numId w:val="2"/>
        </w:numPr>
        <w:tabs>
          <w:tab w:val="left" w:pos="850"/>
        </w:tabs>
        <w:snapToGrid w:val="0"/>
        <w:spacing w:line="360" w:lineRule="auto"/>
        <w:ind w:left="1134" w:hanging="340"/>
        <w:jc w:val="both"/>
      </w:pPr>
      <w:hyperlink r:id="rId41" w:history="1">
        <w:r w:rsidRPr="00E1490D">
          <w:rPr>
            <w:color w:val="0000FF"/>
            <w:u w:val="single"/>
            <w:rtl/>
          </w:rPr>
          <w:t>ת"פ (שלום-ת"א) 21280-11-18</w:t>
        </w:r>
      </w:hyperlink>
      <w:r w:rsidR="0045787B">
        <w:rPr>
          <w:rtl/>
        </w:rPr>
        <w:t xml:space="preserve"> </w:t>
      </w:r>
      <w:r w:rsidR="0045787B">
        <w:rPr>
          <w:rFonts w:ascii="Miriam" w:hAnsi="Miriam" w:cs="Miriam"/>
          <w:b/>
          <w:bCs/>
          <w:sz w:val="22"/>
          <w:szCs w:val="22"/>
          <w:rtl/>
        </w:rPr>
        <w:t>מדינת ישראל נ' לוי</w:t>
      </w:r>
      <w:r w:rsidR="0045787B">
        <w:rPr>
          <w:sz w:val="22"/>
          <w:szCs w:val="22"/>
          <w:rtl/>
        </w:rPr>
        <w:t xml:space="preserve"> </w:t>
      </w:r>
      <w:r w:rsidR="0045787B">
        <w:rPr>
          <w:rtl/>
        </w:rPr>
        <w:t>(6.2.24), אליו הפנה ב"כ הנאשם – נאשם שהורשע, לאחר ניהול הוכחות, בהחזקת 23.56 גרם קוקאין, שלא לצריכה עצמית. נקבע מתחם 8–18 חודשי מאסר בפועל, לצד ענישה נלווית. תוך התחשבות, בין היתר, בהיעדר עברו הפלילי, חלוף הזמן, היותו מפרנס משפחתו בדוחק – נקבע כי הנאשם מצוי בשליש התחתון של המתחם והושתו 9 חודשי מאסר בפועל לריצוי בעבודות שירות, מאסר מותנה, 3,000 ₪ קנס ו-4 חודשי פסילה על תנאי. ערעור שהגיש הנאשם ב</w:t>
      </w:r>
      <w:r w:rsidR="0045787B">
        <w:rPr>
          <w:rFonts w:hint="cs"/>
          <w:rtl/>
        </w:rPr>
        <w:t>-</w:t>
      </w:r>
      <w:hyperlink r:id="rId42" w:history="1">
        <w:r w:rsidRPr="00E1490D">
          <w:rPr>
            <w:color w:val="0000FF"/>
            <w:u w:val="single"/>
            <w:rtl/>
          </w:rPr>
          <w:t>עפ"ג 40214-03-24</w:t>
        </w:r>
      </w:hyperlink>
      <w:r w:rsidR="0045787B">
        <w:rPr>
          <w:rtl/>
        </w:rPr>
        <w:t xml:space="preserve"> </w:t>
      </w:r>
      <w:r w:rsidR="0045787B" w:rsidRPr="004C5F7B">
        <w:rPr>
          <w:rFonts w:ascii="Miriam" w:hAnsi="Miriam" w:cs="Miriam"/>
          <w:b/>
          <w:bCs/>
          <w:sz w:val="22"/>
          <w:szCs w:val="22"/>
          <w:rtl/>
        </w:rPr>
        <w:t>לוי נ' מדינת ישראל</w:t>
      </w:r>
      <w:r w:rsidR="0045787B" w:rsidRPr="004C5F7B">
        <w:rPr>
          <w:sz w:val="22"/>
          <w:szCs w:val="22"/>
          <w:rtl/>
        </w:rPr>
        <w:t>,</w:t>
      </w:r>
      <w:r w:rsidR="0045787B" w:rsidRPr="004C5F7B">
        <w:rPr>
          <w:b/>
          <w:bCs/>
          <w:sz w:val="22"/>
          <w:szCs w:val="22"/>
          <w:rtl/>
        </w:rPr>
        <w:t xml:space="preserve"> </w:t>
      </w:r>
      <w:r w:rsidR="0045787B">
        <w:rPr>
          <w:rtl/>
        </w:rPr>
        <w:t xml:space="preserve">עודנו תלוי ועומד בפני בית המשפט המחוזי ת"א-יפו. </w:t>
      </w:r>
    </w:p>
    <w:p w14:paraId="0B5E5A7D" w14:textId="77777777" w:rsidR="0045787B" w:rsidRDefault="0045787B" w:rsidP="0045787B">
      <w:pPr>
        <w:pStyle w:val="aa"/>
        <w:rPr>
          <w:rtl/>
        </w:rPr>
      </w:pPr>
    </w:p>
    <w:bookmarkStart w:id="14" w:name="_Hlk168739885"/>
    <w:p w14:paraId="3DC211D3" w14:textId="77777777" w:rsidR="0045787B" w:rsidRDefault="00E1490D" w:rsidP="0045787B">
      <w:pPr>
        <w:pStyle w:val="aa"/>
        <w:widowControl w:val="0"/>
        <w:numPr>
          <w:ilvl w:val="0"/>
          <w:numId w:val="2"/>
        </w:numPr>
        <w:tabs>
          <w:tab w:val="left" w:pos="850"/>
        </w:tabs>
        <w:snapToGrid w:val="0"/>
        <w:spacing w:line="360" w:lineRule="auto"/>
        <w:ind w:left="1134" w:hanging="340"/>
        <w:jc w:val="both"/>
      </w:pPr>
      <w:r w:rsidRPr="00E1490D">
        <w:rPr>
          <w:color w:val="0000FF"/>
          <w:u w:val="single"/>
          <w:rtl/>
        </w:rPr>
        <w:fldChar w:fldCharType="begin"/>
      </w:r>
      <w:r w:rsidRPr="00E1490D">
        <w:rPr>
          <w:color w:val="0000FF"/>
          <w:u w:val="single"/>
          <w:rtl/>
        </w:rPr>
        <w:instrText xml:space="preserve"> </w:instrText>
      </w:r>
      <w:r w:rsidRPr="00E1490D">
        <w:rPr>
          <w:color w:val="0000FF"/>
          <w:u w:val="single"/>
        </w:rPr>
        <w:instrText xml:space="preserve">HYPERLINK </w:instrText>
      </w:r>
      <w:r w:rsidRPr="00E1490D">
        <w:rPr>
          <w:color w:val="0000FF"/>
          <w:u w:val="single"/>
          <w:rtl/>
        </w:rPr>
        <w:instrText>"</w:instrText>
      </w:r>
      <w:r w:rsidRPr="00E1490D">
        <w:rPr>
          <w:color w:val="0000FF"/>
          <w:u w:val="single"/>
        </w:rPr>
        <w:instrText>http://www.nevo.co.il/case/22369038"</w:instrText>
      </w:r>
      <w:r w:rsidRPr="00E1490D">
        <w:rPr>
          <w:color w:val="0000FF"/>
          <w:u w:val="single"/>
          <w:rtl/>
        </w:rPr>
        <w:instrText xml:space="preserve"> </w:instrText>
      </w:r>
      <w:r w:rsidRPr="00E1490D">
        <w:rPr>
          <w:color w:val="0000FF"/>
          <w:u w:val="single"/>
          <w:rtl/>
        </w:rPr>
      </w:r>
      <w:r w:rsidRPr="00E1490D">
        <w:rPr>
          <w:color w:val="0000FF"/>
          <w:u w:val="single"/>
          <w:rtl/>
        </w:rPr>
        <w:fldChar w:fldCharType="separate"/>
      </w:r>
      <w:r w:rsidRPr="00E1490D">
        <w:rPr>
          <w:color w:val="0000FF"/>
          <w:u w:val="single"/>
          <w:rtl/>
        </w:rPr>
        <w:t>ת"פ (שלום-י-ם) 65985-03-17</w:t>
      </w:r>
      <w:r w:rsidRPr="00E1490D">
        <w:rPr>
          <w:color w:val="0000FF"/>
          <w:u w:val="single"/>
          <w:rtl/>
        </w:rPr>
        <w:fldChar w:fldCharType="end"/>
      </w:r>
      <w:r w:rsidR="0045787B">
        <w:rPr>
          <w:rtl/>
        </w:rPr>
        <w:t xml:space="preserve"> </w:t>
      </w:r>
      <w:r w:rsidR="0045787B">
        <w:rPr>
          <w:rFonts w:ascii="Miriam" w:hAnsi="Miriam" w:cs="Miriam"/>
          <w:b/>
          <w:bCs/>
          <w:sz w:val="22"/>
          <w:szCs w:val="22"/>
          <w:rtl/>
        </w:rPr>
        <w:t>מדינת ישראל נ' טבול</w:t>
      </w:r>
      <w:r w:rsidR="0045787B">
        <w:rPr>
          <w:sz w:val="22"/>
          <w:szCs w:val="22"/>
          <w:rtl/>
        </w:rPr>
        <w:t xml:space="preserve"> </w:t>
      </w:r>
      <w:r w:rsidR="0045787B">
        <w:rPr>
          <w:rtl/>
        </w:rPr>
        <w:t>(11.9.19), אליו הפנה ב"כ הנאשם – בגין הרשעתו, על פי הודאתו, בהחזקת 19.96 גרם קוקאין, שלא לצריכתו העצמית נקבע מתחם 8–18. הורשע על פי הודאתו גם ב-7 עבירות מס. על הנאשם – בשנות ה-50 לחייו, בעל עבר פלילי, שלא נטל אחריות אמיתית למעשיו בשני התיקים ושסירב באופן חוזר ונשנה להליך טיפולי אינטנסיבי לגמילה מסמים – הושתו 5 חודשי מאסר בפועל בתיק המס ו-7 חודשי מאסר בפועל בתיק הסמים. נקבע כי 3 חודשים יהיו בחופף ו-4 חודשים במצטבר, כך שסך הכול הושתו בגין 2 התיקים 9 חודשי מאסר בפועל, בניכוי ימי מעצרו. בנוסף הושתו מאסר מותנה ו-20,000 ₪ קנס</w:t>
      </w:r>
      <w:bookmarkEnd w:id="14"/>
      <w:r w:rsidR="0045787B">
        <w:rPr>
          <w:rtl/>
        </w:rPr>
        <w:t xml:space="preserve">. </w:t>
      </w:r>
    </w:p>
    <w:p w14:paraId="5932B021" w14:textId="77777777" w:rsidR="0045787B" w:rsidRDefault="0045787B" w:rsidP="0045787B">
      <w:pPr>
        <w:pStyle w:val="aa"/>
        <w:widowControl w:val="0"/>
        <w:tabs>
          <w:tab w:val="left" w:pos="850"/>
        </w:tabs>
        <w:snapToGrid w:val="0"/>
        <w:spacing w:line="360" w:lineRule="auto"/>
        <w:ind w:left="1134"/>
        <w:jc w:val="both"/>
        <w:rPr>
          <w:color w:val="000000"/>
          <w:shd w:val="clear" w:color="auto" w:fill="FFFFFF"/>
        </w:rPr>
      </w:pPr>
    </w:p>
    <w:p w14:paraId="089BD216" w14:textId="77777777" w:rsidR="0045787B" w:rsidRDefault="0045787B" w:rsidP="0045787B">
      <w:pPr>
        <w:numPr>
          <w:ilvl w:val="1"/>
          <w:numId w:val="1"/>
        </w:numPr>
        <w:snapToGrid w:val="0"/>
        <w:spacing w:line="360" w:lineRule="auto"/>
        <w:ind w:left="714" w:hanging="357"/>
        <w:jc w:val="both"/>
        <w:rPr>
          <w:rtl/>
        </w:rPr>
      </w:pPr>
      <w:r>
        <w:rPr>
          <w:b/>
          <w:rtl/>
        </w:rPr>
        <w:t xml:space="preserve">בפסיקה עוברת כחוט השני חשיבות </w:t>
      </w:r>
      <w:r>
        <w:rPr>
          <w:b/>
          <w:bCs/>
          <w:rtl/>
        </w:rPr>
        <w:t>נסיבות הקשורות בביצוע העבירות</w:t>
      </w:r>
      <w:r>
        <w:rPr>
          <w:rtl/>
        </w:rPr>
        <w:t xml:space="preserve">, בהתאם </w:t>
      </w:r>
      <w:hyperlink r:id="rId43" w:history="1">
        <w:r w:rsidR="00472E4E" w:rsidRPr="00472E4E">
          <w:rPr>
            <w:rStyle w:val="Hyperlink"/>
            <w:color w:val="0000FF"/>
            <w:rtl/>
          </w:rPr>
          <w:t>לסעיף 40יט</w:t>
        </w:r>
      </w:hyperlink>
      <w:r>
        <w:rPr>
          <w:rtl/>
        </w:rPr>
        <w:t xml:space="preserve"> ל-</w:t>
      </w:r>
      <w:hyperlink r:id="rId44" w:history="1">
        <w:r w:rsidR="00E1490D" w:rsidRPr="00E1490D">
          <w:rPr>
            <w:rFonts w:ascii="Miriam" w:hAnsi="Miriam" w:cs="Miriam"/>
            <w:b/>
            <w:bCs/>
            <w:color w:val="0000FF"/>
            <w:szCs w:val="22"/>
            <w:u w:val="single"/>
            <w:rtl/>
          </w:rPr>
          <w:t>חוק העונשין</w:t>
        </w:r>
      </w:hyperlink>
      <w:r>
        <w:rPr>
          <w:rFonts w:ascii="Miriam" w:hAnsi="Miriam" w:cs="Miriam"/>
          <w:b/>
          <w:bCs/>
          <w:szCs w:val="22"/>
          <w:rtl/>
        </w:rPr>
        <w:t xml:space="preserve">, </w:t>
      </w:r>
      <w:r>
        <w:rPr>
          <w:rtl/>
        </w:rPr>
        <w:t>ובכלל זה סוג הסם, אופן החזקתו וכמותו. עיון בפסיקה מלמד, כי אין דין החזקת סמים מסוג קנבוס וחשיש כדין החזקת סמים מסוג קוקאין והרואין, אין דין החזקת גרמים בודדים כדין החזקת קילוגרמים רבים ואין דין החזקה לשימוש עצמי כדין החזקה שלא לשימוש עצמי בנסיבות המלמדות על מטרות סחר. משכך התחשבתי בנסיבות הבאות:</w:t>
      </w:r>
    </w:p>
    <w:p w14:paraId="5CD73F47" w14:textId="77777777" w:rsidR="0045787B" w:rsidRDefault="0045787B" w:rsidP="0045787B">
      <w:pPr>
        <w:snapToGrid w:val="0"/>
        <w:ind w:left="714"/>
        <w:jc w:val="both"/>
      </w:pPr>
    </w:p>
    <w:p w14:paraId="48A363DB" w14:textId="77777777" w:rsidR="0045787B" w:rsidRDefault="0045787B" w:rsidP="0045787B">
      <w:pPr>
        <w:widowControl w:val="0"/>
        <w:numPr>
          <w:ilvl w:val="2"/>
          <w:numId w:val="1"/>
        </w:numPr>
        <w:snapToGrid w:val="0"/>
        <w:spacing w:line="360" w:lineRule="auto"/>
        <w:ind w:left="1191" w:hanging="397"/>
        <w:jc w:val="both"/>
        <w:rPr>
          <w:rFonts w:ascii="David" w:hAnsi="David"/>
          <w:rtl/>
          <w:lang w:eastAsia="he-IL"/>
        </w:rPr>
      </w:pPr>
      <w:r>
        <w:rPr>
          <w:rFonts w:ascii="David" w:hAnsi="David"/>
          <w:rtl/>
          <w:lang w:eastAsia="he-IL"/>
        </w:rPr>
        <w:t xml:space="preserve">הנאשם הוא </w:t>
      </w:r>
      <w:r>
        <w:rPr>
          <w:rFonts w:ascii="David" w:hAnsi="David"/>
          <w:b/>
          <w:bCs/>
          <w:rtl/>
          <w:lang w:eastAsia="he-IL"/>
        </w:rPr>
        <w:t xml:space="preserve">המבצע היחיד, ומשכך העיקרי </w:t>
      </w:r>
      <w:r>
        <w:rPr>
          <w:rFonts w:ascii="David" w:hAnsi="David"/>
          <w:rtl/>
          <w:lang w:eastAsia="he-IL"/>
        </w:rPr>
        <w:t xml:space="preserve">של העבירה. </w:t>
      </w:r>
    </w:p>
    <w:p w14:paraId="3F3A92F6" w14:textId="77777777" w:rsidR="0045787B" w:rsidRDefault="0045787B" w:rsidP="0045787B">
      <w:pPr>
        <w:widowControl w:val="0"/>
        <w:snapToGrid w:val="0"/>
        <w:ind w:left="1191"/>
        <w:jc w:val="both"/>
        <w:rPr>
          <w:rFonts w:ascii="David" w:hAnsi="David"/>
          <w:lang w:eastAsia="he-IL"/>
        </w:rPr>
      </w:pPr>
    </w:p>
    <w:p w14:paraId="4524CF5E" w14:textId="77777777" w:rsidR="0045787B" w:rsidRDefault="0045787B" w:rsidP="0045787B">
      <w:pPr>
        <w:widowControl w:val="0"/>
        <w:numPr>
          <w:ilvl w:val="2"/>
          <w:numId w:val="1"/>
        </w:numPr>
        <w:snapToGrid w:val="0"/>
        <w:spacing w:line="360" w:lineRule="auto"/>
        <w:ind w:left="1191" w:hanging="397"/>
        <w:jc w:val="both"/>
        <w:rPr>
          <w:rFonts w:ascii="David" w:hAnsi="David"/>
          <w:rtl/>
          <w:lang w:eastAsia="he-IL"/>
        </w:rPr>
      </w:pPr>
      <w:r>
        <w:rPr>
          <w:rFonts w:ascii="David" w:hAnsi="David"/>
          <w:rtl/>
          <w:lang w:eastAsia="he-IL"/>
        </w:rPr>
        <w:t xml:space="preserve">עבירות החזקת סמים, מעצם טיבן וטבען </w:t>
      </w:r>
      <w:r>
        <w:rPr>
          <w:rFonts w:ascii="David" w:hAnsi="David"/>
          <w:b/>
          <w:bCs/>
          <w:rtl/>
          <w:lang w:eastAsia="he-IL"/>
        </w:rPr>
        <w:t>קדם להן תכנון</w:t>
      </w:r>
      <w:r>
        <w:rPr>
          <w:rFonts w:ascii="David" w:hAnsi="David"/>
          <w:rtl/>
          <w:lang w:eastAsia="he-IL"/>
        </w:rPr>
        <w:t>.</w:t>
      </w:r>
    </w:p>
    <w:p w14:paraId="3034277C" w14:textId="77777777" w:rsidR="0045787B" w:rsidRDefault="0045787B" w:rsidP="0045787B">
      <w:pPr>
        <w:pStyle w:val="aa"/>
        <w:rPr>
          <w:lang w:eastAsia="he-IL"/>
        </w:rPr>
      </w:pPr>
    </w:p>
    <w:p w14:paraId="5BDB8DD2" w14:textId="77777777" w:rsidR="0045787B" w:rsidRDefault="0045787B" w:rsidP="0045787B">
      <w:pPr>
        <w:widowControl w:val="0"/>
        <w:numPr>
          <w:ilvl w:val="2"/>
          <w:numId w:val="1"/>
        </w:numPr>
        <w:snapToGrid w:val="0"/>
        <w:spacing w:line="360" w:lineRule="auto"/>
        <w:ind w:left="1191" w:hanging="397"/>
        <w:jc w:val="both"/>
        <w:rPr>
          <w:rFonts w:ascii="David" w:hAnsi="David"/>
          <w:rtl/>
          <w:lang w:eastAsia="he-IL"/>
        </w:rPr>
      </w:pPr>
      <w:r>
        <w:rPr>
          <w:rFonts w:ascii="David" w:hAnsi="David"/>
          <w:rtl/>
          <w:lang w:eastAsia="he-IL"/>
        </w:rPr>
        <w:t>בהינתן כי הסמים נתפסו, הרי ש</w:t>
      </w:r>
      <w:r>
        <w:rPr>
          <w:rFonts w:ascii="David" w:hAnsi="David"/>
          <w:b/>
          <w:bCs/>
          <w:rtl/>
          <w:lang w:eastAsia="he-IL"/>
        </w:rPr>
        <w:t>לא נגרם נזק משמעותי מביצוע העבירות</w:t>
      </w:r>
      <w:r>
        <w:rPr>
          <w:rFonts w:ascii="David" w:hAnsi="David"/>
          <w:rtl/>
          <w:lang w:eastAsia="he-IL"/>
        </w:rPr>
        <w:t xml:space="preserve">. עם זאת, אין להקל ראש </w:t>
      </w:r>
      <w:r>
        <w:rPr>
          <w:rFonts w:ascii="David" w:hAnsi="David"/>
          <w:b/>
          <w:bCs/>
          <w:rtl/>
          <w:lang w:eastAsia="he-IL"/>
        </w:rPr>
        <w:t>בנזקים שהיו צפויים להיגרם מביצוע העבירות</w:t>
      </w:r>
      <w:r>
        <w:rPr>
          <w:rFonts w:ascii="David" w:hAnsi="David"/>
          <w:rtl/>
          <w:lang w:eastAsia="he-IL"/>
        </w:rPr>
        <w:t xml:space="preserve">: </w:t>
      </w:r>
      <w:r>
        <w:rPr>
          <w:rFonts w:ascii="David" w:hAnsi="David"/>
          <w:u w:val="single"/>
          <w:rtl/>
          <w:lang w:eastAsia="he-IL"/>
        </w:rPr>
        <w:t>בהחזקת קוקאין</w:t>
      </w:r>
      <w:r>
        <w:rPr>
          <w:rFonts w:ascii="David" w:hAnsi="David"/>
          <w:rtl/>
          <w:lang w:eastAsia="he-IL"/>
        </w:rPr>
        <w:t xml:space="preserve"> – </w:t>
      </w:r>
      <w:r>
        <w:rPr>
          <w:rFonts w:ascii="Arial" w:hAnsi="Arial"/>
          <w:sz w:val="20"/>
          <w:rtl/>
          <w:lang w:eastAsia="he-IL"/>
        </w:rPr>
        <w:t>מדובר בהחזקת אחד הסמים הקשים והקטלניים שב-</w:t>
      </w:r>
      <w:r>
        <w:rPr>
          <w:rFonts w:ascii="Miriam" w:hAnsi="Miriam" w:cs="Miriam"/>
          <w:b/>
          <w:bCs/>
          <w:sz w:val="22"/>
          <w:szCs w:val="22"/>
          <w:rtl/>
        </w:rPr>
        <w:t>פקודת הסמים</w:t>
      </w:r>
      <w:r>
        <w:rPr>
          <w:rFonts w:ascii="Arial" w:hAnsi="Arial"/>
          <w:sz w:val="20"/>
          <w:rtl/>
          <w:lang w:eastAsia="he-IL"/>
        </w:rPr>
        <w:t>, בכמות של כמעט פי 25 מהכמות שנקבעה ב-</w:t>
      </w:r>
      <w:r>
        <w:rPr>
          <w:rFonts w:cs="Miriam"/>
          <w:b/>
          <w:bCs/>
          <w:sz w:val="18"/>
          <w:szCs w:val="22"/>
          <w:rtl/>
          <w:lang w:eastAsia="he-IL"/>
        </w:rPr>
        <w:t xml:space="preserve">פקודת הסמים </w:t>
      </w:r>
      <w:r>
        <w:rPr>
          <w:rFonts w:ascii="Arial" w:hAnsi="Arial"/>
          <w:sz w:val="20"/>
          <w:rtl/>
          <w:lang w:eastAsia="he-IL"/>
        </w:rPr>
        <w:t>להחזקה עצמית.</w:t>
      </w:r>
      <w:r>
        <w:rPr>
          <w:rFonts w:ascii="Arial" w:hAnsi="Arial"/>
          <w:b/>
          <w:bCs/>
          <w:sz w:val="20"/>
          <w:rtl/>
          <w:lang w:eastAsia="he-IL"/>
        </w:rPr>
        <w:t xml:space="preserve"> </w:t>
      </w:r>
      <w:r>
        <w:rPr>
          <w:rtl/>
        </w:rPr>
        <w:t>נפסק לא אחת כי "</w:t>
      </w:r>
      <w:r>
        <w:rPr>
          <w:b/>
          <w:bCs/>
          <w:rtl/>
        </w:rPr>
        <w:t>הקוקאין הוא מן הנפוצים שבסמים ה'קשים', שסכנותיהם ונזקיהם ידועים</w:t>
      </w:r>
      <w:r>
        <w:rPr>
          <w:rtl/>
        </w:rPr>
        <w:t>" [סעיף 10 לפסק דינו של של כב' הש' סולברג ב-</w:t>
      </w:r>
      <w:hyperlink r:id="rId45" w:history="1">
        <w:r w:rsidR="00E1490D" w:rsidRPr="00E1490D">
          <w:rPr>
            <w:color w:val="0000FF"/>
            <w:u w:val="single"/>
            <w:rtl/>
          </w:rPr>
          <w:t>ע"פ 4522/18</w:t>
        </w:r>
      </w:hyperlink>
      <w:r>
        <w:rPr>
          <w:rtl/>
        </w:rPr>
        <w:t xml:space="preserve"> </w:t>
      </w:r>
      <w:r>
        <w:rPr>
          <w:rFonts w:ascii="Miriam" w:hAnsi="Miriam" w:cs="Miriam"/>
          <w:b/>
          <w:bCs/>
          <w:sz w:val="22"/>
          <w:szCs w:val="22"/>
          <w:rtl/>
        </w:rPr>
        <w:t xml:space="preserve">אסאבן נ' מדינת ישראל </w:t>
      </w:r>
      <w:r>
        <w:rPr>
          <w:rtl/>
        </w:rPr>
        <w:t xml:space="preserve">(‏11.11.18) והאסמכתאות שם]. המשנה לנשיאה, כב' הש' רובינשטיין אף קבע </w:t>
      </w:r>
      <w:r>
        <w:rPr>
          <w:rFonts w:ascii="David" w:hAnsi="David"/>
          <w:rtl/>
        </w:rPr>
        <w:t>"</w:t>
      </w:r>
      <w:r>
        <w:rPr>
          <w:rFonts w:ascii="David" w:hAnsi="David"/>
          <w:b/>
          <w:bCs/>
          <w:rtl/>
        </w:rPr>
        <w:t>קוקאין, סם המוות סדרתי שכוחו עמו לגרום רע</w:t>
      </w:r>
      <w:r>
        <w:rPr>
          <w:rFonts w:ascii="David" w:hAnsi="David"/>
          <w:rtl/>
        </w:rPr>
        <w:t>" [פסקה ג' ב-</w:t>
      </w:r>
      <w:hyperlink r:id="rId46" w:history="1">
        <w:r w:rsidR="00E1490D" w:rsidRPr="00E1490D">
          <w:rPr>
            <w:rFonts w:ascii="David" w:hAnsi="David"/>
            <w:color w:val="0000FF"/>
            <w:u w:val="single"/>
            <w:rtl/>
          </w:rPr>
          <w:t>ע"פ 7952/15</w:t>
        </w:r>
      </w:hyperlink>
      <w:r>
        <w:rPr>
          <w:rFonts w:ascii="David" w:hAnsi="David"/>
          <w:rtl/>
        </w:rPr>
        <w:t xml:space="preserve"> </w:t>
      </w:r>
      <w:r>
        <w:rPr>
          <w:rFonts w:ascii="Miriam" w:hAnsi="Miriam" w:cs="Miriam"/>
          <w:b/>
          <w:bCs/>
          <w:sz w:val="22"/>
          <w:szCs w:val="22"/>
          <w:rtl/>
        </w:rPr>
        <w:t xml:space="preserve">מדינת ישראל נ' שץ </w:t>
      </w:r>
      <w:r>
        <w:rPr>
          <w:rFonts w:ascii="David" w:hAnsi="David"/>
          <w:rtl/>
        </w:rPr>
        <w:t>(15.2.16)].</w:t>
      </w:r>
      <w:r>
        <w:rPr>
          <w:rtl/>
        </w:rPr>
        <w:t xml:space="preserve"> משכך הנזק שצפוי היה להיגרם הוא משמעותי. </w:t>
      </w:r>
      <w:r>
        <w:rPr>
          <w:rFonts w:ascii="David" w:hAnsi="David"/>
          <w:u w:val="single"/>
          <w:rtl/>
          <w:lang w:eastAsia="he-IL"/>
        </w:rPr>
        <w:t>בהחזקת הקנבוס</w:t>
      </w:r>
      <w:r>
        <w:rPr>
          <w:rFonts w:ascii="David" w:hAnsi="David"/>
          <w:rtl/>
          <w:lang w:eastAsia="he-IL"/>
        </w:rPr>
        <w:t xml:space="preserve"> – </w:t>
      </w:r>
      <w:r>
        <w:rPr>
          <w:rFonts w:ascii="Arial" w:hAnsi="Arial"/>
          <w:sz w:val="20"/>
          <w:rtl/>
          <w:lang w:eastAsia="he-IL"/>
        </w:rPr>
        <w:t>מדובר אמנם בסם שלא נמנה על הקטלניים שב-</w:t>
      </w:r>
      <w:r>
        <w:rPr>
          <w:rFonts w:ascii="Miriam" w:hAnsi="Miriam" w:cs="Miriam"/>
          <w:b/>
          <w:bCs/>
          <w:sz w:val="22"/>
          <w:szCs w:val="22"/>
          <w:rtl/>
        </w:rPr>
        <w:t>פקודת הסמים</w:t>
      </w:r>
      <w:r>
        <w:rPr>
          <w:rFonts w:ascii="Arial" w:hAnsi="Arial"/>
          <w:sz w:val="20"/>
          <w:rtl/>
          <w:lang w:eastAsia="he-IL"/>
        </w:rPr>
        <w:t>, אולם מדובר בהחזקת כמעט פי 7 מהכמות שנקבעה ב-</w:t>
      </w:r>
      <w:r>
        <w:rPr>
          <w:rFonts w:ascii="Miriam" w:hAnsi="Miriam" w:cs="Miriam"/>
          <w:b/>
          <w:bCs/>
          <w:sz w:val="22"/>
          <w:szCs w:val="22"/>
          <w:rtl/>
        </w:rPr>
        <w:t xml:space="preserve">פקודת הסמים </w:t>
      </w:r>
      <w:r>
        <w:rPr>
          <w:rFonts w:ascii="Arial" w:hAnsi="Arial"/>
          <w:sz w:val="20"/>
          <w:rtl/>
          <w:lang w:eastAsia="he-IL"/>
        </w:rPr>
        <w:t xml:space="preserve">ככמות לצריכה עצמית לצד משקל אלקטרוני. </w:t>
      </w:r>
    </w:p>
    <w:p w14:paraId="10DC9FF6" w14:textId="77777777" w:rsidR="0045787B" w:rsidRDefault="0045787B" w:rsidP="0045787B">
      <w:pPr>
        <w:widowControl w:val="0"/>
        <w:snapToGrid w:val="0"/>
        <w:ind w:left="1191"/>
        <w:jc w:val="both"/>
        <w:rPr>
          <w:rFonts w:ascii="David" w:hAnsi="David"/>
          <w:rtl/>
          <w:lang w:eastAsia="he-IL"/>
        </w:rPr>
      </w:pPr>
    </w:p>
    <w:p w14:paraId="7AF15EB4" w14:textId="77777777" w:rsidR="0045787B" w:rsidRDefault="0045787B" w:rsidP="0045787B">
      <w:pPr>
        <w:widowControl w:val="0"/>
        <w:numPr>
          <w:ilvl w:val="2"/>
          <w:numId w:val="1"/>
        </w:numPr>
        <w:snapToGrid w:val="0"/>
        <w:spacing w:line="360" w:lineRule="auto"/>
        <w:ind w:left="1191" w:hanging="397"/>
        <w:jc w:val="both"/>
        <w:rPr>
          <w:rFonts w:ascii="David" w:hAnsi="David"/>
          <w:b/>
          <w:bCs/>
          <w:lang w:eastAsia="he-IL"/>
        </w:rPr>
      </w:pPr>
      <w:r>
        <w:rPr>
          <w:rFonts w:ascii="David" w:hAnsi="David"/>
          <w:b/>
          <w:bCs/>
          <w:rtl/>
          <w:lang w:eastAsia="he-IL"/>
        </w:rPr>
        <w:t xml:space="preserve">הסיבות שהביאו את הנאשם לביצוע העבירות </w:t>
      </w:r>
      <w:r>
        <w:rPr>
          <w:rFonts w:ascii="David" w:hAnsi="David"/>
          <w:rtl/>
          <w:lang w:eastAsia="he-IL"/>
        </w:rPr>
        <w:t>– כעולה מתסקירי שירות המבחן, ביחס</w:t>
      </w:r>
      <w:r>
        <w:rPr>
          <w:rFonts w:ascii="David" w:hAnsi="David"/>
          <w:b/>
          <w:bCs/>
          <w:rtl/>
          <w:lang w:eastAsia="he-IL"/>
        </w:rPr>
        <w:t xml:space="preserve"> </w:t>
      </w:r>
      <w:r>
        <w:rPr>
          <w:rFonts w:ascii="David" w:hAnsi="David"/>
          <w:u w:val="single"/>
          <w:rtl/>
          <w:lang w:eastAsia="he-IL"/>
        </w:rPr>
        <w:t>לתיק המצורף</w:t>
      </w:r>
      <w:r>
        <w:rPr>
          <w:rFonts w:ascii="David" w:hAnsi="David"/>
          <w:rtl/>
          <w:lang w:eastAsia="he-IL"/>
        </w:rPr>
        <w:t xml:space="preserve">, מסר הנאשם כי מצא בשכונה שקית גראס והחליט לקחת אותה, ללא כל כוונה לצרוך את הסם או לעשות בו שימוש אחר (תסקיר מיום 11.7.21). בנוגע </w:t>
      </w:r>
      <w:r>
        <w:rPr>
          <w:rFonts w:ascii="David" w:hAnsi="David"/>
          <w:u w:val="single"/>
          <w:rtl/>
          <w:lang w:eastAsia="he-IL"/>
        </w:rPr>
        <w:t>לתיק העיקרי</w:t>
      </w:r>
      <w:r>
        <w:rPr>
          <w:rFonts w:ascii="David" w:hAnsi="David"/>
          <w:rtl/>
          <w:lang w:eastAsia="he-IL"/>
        </w:rPr>
        <w:t>, לדברי הנאשם החזיק את הקוקאין לשימוש עצמי, עקב המלצת מכרים כי שימוש בסם יכול לסייע לו בהתמודדות עם לחצים נפשיים שחווה באותה תקופה, בעקבות חובות כלכליים. לדברי הנאשם, נסיבות חייו והקשיים הרבים עמם התמודד במהלך השנים, הובילו אותו למעורבות בחברה עבריינית, מתוך רצון לרווחה כלכלית ולביצוע מעשים שהיום רואה כשליליים (תסקיר מיום 23.10.22).</w:t>
      </w:r>
    </w:p>
    <w:p w14:paraId="18CB2464" w14:textId="77777777" w:rsidR="0045787B" w:rsidRDefault="0045787B" w:rsidP="0045787B">
      <w:pPr>
        <w:widowControl w:val="0"/>
        <w:spacing w:line="360" w:lineRule="auto"/>
        <w:jc w:val="both"/>
        <w:rPr>
          <w:rFonts w:ascii="David" w:hAnsi="David"/>
          <w:bCs/>
          <w:sz w:val="26"/>
          <w:szCs w:val="26"/>
          <w:rtl/>
        </w:rPr>
      </w:pPr>
    </w:p>
    <w:p w14:paraId="443FD3B0" w14:textId="77777777" w:rsidR="0045787B" w:rsidRDefault="0045787B" w:rsidP="0045787B">
      <w:pPr>
        <w:widowControl w:val="0"/>
        <w:spacing w:line="360" w:lineRule="auto"/>
        <w:jc w:val="both"/>
        <w:rPr>
          <w:rFonts w:ascii="David" w:hAnsi="David"/>
          <w:rtl/>
        </w:rPr>
      </w:pPr>
      <w:r>
        <w:rPr>
          <w:rFonts w:ascii="David" w:hAnsi="David"/>
          <w:bCs/>
          <w:sz w:val="26"/>
          <w:szCs w:val="26"/>
          <w:rtl/>
        </w:rPr>
        <w:t>מתחמי העונש ההולמים</w:t>
      </w:r>
    </w:p>
    <w:p w14:paraId="5FA8EC17" w14:textId="77777777" w:rsidR="0045787B" w:rsidRDefault="0045787B" w:rsidP="0045787B">
      <w:pPr>
        <w:numPr>
          <w:ilvl w:val="0"/>
          <w:numId w:val="1"/>
        </w:numPr>
        <w:snapToGrid w:val="0"/>
        <w:spacing w:line="360" w:lineRule="auto"/>
        <w:jc w:val="both"/>
        <w:rPr>
          <w:sz w:val="20"/>
          <w:lang w:eastAsia="he-IL"/>
        </w:rPr>
      </w:pPr>
      <w:r>
        <w:rPr>
          <w:sz w:val="20"/>
          <w:rtl/>
          <w:lang w:eastAsia="he-IL"/>
        </w:rPr>
        <w:t>כמפורט לעיל, הנאשם הורשע בשתי עבירות, המהוות שני אירועים נפרדים, ומשכך ייקבע מתחם נפרד לכל אחד מהאירועים, בהינתן הערכים המוגנים, מידת הפגיעה בהם, מדיניות הענישה הנוהגת ונסיבות ביצוע העבירה, כדלקמן:</w:t>
      </w:r>
    </w:p>
    <w:p w14:paraId="6E76106F" w14:textId="77777777" w:rsidR="0045787B" w:rsidRDefault="0045787B" w:rsidP="0045787B">
      <w:pPr>
        <w:snapToGrid w:val="0"/>
        <w:spacing w:line="360" w:lineRule="auto"/>
        <w:ind w:left="643"/>
        <w:jc w:val="both"/>
        <w:rPr>
          <w:b/>
          <w:bCs/>
          <w:sz w:val="20"/>
          <w:rtl/>
          <w:lang w:eastAsia="he-IL"/>
        </w:rPr>
      </w:pPr>
      <w:r>
        <w:rPr>
          <w:b/>
          <w:bCs/>
          <w:sz w:val="20"/>
          <w:rtl/>
          <w:lang w:eastAsia="he-IL"/>
        </w:rPr>
        <w:t>בתיק העיקרי – מתחם 8–18 חודשי מאסר בפועל לצד ענישה נלווית, הכוללת מאסרים מותנים, עיצומים כלכליים ופסילה</w:t>
      </w:r>
      <w:r>
        <w:rPr>
          <w:sz w:val="20"/>
          <w:rtl/>
          <w:lang w:eastAsia="he-IL"/>
        </w:rPr>
        <w:t>.</w:t>
      </w:r>
      <w:r>
        <w:rPr>
          <w:b/>
          <w:bCs/>
          <w:sz w:val="20"/>
          <w:rtl/>
          <w:lang w:eastAsia="he-IL"/>
        </w:rPr>
        <w:t xml:space="preserve">   </w:t>
      </w:r>
    </w:p>
    <w:p w14:paraId="4261699C" w14:textId="77777777" w:rsidR="0045787B" w:rsidRDefault="0045787B" w:rsidP="0045787B">
      <w:pPr>
        <w:snapToGrid w:val="0"/>
        <w:spacing w:line="360" w:lineRule="auto"/>
        <w:ind w:left="643"/>
        <w:jc w:val="both"/>
        <w:rPr>
          <w:sz w:val="20"/>
          <w:rtl/>
          <w:lang w:eastAsia="he-IL"/>
        </w:rPr>
      </w:pPr>
      <w:r>
        <w:rPr>
          <w:b/>
          <w:bCs/>
          <w:sz w:val="20"/>
          <w:rtl/>
          <w:lang w:eastAsia="he-IL"/>
        </w:rPr>
        <w:t>בתיק המצורף – מתחם שתחילתו במאסר מותנה עד 12 חודשי מאסר בפועל, לצד ענישה נלווית, הכוללת מאסרים מותנים, עיצומים כלכליים ופסילה</w:t>
      </w:r>
      <w:r>
        <w:rPr>
          <w:sz w:val="20"/>
          <w:rtl/>
          <w:lang w:eastAsia="he-IL"/>
        </w:rPr>
        <w:t xml:space="preserve">. </w:t>
      </w:r>
    </w:p>
    <w:p w14:paraId="2E1D661B" w14:textId="77777777" w:rsidR="0045787B" w:rsidRDefault="0045787B" w:rsidP="0045787B">
      <w:pPr>
        <w:snapToGrid w:val="0"/>
        <w:ind w:left="643"/>
        <w:jc w:val="both"/>
        <w:rPr>
          <w:sz w:val="20"/>
          <w:lang w:eastAsia="he-IL"/>
        </w:rPr>
      </w:pPr>
    </w:p>
    <w:p w14:paraId="38E2EAE2" w14:textId="77777777" w:rsidR="0045787B" w:rsidRDefault="0045787B" w:rsidP="0045787B">
      <w:pPr>
        <w:numPr>
          <w:ilvl w:val="0"/>
          <w:numId w:val="1"/>
        </w:numPr>
        <w:snapToGrid w:val="0"/>
        <w:spacing w:line="360" w:lineRule="auto"/>
        <w:jc w:val="both"/>
        <w:rPr>
          <w:sz w:val="20"/>
          <w:rtl/>
          <w:lang w:eastAsia="he-IL"/>
        </w:rPr>
      </w:pPr>
      <w:r>
        <w:rPr>
          <w:sz w:val="20"/>
          <w:rtl/>
          <w:lang w:eastAsia="he-IL"/>
        </w:rPr>
        <w:t xml:space="preserve">עבירות הסמים הן עבירות כלכליות וככאלו מחייבות עיצומים כלכליים, שיהא בהם כדי ללמד על חוסר הכדאיות בצבירת הון על חשבון בריאות הציבור. כשמדובר בקנס – אין דין פלוני כאלמוני. משכך ובהתאם </w:t>
      </w:r>
      <w:hyperlink r:id="rId47" w:history="1">
        <w:r w:rsidR="00472E4E" w:rsidRPr="00472E4E">
          <w:rPr>
            <w:rStyle w:val="Hyperlink"/>
            <w:color w:val="0000FF"/>
            <w:sz w:val="20"/>
            <w:rtl/>
            <w:lang w:eastAsia="he-IL"/>
          </w:rPr>
          <w:t>לסעיף 40ח</w:t>
        </w:r>
      </w:hyperlink>
      <w:r>
        <w:rPr>
          <w:sz w:val="20"/>
          <w:rtl/>
          <w:lang w:eastAsia="he-IL"/>
        </w:rPr>
        <w:t xml:space="preserve"> </w:t>
      </w:r>
      <w:r>
        <w:rPr>
          <w:rtl/>
        </w:rPr>
        <w:t>ל-</w:t>
      </w:r>
      <w:hyperlink r:id="rId48" w:history="1">
        <w:r w:rsidR="00E1490D" w:rsidRPr="00E1490D">
          <w:rPr>
            <w:rFonts w:ascii="Miriam" w:hAnsi="Miriam" w:cs="Miriam"/>
            <w:b/>
            <w:bCs/>
            <w:color w:val="0000FF"/>
            <w:szCs w:val="22"/>
            <w:u w:val="single"/>
            <w:rtl/>
          </w:rPr>
          <w:t>חוק העונשין</w:t>
        </w:r>
      </w:hyperlink>
      <w:r>
        <w:rPr>
          <w:sz w:val="20"/>
          <w:rtl/>
          <w:lang w:eastAsia="he-IL"/>
        </w:rPr>
        <w:t xml:space="preserve">, בקביעת מתחם הקנס, נתתי דעתי למצבו הכלכלי הנטען של הנאשם, לכן, חלקו התחתון של כל אחד ממתחמי הקנס יהיה מתון. אשר על כן, </w:t>
      </w:r>
      <w:r>
        <w:rPr>
          <w:b/>
          <w:bCs/>
          <w:sz w:val="20"/>
          <w:rtl/>
          <w:lang w:eastAsia="he-IL"/>
        </w:rPr>
        <w:t>מתחם הקנס בתיק העיקרי הוא 2,000 ₪–10,000 ₪</w:t>
      </w:r>
      <w:r>
        <w:rPr>
          <w:sz w:val="20"/>
          <w:rtl/>
          <w:lang w:eastAsia="he-IL"/>
        </w:rPr>
        <w:t xml:space="preserve"> ו-</w:t>
      </w:r>
      <w:r>
        <w:rPr>
          <w:b/>
          <w:bCs/>
          <w:sz w:val="20"/>
          <w:rtl/>
          <w:lang w:eastAsia="he-IL"/>
        </w:rPr>
        <w:t>מתחם הקנס בתיק המצורף הוא 500 ₪–3,000 ₪</w:t>
      </w:r>
      <w:r>
        <w:rPr>
          <w:sz w:val="20"/>
          <w:rtl/>
          <w:lang w:eastAsia="he-IL"/>
        </w:rPr>
        <w:t xml:space="preserve">. </w:t>
      </w:r>
    </w:p>
    <w:p w14:paraId="7459A81B" w14:textId="77777777" w:rsidR="0045787B" w:rsidRDefault="0045787B" w:rsidP="0045787B">
      <w:pPr>
        <w:snapToGrid w:val="0"/>
        <w:ind w:left="643"/>
        <w:jc w:val="both"/>
        <w:rPr>
          <w:sz w:val="20"/>
          <w:rtl/>
          <w:lang w:eastAsia="he-IL"/>
        </w:rPr>
      </w:pPr>
    </w:p>
    <w:p w14:paraId="2E930301" w14:textId="77777777" w:rsidR="0045787B" w:rsidRDefault="0045787B" w:rsidP="0045787B">
      <w:pPr>
        <w:numPr>
          <w:ilvl w:val="0"/>
          <w:numId w:val="1"/>
        </w:numPr>
        <w:snapToGrid w:val="0"/>
        <w:spacing w:line="360" w:lineRule="auto"/>
        <w:jc w:val="both"/>
        <w:rPr>
          <w:sz w:val="20"/>
          <w:lang w:eastAsia="he-IL"/>
        </w:rPr>
      </w:pPr>
      <w:r>
        <w:rPr>
          <w:sz w:val="20"/>
          <w:rtl/>
          <w:lang w:eastAsia="he-IL"/>
        </w:rPr>
        <w:t xml:space="preserve">כפי שנקבע בפסיקה ובהתאם להוראות </w:t>
      </w:r>
      <w:hyperlink r:id="rId49" w:history="1">
        <w:r w:rsidR="00472E4E" w:rsidRPr="00472E4E">
          <w:rPr>
            <w:rStyle w:val="Hyperlink"/>
            <w:color w:val="0000FF"/>
            <w:sz w:val="20"/>
            <w:rtl/>
            <w:lang w:eastAsia="he-IL"/>
          </w:rPr>
          <w:t>סעיף 37א</w:t>
        </w:r>
      </w:hyperlink>
      <w:r>
        <w:rPr>
          <w:sz w:val="20"/>
          <w:rtl/>
          <w:lang w:eastAsia="he-IL"/>
        </w:rPr>
        <w:t xml:space="preserve"> ל-</w:t>
      </w:r>
      <w:r>
        <w:rPr>
          <w:rFonts w:ascii="Miriam" w:hAnsi="Miriam" w:cs="Miriam"/>
          <w:b/>
          <w:bCs/>
          <w:sz w:val="22"/>
          <w:szCs w:val="22"/>
          <w:rtl/>
        </w:rPr>
        <w:t>פקודת הסמים</w:t>
      </w:r>
      <w:r>
        <w:rPr>
          <w:sz w:val="20"/>
          <w:rtl/>
          <w:lang w:eastAsia="he-IL"/>
        </w:rPr>
        <w:t xml:space="preserve">, בעבירות סמים יש חשיבות לפסילה, כאשר </w:t>
      </w:r>
      <w:r>
        <w:rPr>
          <w:b/>
          <w:bCs/>
          <w:sz w:val="20"/>
          <w:rtl/>
          <w:lang w:eastAsia="he-IL"/>
        </w:rPr>
        <w:t>מתחם הפסילה נע בין פסילה מותנית לבין שנת פסילה בפועל בכל אחד מהתיקים</w:t>
      </w:r>
      <w:r>
        <w:rPr>
          <w:sz w:val="20"/>
          <w:rtl/>
          <w:lang w:eastAsia="he-IL"/>
        </w:rPr>
        <w:t xml:space="preserve">. </w:t>
      </w:r>
    </w:p>
    <w:p w14:paraId="58E7061E" w14:textId="77777777" w:rsidR="0045787B" w:rsidRDefault="0045787B" w:rsidP="0045787B">
      <w:pPr>
        <w:spacing w:line="360" w:lineRule="auto"/>
        <w:jc w:val="both"/>
        <w:rPr>
          <w:rFonts w:ascii="David" w:hAnsi="David"/>
          <w:bCs/>
          <w:sz w:val="26"/>
          <w:szCs w:val="26"/>
        </w:rPr>
      </w:pPr>
    </w:p>
    <w:p w14:paraId="31E2950D" w14:textId="77777777" w:rsidR="0045787B" w:rsidRDefault="0045787B" w:rsidP="0045787B">
      <w:pPr>
        <w:spacing w:line="360" w:lineRule="auto"/>
        <w:jc w:val="both"/>
        <w:rPr>
          <w:rFonts w:ascii="David" w:hAnsi="David"/>
          <w:bCs/>
          <w:sz w:val="26"/>
          <w:szCs w:val="26"/>
          <w:rtl/>
        </w:rPr>
      </w:pPr>
      <w:r>
        <w:rPr>
          <w:rFonts w:ascii="David" w:hAnsi="David"/>
          <w:bCs/>
          <w:sz w:val="26"/>
          <w:szCs w:val="26"/>
          <w:rtl/>
        </w:rPr>
        <w:t>גזירת העונש המתאים לנאשם במסגרת המתחמים</w:t>
      </w:r>
    </w:p>
    <w:p w14:paraId="5C7CD9A1" w14:textId="77777777" w:rsidR="0045787B" w:rsidRDefault="0045787B" w:rsidP="0045787B">
      <w:pPr>
        <w:numPr>
          <w:ilvl w:val="0"/>
          <w:numId w:val="1"/>
        </w:numPr>
        <w:snapToGrid w:val="0"/>
        <w:spacing w:line="360" w:lineRule="auto"/>
        <w:jc w:val="both"/>
        <w:rPr>
          <w:sz w:val="20"/>
          <w:lang w:eastAsia="he-IL"/>
        </w:rPr>
      </w:pPr>
      <w:r>
        <w:rPr>
          <w:sz w:val="20"/>
          <w:rtl/>
          <w:lang w:eastAsia="he-IL"/>
        </w:rPr>
        <w:t xml:space="preserve">בגזירת העונש המתאים לנאשם התחשבתי, בהתאם </w:t>
      </w:r>
      <w:hyperlink r:id="rId50" w:history="1">
        <w:r w:rsidR="00472E4E" w:rsidRPr="00472E4E">
          <w:rPr>
            <w:rStyle w:val="Hyperlink"/>
            <w:color w:val="0000FF"/>
            <w:sz w:val="20"/>
            <w:rtl/>
            <w:lang w:eastAsia="he-IL"/>
          </w:rPr>
          <w:t>לסעיף 40ג(ב)</w:t>
        </w:r>
      </w:hyperlink>
      <w:r>
        <w:rPr>
          <w:sz w:val="20"/>
          <w:rtl/>
          <w:lang w:eastAsia="he-IL"/>
        </w:rPr>
        <w:t xml:space="preserve"> </w:t>
      </w:r>
      <w:r>
        <w:rPr>
          <w:rtl/>
        </w:rPr>
        <w:t>ל-</w:t>
      </w:r>
      <w:hyperlink r:id="rId51" w:history="1">
        <w:r w:rsidR="00E1490D" w:rsidRPr="00E1490D">
          <w:rPr>
            <w:rFonts w:ascii="Miriam" w:hAnsi="Miriam" w:cs="Miriam"/>
            <w:b/>
            <w:bCs/>
            <w:color w:val="0000FF"/>
            <w:szCs w:val="22"/>
            <w:u w:val="single"/>
            <w:rtl/>
          </w:rPr>
          <w:t>חוק העונשין</w:t>
        </w:r>
      </w:hyperlink>
      <w:r>
        <w:rPr>
          <w:sz w:val="20"/>
          <w:rtl/>
          <w:lang w:eastAsia="he-IL"/>
        </w:rPr>
        <w:t xml:space="preserve">, בנסיבות שאינן קשורות בביצוע העבירה, כאמור </w:t>
      </w:r>
      <w:hyperlink r:id="rId52" w:history="1">
        <w:r w:rsidR="00472E4E" w:rsidRPr="00472E4E">
          <w:rPr>
            <w:rStyle w:val="Hyperlink"/>
            <w:color w:val="0000FF"/>
            <w:sz w:val="20"/>
            <w:rtl/>
            <w:lang w:eastAsia="he-IL"/>
          </w:rPr>
          <w:t>בסעיף 40יא</w:t>
        </w:r>
      </w:hyperlink>
      <w:r>
        <w:rPr>
          <w:sz w:val="20"/>
          <w:rtl/>
          <w:lang w:eastAsia="he-IL"/>
        </w:rPr>
        <w:t xml:space="preserve"> </w:t>
      </w:r>
      <w:r>
        <w:rPr>
          <w:rtl/>
        </w:rPr>
        <w:t>ל-</w:t>
      </w:r>
      <w:r>
        <w:rPr>
          <w:rFonts w:ascii="Miriam" w:hAnsi="Miriam" w:cs="Miriam"/>
          <w:b/>
          <w:bCs/>
          <w:szCs w:val="22"/>
          <w:rtl/>
        </w:rPr>
        <w:t>חוק העונשין</w:t>
      </w:r>
      <w:r>
        <w:rPr>
          <w:rFonts w:ascii="Miriam" w:hAnsi="Miriam" w:cs="Miriam"/>
          <w:szCs w:val="22"/>
          <w:rtl/>
        </w:rPr>
        <w:t xml:space="preserve">, </w:t>
      </w:r>
      <w:r>
        <w:rPr>
          <w:rFonts w:ascii="David" w:hAnsi="David"/>
          <w:sz w:val="28"/>
          <w:rtl/>
        </w:rPr>
        <w:t>כפי שעלה מ-6 התסקירים שהוגשו בעניינו של הנאשם (מתאריכים 11.7.21, 23.10.22, 2.1.23, 26.7.23, 23.1.24 ו-10.3.24), חוו"ד הממונה מיום 13.2.24 (לפיה, נמצא הנאשם מתאים לביצוע עבודות שירות במגבלות), טענות ב"כ הצדדים ודברי הנאשם עצמו:</w:t>
      </w:r>
    </w:p>
    <w:p w14:paraId="3CB5E163" w14:textId="77777777" w:rsidR="0045787B" w:rsidRDefault="0045787B" w:rsidP="0045787B">
      <w:pPr>
        <w:widowControl w:val="0"/>
        <w:numPr>
          <w:ilvl w:val="2"/>
          <w:numId w:val="1"/>
        </w:numPr>
        <w:snapToGrid w:val="0"/>
        <w:spacing w:line="360" w:lineRule="auto"/>
        <w:ind w:left="1040" w:hanging="397"/>
        <w:jc w:val="both"/>
        <w:rPr>
          <w:sz w:val="20"/>
          <w:rtl/>
          <w:lang w:eastAsia="he-IL"/>
        </w:rPr>
      </w:pPr>
      <w:r>
        <w:rPr>
          <w:rFonts w:ascii="David" w:hAnsi="David"/>
          <w:b/>
          <w:bCs/>
          <w:sz w:val="20"/>
          <w:rtl/>
          <w:lang w:eastAsia="he-IL"/>
        </w:rPr>
        <w:t>נסיבות חיים של הנאשם, מצבו המשפחתי והכללי</w:t>
      </w:r>
      <w:r>
        <w:rPr>
          <w:sz w:val="20"/>
          <w:rtl/>
          <w:lang w:eastAsia="he-IL"/>
        </w:rPr>
        <w:t xml:space="preserve"> – הנאשם כבן 35. כעולה מהתסקיר מיום 11.7.21, הנאשם נולד ברוסיה, ה-2 מבין 3 אחים, ועלה עם משפחתו לארץ בשנת 1993, כשהיה כבן 5 שנים. אמו כבת 50, עבדה בעבר כגננת וכיום בחנות בגדים, אביו כבן 57, עובד כנהג מלווה במפעל. הנאשם תיאר את משפחתו כמנהלת אורח חיים נורמטיבי ומערכת יחסית קרובה ותומכת. לדברי הנאשם, רכש 12 שנות לימוד, בהמשך השתלב בקורס חשמלאי מוסמך ובילדותו השתתף בספורט תחרותי בענף האגרוף.</w:t>
      </w:r>
    </w:p>
    <w:p w14:paraId="28945C06" w14:textId="77777777" w:rsidR="0045787B" w:rsidRDefault="0045787B" w:rsidP="0045787B">
      <w:pPr>
        <w:widowControl w:val="0"/>
        <w:snapToGrid w:val="0"/>
        <w:spacing w:line="360" w:lineRule="auto"/>
        <w:ind w:left="1040"/>
        <w:jc w:val="both"/>
        <w:rPr>
          <w:sz w:val="20"/>
          <w:lang w:eastAsia="he-IL"/>
        </w:rPr>
      </w:pPr>
      <w:r>
        <w:rPr>
          <w:sz w:val="20"/>
          <w:rtl/>
          <w:lang w:eastAsia="he-IL"/>
        </w:rPr>
        <w:t xml:space="preserve">התגייס לצבא ושובץ כלוחם בחיל הנח"ל, אך לא סיים את שירותו הצבאי ושוחרר בסעיף אי-התאמה, בשל איומים בנשק על מפקד החטיבה, עקב סירוב מפקדיו לאפשר לו להשתתף בלוויית סבתו. בעקבות זאת נידון ל-8 חודשי מאסר אותם ריצה בכלא צבאי. לדבריו, כיום מצר על התנהלותו בשל המחירים שנאלץ לשלם, לרבות אי-יכולת להשתלב בעבודות אבטחה. לאחר שחרורו מהצבא, עבד כ-6 שנים בקיוסק, בעבודות שיפוצים מזדמנות וכסוכן מכירות, אך התקשה להתמיד במקומות המספקים לו תעסוקה יציבה. </w:t>
      </w:r>
    </w:p>
    <w:p w14:paraId="5E9B097A" w14:textId="77777777" w:rsidR="0045787B" w:rsidRDefault="0045787B" w:rsidP="0045787B">
      <w:pPr>
        <w:widowControl w:val="0"/>
        <w:snapToGrid w:val="0"/>
        <w:spacing w:line="360" w:lineRule="auto"/>
        <w:ind w:left="1040"/>
        <w:jc w:val="both"/>
        <w:rPr>
          <w:sz w:val="20"/>
          <w:lang w:eastAsia="he-IL"/>
        </w:rPr>
      </w:pPr>
      <w:r>
        <w:rPr>
          <w:sz w:val="20"/>
          <w:rtl/>
          <w:lang w:eastAsia="he-IL"/>
        </w:rPr>
        <w:t>בעברו התמכרות להימורים עקב הסתבכותו בחובות לשוק האפור. אחיו הגדול נחלץ לעזרתו וסייע לו להיגמל ולכסות חובותיו כשלדברי הנאשם, בשל הבטחתו לאחיו, נמנע לחלוטין מלהמר.</w:t>
      </w:r>
    </w:p>
    <w:p w14:paraId="7CC7691B" w14:textId="77777777" w:rsidR="0045787B" w:rsidRDefault="0045787B" w:rsidP="0045787B">
      <w:pPr>
        <w:widowControl w:val="0"/>
        <w:snapToGrid w:val="0"/>
        <w:spacing w:line="360" w:lineRule="auto"/>
        <w:ind w:left="1040"/>
        <w:jc w:val="both"/>
        <w:rPr>
          <w:sz w:val="20"/>
          <w:lang w:eastAsia="he-IL"/>
        </w:rPr>
      </w:pPr>
      <w:r>
        <w:rPr>
          <w:sz w:val="20"/>
          <w:rtl/>
          <w:lang w:eastAsia="he-IL"/>
        </w:rPr>
        <w:t>הנאשם גרוש ואב ל-2 ילדים משתי מערכות יחסים שונות. אחד מילדיו אובחן כמתפקד על רצף האוטיזם והוא לא בקשר עמו. מהתסקיר מיום 23.1.24 עולה כי כ-4 חודשים קודם לכן נישא הנאשם לבת זוגו והחל לעבוד כמוכר בחנות נוחות מתוך תחושת מחויבות כלפי אשתו ורצונו לקיים אורח חיים תקין.</w:t>
      </w:r>
    </w:p>
    <w:p w14:paraId="09181E35" w14:textId="77777777" w:rsidR="0045787B" w:rsidRDefault="0045787B" w:rsidP="0045787B">
      <w:pPr>
        <w:widowControl w:val="0"/>
        <w:snapToGrid w:val="0"/>
        <w:ind w:left="1040"/>
        <w:jc w:val="both"/>
        <w:rPr>
          <w:rFonts w:ascii="David" w:hAnsi="David"/>
          <w:rtl/>
          <w:lang w:eastAsia="he-IL"/>
        </w:rPr>
      </w:pPr>
    </w:p>
    <w:p w14:paraId="7D4B9238" w14:textId="77777777" w:rsidR="0045787B" w:rsidRDefault="0045787B" w:rsidP="0045787B">
      <w:pPr>
        <w:widowControl w:val="0"/>
        <w:numPr>
          <w:ilvl w:val="2"/>
          <w:numId w:val="1"/>
        </w:numPr>
        <w:snapToGrid w:val="0"/>
        <w:spacing w:line="360" w:lineRule="auto"/>
        <w:ind w:left="1040" w:hanging="397"/>
        <w:jc w:val="both"/>
        <w:rPr>
          <w:sz w:val="20"/>
          <w:lang w:eastAsia="he-IL"/>
        </w:rPr>
      </w:pPr>
      <w:r>
        <w:rPr>
          <w:rFonts w:ascii="David" w:hAnsi="David"/>
          <w:b/>
          <w:bCs/>
          <w:sz w:val="20"/>
          <w:rtl/>
          <w:lang w:eastAsia="he-IL"/>
        </w:rPr>
        <w:t>השפעת העונש על הנאשם ועל משפחתו</w:t>
      </w:r>
      <w:r>
        <w:rPr>
          <w:sz w:val="20"/>
          <w:rtl/>
          <w:lang w:eastAsia="he-IL"/>
        </w:rPr>
        <w:t xml:space="preserve"> – כעולה מהתסקיר מיום 23.10.22, הנאשם שרוי במצוקה גדולה, בין היתר, עקב חובות גבוהים שנצברו וכפועל יוצא, קשיים להשתתף בהוצאות גידול ילדיו, הליכים שננקטים נגדו בגין אי תשלום מזונות, רצונו לקשר הורי משמעותי עם ילדיו והחשש מהשלכות מאסר בפועל על הקשר עמם ועל עתידו, לרבות חשש שמצב זה יוביל לכך שיחזור לעסוק בפשע. </w:t>
      </w:r>
      <w:r>
        <w:rPr>
          <w:rFonts w:ascii="David" w:hAnsi="David"/>
          <w:sz w:val="20"/>
          <w:rtl/>
          <w:lang w:eastAsia="he-IL"/>
        </w:rPr>
        <w:t xml:space="preserve">במצב דברים זה, ברי כי עונש מאסר ישפיע על מצבם הכלכלי של הנאשם ומשפחתו ואף על מצבם הרגשי והתפקודי, באופן משמעותי מהשפעת עונש זה על נאשמים אחרים. </w:t>
      </w:r>
    </w:p>
    <w:p w14:paraId="57356CAC" w14:textId="77777777" w:rsidR="0045787B" w:rsidRDefault="0045787B" w:rsidP="0045787B">
      <w:pPr>
        <w:widowControl w:val="0"/>
        <w:snapToGrid w:val="0"/>
        <w:ind w:left="1040"/>
        <w:jc w:val="both"/>
        <w:rPr>
          <w:rFonts w:ascii="David" w:hAnsi="David"/>
          <w:lang w:eastAsia="he-IL"/>
        </w:rPr>
      </w:pPr>
    </w:p>
    <w:p w14:paraId="3796E5EA" w14:textId="77777777" w:rsidR="0045787B" w:rsidRDefault="0045787B" w:rsidP="0045787B">
      <w:pPr>
        <w:widowControl w:val="0"/>
        <w:numPr>
          <w:ilvl w:val="2"/>
          <w:numId w:val="1"/>
        </w:numPr>
        <w:snapToGrid w:val="0"/>
        <w:spacing w:line="360" w:lineRule="auto"/>
        <w:ind w:left="1040" w:hanging="397"/>
        <w:jc w:val="both"/>
        <w:rPr>
          <w:sz w:val="20"/>
          <w:lang w:eastAsia="he-IL"/>
        </w:rPr>
      </w:pPr>
      <w:r>
        <w:rPr>
          <w:rFonts w:ascii="David" w:hAnsi="David"/>
          <w:b/>
          <w:bCs/>
          <w:sz w:val="20"/>
          <w:rtl/>
          <w:lang w:eastAsia="he-IL"/>
        </w:rPr>
        <w:t xml:space="preserve">נטילת האחריות של הנאשם </w:t>
      </w:r>
      <w:r>
        <w:rPr>
          <w:rFonts w:ascii="David" w:hAnsi="David"/>
          <w:sz w:val="20"/>
          <w:rtl/>
          <w:lang w:eastAsia="he-IL"/>
        </w:rPr>
        <w:t xml:space="preserve">– </w:t>
      </w:r>
      <w:r>
        <w:rPr>
          <w:sz w:val="20"/>
          <w:rtl/>
          <w:lang w:eastAsia="he-IL"/>
        </w:rPr>
        <w:t>הנאשם הודה בביצוע העבירות, הן בפני בית המשפט והן בפני שירות המבחן.</w:t>
      </w:r>
      <w:r>
        <w:rPr>
          <w:rFonts w:ascii="David" w:hAnsi="David"/>
          <w:sz w:val="20"/>
          <w:rtl/>
          <w:lang w:eastAsia="he-IL"/>
        </w:rPr>
        <w:t xml:space="preserve"> בתחילת ההליך בתיק העיקרי ולאורך תקופה, </w:t>
      </w:r>
      <w:r>
        <w:rPr>
          <w:sz w:val="20"/>
          <w:rtl/>
          <w:lang w:eastAsia="he-IL"/>
        </w:rPr>
        <w:t>התנהל הנאשם באופן מתחמק, לרבות אי התייצבויות לדיונים ואי לקיחת אחריות. עם זאת, לאחר שהגיעו הצדדים להסדר טיעון, במסגרתו הודה בביצוע העבירה והוסכם על צירוף התיק המצורף, ניכר היה כי החל שינוי בהתנהלותו ובלקיחת האחריות מטעמו. בטיעוניו לעונש הביע הנאשם צער וחרטה על מעשיו ואמר: "</w:t>
      </w:r>
      <w:r>
        <w:rPr>
          <w:b/>
          <w:bCs/>
          <w:sz w:val="20"/>
          <w:rtl/>
          <w:lang w:eastAsia="he-IL"/>
        </w:rPr>
        <w:t>אני באמת מצטער על מה שעשיתי, זה משהו שאדם נורמטיבי לא אמור לעשות דבר ראשון, דבר שני חלף הרבה זמן מהמקרה והספקתי לשנות הרבה דברים בחיים שלי. זה תלוי בבית המשפט ההתקדמות ההמשכית שלי. אני אהיה בן 35 בתאריך 11.6. הילד הגדול שלי היום בן 9 והקטן בן 7</w:t>
      </w:r>
      <w:r>
        <w:rPr>
          <w:sz w:val="20"/>
          <w:rtl/>
          <w:lang w:eastAsia="he-IL"/>
        </w:rPr>
        <w:t>".</w:t>
      </w:r>
    </w:p>
    <w:p w14:paraId="32FF1D46" w14:textId="77777777" w:rsidR="0045787B" w:rsidRDefault="0045787B" w:rsidP="0045787B">
      <w:pPr>
        <w:pStyle w:val="aa"/>
        <w:rPr>
          <w:b/>
          <w:bCs/>
          <w:sz w:val="20"/>
          <w:lang w:eastAsia="he-IL"/>
        </w:rPr>
      </w:pPr>
    </w:p>
    <w:p w14:paraId="0012C30D" w14:textId="77777777" w:rsidR="0045787B" w:rsidRDefault="0045787B" w:rsidP="0045787B">
      <w:pPr>
        <w:widowControl w:val="0"/>
        <w:numPr>
          <w:ilvl w:val="2"/>
          <w:numId w:val="1"/>
        </w:numPr>
        <w:snapToGrid w:val="0"/>
        <w:spacing w:line="360" w:lineRule="auto"/>
        <w:ind w:left="1040" w:hanging="397"/>
        <w:jc w:val="both"/>
        <w:rPr>
          <w:sz w:val="20"/>
          <w:rtl/>
          <w:lang w:eastAsia="he-IL"/>
        </w:rPr>
      </w:pPr>
      <w:r>
        <w:rPr>
          <w:rFonts w:ascii="David" w:hAnsi="David"/>
          <w:b/>
          <w:bCs/>
          <w:sz w:val="20"/>
          <w:rtl/>
          <w:lang w:eastAsia="he-IL"/>
        </w:rPr>
        <w:t>מאמצי הנאשם לחזור למוטב</w:t>
      </w:r>
      <w:r>
        <w:rPr>
          <w:rFonts w:ascii="David" w:hAnsi="David"/>
          <w:sz w:val="20"/>
          <w:rtl/>
          <w:lang w:eastAsia="he-IL"/>
        </w:rPr>
        <w:t xml:space="preserve"> – </w:t>
      </w:r>
      <w:r>
        <w:rPr>
          <w:sz w:val="20"/>
          <w:rtl/>
          <w:lang w:eastAsia="he-IL"/>
        </w:rPr>
        <w:t xml:space="preserve">כעולה </w:t>
      </w:r>
      <w:r>
        <w:rPr>
          <w:sz w:val="20"/>
          <w:u w:val="single"/>
          <w:rtl/>
          <w:lang w:eastAsia="he-IL"/>
        </w:rPr>
        <w:t>מהתסקיר מיום 11.7.21</w:t>
      </w:r>
      <w:r>
        <w:rPr>
          <w:sz w:val="20"/>
          <w:rtl/>
          <w:lang w:eastAsia="he-IL"/>
        </w:rPr>
        <w:t xml:space="preserve"> (שהוגש בתיק המצורף), תחילה התקשה הנאשם להרחיב את השיח ביחסיו למניעים להתנהגותו, ותשובותיו נשאו אופי מתחמק ומטשטש. עם זאת, על פי האמור בתסקיר, חרף התייחסותו המטשטשת, הביע הנאשם רצון להשתלב בטיפול בתחום הסמים. הנאשם שלל כל קושי בתחום זה, אך הביע רצון להשתלב בתכנית טיפול קבוצתית לעוברי חוק, בכדי לשנות דפוסי התנהלותו. לדבריו, כיום בשונה מהעבר, מרגיש יותר פנוי רגשית ומעוניין לנהוג באחריות כלפי חייו ולערוך שינוי באופן התנהלותו. </w:t>
      </w:r>
    </w:p>
    <w:p w14:paraId="6AD17B2C" w14:textId="77777777" w:rsidR="0045787B" w:rsidRDefault="0045787B" w:rsidP="0045787B">
      <w:pPr>
        <w:pStyle w:val="aa"/>
        <w:rPr>
          <w:sz w:val="20"/>
          <w:lang w:eastAsia="he-IL"/>
        </w:rPr>
      </w:pPr>
    </w:p>
    <w:p w14:paraId="016F42B2" w14:textId="77777777" w:rsidR="0045787B" w:rsidRDefault="0045787B" w:rsidP="0045787B">
      <w:pPr>
        <w:widowControl w:val="0"/>
        <w:snapToGrid w:val="0"/>
        <w:spacing w:line="360" w:lineRule="auto"/>
        <w:ind w:left="1040"/>
        <w:jc w:val="both"/>
        <w:rPr>
          <w:sz w:val="20"/>
          <w:rtl/>
          <w:lang w:eastAsia="he-IL"/>
        </w:rPr>
      </w:pPr>
      <w:r>
        <w:rPr>
          <w:sz w:val="20"/>
          <w:rtl/>
          <w:lang w:eastAsia="he-IL"/>
        </w:rPr>
        <w:t xml:space="preserve">כמתואר </w:t>
      </w:r>
      <w:r>
        <w:rPr>
          <w:sz w:val="20"/>
          <w:u w:val="single"/>
          <w:rtl/>
          <w:lang w:eastAsia="he-IL"/>
        </w:rPr>
        <w:t>בתסקיר מיום 11.7.21</w:t>
      </w:r>
      <w:r>
        <w:rPr>
          <w:sz w:val="20"/>
          <w:rtl/>
          <w:lang w:eastAsia="he-IL"/>
        </w:rPr>
        <w:t xml:space="preserve">, בשנת 2017 הופנה הנאשם לעריכת תסקיר בשל עבירת אלימות שיוחסה לו אז, אולם חרף משאבים וזמן שהושקעו בו ובהליך טיפולי והעובדה כי נגזרו עליו עבודות שירות בלבד לצד צו מבחן – לא ניצל את ההזדמנות שניתנה לו. השתתפותו בקבוצה הופסקה לנוכח קשייו להגיע באופן רציף וסדיר למפגשים ובשל התנהגותו האגרסיבית כלפי מנחות הקבוצה וחבריו לקבוצה. גם כב' הש' לחיאני שהם התרשמה בתיק המצורף, כי הנאשם לא ניצל את ההזדמנות שניתנה לו, שלל כל צורך טיפולי, לקח אחריות חלקית על מעשיו ולא הגיע לבדיקות שתן ובמבחן התוצאה צו מבחן שניתן בעבר לא מומש ולא מנע ממנו המשך ביצוע עבירות. שירות המבחן העריך כי קיים סיכון להישנות התנהגות עוברת חוק בכלל, ובתחום הסמים בפרט, וזאת, בין היתר, עקב קשיי תפקוד של הנאשם במסגרות השונות בחייו הבוגרים, גבולות פנימיים רופפים, קושי להתנהל בדרך נורמטיבית, נזקקות להשגחה ולפיקוח חיצוני שיהווה עבורו גורם הרתעתי, קשייו להתמודד באופן תקין במצבי דחק, השתלבותו בתכניות התערבות טיפוליות לא סייעו לו, שיתוף פעולה חלקי בעבר, המשך מעורבות בפלילים תוך כדי הצו, קושי לנהל שיח, ניסיון למסור מידע מטשטש ביחס להתנהגותו ואי-הגעה הגיע לבדיקות איתור סם. </w:t>
      </w:r>
    </w:p>
    <w:p w14:paraId="245E6395" w14:textId="77777777" w:rsidR="0045787B" w:rsidRDefault="0045787B" w:rsidP="0045787B">
      <w:pPr>
        <w:widowControl w:val="0"/>
        <w:snapToGrid w:val="0"/>
        <w:spacing w:line="360" w:lineRule="auto"/>
        <w:ind w:left="1040"/>
        <w:jc w:val="both"/>
        <w:rPr>
          <w:sz w:val="20"/>
          <w:rtl/>
          <w:lang w:eastAsia="he-IL"/>
        </w:rPr>
      </w:pPr>
      <w:r>
        <w:rPr>
          <w:sz w:val="20"/>
          <w:rtl/>
          <w:lang w:eastAsia="he-IL"/>
        </w:rPr>
        <w:t xml:space="preserve">לצד זאת, התרשם שירות המבחן, כי לנאשם יכולות קוגניטיביות וורבאליות טובות, והתחשב בהצהרתו כי מעוניין לקדם עצמו לאפיקים חיוביים וכי יש לו גורמי תמיכה משפחתיים משמעותיים שמסייעים לו. שירות המבחן סבר כי יש לערוך ניסיון טיפולי ולבחון האם בעיתוי הנוכחי יצליח הנאשם לשתף פעולה. </w:t>
      </w:r>
    </w:p>
    <w:p w14:paraId="541F1875" w14:textId="77777777" w:rsidR="0045787B" w:rsidRDefault="0045787B" w:rsidP="0045787B">
      <w:pPr>
        <w:widowControl w:val="0"/>
        <w:snapToGrid w:val="0"/>
        <w:ind w:left="1040"/>
        <w:jc w:val="both"/>
        <w:rPr>
          <w:rFonts w:ascii="David" w:hAnsi="David"/>
          <w:sz w:val="20"/>
          <w:rtl/>
          <w:lang w:eastAsia="he-IL"/>
        </w:rPr>
      </w:pPr>
    </w:p>
    <w:p w14:paraId="47FA10DD" w14:textId="77777777" w:rsidR="0045787B" w:rsidRDefault="0045787B" w:rsidP="0045787B">
      <w:pPr>
        <w:widowControl w:val="0"/>
        <w:snapToGrid w:val="0"/>
        <w:spacing w:line="360" w:lineRule="auto"/>
        <w:ind w:left="1040"/>
        <w:jc w:val="both"/>
        <w:rPr>
          <w:sz w:val="20"/>
          <w:rtl/>
          <w:lang w:eastAsia="he-IL"/>
        </w:rPr>
      </w:pPr>
      <w:r>
        <w:rPr>
          <w:rFonts w:ascii="David" w:hAnsi="David"/>
          <w:sz w:val="20"/>
          <w:rtl/>
          <w:lang w:eastAsia="he-IL"/>
        </w:rPr>
        <w:t xml:space="preserve">גם </w:t>
      </w:r>
      <w:r>
        <w:rPr>
          <w:sz w:val="20"/>
          <w:u w:val="single"/>
          <w:rtl/>
          <w:lang w:eastAsia="he-IL"/>
        </w:rPr>
        <w:t>בתסקיר מיום 23.10.22</w:t>
      </w:r>
      <w:r>
        <w:rPr>
          <w:sz w:val="20"/>
          <w:rtl/>
          <w:lang w:eastAsia="he-IL"/>
        </w:rPr>
        <w:t xml:space="preserve"> פורט כי הנאשם לא הגיע מסיבות שונות לבדיקות לאיתור סם שנקבעו לו. נעשה ניסיון לשלבו בקבוצת הכנה לטיפול, אך ניסיונות רבים ליצור עמו קשר לא צלחו. גם כשענה לשיחות והבטיח כי ישתף פעולה – הלכה למעשה לא הגיע. להתרשמות שירות המבחן, הנאשם שרוי במצוקה ובצומת דרכים ערכית ומעשית: מצוקתו הגדולה במגוון מישורים (חובות גבוהים וקושי להשתתף בהוצאות גידול ילדיו, ההליכים הננקטים נגדו עקב אי תשלום המזונות, רצונו לקשר הורי משמעותי עם ילדיו והחשש מהשלכות מאסר בפועל על הקשר ועתידו וכן חששו מכך שהמשך הידרדרות מצבו תוביל לכך שיחזור לעסוק בפשע); הביע חרטה והבנה כי בהתנהלותו נפל פגם והוא מוכן לבצע כל שיידרש לצורך סיום פרק זה בחייו ולפתוח פרק חדש כאדם וכהורה. הנאשם הצהיר כי ניתק קשריו עם חברה שולית, אך להתרשמות שירות המבחן, מבין דבריו עלה כי לא ניתק הקשרים באופן מלא. מהתסקיר עלה , כי חל שינוי מסוים בהתנהלות הנאשם ובשיתוף הפעולה שלו. בניגוד להתנהלותו הפאסיבית בתחילת הקשר – בחודשים האחרונים יצר קשר מיוזמתו, הגיע למפגשים והתנהל בצורה פתוחה וכנה ללא עוינות. לעמדת שירות המבחן, אין מדובר במהפך, הנאשם אמנם מכיר בכך שלקח חלק בפעולות עברייניות, אך בראייתו כיום, הוא אינו בעל דפוס עברייני כלשהו ולכן לא זקוק לטיפול. לאור האמור, תוך התחשבות בעברו הפלילי, בכך שענישה קודמת לא הרתיעה אותו, בכך שחלק ניכר מתקופת הקשר אופיינה בהתנהלות בעייתית, במצוקה והעוני בהם נתון, המהווים גורם סיכון משמעותי, בכך שעדיין מחזיק בדפוסי חשיבה בנוגע לדרכי ההתמודדות הלגיטימיים לפתרון בעיות המקובלים בחברה העבריינית בדרך של התנהגות עוברת חוק וכן בכך שעמדותיו שוללות צורך בטיפול – התערבות טיפולית בשלב זה לא תהא אפקטיבית עבורו. מנגד, התחשב שירות המבחן בכך שבחודשים האחרונים עבר הנאשם שינוי מסוים, הגם שעדיין התקשה לגייס עצמו מעת לעת, הצליח להגיע לבדיקות לאיתור סם, הגיע למפגשים והתנהלותו פתוחה, ערך מאמצים להתמודד עם חובותיו. לעמדת שירות המבחן, ניסיון העבר מלמד כי אין מדובר בהכרח בשינוי עמוק ארוך טווח, אך נראה כי מדובר בתחילתו של תהליך. כן התחשב בכך שלא נפתחו לו תיקים חדשים ובכך שענישה מוחשית, בדמות מאסר בפועל או בעבודות שירות עלולה להגביר את עוניו, לקרבו לסביבה עבריינית וליצור אצלו תפיסה עצמית פאסיבית, מיואש יותר מהסיכוי לחזור לאורח חיים נורמטיבי. לעמדת שירות המבחן, ענישה שתהווה עבורו מחיר מוחשי למעשיו ותחדד לו את חומרת מעשיו ואת חשיבות שמירת החוק, ומאידך תאפשר לו את התנאים הנדרשים לתשלום חובותיו – תהווה ענישה מצמצמת סיכון להישנות התנהגות עוברת חוק. לכן, הומלץ להטיל על הנאשם עונש חינוכי הכולל 300 שעות של"צ ומאסר מותנה כגבול ברור להתנהגותו בעתיד.</w:t>
      </w:r>
    </w:p>
    <w:p w14:paraId="5F65D409" w14:textId="77777777" w:rsidR="0045787B" w:rsidRDefault="0045787B" w:rsidP="0045787B">
      <w:pPr>
        <w:widowControl w:val="0"/>
        <w:snapToGrid w:val="0"/>
        <w:ind w:left="1040"/>
        <w:jc w:val="both"/>
        <w:rPr>
          <w:sz w:val="20"/>
          <w:rtl/>
          <w:lang w:eastAsia="he-IL"/>
        </w:rPr>
      </w:pPr>
    </w:p>
    <w:p w14:paraId="608450BB" w14:textId="77777777" w:rsidR="0045787B" w:rsidRDefault="0045787B" w:rsidP="0045787B">
      <w:pPr>
        <w:widowControl w:val="0"/>
        <w:snapToGrid w:val="0"/>
        <w:spacing w:line="360" w:lineRule="auto"/>
        <w:ind w:left="1040"/>
        <w:jc w:val="both"/>
        <w:rPr>
          <w:sz w:val="20"/>
          <w:rtl/>
          <w:lang w:eastAsia="he-IL"/>
        </w:rPr>
      </w:pPr>
      <w:r>
        <w:rPr>
          <w:sz w:val="20"/>
          <w:u w:val="single"/>
          <w:rtl/>
          <w:lang w:eastAsia="he-IL"/>
        </w:rPr>
        <w:t>ביום 2.1.23 הוגש תסקיר נוסף</w:t>
      </w:r>
      <w:r>
        <w:rPr>
          <w:sz w:val="20"/>
          <w:rtl/>
          <w:lang w:eastAsia="he-IL"/>
        </w:rPr>
        <w:t xml:space="preserve"> ובו פורט כי נעשו ניסיונות רבים ליצור קשר עם הנאשם אך ללא הצלחה. גם שהצליחו לאתרו, נקבעו עמו 5 פגישות בתאריכים שונים, אליהן לא הגיע, כשהסבריו נעו מכך ששכח דרך אירועים לא צפויים שמנעו הגעתו וכלה בכך שהיה עסוק. גם ניסיונות ליצור קשר עם בא כוחו, עלו בתוהו. הנאשם אף לא התייצב לדיון שנקבע ליום 23.1.23 וגם בא כוחו מסר שהוא ניסה ליצור עמו קשר ללא הצלחה ולא יודע מה סיבת אי התייצבותו. עם זאת ציין בא כוחו כי מדובר בעניין חריג שכן במשך כל התקופה היה בקשר עמו. הנאשם אף לא התייצב לראיון בפני הממונה על עבודות השירות. חרף זאת, בדיון ב-23.3.23 כב' הש' בונדה נתנה לנאשם הזדמנות אחרונה לשתף פעולה עם שירות המבחן ועם הממונה על עבודות השירות.</w:t>
      </w:r>
    </w:p>
    <w:p w14:paraId="4F1A129D" w14:textId="77777777" w:rsidR="0045787B" w:rsidRDefault="0045787B" w:rsidP="0045787B">
      <w:pPr>
        <w:widowControl w:val="0"/>
        <w:snapToGrid w:val="0"/>
        <w:ind w:left="1040"/>
        <w:jc w:val="both"/>
        <w:rPr>
          <w:rFonts w:ascii="David" w:hAnsi="David"/>
          <w:sz w:val="20"/>
          <w:rtl/>
          <w:lang w:eastAsia="he-IL"/>
        </w:rPr>
      </w:pPr>
    </w:p>
    <w:p w14:paraId="3648F477" w14:textId="77777777" w:rsidR="0045787B" w:rsidRDefault="0045787B" w:rsidP="0045787B">
      <w:pPr>
        <w:widowControl w:val="0"/>
        <w:snapToGrid w:val="0"/>
        <w:spacing w:line="360" w:lineRule="auto"/>
        <w:ind w:left="1040"/>
        <w:jc w:val="both"/>
        <w:rPr>
          <w:sz w:val="20"/>
          <w:rtl/>
          <w:lang w:eastAsia="he-IL"/>
        </w:rPr>
      </w:pPr>
      <w:r>
        <w:rPr>
          <w:rFonts w:ascii="David" w:hAnsi="David"/>
          <w:sz w:val="20"/>
          <w:rtl/>
          <w:lang w:eastAsia="he-IL"/>
        </w:rPr>
        <w:t xml:space="preserve">בהמשך, ניתן היה לראות אט-אט ניצנים של שינוי בהתנהלות הנאשם. </w:t>
      </w:r>
      <w:r>
        <w:rPr>
          <w:sz w:val="20"/>
          <w:rtl/>
          <w:lang w:eastAsia="he-IL"/>
        </w:rPr>
        <w:t xml:space="preserve">כך, כמתואר </w:t>
      </w:r>
      <w:r>
        <w:rPr>
          <w:sz w:val="20"/>
          <w:u w:val="single"/>
          <w:rtl/>
          <w:lang w:eastAsia="he-IL"/>
        </w:rPr>
        <w:t>בתסקיר מיום 26.7.23</w:t>
      </w:r>
      <w:r>
        <w:rPr>
          <w:sz w:val="20"/>
          <w:rtl/>
          <w:lang w:eastAsia="he-IL"/>
        </w:rPr>
        <w:t>, מסר הנאשם כי ערך חשבון נפש ומעוניין לערוך התבוננות פנימית על התנהלותו הכושלת ואף הביע הסכמתו להצעה להשתלב בקבוצה טיפולית מתאימה. בשל רשימת המתנה ארוכה לטיפול הקבוצתי, נכון למועד הגשת התסקיר, טרם היה צפי למועד השתלבותו. הנאשם הגיע לבדיקה שתוצאותיה הצביעו על ניקיון משרידי סם. שירות המבחן ציין כי חרף התמשכות ההליך, יש חשיבות בשילובו בטיפול ומעקב אחר התקדמותו ויכולתו להיתרם מהליך טיפולי קבוצתי, בטרם יבוא בהמלצה עונשית בעניינו ולכן הומלץ על דחייה נוספת בת 4 חודשים. משכך, בדיון ב-26.9.23 כב' הש' בונדה התחשבה בדברי הנאשם: "</w:t>
      </w:r>
      <w:r>
        <w:rPr>
          <w:b/>
          <w:bCs/>
          <w:sz w:val="20"/>
          <w:rtl/>
          <w:lang w:eastAsia="he-IL"/>
        </w:rPr>
        <w:t>לכל אחד מגיע צ'אנס, התחלתי תהליך כלשהו ואני עומד בזה. אני מחכה לקבוצה</w:t>
      </w:r>
      <w:r>
        <w:rPr>
          <w:sz w:val="20"/>
          <w:rtl/>
          <w:lang w:eastAsia="he-IL"/>
        </w:rPr>
        <w:t xml:space="preserve">" ונתנה לו הזדמנות להשתלב בהליך הטיפולי. במקביל הופנה הנאשם שוב אל הממונה על עבודות השירות. </w:t>
      </w:r>
    </w:p>
    <w:p w14:paraId="27D7547F" w14:textId="77777777" w:rsidR="0045787B" w:rsidRDefault="0045787B" w:rsidP="0045787B">
      <w:pPr>
        <w:widowControl w:val="0"/>
        <w:snapToGrid w:val="0"/>
        <w:ind w:left="1040"/>
        <w:jc w:val="both"/>
        <w:rPr>
          <w:sz w:val="20"/>
          <w:rtl/>
          <w:lang w:eastAsia="he-IL"/>
        </w:rPr>
      </w:pPr>
    </w:p>
    <w:p w14:paraId="0AD148C2" w14:textId="77777777" w:rsidR="0045787B" w:rsidRDefault="0045787B" w:rsidP="0045787B">
      <w:pPr>
        <w:widowControl w:val="0"/>
        <w:snapToGrid w:val="0"/>
        <w:spacing w:line="360" w:lineRule="auto"/>
        <w:ind w:left="1040"/>
        <w:jc w:val="both"/>
        <w:rPr>
          <w:sz w:val="20"/>
          <w:u w:val="single"/>
          <w:rtl/>
          <w:lang w:eastAsia="he-IL"/>
        </w:rPr>
      </w:pPr>
      <w:r>
        <w:rPr>
          <w:sz w:val="20"/>
          <w:rtl/>
          <w:lang w:eastAsia="he-IL"/>
        </w:rPr>
        <w:t xml:space="preserve">כמתואר </w:t>
      </w:r>
      <w:r>
        <w:rPr>
          <w:sz w:val="20"/>
          <w:u w:val="single"/>
          <w:rtl/>
          <w:lang w:eastAsia="he-IL"/>
        </w:rPr>
        <w:t>בתסקיר מ-23.1.24</w:t>
      </w:r>
      <w:r>
        <w:rPr>
          <w:sz w:val="20"/>
          <w:rtl/>
          <w:lang w:eastAsia="he-IL"/>
        </w:rPr>
        <w:t xml:space="preserve">, ב-2.1.24 השתלב הנאשם בקבוצה טיפולית. התרשמות מנחות הקבוצה היתה כי הנאשם משתתף פעיל ונעים בקבוצה, מכבד את המנחות ואת כללי הקבוצה ומגיע למפגשים כנדרש. הנאשם היה בשלב מותאם לשלב הקבוצה. כמצוין לעיל, הנאשם עדכן כי נישא לבת זוגו והחל לעבוד כמוכר בחנות נוחות מתוך תחושת מחויבות כלפי אשתו ורצונו לקיי אורח חיים תקין. הנאשם הביע שביעות רצון מהשתלבותו בקבוצה הטיפולית וביטא מוטיבציה להמשך השתתפותו בה. הנאשם הביע חרטה על העבירות וביטא מוטיבציה לערוך התבוננות פנימית על התנהלותו, תוך התמודדות עם המחירים שמשלם בגין ביצוע העבירות. לפיכך, לאור שיתוף הפעולה החיובי והשתלבותו בהליך הטיפולי, המליץ שירות המבחן להטיל עליו צו מבחן לשנה, במהלכה ימשיך להשתתף בקבוצה הטיפולית ובהמשך ישתלב בשיחות מעקביות ובדיקות שתן. כן הומלץ על ענישה שיקומית של 340 שעות של"ץ, נוכח חומרת העבירות. לעמדת שירות המבחן, עונש זה יהווה עונש חינוכי למען אוכלוסייה נזקקת, שיש בו כדי להקטין סיכון להישנות ביצוע עבירות, באמצעות תרומה לחברה ופיצוי הנזק. בנוסף הומלץ על ענישה נלווית בדמות מאסר מותנה. </w:t>
      </w:r>
    </w:p>
    <w:p w14:paraId="19E0EBEF" w14:textId="77777777" w:rsidR="0045787B" w:rsidRDefault="0045787B" w:rsidP="0045787B">
      <w:pPr>
        <w:widowControl w:val="0"/>
        <w:snapToGrid w:val="0"/>
        <w:ind w:left="1040"/>
        <w:jc w:val="both"/>
        <w:rPr>
          <w:sz w:val="20"/>
          <w:u w:val="single"/>
          <w:rtl/>
          <w:lang w:eastAsia="he-IL"/>
        </w:rPr>
      </w:pPr>
    </w:p>
    <w:p w14:paraId="64C7DECD" w14:textId="77777777" w:rsidR="0045787B" w:rsidRDefault="0045787B" w:rsidP="0045787B">
      <w:pPr>
        <w:widowControl w:val="0"/>
        <w:snapToGrid w:val="0"/>
        <w:spacing w:line="360" w:lineRule="auto"/>
        <w:ind w:left="1040"/>
        <w:jc w:val="both"/>
        <w:rPr>
          <w:sz w:val="20"/>
          <w:rtl/>
          <w:lang w:eastAsia="he-IL"/>
        </w:rPr>
      </w:pPr>
      <w:r>
        <w:rPr>
          <w:sz w:val="20"/>
          <w:u w:val="single"/>
          <w:rtl/>
          <w:lang w:eastAsia="he-IL"/>
        </w:rPr>
        <w:t>בתסקיר מ-10.3.24</w:t>
      </w:r>
      <w:r>
        <w:rPr>
          <w:sz w:val="20"/>
          <w:rtl/>
          <w:lang w:eastAsia="he-IL"/>
        </w:rPr>
        <w:t xml:space="preserve"> נמסר כי הנאשם המשיך השתלבותו בטיפול קבוצתי ייעודי ארוך טווח, הגיע למפגשים כנדרש, היה פעיל ולקח חלק במשימות, שיתף מעולמו הפנימי באופן התואם לשלב של הקבוצה ואהוב על חברי הקבוצה. בהתייחסותו למטרות שרוצה להשיג מסר כי מעוניין להיות פחות עצבני ויותר סובלני, כמו-כן ביטא רצון ונכונות להמשיך טיפול בקבוצה. להתרשמות שירות המבחן, לאחר תקופת זמן משמעותית בה נדחו דיוניו, הנאשם ממשיך לבטא נכונות לשיתוף פעולה במסגרת הליך טיפולי, מתמיד בהגעה למפגשים, עושה מאמצים לשתף מעולמו הפנימי כפי יכולתו ובאופן התואם לשלב הקבוצה, נתרם מהשיח הקבוצתי, המעשיר את כיווני החשיבה שלו ונותן לו נקודות מבט שונות על עצמו ועל מצבי סיכון שונים. להתרשמות שירות המבחן, ניכר כי הקבוצה מהווה עבור הנאשם גם מסגרת שייכות חברתית משמעותית. לאור האמור, חזר שירות המבחן על המלצתו כאמור בתסקיר הקודם מיום 23.1.24.</w:t>
      </w:r>
    </w:p>
    <w:p w14:paraId="62BB5A67" w14:textId="77777777" w:rsidR="0045787B" w:rsidRDefault="0045787B" w:rsidP="0045787B">
      <w:pPr>
        <w:widowControl w:val="0"/>
        <w:snapToGrid w:val="0"/>
        <w:ind w:left="1040"/>
        <w:jc w:val="both"/>
        <w:rPr>
          <w:sz w:val="20"/>
          <w:rtl/>
          <w:lang w:eastAsia="he-IL"/>
        </w:rPr>
      </w:pPr>
    </w:p>
    <w:p w14:paraId="48880BE4" w14:textId="77777777" w:rsidR="0045787B" w:rsidRDefault="0045787B" w:rsidP="0045787B">
      <w:pPr>
        <w:widowControl w:val="0"/>
        <w:snapToGrid w:val="0"/>
        <w:spacing w:line="360" w:lineRule="auto"/>
        <w:ind w:left="1040"/>
        <w:jc w:val="both"/>
        <w:rPr>
          <w:sz w:val="20"/>
          <w:rtl/>
          <w:lang w:eastAsia="he-IL"/>
        </w:rPr>
      </w:pPr>
      <w:r>
        <w:rPr>
          <w:sz w:val="20"/>
          <w:rtl/>
          <w:lang w:eastAsia="he-IL"/>
        </w:rPr>
        <w:t>בהקשר זה נתתי דעתי גם לדברי ב"כ הנאשם בטיעוניו לעונש, לפיהם, כאמור, הנאשם נישא בשנית, התחזק בדתו, מקיים כיום אורח חיים נורמטיבי, משלם מזונות ילדיו מנישואים קודמים ומעוניין להקים משפחה חדשה.</w:t>
      </w:r>
    </w:p>
    <w:p w14:paraId="263D07F1" w14:textId="77777777" w:rsidR="0045787B" w:rsidRDefault="0045787B" w:rsidP="0045787B">
      <w:pPr>
        <w:widowControl w:val="0"/>
        <w:snapToGrid w:val="0"/>
        <w:ind w:left="1191"/>
        <w:jc w:val="both"/>
        <w:rPr>
          <w:sz w:val="20"/>
          <w:rtl/>
          <w:lang w:eastAsia="he-IL"/>
        </w:rPr>
      </w:pPr>
    </w:p>
    <w:p w14:paraId="0E66616D" w14:textId="77777777" w:rsidR="0045787B" w:rsidRDefault="0045787B" w:rsidP="0045787B">
      <w:pPr>
        <w:widowControl w:val="0"/>
        <w:numPr>
          <w:ilvl w:val="2"/>
          <w:numId w:val="1"/>
        </w:numPr>
        <w:snapToGrid w:val="0"/>
        <w:spacing w:line="360" w:lineRule="auto"/>
        <w:ind w:left="1040" w:hanging="397"/>
        <w:jc w:val="both"/>
        <w:rPr>
          <w:rFonts w:ascii="David" w:hAnsi="David"/>
        </w:rPr>
      </w:pPr>
      <w:r>
        <w:rPr>
          <w:rFonts w:ascii="David" w:hAnsi="David"/>
          <w:b/>
          <w:bCs/>
          <w:sz w:val="20"/>
          <w:rtl/>
          <w:lang w:eastAsia="he-IL"/>
        </w:rPr>
        <w:t xml:space="preserve">הנזקים שנגרמו לנאשם מביצוע העבירות ומהרשעתו </w:t>
      </w:r>
      <w:r>
        <w:rPr>
          <w:rFonts w:ascii="David" w:hAnsi="David"/>
          <w:rtl/>
          <w:lang w:eastAsia="he-IL"/>
        </w:rPr>
        <w:t>–</w:t>
      </w:r>
      <w:r>
        <w:rPr>
          <w:sz w:val="20"/>
          <w:rtl/>
          <w:lang w:eastAsia="he-IL"/>
        </w:rPr>
        <w:t xml:space="preserve"> הנאשם היה </w:t>
      </w:r>
      <w:r w:rsidRPr="004C5F7B">
        <w:rPr>
          <w:sz w:val="20"/>
          <w:rtl/>
          <w:lang w:eastAsia="he-IL"/>
        </w:rPr>
        <w:t xml:space="preserve">עצור </w:t>
      </w:r>
      <w:r>
        <w:rPr>
          <w:rFonts w:hint="cs"/>
          <w:sz w:val="20"/>
          <w:rtl/>
          <w:lang w:eastAsia="he-IL"/>
        </w:rPr>
        <w:t>כשבועיים</w:t>
      </w:r>
      <w:r>
        <w:rPr>
          <w:sz w:val="20"/>
          <w:rtl/>
          <w:lang w:eastAsia="he-IL"/>
        </w:rPr>
        <w:t xml:space="preserve">. בנוסף, נתתי דעתי לדברי ב"כ הנאשם בטיעוניו לעונש, כי הנאשם שהה תקופה משמעותית בתנאי מעצר בית מלא, </w:t>
      </w:r>
      <w:r>
        <w:rPr>
          <w:rFonts w:hint="cs"/>
          <w:sz w:val="20"/>
          <w:rtl/>
          <w:lang w:eastAsia="he-IL"/>
        </w:rPr>
        <w:t>17.3.20</w:t>
      </w:r>
      <w:r>
        <w:rPr>
          <w:sz w:val="20"/>
          <w:rtl/>
          <w:lang w:eastAsia="he-IL"/>
        </w:rPr>
        <w:t xml:space="preserve">–6.11.21, ומאז שהה בתנאי מעצר בית לילי. </w:t>
      </w:r>
      <w:r>
        <w:rPr>
          <w:rFonts w:hint="cs"/>
          <w:sz w:val="20"/>
          <w:rtl/>
          <w:lang w:eastAsia="he-IL"/>
        </w:rPr>
        <w:t>מה</w:t>
      </w:r>
      <w:r>
        <w:rPr>
          <w:sz w:val="20"/>
          <w:rtl/>
          <w:lang w:eastAsia="he-IL"/>
        </w:rPr>
        <w:t>תסקירים</w:t>
      </w:r>
      <w:r>
        <w:rPr>
          <w:rFonts w:hint="cs"/>
          <w:sz w:val="20"/>
          <w:rtl/>
          <w:lang w:eastAsia="he-IL"/>
        </w:rPr>
        <w:t xml:space="preserve"> עלה כי </w:t>
      </w:r>
      <w:r>
        <w:rPr>
          <w:sz w:val="20"/>
          <w:rtl/>
          <w:lang w:eastAsia="he-IL"/>
        </w:rPr>
        <w:t xml:space="preserve">הנאשם נקלע לדוחק כלכלי בשנים האחרונות, נוכח שהייתו הממושכת בתנאים מגבילים והקושי להתפרנס. מצב זה הוביל לצבירת חובות גדולים, לרבות פתיחת תיק בהוצאה לפועל. הנאשם נטל הלוואות גבוהות באופן פרטי, ומדבריו עלה כי מדובר בחובות לגורמים בשוק האפור ואולי אף לגורמים עבריינים. </w:t>
      </w:r>
    </w:p>
    <w:p w14:paraId="08B440E8" w14:textId="77777777" w:rsidR="0045787B" w:rsidRDefault="0045787B" w:rsidP="0045787B">
      <w:pPr>
        <w:widowControl w:val="0"/>
        <w:snapToGrid w:val="0"/>
        <w:ind w:left="1040"/>
        <w:jc w:val="both"/>
        <w:rPr>
          <w:rFonts w:ascii="David" w:hAnsi="David"/>
          <w:b/>
          <w:bCs/>
        </w:rPr>
      </w:pPr>
    </w:p>
    <w:p w14:paraId="062AC180" w14:textId="77777777" w:rsidR="0045787B" w:rsidRDefault="0045787B" w:rsidP="0045787B">
      <w:pPr>
        <w:widowControl w:val="0"/>
        <w:numPr>
          <w:ilvl w:val="2"/>
          <w:numId w:val="1"/>
        </w:numPr>
        <w:snapToGrid w:val="0"/>
        <w:spacing w:line="360" w:lineRule="auto"/>
        <w:ind w:left="1040" w:hanging="397"/>
        <w:jc w:val="both"/>
        <w:rPr>
          <w:rFonts w:ascii="David" w:hAnsi="David"/>
          <w:b/>
          <w:bCs/>
        </w:rPr>
      </w:pPr>
      <w:r>
        <w:rPr>
          <w:rFonts w:ascii="David" w:hAnsi="David"/>
          <w:b/>
          <w:bCs/>
          <w:rtl/>
        </w:rPr>
        <w:t>עברו הפלילי של הנאשם</w:t>
      </w:r>
      <w:r>
        <w:rPr>
          <w:rFonts w:ascii="David" w:hAnsi="David"/>
          <w:rtl/>
        </w:rPr>
        <w:t xml:space="preserve"> –</w:t>
      </w:r>
      <w:r>
        <w:rPr>
          <w:sz w:val="20"/>
          <w:rtl/>
          <w:lang w:eastAsia="he-IL"/>
        </w:rPr>
        <w:t xml:space="preserve"> לנאשם 2 הרשעות בגין עבירות אלימות. בגין הרשעתו בעבירת אלימות משנת 2017 הוטלו עליו ב-6.9.18, בין היתר, 5 חודשי מאסר בעבודות שירות וצו מבחן. לדברי הנאשם ריצה עונש זה במאסר בפועל בשל קושי לבצע את עבודות השירות. </w:t>
      </w:r>
    </w:p>
    <w:p w14:paraId="314E0E56" w14:textId="77777777" w:rsidR="0045787B" w:rsidRDefault="0045787B" w:rsidP="0045787B">
      <w:pPr>
        <w:widowControl w:val="0"/>
        <w:snapToGrid w:val="0"/>
        <w:ind w:left="1040"/>
        <w:jc w:val="both"/>
        <w:rPr>
          <w:rFonts w:ascii="David" w:hAnsi="David"/>
          <w:b/>
          <w:bCs/>
        </w:rPr>
      </w:pPr>
    </w:p>
    <w:p w14:paraId="1A88D3FC" w14:textId="77777777" w:rsidR="0045787B" w:rsidRDefault="0045787B" w:rsidP="0045787B">
      <w:pPr>
        <w:widowControl w:val="0"/>
        <w:numPr>
          <w:ilvl w:val="2"/>
          <w:numId w:val="1"/>
        </w:numPr>
        <w:snapToGrid w:val="0"/>
        <w:spacing w:line="360" w:lineRule="auto"/>
        <w:ind w:left="1040" w:hanging="397"/>
        <w:jc w:val="both"/>
        <w:rPr>
          <w:rFonts w:ascii="David" w:hAnsi="David"/>
        </w:rPr>
      </w:pPr>
      <w:r>
        <w:rPr>
          <w:rFonts w:ascii="David" w:hAnsi="David"/>
          <w:b/>
          <w:bCs/>
          <w:rtl/>
          <w:lang w:eastAsia="he-IL"/>
        </w:rPr>
        <w:t>חלוף הזמן</w:t>
      </w:r>
      <w:r>
        <w:rPr>
          <w:rFonts w:ascii="David" w:hAnsi="David"/>
          <w:rtl/>
          <w:lang w:eastAsia="he-IL"/>
        </w:rPr>
        <w:t xml:space="preserve"> </w:t>
      </w:r>
      <w:r>
        <w:rPr>
          <w:rFonts w:ascii="David" w:hAnsi="David"/>
          <w:b/>
          <w:bCs/>
          <w:rtl/>
          <w:lang w:eastAsia="he-IL"/>
        </w:rPr>
        <w:t>מעת ביצוע העבירות</w:t>
      </w:r>
      <w:r>
        <w:rPr>
          <w:rFonts w:ascii="David" w:hAnsi="David"/>
          <w:rtl/>
          <w:lang w:eastAsia="he-IL"/>
        </w:rPr>
        <w:t xml:space="preserve"> –</w:t>
      </w:r>
      <w:r>
        <w:rPr>
          <w:sz w:val="20"/>
          <w:rtl/>
          <w:lang w:eastAsia="he-IL"/>
        </w:rPr>
        <w:t xml:space="preserve"> חלפו כ-5 שנים מביצוע העבירה בתיק המצורף וכ-4 שנים מביצוע העבירה בתיק העיקרי. בחלוף הזמן, כאמור, </w:t>
      </w:r>
      <w:r>
        <w:rPr>
          <w:rFonts w:hint="cs"/>
          <w:sz w:val="20"/>
          <w:rtl/>
          <w:lang w:eastAsia="he-IL"/>
        </w:rPr>
        <w:t xml:space="preserve">הנאשם </w:t>
      </w:r>
      <w:r>
        <w:rPr>
          <w:sz w:val="20"/>
          <w:rtl/>
          <w:lang w:eastAsia="he-IL"/>
        </w:rPr>
        <w:t>לא עבר עבירות נוספות ולא נפתחו לחובתו תיקים נוספים.</w:t>
      </w:r>
      <w:r>
        <w:rPr>
          <w:rFonts w:ascii="David" w:hAnsi="David"/>
          <w:b/>
          <w:bCs/>
          <w:rtl/>
        </w:rPr>
        <w:t xml:space="preserve"> </w:t>
      </w:r>
      <w:r>
        <w:rPr>
          <w:rFonts w:ascii="David" w:hAnsi="David"/>
          <w:rtl/>
        </w:rPr>
        <w:t xml:space="preserve">נתתי דעתי לכך שחלוף הזמן לא רובץ כולו לפתחו של הנאשם. הטיעונים לעונש בתיק המצורף נדחו, מטעמים שונים, ליום </w:t>
      </w:r>
      <w:r>
        <w:rPr>
          <w:rFonts w:eastAsia="Calibri"/>
          <w:rtl/>
        </w:rPr>
        <w:t xml:space="preserve">9.8.21. כאמור לעיל, לאחר צירוף התיק, קבע כב' הש' נחמיאס כי הטיעונים לעונש ישמעו </w:t>
      </w:r>
      <w:r>
        <w:rPr>
          <w:rtl/>
        </w:rPr>
        <w:t xml:space="preserve">בפניו ב-20.3.22. מועד זה נדחה ל-31.5.22 </w:t>
      </w:r>
      <w:r>
        <w:rPr>
          <w:rFonts w:hint="cs"/>
          <w:rtl/>
        </w:rPr>
        <w:t xml:space="preserve">מאילוצי בית משפט </w:t>
      </w:r>
      <w:r>
        <w:rPr>
          <w:rtl/>
        </w:rPr>
        <w:t xml:space="preserve">ובהמשך נותב התיק לכב' הש' בונדה. הדיונים נדחו מעת לעת מסיבות שונות, </w:t>
      </w:r>
      <w:r>
        <w:rPr>
          <w:rFonts w:hint="cs"/>
          <w:rtl/>
        </w:rPr>
        <w:t xml:space="preserve">לרבות בהמתנה לתסקירים, אילוצי בית המשפט, אילוצי ב"כ הנאשם ופעם אחת בשל אי-התייצבות הנאשם, שהיה חולה. </w:t>
      </w:r>
      <w:r>
        <w:rPr>
          <w:rtl/>
        </w:rPr>
        <w:t>בחלוף כמעט שנתיים</w:t>
      </w:r>
      <w:r>
        <w:rPr>
          <w:rFonts w:hint="cs"/>
          <w:rtl/>
        </w:rPr>
        <w:t xml:space="preserve"> </w:t>
      </w:r>
      <w:r>
        <w:rPr>
          <w:rtl/>
        </w:rPr>
        <w:t>–</w:t>
      </w:r>
      <w:r>
        <w:rPr>
          <w:rFonts w:hint="cs"/>
          <w:rtl/>
        </w:rPr>
        <w:t xml:space="preserve"> ב-26.9.23 </w:t>
      </w:r>
      <w:r>
        <w:rPr>
          <w:rFonts w:ascii="David" w:hAnsi="David"/>
          <w:rtl/>
        </w:rPr>
        <w:t>נותב התיק לשמיעה בפניי</w:t>
      </w:r>
      <w:r>
        <w:rPr>
          <w:rFonts w:ascii="David" w:hAnsi="David" w:hint="cs"/>
          <w:rtl/>
        </w:rPr>
        <w:t xml:space="preserve">. מועד </w:t>
      </w:r>
      <w:r>
        <w:rPr>
          <w:rtl/>
        </w:rPr>
        <w:t xml:space="preserve">הטיעונים לעונש </w:t>
      </w:r>
      <w:r>
        <w:rPr>
          <w:rFonts w:hint="cs"/>
          <w:rtl/>
        </w:rPr>
        <w:t xml:space="preserve">נדחה מספר פעמים בשל המצב הביטחוני ועל רקע שירות מילואים של ב"כ הנאשם, עד שלבסוף אלו </w:t>
      </w:r>
      <w:r>
        <w:rPr>
          <w:rtl/>
        </w:rPr>
        <w:t xml:space="preserve">נשמעו ב-14.3.24. </w:t>
      </w:r>
      <w:r>
        <w:rPr>
          <w:rFonts w:ascii="David" w:hAnsi="David" w:hint="cs"/>
          <w:rtl/>
        </w:rPr>
        <w:t xml:space="preserve">בשל </w:t>
      </w:r>
      <w:r>
        <w:rPr>
          <w:rFonts w:ascii="David" w:hAnsi="David"/>
          <w:rtl/>
        </w:rPr>
        <w:t>אילוצי ב"כ הנאשם מועד מתן גזר הדין נדחה ל-9.6.24.</w:t>
      </w:r>
    </w:p>
    <w:p w14:paraId="0E391CC1" w14:textId="77777777" w:rsidR="0045787B" w:rsidRDefault="0045787B" w:rsidP="0045787B">
      <w:pPr>
        <w:widowControl w:val="0"/>
        <w:spacing w:line="360" w:lineRule="auto"/>
        <w:jc w:val="both"/>
        <w:rPr>
          <w:rFonts w:ascii="David" w:hAnsi="David"/>
          <w:sz w:val="22"/>
          <w:szCs w:val="26"/>
          <w:lang w:eastAsia="he-IL"/>
        </w:rPr>
      </w:pPr>
    </w:p>
    <w:p w14:paraId="4010C00D" w14:textId="77777777" w:rsidR="0045787B" w:rsidRDefault="0045787B" w:rsidP="0045787B">
      <w:pPr>
        <w:widowControl w:val="0"/>
        <w:spacing w:line="360" w:lineRule="auto"/>
        <w:jc w:val="both"/>
        <w:rPr>
          <w:rFonts w:ascii="David" w:hAnsi="David"/>
          <w:bCs/>
          <w:sz w:val="26"/>
          <w:szCs w:val="26"/>
          <w:rtl/>
        </w:rPr>
      </w:pPr>
      <w:r>
        <w:rPr>
          <w:rFonts w:ascii="David" w:hAnsi="David"/>
          <w:bCs/>
          <w:sz w:val="26"/>
          <w:szCs w:val="26"/>
          <w:rtl/>
        </w:rPr>
        <w:t>סוף דבר</w:t>
      </w:r>
    </w:p>
    <w:p w14:paraId="5DA48571" w14:textId="77777777" w:rsidR="0045787B" w:rsidRDefault="0045787B" w:rsidP="0045787B">
      <w:pPr>
        <w:numPr>
          <w:ilvl w:val="0"/>
          <w:numId w:val="1"/>
        </w:numPr>
        <w:snapToGrid w:val="0"/>
        <w:spacing w:line="360" w:lineRule="auto"/>
        <w:jc w:val="both"/>
        <w:rPr>
          <w:rFonts w:ascii="David" w:hAnsi="David"/>
          <w:sz w:val="20"/>
          <w:rtl/>
          <w:lang w:eastAsia="he-IL"/>
        </w:rPr>
      </w:pPr>
      <w:r>
        <w:rPr>
          <w:sz w:val="20"/>
          <w:rtl/>
          <w:lang w:eastAsia="he-IL"/>
        </w:rPr>
        <w:t xml:space="preserve">הנאשם הורשע בשתי עבירות המהוות שני אירועים. אין חולק בנוגע לחשיבות עיקרון השיקום, שמצא ביטוי בהוראת </w:t>
      </w:r>
      <w:hyperlink r:id="rId53" w:history="1">
        <w:r w:rsidR="00472E4E" w:rsidRPr="00472E4E">
          <w:rPr>
            <w:rStyle w:val="Hyperlink"/>
            <w:color w:val="0000FF"/>
            <w:sz w:val="20"/>
            <w:rtl/>
            <w:lang w:eastAsia="he-IL"/>
          </w:rPr>
          <w:t>סעיף 40ד</w:t>
        </w:r>
      </w:hyperlink>
      <w:r>
        <w:rPr>
          <w:sz w:val="20"/>
          <w:rtl/>
          <w:lang w:eastAsia="he-IL"/>
        </w:rPr>
        <w:t xml:space="preserve"> </w:t>
      </w:r>
      <w:r>
        <w:rPr>
          <w:rtl/>
        </w:rPr>
        <w:t>ל-</w:t>
      </w:r>
      <w:hyperlink r:id="rId54" w:history="1">
        <w:r w:rsidR="00E1490D" w:rsidRPr="00E1490D">
          <w:rPr>
            <w:rFonts w:ascii="Miriam" w:hAnsi="Miriam" w:cs="Miriam"/>
            <w:b/>
            <w:bCs/>
            <w:color w:val="0000FF"/>
            <w:szCs w:val="22"/>
            <w:u w:val="single"/>
            <w:rtl/>
          </w:rPr>
          <w:t>חוק העונשין</w:t>
        </w:r>
      </w:hyperlink>
      <w:r>
        <w:rPr>
          <w:sz w:val="20"/>
          <w:rtl/>
          <w:lang w:eastAsia="he-IL"/>
        </w:rPr>
        <w:t xml:space="preserve"> ובפסיקה. בהינתן הנסיבות המחמירות של ביצוע העבירות, לרבות סוגי הסמים וכמותם, כמו גם הצורך בהרתעה אישית ובהרתעת הרבים, בהתאם </w:t>
      </w:r>
      <w:hyperlink r:id="rId55" w:history="1">
        <w:r w:rsidR="00472E4E" w:rsidRPr="00472E4E">
          <w:rPr>
            <w:rStyle w:val="Hyperlink"/>
            <w:color w:val="0000FF"/>
            <w:sz w:val="20"/>
            <w:rtl/>
            <w:lang w:eastAsia="he-IL"/>
          </w:rPr>
          <w:t>לסעיפים 40ו</w:t>
        </w:r>
      </w:hyperlink>
      <w:r>
        <w:rPr>
          <w:sz w:val="20"/>
          <w:rtl/>
          <w:lang w:eastAsia="he-IL"/>
        </w:rPr>
        <w:t xml:space="preserve"> ו-</w:t>
      </w:r>
      <w:hyperlink r:id="rId56" w:history="1">
        <w:r w:rsidR="00472E4E" w:rsidRPr="00472E4E">
          <w:rPr>
            <w:rStyle w:val="Hyperlink"/>
            <w:color w:val="0000FF"/>
            <w:sz w:val="20"/>
            <w:rtl/>
            <w:lang w:eastAsia="he-IL"/>
          </w:rPr>
          <w:t>40ז</w:t>
        </w:r>
      </w:hyperlink>
      <w:r>
        <w:rPr>
          <w:sz w:val="20"/>
          <w:rtl/>
          <w:lang w:eastAsia="he-IL"/>
        </w:rPr>
        <w:t xml:space="preserve"> </w:t>
      </w:r>
      <w:r>
        <w:rPr>
          <w:rtl/>
        </w:rPr>
        <w:t>ל-</w:t>
      </w:r>
      <w:hyperlink r:id="rId57" w:history="1">
        <w:r w:rsidR="00E1490D" w:rsidRPr="00E1490D">
          <w:rPr>
            <w:rFonts w:ascii="Miriam" w:hAnsi="Miriam" w:cs="Miriam"/>
            <w:b/>
            <w:bCs/>
            <w:color w:val="0000FF"/>
            <w:szCs w:val="22"/>
            <w:u w:val="single"/>
            <w:rtl/>
          </w:rPr>
          <w:t>חוק העונשין</w:t>
        </w:r>
      </w:hyperlink>
      <w:r>
        <w:rPr>
          <w:sz w:val="20"/>
          <w:rtl/>
          <w:lang w:eastAsia="he-IL"/>
        </w:rPr>
        <w:t xml:space="preserve"> – מצאתי כי יש להעדיף את עקרון ההלימה. בהינתן כי הנאשם מצוי אך בתחילת ההליך הטיפולי, בשלב בו טרם ניתן להעריך סיכוי הצלחתו, בייחוד על רקע ניסיון העבר – אין מקום לחרוג מהמתחמים משיקולי שיקום. לצד זאת, בגזירת עונשו של הנאשם בתוך המתחמים ינתן משקל לנסיבותיו האישיות כמפורט לעיל, הודאתו, נטילת האחריות, עברו הפלילי, שלא רלוונטי לענייננו, כשב-4 השנים האחרונות לא הסתבך בפלילים, הנתונים שעלו מתסקירי שירות המבחן, ובכלל זאת, השינוי שחל בהתנהלות הנאשם, שיש בו כדי להצביע על שינוי חשיבה והבנת הצורך בשיתוף פעולה עם גורמי הטיפול, מאמצי השיקום בהם החל לאחרונה, גם אם טרם הצליח להגשים מטרות הטיפול וכן הנזקים שנגרמו לו, לרבות התקופה בה שהה במעצר ממש ובתנאים מגבילים.</w:t>
      </w:r>
    </w:p>
    <w:p w14:paraId="0BA02E46" w14:textId="77777777" w:rsidR="0045787B" w:rsidRDefault="0045787B" w:rsidP="0045787B">
      <w:pPr>
        <w:snapToGrid w:val="0"/>
        <w:spacing w:line="360" w:lineRule="auto"/>
        <w:ind w:left="643"/>
        <w:jc w:val="both"/>
        <w:rPr>
          <w:rFonts w:ascii="David" w:hAnsi="David"/>
          <w:sz w:val="20"/>
          <w:lang w:eastAsia="he-IL"/>
        </w:rPr>
      </w:pPr>
    </w:p>
    <w:p w14:paraId="1B1BEE53" w14:textId="77777777" w:rsidR="0045787B" w:rsidRDefault="0045787B" w:rsidP="0045787B">
      <w:pPr>
        <w:numPr>
          <w:ilvl w:val="0"/>
          <w:numId w:val="1"/>
        </w:numPr>
        <w:snapToGrid w:val="0"/>
        <w:spacing w:line="360" w:lineRule="auto"/>
        <w:jc w:val="both"/>
        <w:rPr>
          <w:rFonts w:ascii="David" w:hAnsi="David"/>
          <w:sz w:val="20"/>
          <w:lang w:eastAsia="he-IL"/>
        </w:rPr>
      </w:pPr>
      <w:r>
        <w:rPr>
          <w:sz w:val="20"/>
          <w:rtl/>
          <w:lang w:eastAsia="he-IL"/>
        </w:rPr>
        <w:t xml:space="preserve">לאור כל המקובץ, ובעיקר תוך התחשבות בשיקולי שיקום ומאמצי הנאשם בתחום זה, מצאתי כי יש למקם את הנאשם בחלקו התחתון של כל אחד מהמתחמים שנקבעו, להורות על חפיפה מלאה בין העונשים כך שיושת על הנאשם עונש כולל. זאת ועוד, </w:t>
      </w:r>
      <w:r>
        <w:rPr>
          <w:rFonts w:hint="cs"/>
          <w:sz w:val="20"/>
          <w:rtl/>
          <w:lang w:eastAsia="he-IL"/>
        </w:rPr>
        <w:t xml:space="preserve">על מנת לאפשר לנאשם להמשיך בהליך שיקומו, </w:t>
      </w:r>
      <w:r>
        <w:rPr>
          <w:sz w:val="20"/>
          <w:rtl/>
          <w:lang w:eastAsia="he-IL"/>
        </w:rPr>
        <w:t>בשל מצבו הכלכלי המורכב ובהתחשב בעונש שיושת עליו, מצאתי לחרוג ממתח</w:t>
      </w:r>
      <w:r>
        <w:rPr>
          <w:rFonts w:hint="cs"/>
          <w:sz w:val="20"/>
          <w:rtl/>
          <w:lang w:eastAsia="he-IL"/>
        </w:rPr>
        <w:t>מי</w:t>
      </w:r>
      <w:r>
        <w:rPr>
          <w:sz w:val="20"/>
          <w:rtl/>
          <w:lang w:eastAsia="he-IL"/>
        </w:rPr>
        <w:t xml:space="preserve"> הקנס ולצד זאת להשית התחייבות בסכום גבוה מהרגיל. </w:t>
      </w:r>
      <w:r>
        <w:rPr>
          <w:rFonts w:ascii="David" w:hAnsi="David"/>
          <w:sz w:val="20"/>
          <w:rtl/>
          <w:lang w:eastAsia="he-IL"/>
        </w:rPr>
        <w:t>אשר על כן,</w:t>
      </w:r>
      <w:r>
        <w:rPr>
          <w:rFonts w:ascii="David" w:hAnsi="David"/>
          <w:b/>
          <w:bCs/>
          <w:sz w:val="20"/>
          <w:rtl/>
          <w:lang w:eastAsia="he-IL"/>
        </w:rPr>
        <w:t xml:space="preserve"> אני גוזרת על הנאשם את העונשים הבאים</w:t>
      </w:r>
      <w:r>
        <w:rPr>
          <w:rFonts w:ascii="David" w:hAnsi="David"/>
          <w:sz w:val="20"/>
          <w:rtl/>
          <w:lang w:eastAsia="he-IL"/>
        </w:rPr>
        <w:t>:</w:t>
      </w:r>
    </w:p>
    <w:p w14:paraId="1992B727" w14:textId="77777777" w:rsidR="0045787B" w:rsidRDefault="0045787B" w:rsidP="0045787B">
      <w:pPr>
        <w:snapToGrid w:val="0"/>
        <w:ind w:left="643"/>
        <w:jc w:val="both"/>
        <w:rPr>
          <w:rFonts w:ascii="David" w:hAnsi="David"/>
          <w:sz w:val="20"/>
          <w:rtl/>
          <w:lang w:eastAsia="he-IL"/>
        </w:rPr>
      </w:pPr>
    </w:p>
    <w:p w14:paraId="2C891435" w14:textId="77777777" w:rsidR="0045787B" w:rsidRDefault="0045787B" w:rsidP="0045787B">
      <w:pPr>
        <w:pStyle w:val="aa"/>
        <w:numPr>
          <w:ilvl w:val="0"/>
          <w:numId w:val="3"/>
        </w:numPr>
        <w:snapToGrid w:val="0"/>
        <w:spacing w:line="360" w:lineRule="auto"/>
        <w:ind w:left="1191" w:hanging="397"/>
        <w:jc w:val="both"/>
        <w:rPr>
          <w:rFonts w:ascii="Times New Roman" w:hAnsi="Times New Roman"/>
        </w:rPr>
      </w:pPr>
      <w:r>
        <w:rPr>
          <w:b/>
          <w:bCs/>
          <w:sz w:val="20"/>
          <w:rtl/>
          <w:lang w:eastAsia="he-IL"/>
        </w:rPr>
        <w:t>8 חודשי מאסר בפועל. בהתאם לחוות דעת הממונה על עבודות שירות, המאסר ירוצה בעבודות שירות.</w:t>
      </w:r>
    </w:p>
    <w:p w14:paraId="21D90235" w14:textId="77777777" w:rsidR="0045787B" w:rsidRDefault="0045787B" w:rsidP="0045787B">
      <w:pPr>
        <w:pStyle w:val="aa"/>
        <w:snapToGrid w:val="0"/>
        <w:spacing w:line="360" w:lineRule="auto"/>
        <w:ind w:left="1191"/>
        <w:jc w:val="both"/>
        <w:rPr>
          <w:u w:val="single"/>
          <w:rtl/>
        </w:rPr>
      </w:pPr>
      <w:r>
        <w:rPr>
          <w:rtl/>
        </w:rPr>
        <w:t xml:space="preserve">הנאשם יבצע את עבודות השירות - </w:t>
      </w:r>
      <w:r>
        <w:rPr>
          <w:u w:val="single"/>
          <w:rtl/>
        </w:rPr>
        <w:t>5 ימים בשבוע, 8.5 שעות ביום</w:t>
      </w:r>
      <w:r>
        <w:rPr>
          <w:rtl/>
        </w:rPr>
        <w:t>.</w:t>
      </w:r>
    </w:p>
    <w:p w14:paraId="1D3673A3" w14:textId="77777777" w:rsidR="0045787B" w:rsidRDefault="0045787B" w:rsidP="0045787B">
      <w:pPr>
        <w:pStyle w:val="aa"/>
        <w:snapToGrid w:val="0"/>
        <w:spacing w:line="360" w:lineRule="auto"/>
        <w:ind w:left="1191"/>
        <w:jc w:val="both"/>
        <w:rPr>
          <w:b/>
          <w:bCs/>
          <w:rtl/>
        </w:rPr>
      </w:pPr>
      <w:r>
        <w:rPr>
          <w:u w:val="single"/>
          <w:rtl/>
        </w:rPr>
        <w:t>תחילת בצוע עבודות השירות ביום 24.7.24</w:t>
      </w:r>
      <w:r>
        <w:rPr>
          <w:rtl/>
        </w:rPr>
        <w:t>.</w:t>
      </w:r>
    </w:p>
    <w:p w14:paraId="4CFEF986" w14:textId="77777777" w:rsidR="0045787B" w:rsidRDefault="0045787B" w:rsidP="0045787B">
      <w:pPr>
        <w:pStyle w:val="aa"/>
        <w:snapToGrid w:val="0"/>
        <w:spacing w:line="360" w:lineRule="auto"/>
        <w:ind w:left="1191"/>
        <w:jc w:val="both"/>
        <w:rPr>
          <w:rtl/>
        </w:rPr>
      </w:pPr>
      <w:r>
        <w:rPr>
          <w:b/>
          <w:bCs/>
          <w:rtl/>
        </w:rPr>
        <w:t>ביום 24.7.24, בשעה 08:00</w:t>
      </w:r>
      <w:r>
        <w:rPr>
          <w:rtl/>
        </w:rPr>
        <w:t xml:space="preserve"> יתייצב הנאשם לצורך קליטה והצבה ב-יחידת ברקאי - עבודות שירות - שלוחת דרום - סמוך לכלא באר שבע. </w:t>
      </w:r>
    </w:p>
    <w:p w14:paraId="6CB76431" w14:textId="77777777" w:rsidR="0045787B" w:rsidRDefault="0045787B" w:rsidP="0045787B">
      <w:pPr>
        <w:pStyle w:val="aa"/>
        <w:snapToGrid w:val="0"/>
        <w:spacing w:line="360" w:lineRule="auto"/>
        <w:ind w:left="1191"/>
        <w:jc w:val="both"/>
        <w:rPr>
          <w:rtl/>
        </w:rPr>
      </w:pPr>
      <w:r>
        <w:rPr>
          <w:rtl/>
        </w:rPr>
        <w:t xml:space="preserve">אוטובוסים להגעה: 247, 350, 189. </w:t>
      </w:r>
    </w:p>
    <w:p w14:paraId="528B95D3" w14:textId="77777777" w:rsidR="0045787B" w:rsidRPr="009A386E" w:rsidRDefault="0045787B" w:rsidP="0045787B">
      <w:pPr>
        <w:pStyle w:val="aa"/>
        <w:snapToGrid w:val="0"/>
        <w:ind w:left="1191"/>
        <w:jc w:val="both"/>
        <w:rPr>
          <w:b/>
          <w:bCs/>
          <w:u w:val="single"/>
          <w:rtl/>
        </w:rPr>
      </w:pPr>
      <w:r w:rsidRPr="009A386E">
        <w:rPr>
          <w:b/>
          <w:bCs/>
          <w:u w:val="single"/>
          <w:rtl/>
        </w:rPr>
        <w:t xml:space="preserve">הנאשם מוזהר: </w:t>
      </w:r>
    </w:p>
    <w:p w14:paraId="4FFF9A64" w14:textId="77777777" w:rsidR="0045787B" w:rsidRDefault="0045787B" w:rsidP="0045787B">
      <w:pPr>
        <w:pStyle w:val="aa"/>
        <w:numPr>
          <w:ilvl w:val="2"/>
          <w:numId w:val="1"/>
        </w:numPr>
        <w:snapToGrid w:val="0"/>
        <w:ind w:left="1588" w:hanging="397"/>
        <w:jc w:val="both"/>
        <w:rPr>
          <w:rtl/>
        </w:rPr>
      </w:pPr>
      <w:r>
        <w:rPr>
          <w:rtl/>
        </w:rPr>
        <w:t xml:space="preserve">עליו לעדכן את משרד הממונה בכל שינוי, אם יחול, בכתובת מגוריו ובטלפון הנייד שלו. </w:t>
      </w:r>
    </w:p>
    <w:p w14:paraId="1BD2C6E5" w14:textId="77777777" w:rsidR="0045787B" w:rsidRDefault="0045787B" w:rsidP="0045787B">
      <w:pPr>
        <w:pStyle w:val="aa"/>
        <w:numPr>
          <w:ilvl w:val="2"/>
          <w:numId w:val="1"/>
        </w:numPr>
        <w:snapToGrid w:val="0"/>
        <w:ind w:left="1588" w:hanging="397"/>
        <w:jc w:val="both"/>
      </w:pPr>
      <w:r>
        <w:rPr>
          <w:rtl/>
        </w:rPr>
        <w:t xml:space="preserve">עליו לעמוד בתנאי הפיקוח, שכן כל הפרה או אי מילוי עבודות השירות על פי הנחיות המפקח, עלולים להביא להפסקתן ולהמרתן בריצוי יתרת המאסר בפועל. </w:t>
      </w:r>
    </w:p>
    <w:p w14:paraId="00250D7F" w14:textId="77777777" w:rsidR="0045787B" w:rsidRDefault="0045787B" w:rsidP="0045787B">
      <w:pPr>
        <w:pStyle w:val="aa"/>
        <w:numPr>
          <w:ilvl w:val="2"/>
          <w:numId w:val="1"/>
        </w:numPr>
        <w:snapToGrid w:val="0"/>
        <w:ind w:left="1588" w:hanging="397"/>
        <w:jc w:val="both"/>
      </w:pPr>
      <w:r>
        <w:rPr>
          <w:rtl/>
        </w:rPr>
        <w:t xml:space="preserve">במקום נערכות ביקורות, וכי אי עמידה בביקורת עלולה להביא להפסקת עבודות השירות ולהמרתן בריצוי יתרת המאסר בפועל. </w:t>
      </w:r>
    </w:p>
    <w:p w14:paraId="28836D7F" w14:textId="77777777" w:rsidR="0045787B" w:rsidRDefault="0045787B" w:rsidP="0045787B">
      <w:pPr>
        <w:pStyle w:val="aa"/>
        <w:numPr>
          <w:ilvl w:val="2"/>
          <w:numId w:val="1"/>
        </w:numPr>
        <w:autoSpaceDE w:val="0"/>
        <w:autoSpaceDN w:val="0"/>
        <w:snapToGrid w:val="0"/>
        <w:ind w:left="1588" w:hanging="397"/>
        <w:jc w:val="both"/>
        <w:rPr>
          <w:b/>
          <w:bCs/>
          <w:u w:val="single"/>
        </w:rPr>
      </w:pPr>
      <w:r>
        <w:rPr>
          <w:rtl/>
        </w:rPr>
        <w:t>מדובר</w:t>
      </w:r>
      <w:r>
        <w:rPr>
          <w:rFonts w:ascii="Times New Roman-Bold-1255" w:hAnsi="Times New Roman-Bold-1255"/>
        </w:rPr>
        <w:t xml:space="preserve"> </w:t>
      </w:r>
      <w:r>
        <w:rPr>
          <w:rtl/>
        </w:rPr>
        <w:t>בתנאי</w:t>
      </w:r>
      <w:r>
        <w:rPr>
          <w:rFonts w:ascii="Times New Roman-Bold-1255" w:hAnsi="Times New Roman-Bold-1255"/>
        </w:rPr>
        <w:t xml:space="preserve"> </w:t>
      </w:r>
      <w:r>
        <w:rPr>
          <w:rtl/>
        </w:rPr>
        <w:t>העסקה</w:t>
      </w:r>
      <w:r>
        <w:rPr>
          <w:rFonts w:ascii="Times New Roman-Bold-1255" w:hAnsi="Times New Roman-Bold-1255"/>
        </w:rPr>
        <w:t xml:space="preserve"> </w:t>
      </w:r>
      <w:r>
        <w:rPr>
          <w:rtl/>
        </w:rPr>
        <w:t>קפדניים</w:t>
      </w:r>
      <w:r>
        <w:rPr>
          <w:rFonts w:ascii="Times New Roman-Bold-1255" w:hAnsi="Times New Roman-Bold-1255"/>
        </w:rPr>
        <w:t xml:space="preserve"> </w:t>
      </w:r>
      <w:r>
        <w:rPr>
          <w:rtl/>
        </w:rPr>
        <w:t>וכי כל</w:t>
      </w:r>
      <w:r>
        <w:rPr>
          <w:rFonts w:ascii="Times New Roman-Bold-1255" w:hAnsi="Times New Roman-Bold-1255"/>
        </w:rPr>
        <w:t xml:space="preserve"> </w:t>
      </w:r>
      <w:r>
        <w:rPr>
          <w:rtl/>
        </w:rPr>
        <w:t>חריגה</w:t>
      </w:r>
      <w:r>
        <w:rPr>
          <w:rFonts w:ascii="Times New Roman-Bold-1255" w:hAnsi="Times New Roman-Bold-1255"/>
        </w:rPr>
        <w:t xml:space="preserve"> </w:t>
      </w:r>
      <w:r>
        <w:rPr>
          <w:rtl/>
        </w:rPr>
        <w:t>מכללים</w:t>
      </w:r>
      <w:r>
        <w:rPr>
          <w:rFonts w:ascii="Times New Roman-Bold-1255" w:hAnsi="Times New Roman-Bold-1255"/>
        </w:rPr>
        <w:t xml:space="preserve"> </w:t>
      </w:r>
      <w:r>
        <w:rPr>
          <w:rtl/>
        </w:rPr>
        <w:t>אלו עלולה להביא להפסקת עבודות</w:t>
      </w:r>
      <w:r>
        <w:rPr>
          <w:rFonts w:ascii="Times New Roman-Bold-1255" w:hAnsi="Times New Roman-Bold-1255"/>
        </w:rPr>
        <w:t xml:space="preserve"> </w:t>
      </w:r>
      <w:r>
        <w:rPr>
          <w:rtl/>
        </w:rPr>
        <w:t>השירות</w:t>
      </w:r>
      <w:r>
        <w:rPr>
          <w:rFonts w:ascii="Times New Roman-Bold-1255" w:hAnsi="Times New Roman-Bold-1255"/>
        </w:rPr>
        <w:t xml:space="preserve"> </w:t>
      </w:r>
      <w:r>
        <w:rPr>
          <w:rtl/>
        </w:rPr>
        <w:t>ולהמרתן בריצוי יתרת המאסר בפועל.</w:t>
      </w:r>
    </w:p>
    <w:p w14:paraId="550C68FE" w14:textId="77777777" w:rsidR="0045787B" w:rsidRDefault="0045787B" w:rsidP="0045787B">
      <w:pPr>
        <w:pStyle w:val="aa"/>
        <w:autoSpaceDE w:val="0"/>
        <w:autoSpaceDN w:val="0"/>
        <w:snapToGrid w:val="0"/>
        <w:ind w:left="1191"/>
        <w:jc w:val="both"/>
        <w:rPr>
          <w:b/>
          <w:bCs/>
          <w:u w:val="single"/>
        </w:rPr>
      </w:pPr>
    </w:p>
    <w:p w14:paraId="5824C7EA" w14:textId="77777777" w:rsidR="0045787B" w:rsidRDefault="0045787B" w:rsidP="0045787B">
      <w:pPr>
        <w:pStyle w:val="aa"/>
        <w:autoSpaceDE w:val="0"/>
        <w:autoSpaceDN w:val="0"/>
        <w:snapToGrid w:val="0"/>
        <w:spacing w:line="360" w:lineRule="auto"/>
        <w:ind w:left="1191"/>
        <w:jc w:val="both"/>
        <w:rPr>
          <w:b/>
          <w:bCs/>
          <w:u w:val="single"/>
          <w:rtl/>
        </w:rPr>
      </w:pPr>
      <w:r>
        <w:rPr>
          <w:b/>
          <w:bCs/>
          <w:u w:val="single"/>
          <w:rtl/>
        </w:rPr>
        <w:t xml:space="preserve">הממונה על עבודות השירות תדווח לבית המשפט עם תום ביצוע העבודות. </w:t>
      </w:r>
    </w:p>
    <w:p w14:paraId="16164E93" w14:textId="77777777" w:rsidR="0045787B" w:rsidRDefault="0045787B" w:rsidP="0045787B">
      <w:pPr>
        <w:pStyle w:val="aa"/>
        <w:snapToGrid w:val="0"/>
        <w:ind w:left="1191"/>
        <w:jc w:val="both"/>
        <w:rPr>
          <w:sz w:val="20"/>
          <w:rtl/>
          <w:lang w:eastAsia="he-IL"/>
        </w:rPr>
      </w:pPr>
    </w:p>
    <w:p w14:paraId="70D12CD3" w14:textId="77777777" w:rsidR="0045787B" w:rsidRDefault="0045787B" w:rsidP="0045787B">
      <w:pPr>
        <w:pStyle w:val="aa"/>
        <w:numPr>
          <w:ilvl w:val="0"/>
          <w:numId w:val="3"/>
        </w:numPr>
        <w:snapToGrid w:val="0"/>
        <w:spacing w:line="360" w:lineRule="auto"/>
        <w:ind w:left="1191" w:hanging="397"/>
        <w:jc w:val="both"/>
        <w:rPr>
          <w:rFonts w:ascii="Times New Roman" w:hAnsi="Times New Roman"/>
          <w:sz w:val="20"/>
          <w:rtl/>
          <w:lang w:eastAsia="he-IL"/>
        </w:rPr>
      </w:pPr>
      <w:r>
        <w:rPr>
          <w:b/>
          <w:bCs/>
          <w:sz w:val="20"/>
          <w:rtl/>
          <w:lang w:eastAsia="he-IL"/>
        </w:rPr>
        <w:t>6 חודשי מאסר על תנאי,</w:t>
      </w:r>
      <w:r>
        <w:rPr>
          <w:sz w:val="20"/>
          <w:rtl/>
          <w:lang w:eastAsia="he-IL"/>
        </w:rPr>
        <w:t xml:space="preserve"> למשך 3 שנים מהיום, שלא יעבור כל עבירה מסוג פשע על </w:t>
      </w:r>
      <w:r>
        <w:rPr>
          <w:rFonts w:ascii="Miriam" w:hAnsi="Miriam" w:cs="Miriam"/>
          <w:b/>
          <w:bCs/>
          <w:sz w:val="22"/>
          <w:szCs w:val="22"/>
          <w:rtl/>
        </w:rPr>
        <w:t>פקודת הסמים</w:t>
      </w:r>
      <w:r>
        <w:rPr>
          <w:sz w:val="20"/>
          <w:rtl/>
          <w:lang w:eastAsia="he-IL"/>
        </w:rPr>
        <w:t>.</w:t>
      </w:r>
    </w:p>
    <w:p w14:paraId="23B1892C" w14:textId="77777777" w:rsidR="0045787B" w:rsidRDefault="0045787B" w:rsidP="0045787B">
      <w:pPr>
        <w:pStyle w:val="aa"/>
        <w:rPr>
          <w:sz w:val="20"/>
          <w:lang w:eastAsia="he-IL"/>
        </w:rPr>
      </w:pPr>
    </w:p>
    <w:p w14:paraId="6CE833D3" w14:textId="77777777" w:rsidR="0045787B" w:rsidRDefault="0045787B" w:rsidP="0045787B">
      <w:pPr>
        <w:pStyle w:val="aa"/>
        <w:numPr>
          <w:ilvl w:val="0"/>
          <w:numId w:val="3"/>
        </w:numPr>
        <w:snapToGrid w:val="0"/>
        <w:spacing w:line="360" w:lineRule="auto"/>
        <w:ind w:left="1191" w:hanging="397"/>
        <w:jc w:val="both"/>
        <w:rPr>
          <w:sz w:val="20"/>
          <w:lang w:eastAsia="he-IL"/>
        </w:rPr>
      </w:pPr>
      <w:r>
        <w:rPr>
          <w:b/>
          <w:bCs/>
          <w:sz w:val="20"/>
          <w:rtl/>
          <w:lang w:eastAsia="he-IL"/>
        </w:rPr>
        <w:t>5,000 ₪ התחייבות</w:t>
      </w:r>
      <w:r>
        <w:rPr>
          <w:sz w:val="20"/>
          <w:rtl/>
          <w:lang w:eastAsia="he-IL"/>
        </w:rPr>
        <w:t xml:space="preserve">, למשך 3 שנים מהיום, שלא יעבור כל עבירה על </w:t>
      </w:r>
      <w:r>
        <w:rPr>
          <w:rFonts w:ascii="Miriam" w:hAnsi="Miriam" w:cs="Miriam"/>
          <w:b/>
          <w:bCs/>
          <w:sz w:val="22"/>
          <w:szCs w:val="22"/>
          <w:rtl/>
        </w:rPr>
        <w:t>פקודת הסמים.</w:t>
      </w:r>
    </w:p>
    <w:p w14:paraId="23191380" w14:textId="77777777" w:rsidR="0045787B" w:rsidRDefault="0045787B" w:rsidP="0045787B">
      <w:pPr>
        <w:pStyle w:val="aa"/>
        <w:widowControl w:val="0"/>
        <w:spacing w:line="360" w:lineRule="auto"/>
        <w:ind w:left="1191"/>
        <w:jc w:val="both"/>
      </w:pPr>
      <w:r>
        <w:rPr>
          <w:rtl/>
        </w:rPr>
        <w:t>על הנאשם להצהיר על ההתחייבות היום. לא יצהיר על ההתחייבות היום – יהיה על הנאשם לרצות 30 ימי מאסר בפועל, על מנת לכפות אותו לעשות כן, במצטבר לכל עונש מאסר.</w:t>
      </w:r>
    </w:p>
    <w:p w14:paraId="140DD411" w14:textId="77777777" w:rsidR="0045787B" w:rsidRDefault="0045787B" w:rsidP="0045787B">
      <w:pPr>
        <w:pStyle w:val="aa"/>
        <w:snapToGrid w:val="0"/>
        <w:ind w:left="1191"/>
        <w:jc w:val="both"/>
        <w:rPr>
          <w:rtl/>
          <w:lang w:eastAsia="he-IL"/>
        </w:rPr>
      </w:pPr>
    </w:p>
    <w:p w14:paraId="718D5D59" w14:textId="77777777" w:rsidR="0045787B" w:rsidRDefault="0045787B" w:rsidP="0045787B">
      <w:pPr>
        <w:pStyle w:val="aa"/>
        <w:numPr>
          <w:ilvl w:val="0"/>
          <w:numId w:val="3"/>
        </w:numPr>
        <w:snapToGrid w:val="0"/>
        <w:spacing w:line="360" w:lineRule="auto"/>
        <w:ind w:left="1191" w:hanging="397"/>
        <w:jc w:val="both"/>
        <w:rPr>
          <w:rFonts w:ascii="Times New Roman" w:hAnsi="Times New Roman"/>
          <w:sz w:val="20"/>
          <w:lang w:eastAsia="he-IL"/>
        </w:rPr>
      </w:pPr>
      <w:r>
        <w:rPr>
          <w:b/>
          <w:bCs/>
          <w:sz w:val="20"/>
          <w:rtl/>
          <w:lang w:eastAsia="he-IL"/>
        </w:rPr>
        <w:t>11 חודשי פסילה על תנאי מקבל או מהחזיק רישיון נהיגה</w:t>
      </w:r>
      <w:r>
        <w:rPr>
          <w:sz w:val="20"/>
          <w:rtl/>
          <w:lang w:eastAsia="he-IL"/>
        </w:rPr>
        <w:t xml:space="preserve">. התנאי הוא שבמשך 3 שנים מהיום לא יעבור כל עבירה על </w:t>
      </w:r>
      <w:r>
        <w:rPr>
          <w:rFonts w:ascii="Miriam" w:hAnsi="Miriam" w:cs="Miriam"/>
          <w:b/>
          <w:bCs/>
          <w:sz w:val="22"/>
          <w:szCs w:val="22"/>
          <w:rtl/>
        </w:rPr>
        <w:t>פקודת הסמים</w:t>
      </w:r>
      <w:r>
        <w:rPr>
          <w:sz w:val="20"/>
          <w:rtl/>
          <w:lang w:eastAsia="he-IL"/>
        </w:rPr>
        <w:t>.</w:t>
      </w:r>
    </w:p>
    <w:p w14:paraId="574322FB" w14:textId="77777777" w:rsidR="0045787B" w:rsidRDefault="0045787B" w:rsidP="0045787B">
      <w:pPr>
        <w:pStyle w:val="aa"/>
        <w:snapToGrid w:val="0"/>
        <w:ind w:left="1191"/>
        <w:jc w:val="both"/>
        <w:rPr>
          <w:lang w:eastAsia="he-IL"/>
        </w:rPr>
      </w:pPr>
    </w:p>
    <w:p w14:paraId="45A1D691" w14:textId="77777777" w:rsidR="0045787B" w:rsidRDefault="0045787B" w:rsidP="0045787B">
      <w:pPr>
        <w:pStyle w:val="aa"/>
        <w:numPr>
          <w:ilvl w:val="0"/>
          <w:numId w:val="3"/>
        </w:numPr>
        <w:snapToGrid w:val="0"/>
        <w:spacing w:line="360" w:lineRule="auto"/>
        <w:ind w:left="1191" w:hanging="397"/>
        <w:jc w:val="both"/>
        <w:rPr>
          <w:rFonts w:ascii="Times New Roman" w:hAnsi="Times New Roman"/>
          <w:sz w:val="20"/>
          <w:lang w:eastAsia="he-IL"/>
        </w:rPr>
      </w:pPr>
      <w:r>
        <w:rPr>
          <w:b/>
          <w:bCs/>
          <w:rtl/>
        </w:rPr>
        <w:t>פיקוח שירות המבחן</w:t>
      </w:r>
      <w:r>
        <w:rPr>
          <w:rtl/>
        </w:rPr>
        <w:t xml:space="preserve"> למשך שנה מהיום (להלן: </w:t>
      </w:r>
      <w:r>
        <w:rPr>
          <w:b/>
          <w:bCs/>
          <w:rtl/>
        </w:rPr>
        <w:t>צו מבחן</w:t>
      </w:r>
      <w:r>
        <w:rPr>
          <w:rtl/>
        </w:rPr>
        <w:t>)</w:t>
      </w:r>
      <w:r>
        <w:rPr>
          <w:sz w:val="20"/>
          <w:rtl/>
          <w:lang w:eastAsia="he-IL"/>
        </w:rPr>
        <w:t>.</w:t>
      </w:r>
    </w:p>
    <w:p w14:paraId="6CB15B47" w14:textId="77777777" w:rsidR="0045787B" w:rsidRDefault="0045787B" w:rsidP="0045787B">
      <w:pPr>
        <w:pStyle w:val="aa"/>
        <w:snapToGrid w:val="0"/>
        <w:spacing w:line="360" w:lineRule="auto"/>
        <w:ind w:left="1191"/>
        <w:jc w:val="both"/>
        <w:rPr>
          <w:sz w:val="20"/>
          <w:lang w:eastAsia="he-IL"/>
        </w:rPr>
      </w:pPr>
      <w:r>
        <w:rPr>
          <w:b/>
          <w:bCs/>
          <w:rtl/>
        </w:rPr>
        <w:t xml:space="preserve">מובהר לנאשם כי אם לא יעמוד בצו המבחן יוחזר עניינו לדיון בבית המשפט ודינו יגזר מחדש. </w:t>
      </w:r>
    </w:p>
    <w:p w14:paraId="6B07B47E" w14:textId="77777777" w:rsidR="0045787B" w:rsidRDefault="0045787B" w:rsidP="0045787B">
      <w:pPr>
        <w:pStyle w:val="aa"/>
        <w:widowControl w:val="0"/>
        <w:jc w:val="both"/>
      </w:pPr>
    </w:p>
    <w:p w14:paraId="21A42FCD" w14:textId="77777777" w:rsidR="0045787B" w:rsidRDefault="0045787B" w:rsidP="0045787B">
      <w:pPr>
        <w:widowControl w:val="0"/>
        <w:spacing w:line="360" w:lineRule="auto"/>
        <w:jc w:val="both"/>
        <w:rPr>
          <w:rFonts w:ascii="David" w:hAnsi="David"/>
          <w:b/>
          <w:bCs/>
        </w:rPr>
      </w:pPr>
      <w:r>
        <w:rPr>
          <w:rFonts w:ascii="David" w:hAnsi="David"/>
          <w:b/>
          <w:bCs/>
          <w:rtl/>
        </w:rPr>
        <w:t>ניתן צו להשמדת הסמים.</w:t>
      </w:r>
    </w:p>
    <w:p w14:paraId="32CA7FD9" w14:textId="77777777" w:rsidR="0045787B" w:rsidRDefault="0045787B" w:rsidP="0045787B">
      <w:pPr>
        <w:widowControl w:val="0"/>
        <w:spacing w:line="360" w:lineRule="auto"/>
        <w:jc w:val="both"/>
        <w:rPr>
          <w:rFonts w:ascii="David" w:hAnsi="David"/>
          <w:b/>
          <w:bCs/>
          <w:rtl/>
        </w:rPr>
      </w:pPr>
      <w:r>
        <w:rPr>
          <w:rFonts w:ascii="David" w:hAnsi="David"/>
          <w:b/>
          <w:bCs/>
          <w:rtl/>
        </w:rPr>
        <w:t>ניתן צו כללי למוצגים הנוספים: להשמיד, לחלט ולהשיב לבעלים, לפי שיקול דעת היחידה החוקרת.</w:t>
      </w:r>
    </w:p>
    <w:p w14:paraId="1D978066" w14:textId="77777777" w:rsidR="0045787B" w:rsidRDefault="0045787B" w:rsidP="0045787B">
      <w:pPr>
        <w:widowControl w:val="0"/>
        <w:jc w:val="both"/>
        <w:rPr>
          <w:rFonts w:ascii="David" w:hAnsi="David"/>
          <w:b/>
          <w:bCs/>
          <w:u w:val="single"/>
        </w:rPr>
      </w:pPr>
    </w:p>
    <w:p w14:paraId="5825975B" w14:textId="77777777" w:rsidR="0045787B" w:rsidRDefault="00E1490D" w:rsidP="0045787B">
      <w:pPr>
        <w:widowControl w:val="0"/>
        <w:spacing w:line="360" w:lineRule="auto"/>
        <w:jc w:val="both"/>
        <w:rPr>
          <w:rFonts w:ascii="David" w:hAnsi="David"/>
          <w:b/>
          <w:bCs/>
          <w:u w:val="single"/>
          <w:rtl/>
        </w:rPr>
      </w:pPr>
      <w:r w:rsidRPr="00E1490D">
        <w:rPr>
          <w:rFonts w:ascii="David" w:hAnsi="David"/>
          <w:b/>
          <w:bCs/>
          <w:color w:val="FFFFFF"/>
          <w:sz w:val="2"/>
          <w:szCs w:val="2"/>
          <w:u w:val="single"/>
          <w:rtl/>
        </w:rPr>
        <w:t>5129371</w:t>
      </w:r>
      <w:r w:rsidR="0045787B">
        <w:rPr>
          <w:rFonts w:ascii="David" w:hAnsi="David"/>
          <w:b/>
          <w:bCs/>
          <w:u w:val="single"/>
          <w:rtl/>
        </w:rPr>
        <w:t>זכות ערעור לבית-המשפט המחוזי תוך 45 יום.</w:t>
      </w:r>
    </w:p>
    <w:p w14:paraId="352C50C8" w14:textId="77777777" w:rsidR="0045787B" w:rsidRPr="00E1490D" w:rsidRDefault="00E1490D" w:rsidP="0045787B">
      <w:pPr>
        <w:widowControl w:val="0"/>
        <w:jc w:val="both"/>
        <w:rPr>
          <w:rFonts w:ascii="David" w:hAnsi="David"/>
          <w:b/>
          <w:bCs/>
          <w:color w:val="FFFFFF"/>
          <w:sz w:val="2"/>
          <w:szCs w:val="2"/>
          <w:u w:val="single"/>
        </w:rPr>
      </w:pPr>
      <w:r w:rsidRPr="00E1490D">
        <w:rPr>
          <w:rFonts w:ascii="David" w:hAnsi="David"/>
          <w:b/>
          <w:bCs/>
          <w:color w:val="FFFFFF"/>
          <w:sz w:val="2"/>
          <w:szCs w:val="2"/>
          <w:u w:val="single"/>
          <w:rtl/>
        </w:rPr>
        <w:t>54678313</w:t>
      </w:r>
    </w:p>
    <w:p w14:paraId="0023D084" w14:textId="77777777" w:rsidR="0045787B" w:rsidRDefault="0045787B" w:rsidP="0045787B">
      <w:pPr>
        <w:widowControl w:val="0"/>
        <w:spacing w:line="360" w:lineRule="auto"/>
        <w:jc w:val="both"/>
        <w:rPr>
          <w:rFonts w:ascii="David" w:hAnsi="David"/>
          <w:b/>
          <w:bCs/>
          <w:rtl/>
        </w:rPr>
      </w:pPr>
      <w:r>
        <w:rPr>
          <w:rFonts w:ascii="David" w:hAnsi="David"/>
          <w:b/>
          <w:bCs/>
          <w:u w:val="single"/>
          <w:rtl/>
        </w:rPr>
        <w:t>המזכירות מתבקשת להעביר עותק גזר הדין לשירות המבחן ולממונה על עבודות השירות.</w:t>
      </w:r>
    </w:p>
    <w:p w14:paraId="790312D8" w14:textId="77777777" w:rsidR="0045787B" w:rsidRDefault="0045787B" w:rsidP="0045787B">
      <w:pPr>
        <w:rPr>
          <w:rFonts w:ascii="Arial" w:hAnsi="Arial"/>
          <w:b/>
          <w:bCs/>
          <w:sz w:val="26"/>
          <w:szCs w:val="26"/>
          <w:rtl/>
        </w:rPr>
      </w:pPr>
    </w:p>
    <w:p w14:paraId="05F6DFD6" w14:textId="77777777" w:rsidR="0045787B" w:rsidRPr="000F2247" w:rsidRDefault="00E1490D" w:rsidP="00E1490D">
      <w:pPr>
        <w:jc w:val="center"/>
      </w:pPr>
      <w:bookmarkStart w:id="15" w:name="Nitan"/>
      <w:r>
        <w:rPr>
          <w:rFonts w:ascii="Arial" w:hAnsi="Arial"/>
          <w:b/>
          <w:bCs/>
          <w:sz w:val="26"/>
          <w:szCs w:val="26"/>
          <w:rtl/>
        </w:rPr>
        <w:t xml:space="preserve">ניתן והודע היום,  ג' סיוון תשפ"ד, 09 יוני 2024, במעמד הצדדים. </w:t>
      </w:r>
      <w:bookmarkEnd w:id="15"/>
      <w:r w:rsidR="0045787B">
        <w:rPr>
          <w:rFonts w:ascii="Arial" w:hAnsi="Arial"/>
          <w:b/>
          <w:bCs/>
          <w:sz w:val="26"/>
          <w:szCs w:val="26"/>
          <w:rtl/>
        </w:rPr>
        <w:t xml:space="preserve">   </w:t>
      </w:r>
      <w:r w:rsidR="0045787B">
        <w:rPr>
          <w:rFonts w:ascii="Arial" w:hAnsi="Arial"/>
          <w:b/>
          <w:bCs/>
          <w:sz w:val="26"/>
          <w:szCs w:val="26"/>
          <w:rtl/>
        </w:rPr>
        <w:tab/>
      </w:r>
      <w:r w:rsidR="0045787B">
        <w:rPr>
          <w:rFonts w:ascii="Arial" w:hAnsi="Arial"/>
          <w:b/>
          <w:bCs/>
          <w:sz w:val="26"/>
          <w:szCs w:val="26"/>
          <w:rtl/>
        </w:rPr>
        <w:tab/>
      </w:r>
      <w:r w:rsidR="0045787B">
        <w:rPr>
          <w:rFonts w:ascii="Arial" w:hAnsi="Arial"/>
          <w:b/>
          <w:bCs/>
          <w:sz w:val="26"/>
          <w:szCs w:val="26"/>
          <w:rtl/>
        </w:rPr>
        <w:tab/>
      </w:r>
      <w:r w:rsidR="0045787B">
        <w:rPr>
          <w:rFonts w:ascii="Arial" w:hAnsi="Arial"/>
          <w:b/>
          <w:bCs/>
          <w:sz w:val="26"/>
          <w:szCs w:val="26"/>
          <w:rtl/>
        </w:rPr>
        <w:tab/>
      </w:r>
      <w:r w:rsidR="0045787B">
        <w:rPr>
          <w:rFonts w:ascii="Arial" w:hAnsi="Arial"/>
          <w:b/>
          <w:bCs/>
          <w:sz w:val="26"/>
          <w:szCs w:val="26"/>
          <w:rtl/>
        </w:rPr>
        <w:tab/>
      </w:r>
    </w:p>
    <w:p w14:paraId="6AF5BDE0" w14:textId="77777777" w:rsidR="0045787B" w:rsidRPr="000F2247" w:rsidRDefault="0045787B" w:rsidP="0045787B">
      <w:pPr>
        <w:jc w:val="center"/>
        <w:rPr>
          <w:rFonts w:ascii="Arial" w:hAnsi="Arial"/>
          <w:b/>
          <w:bCs/>
          <w:sz w:val="26"/>
          <w:szCs w:val="26"/>
          <w:rtl/>
        </w:rPr>
      </w:pPr>
    </w:p>
    <w:p w14:paraId="70822FDC" w14:textId="77777777" w:rsidR="005C33D5" w:rsidRPr="00E1490D" w:rsidRDefault="005C33D5" w:rsidP="00E1490D">
      <w:pPr>
        <w:keepNext/>
        <w:rPr>
          <w:rFonts w:ascii="David" w:hAnsi="David"/>
          <w:color w:val="000000"/>
          <w:sz w:val="22"/>
          <w:szCs w:val="22"/>
          <w:rtl/>
        </w:rPr>
      </w:pPr>
    </w:p>
    <w:p w14:paraId="4D7303EE" w14:textId="77777777" w:rsidR="00E1490D" w:rsidRPr="00E1490D" w:rsidRDefault="00E1490D" w:rsidP="00E1490D">
      <w:pPr>
        <w:keepNext/>
        <w:rPr>
          <w:rFonts w:ascii="David" w:hAnsi="David"/>
          <w:color w:val="000000"/>
          <w:sz w:val="22"/>
          <w:szCs w:val="22"/>
          <w:rtl/>
        </w:rPr>
      </w:pPr>
      <w:r w:rsidRPr="00E1490D">
        <w:rPr>
          <w:rFonts w:ascii="David" w:hAnsi="David"/>
          <w:color w:val="000000"/>
          <w:sz w:val="22"/>
          <w:szCs w:val="22"/>
          <w:rtl/>
        </w:rPr>
        <w:t>זהר דולב להמן 54678313</w:t>
      </w:r>
    </w:p>
    <w:p w14:paraId="506AA8C9" w14:textId="77777777" w:rsidR="00E1490D" w:rsidRDefault="00E1490D" w:rsidP="00E1490D">
      <w:r w:rsidRPr="00E1490D">
        <w:rPr>
          <w:color w:val="000000"/>
          <w:rtl/>
        </w:rPr>
        <w:t>נוסח מסמך זה כפוף לשינויי ניסוח ועריכה</w:t>
      </w:r>
    </w:p>
    <w:p w14:paraId="26DA135E" w14:textId="77777777" w:rsidR="00E1490D" w:rsidRDefault="00E1490D" w:rsidP="00E1490D">
      <w:pPr>
        <w:rPr>
          <w:rtl/>
        </w:rPr>
      </w:pPr>
    </w:p>
    <w:p w14:paraId="1725C9A7" w14:textId="77777777" w:rsidR="00E1490D" w:rsidRDefault="00E1490D" w:rsidP="00E1490D">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FB5D09B" w14:textId="77777777" w:rsidR="00E1490D" w:rsidRPr="00E1490D" w:rsidRDefault="00E1490D" w:rsidP="00E1490D">
      <w:pPr>
        <w:jc w:val="center"/>
        <w:rPr>
          <w:color w:val="0000FF"/>
          <w:u w:val="single"/>
        </w:rPr>
      </w:pPr>
    </w:p>
    <w:sectPr w:rsidR="00E1490D" w:rsidRPr="00E1490D" w:rsidSect="00E1490D">
      <w:headerReference w:type="even" r:id="rId59"/>
      <w:headerReference w:type="default" r:id="rId60"/>
      <w:footerReference w:type="even" r:id="rId61"/>
      <w:footerReference w:type="default" r:id="rId62"/>
      <w:pgSz w:w="11907" w:h="16840" w:code="9"/>
      <w:pgMar w:top="1701" w:right="1701" w:bottom="1276" w:left="1701" w:header="56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CA6D9" w14:textId="77777777" w:rsidR="005001AA" w:rsidRDefault="005001AA" w:rsidP="005541DA">
      <w:r>
        <w:separator/>
      </w:r>
    </w:p>
  </w:endnote>
  <w:endnote w:type="continuationSeparator" w:id="0">
    <w:p w14:paraId="54095996" w14:textId="77777777" w:rsidR="005001AA" w:rsidRDefault="005001AA" w:rsidP="0055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9D8F5" w14:textId="77777777" w:rsidR="00E1490D" w:rsidRDefault="00E1490D" w:rsidP="00E149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05126F" w14:textId="77777777" w:rsidR="001D19FB" w:rsidRPr="00E1490D" w:rsidRDefault="00E1490D" w:rsidP="00E149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CE879" w14:textId="77777777" w:rsidR="00E1490D" w:rsidRDefault="00E1490D" w:rsidP="00E149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4C12">
      <w:rPr>
        <w:rFonts w:ascii="FrankRuehl" w:hAnsi="FrankRuehl" w:cs="FrankRuehl"/>
        <w:noProof/>
        <w:rtl/>
      </w:rPr>
      <w:t>1</w:t>
    </w:r>
    <w:r>
      <w:rPr>
        <w:rFonts w:ascii="FrankRuehl" w:hAnsi="FrankRuehl" w:cs="FrankRuehl"/>
        <w:rtl/>
      </w:rPr>
      <w:fldChar w:fldCharType="end"/>
    </w:r>
  </w:p>
  <w:p w14:paraId="085F41DA" w14:textId="77777777" w:rsidR="001D19FB" w:rsidRPr="00E1490D" w:rsidRDefault="00E1490D" w:rsidP="00E149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64C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75274" w14:textId="77777777" w:rsidR="005001AA" w:rsidRDefault="005001AA" w:rsidP="005541DA">
      <w:r>
        <w:separator/>
      </w:r>
    </w:p>
  </w:footnote>
  <w:footnote w:type="continuationSeparator" w:id="0">
    <w:p w14:paraId="1B2143E2" w14:textId="77777777" w:rsidR="005001AA" w:rsidRDefault="005001AA" w:rsidP="00554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2D273" w14:textId="77777777" w:rsidR="00E1490D" w:rsidRPr="00E1490D" w:rsidRDefault="00E1490D" w:rsidP="00E149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24895-03-20</w:t>
    </w:r>
    <w:r>
      <w:rPr>
        <w:rFonts w:ascii="David" w:hAnsi="David"/>
        <w:color w:val="000000"/>
        <w:sz w:val="22"/>
        <w:szCs w:val="22"/>
        <w:rtl/>
      </w:rPr>
      <w:tab/>
      <w:t xml:space="preserve"> מדינת ישראל נ' מיכאל אלחזוב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0262C" w14:textId="77777777" w:rsidR="00E1490D" w:rsidRPr="00E1490D" w:rsidRDefault="00E1490D" w:rsidP="00E149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24895-03-20</w:t>
    </w:r>
    <w:r>
      <w:rPr>
        <w:rFonts w:ascii="David" w:hAnsi="David"/>
        <w:color w:val="000000"/>
        <w:sz w:val="22"/>
        <w:szCs w:val="22"/>
        <w:rtl/>
      </w:rPr>
      <w:tab/>
      <w:t xml:space="preserve"> מדינת ישראל נ' מיכאל אלחזוב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13A3"/>
    <w:multiLevelType w:val="hybridMultilevel"/>
    <w:tmpl w:val="72A0F86C"/>
    <w:lvl w:ilvl="0" w:tplc="F2043918">
      <w:start w:val="1"/>
      <w:numFmt w:val="decimal"/>
      <w:lvlText w:val="%1)"/>
      <w:lvlJc w:val="left"/>
      <w:pPr>
        <w:ind w:left="1154" w:hanging="360"/>
      </w:pPr>
      <w:rPr>
        <w:rFonts w:ascii="David" w:hAnsi="David" w:cs="David" w:hint="default"/>
      </w:rPr>
    </w:lvl>
    <w:lvl w:ilvl="1" w:tplc="04090019">
      <w:start w:val="1"/>
      <w:numFmt w:val="lowerLetter"/>
      <w:lvlText w:val="%2."/>
      <w:lvlJc w:val="left"/>
      <w:pPr>
        <w:ind w:left="1874" w:hanging="360"/>
      </w:pPr>
    </w:lvl>
    <w:lvl w:ilvl="2" w:tplc="0409001B">
      <w:start w:val="1"/>
      <w:numFmt w:val="lowerRoman"/>
      <w:lvlText w:val="%3."/>
      <w:lvlJc w:val="right"/>
      <w:pPr>
        <w:ind w:left="2594" w:hanging="180"/>
      </w:pPr>
    </w:lvl>
    <w:lvl w:ilvl="3" w:tplc="0409000F">
      <w:start w:val="1"/>
      <w:numFmt w:val="decimal"/>
      <w:lvlText w:val="%4."/>
      <w:lvlJc w:val="left"/>
      <w:pPr>
        <w:ind w:left="3314" w:hanging="360"/>
      </w:pPr>
    </w:lvl>
    <w:lvl w:ilvl="4" w:tplc="04090019">
      <w:start w:val="1"/>
      <w:numFmt w:val="lowerLetter"/>
      <w:lvlText w:val="%5."/>
      <w:lvlJc w:val="left"/>
      <w:pPr>
        <w:ind w:left="4034" w:hanging="360"/>
      </w:pPr>
    </w:lvl>
    <w:lvl w:ilvl="5" w:tplc="0409001B">
      <w:start w:val="1"/>
      <w:numFmt w:val="lowerRoman"/>
      <w:lvlText w:val="%6."/>
      <w:lvlJc w:val="right"/>
      <w:pPr>
        <w:ind w:left="4754" w:hanging="180"/>
      </w:pPr>
    </w:lvl>
    <w:lvl w:ilvl="6" w:tplc="0409000F">
      <w:start w:val="1"/>
      <w:numFmt w:val="decimal"/>
      <w:lvlText w:val="%7."/>
      <w:lvlJc w:val="left"/>
      <w:pPr>
        <w:ind w:left="5474" w:hanging="360"/>
      </w:pPr>
    </w:lvl>
    <w:lvl w:ilvl="7" w:tplc="04090019">
      <w:start w:val="1"/>
      <w:numFmt w:val="lowerLetter"/>
      <w:lvlText w:val="%8."/>
      <w:lvlJc w:val="left"/>
      <w:pPr>
        <w:ind w:left="6194" w:hanging="360"/>
      </w:pPr>
    </w:lvl>
    <w:lvl w:ilvl="8" w:tplc="0409001B">
      <w:start w:val="1"/>
      <w:numFmt w:val="lowerRoman"/>
      <w:lvlText w:val="%9."/>
      <w:lvlJc w:val="right"/>
      <w:pPr>
        <w:ind w:left="6914" w:hanging="180"/>
      </w:pPr>
    </w:lvl>
  </w:abstractNum>
  <w:abstractNum w:abstractNumId="1" w15:restartNumberingAfterBreak="0">
    <w:nsid w:val="044F7429"/>
    <w:multiLevelType w:val="hybridMultilevel"/>
    <w:tmpl w:val="46520698"/>
    <w:lvl w:ilvl="0" w:tplc="04090013">
      <w:start w:val="1"/>
      <w:numFmt w:val="hebrew1"/>
      <w:lvlText w:val="%1."/>
      <w:lvlJc w:val="center"/>
      <w:pPr>
        <w:ind w:left="1363" w:hanging="360"/>
      </w:pPr>
    </w:lvl>
    <w:lvl w:ilvl="1" w:tplc="04090019">
      <w:start w:val="1"/>
      <w:numFmt w:val="lowerLetter"/>
      <w:lvlText w:val="%2."/>
      <w:lvlJc w:val="left"/>
      <w:pPr>
        <w:ind w:left="2083" w:hanging="360"/>
      </w:pPr>
    </w:lvl>
    <w:lvl w:ilvl="2" w:tplc="0409001B">
      <w:start w:val="1"/>
      <w:numFmt w:val="lowerRoman"/>
      <w:lvlText w:val="%3."/>
      <w:lvlJc w:val="right"/>
      <w:pPr>
        <w:ind w:left="2803" w:hanging="180"/>
      </w:pPr>
    </w:lvl>
    <w:lvl w:ilvl="3" w:tplc="0409000F">
      <w:start w:val="1"/>
      <w:numFmt w:val="decimal"/>
      <w:lvlText w:val="%4."/>
      <w:lvlJc w:val="left"/>
      <w:pPr>
        <w:ind w:left="3523" w:hanging="360"/>
      </w:pPr>
    </w:lvl>
    <w:lvl w:ilvl="4" w:tplc="04090019">
      <w:start w:val="1"/>
      <w:numFmt w:val="lowerLetter"/>
      <w:lvlText w:val="%5."/>
      <w:lvlJc w:val="left"/>
      <w:pPr>
        <w:ind w:left="4243" w:hanging="360"/>
      </w:pPr>
    </w:lvl>
    <w:lvl w:ilvl="5" w:tplc="0409001B">
      <w:start w:val="1"/>
      <w:numFmt w:val="lowerRoman"/>
      <w:lvlText w:val="%6."/>
      <w:lvlJc w:val="right"/>
      <w:pPr>
        <w:ind w:left="4963" w:hanging="180"/>
      </w:pPr>
    </w:lvl>
    <w:lvl w:ilvl="6" w:tplc="0409000F">
      <w:start w:val="1"/>
      <w:numFmt w:val="decimal"/>
      <w:lvlText w:val="%7."/>
      <w:lvlJc w:val="left"/>
      <w:pPr>
        <w:ind w:left="5683" w:hanging="360"/>
      </w:pPr>
    </w:lvl>
    <w:lvl w:ilvl="7" w:tplc="04090019">
      <w:start w:val="1"/>
      <w:numFmt w:val="lowerLetter"/>
      <w:lvlText w:val="%8."/>
      <w:lvlJc w:val="left"/>
      <w:pPr>
        <w:ind w:left="6403" w:hanging="360"/>
      </w:pPr>
    </w:lvl>
    <w:lvl w:ilvl="8" w:tplc="0409001B">
      <w:start w:val="1"/>
      <w:numFmt w:val="lowerRoman"/>
      <w:lvlText w:val="%9."/>
      <w:lvlJc w:val="right"/>
      <w:pPr>
        <w:ind w:left="7123" w:hanging="180"/>
      </w:pPr>
    </w:lvl>
  </w:abstractNum>
  <w:abstractNum w:abstractNumId="2" w15:restartNumberingAfterBreak="0">
    <w:nsid w:val="6C693E3F"/>
    <w:multiLevelType w:val="hybridMultilevel"/>
    <w:tmpl w:val="B4188B52"/>
    <w:lvl w:ilvl="0" w:tplc="42681060">
      <w:start w:val="1"/>
      <w:numFmt w:val="decimal"/>
      <w:lvlText w:val="%1."/>
      <w:lvlJc w:val="left"/>
      <w:pPr>
        <w:ind w:left="643" w:hanging="360"/>
      </w:pPr>
    </w:lvl>
    <w:lvl w:ilvl="1" w:tplc="8F042D52">
      <w:start w:val="1"/>
      <w:numFmt w:val="hebrew1"/>
      <w:lvlText w:val="%2."/>
      <w:lvlJc w:val="center"/>
      <w:pPr>
        <w:ind w:left="1440" w:hanging="360"/>
      </w:pPr>
      <w:rPr>
        <w:rFonts w:ascii="David" w:hAnsi="David" w:cs="David"/>
        <w:b w:val="0"/>
        <w:bCs w:val="0"/>
        <w:lang w:val="en-US"/>
      </w:rPr>
    </w:lvl>
    <w:lvl w:ilvl="2" w:tplc="345AE074">
      <w:start w:val="1"/>
      <w:numFmt w:val="decimal"/>
      <w:lvlText w:val="(%3)"/>
      <w:lvlJc w:val="left"/>
      <w:pPr>
        <w:ind w:left="747" w:hanging="180"/>
      </w:pPr>
      <w:rPr>
        <w:rFonts w:cs="David"/>
        <w:bCs w:val="0"/>
        <w:iCs w:val="0"/>
        <w:sz w:val="20"/>
        <w:szCs w:val="24"/>
      </w:rPr>
    </w:lvl>
    <w:lvl w:ilvl="3" w:tplc="07EA0814">
      <w:start w:val="1"/>
      <w:numFmt w:val="decimal"/>
      <w:lvlText w:val="%4."/>
      <w:lvlJc w:val="left"/>
      <w:pPr>
        <w:ind w:left="2880" w:hanging="360"/>
      </w:pPr>
      <w:rPr>
        <w:rFonts w:cs="Times New Roman"/>
      </w:rPr>
    </w:lvl>
    <w:lvl w:ilvl="4" w:tplc="57E07EF0">
      <w:start w:val="1"/>
      <w:numFmt w:val="lowerLetter"/>
      <w:lvlText w:val="%5."/>
      <w:lvlJc w:val="left"/>
      <w:pPr>
        <w:ind w:left="3600" w:hanging="360"/>
      </w:pPr>
      <w:rPr>
        <w:rFonts w:cs="Times New Roman"/>
      </w:rPr>
    </w:lvl>
    <w:lvl w:ilvl="5" w:tplc="35EE398E">
      <w:start w:val="1"/>
      <w:numFmt w:val="lowerRoman"/>
      <w:lvlText w:val="%6."/>
      <w:lvlJc w:val="right"/>
      <w:pPr>
        <w:ind w:left="4320" w:hanging="180"/>
      </w:pPr>
      <w:rPr>
        <w:rFonts w:cs="Times New Roman"/>
      </w:rPr>
    </w:lvl>
    <w:lvl w:ilvl="6" w:tplc="7C2E812E">
      <w:start w:val="1"/>
      <w:numFmt w:val="decimal"/>
      <w:lvlText w:val="%7."/>
      <w:lvlJc w:val="left"/>
      <w:pPr>
        <w:ind w:left="5040" w:hanging="360"/>
      </w:pPr>
      <w:rPr>
        <w:rFonts w:cs="Times New Roman"/>
      </w:rPr>
    </w:lvl>
    <w:lvl w:ilvl="7" w:tplc="1F7AF1F4">
      <w:start w:val="1"/>
      <w:numFmt w:val="lowerLetter"/>
      <w:lvlText w:val="%8."/>
      <w:lvlJc w:val="left"/>
      <w:pPr>
        <w:ind w:left="5760" w:hanging="360"/>
      </w:pPr>
      <w:rPr>
        <w:rFonts w:cs="Times New Roman"/>
      </w:rPr>
    </w:lvl>
    <w:lvl w:ilvl="8" w:tplc="DB5CD5CC">
      <w:start w:val="1"/>
      <w:numFmt w:val="lowerRoman"/>
      <w:lvlText w:val="%9."/>
      <w:lvlJc w:val="right"/>
      <w:pPr>
        <w:ind w:left="6480" w:hanging="180"/>
      </w:pPr>
      <w:rPr>
        <w:rFonts w:cs="Times New Roman"/>
      </w:rPr>
    </w:lvl>
  </w:abstractNum>
  <w:num w:numId="1" w16cid:durableId="126970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61553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99174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787B"/>
    <w:rsid w:val="0017100B"/>
    <w:rsid w:val="001B5A3B"/>
    <w:rsid w:val="001D19FB"/>
    <w:rsid w:val="00254C12"/>
    <w:rsid w:val="002C49F9"/>
    <w:rsid w:val="0045787B"/>
    <w:rsid w:val="00472E4E"/>
    <w:rsid w:val="004C6655"/>
    <w:rsid w:val="005001AA"/>
    <w:rsid w:val="005541DA"/>
    <w:rsid w:val="005C33D5"/>
    <w:rsid w:val="00E1490D"/>
    <w:rsid w:val="00FF56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9CBD4D"/>
  <w15:chartTrackingRefBased/>
  <w15:docId w15:val="{EC4E9B57-8431-4513-894D-29BC3F4A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78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787B"/>
    <w:pPr>
      <w:tabs>
        <w:tab w:val="center" w:pos="4153"/>
        <w:tab w:val="right" w:pos="8306"/>
      </w:tabs>
    </w:pPr>
  </w:style>
  <w:style w:type="character" w:customStyle="1" w:styleId="a4">
    <w:name w:val="כותרת עליונה תו"/>
    <w:link w:val="a3"/>
    <w:rsid w:val="0045787B"/>
    <w:rPr>
      <w:rFonts w:ascii="Times New Roman" w:eastAsia="Times New Roman" w:hAnsi="Times New Roman" w:cs="David"/>
      <w:sz w:val="24"/>
      <w:szCs w:val="24"/>
    </w:rPr>
  </w:style>
  <w:style w:type="paragraph" w:styleId="a5">
    <w:name w:val="footer"/>
    <w:basedOn w:val="a"/>
    <w:link w:val="a6"/>
    <w:rsid w:val="0045787B"/>
    <w:pPr>
      <w:tabs>
        <w:tab w:val="center" w:pos="4153"/>
        <w:tab w:val="right" w:pos="8306"/>
      </w:tabs>
    </w:pPr>
  </w:style>
  <w:style w:type="character" w:customStyle="1" w:styleId="a6">
    <w:name w:val="כותרת תחתונה תו"/>
    <w:link w:val="a5"/>
    <w:rsid w:val="0045787B"/>
    <w:rPr>
      <w:rFonts w:ascii="Times New Roman" w:eastAsia="Times New Roman" w:hAnsi="Times New Roman" w:cs="David"/>
      <w:sz w:val="24"/>
      <w:szCs w:val="24"/>
    </w:rPr>
  </w:style>
  <w:style w:type="table" w:styleId="a7">
    <w:name w:val="Table Grid"/>
    <w:basedOn w:val="a1"/>
    <w:rsid w:val="004578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787B"/>
  </w:style>
  <w:style w:type="character" w:customStyle="1" w:styleId="a9">
    <w:name w:val="פיסקת רשימה תו"/>
    <w:link w:val="aa"/>
    <w:locked/>
    <w:rsid w:val="0045787B"/>
    <w:rPr>
      <w:rFonts w:ascii="David" w:hAnsi="David" w:cs="David"/>
      <w:sz w:val="24"/>
      <w:szCs w:val="24"/>
    </w:rPr>
  </w:style>
  <w:style w:type="paragraph" w:styleId="aa">
    <w:name w:val="List Paragraph"/>
    <w:basedOn w:val="a"/>
    <w:link w:val="a9"/>
    <w:qFormat/>
    <w:rsid w:val="0045787B"/>
    <w:pPr>
      <w:ind w:left="720"/>
      <w:contextualSpacing/>
    </w:pPr>
    <w:rPr>
      <w:rFonts w:ascii="David" w:eastAsia="Calibri" w:hAnsi="David"/>
    </w:rPr>
  </w:style>
  <w:style w:type="character" w:styleId="Hyperlink">
    <w:name w:val="Hyperlink"/>
    <w:rsid w:val="00E149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4216/7.c" TargetMode="External"/><Relationship Id="rId39" Type="http://schemas.openxmlformats.org/officeDocument/2006/relationships/hyperlink" Target="http://www.nevo.co.il/case/18850227"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19994719" TargetMode="External"/><Relationship Id="rId42" Type="http://schemas.openxmlformats.org/officeDocument/2006/relationships/hyperlink" Target="http://www.nevo.co.il/case/30530885" TargetMode="External"/><Relationship Id="rId47" Type="http://schemas.openxmlformats.org/officeDocument/2006/relationships/hyperlink" Target="http://www.nevo.co.il/law/70301/40h" TargetMode="External"/><Relationship Id="rId50" Type="http://schemas.openxmlformats.org/officeDocument/2006/relationships/hyperlink" Target="http://www.nevo.co.il/law/70301/40c.b" TargetMode="External"/><Relationship Id="rId55" Type="http://schemas.openxmlformats.org/officeDocument/2006/relationships/hyperlink" Target="http://www.nevo.co.il/law/70301/40f"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g"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796758" TargetMode="External"/><Relationship Id="rId32" Type="http://schemas.openxmlformats.org/officeDocument/2006/relationships/hyperlink" Target="http://www.nevo.co.il/case/27719783" TargetMode="External"/><Relationship Id="rId37" Type="http://schemas.openxmlformats.org/officeDocument/2006/relationships/hyperlink" Target="http://www.nevo.co.il/case/20534897" TargetMode="External"/><Relationship Id="rId40" Type="http://schemas.openxmlformats.org/officeDocument/2006/relationships/hyperlink" Target="http://www.nevo.co.il/case/28607400" TargetMode="External"/><Relationship Id="rId45" Type="http://schemas.openxmlformats.org/officeDocument/2006/relationships/hyperlink" Target="http://www.nevo.co.il/case/24287803" TargetMode="External"/><Relationship Id="rId53" Type="http://schemas.openxmlformats.org/officeDocument/2006/relationships/hyperlink" Target="http://www.nevo.co.il/law/70301/40d"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40ji"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1279208" TargetMode="External"/><Relationship Id="rId43" Type="http://schemas.openxmlformats.org/officeDocument/2006/relationships/hyperlink" Target="http://www.nevo.co.il/law/70301/40ji"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40g"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h"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28710074" TargetMode="External"/><Relationship Id="rId38" Type="http://schemas.openxmlformats.org/officeDocument/2006/relationships/hyperlink" Target="http://www.nevo.co.il/case/20551220" TargetMode="External"/><Relationship Id="rId46" Type="http://schemas.openxmlformats.org/officeDocument/2006/relationships/hyperlink" Target="http://www.nevo.co.il/case/20683594" TargetMode="External"/><Relationship Id="rId59" Type="http://schemas.openxmlformats.org/officeDocument/2006/relationships/header" Target="header1.xml"/><Relationship Id="rId20" Type="http://schemas.openxmlformats.org/officeDocument/2006/relationships/hyperlink" Target="http://www.nevo.co.il/case/26532707" TargetMode="External"/><Relationship Id="rId41" Type="http://schemas.openxmlformats.org/officeDocument/2006/relationships/hyperlink" Target="http://www.nevo.co.il/case/25131323" TargetMode="External"/><Relationship Id="rId54" Type="http://schemas.openxmlformats.org/officeDocument/2006/relationships/hyperlink" Target="http://www.nevo.co.il/law/70301"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f" TargetMode="External"/><Relationship Id="rId23" Type="http://schemas.openxmlformats.org/officeDocument/2006/relationships/hyperlink" Target="http://www.nevo.co.il/law/4216"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23792839" TargetMode="External"/><Relationship Id="rId49" Type="http://schemas.openxmlformats.org/officeDocument/2006/relationships/hyperlink" Target="http://www.nevo.co.il/law/4216/37a"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698752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40ja"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5737</Words>
  <Characters>28686</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34355</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6619233</vt:i4>
      </vt:variant>
      <vt:variant>
        <vt:i4>162</vt:i4>
      </vt:variant>
      <vt:variant>
        <vt:i4>0</vt:i4>
      </vt:variant>
      <vt:variant>
        <vt:i4>5</vt:i4>
      </vt:variant>
      <vt:variant>
        <vt:lpwstr>http://www.nevo.co.il/law/70301/40g</vt:lpwstr>
      </vt:variant>
      <vt:variant>
        <vt:lpwstr/>
      </vt:variant>
      <vt:variant>
        <vt:i4>6619233</vt:i4>
      </vt:variant>
      <vt:variant>
        <vt:i4>159</vt:i4>
      </vt:variant>
      <vt:variant>
        <vt:i4>0</vt:i4>
      </vt:variant>
      <vt:variant>
        <vt:i4>5</vt:i4>
      </vt:variant>
      <vt:variant>
        <vt:lpwstr>http://www.nevo.co.il/law/70301/40f</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http://www.nevo.co.il/law/70301/40d</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http://www.nevo.co.il/law/70301/40c.b</vt:lpwstr>
      </vt:variant>
      <vt:variant>
        <vt:lpwstr/>
      </vt:variant>
      <vt:variant>
        <vt:i4>2883709</vt:i4>
      </vt:variant>
      <vt:variant>
        <vt:i4>141</vt:i4>
      </vt:variant>
      <vt:variant>
        <vt:i4>0</vt:i4>
      </vt:variant>
      <vt:variant>
        <vt:i4>5</vt:i4>
      </vt:variant>
      <vt:variant>
        <vt:lpwstr>http://www.nevo.co.il/law/4216/37a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http://www.nevo.co.il/law/70301/40h</vt:lpwstr>
      </vt:variant>
      <vt:variant>
        <vt:lpwstr/>
      </vt:variant>
      <vt:variant>
        <vt:i4>4063353</vt:i4>
      </vt:variant>
      <vt:variant>
        <vt:i4>132</vt:i4>
      </vt:variant>
      <vt:variant>
        <vt:i4>0</vt:i4>
      </vt:variant>
      <vt:variant>
        <vt:i4>5</vt:i4>
      </vt:variant>
      <vt:variant>
        <vt:lpwstr>http://www.nevo.co.il/case/20683594</vt:lpwstr>
      </vt:variant>
      <vt:variant>
        <vt:lpwstr/>
      </vt:variant>
      <vt:variant>
        <vt:i4>3604592</vt:i4>
      </vt:variant>
      <vt:variant>
        <vt:i4>129</vt:i4>
      </vt:variant>
      <vt:variant>
        <vt:i4>0</vt:i4>
      </vt:variant>
      <vt:variant>
        <vt:i4>5</vt:i4>
      </vt:variant>
      <vt:variant>
        <vt:lpwstr>http://www.nevo.co.il/case/24287803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786443</vt:i4>
      </vt:variant>
      <vt:variant>
        <vt:i4>123</vt:i4>
      </vt:variant>
      <vt:variant>
        <vt:i4>0</vt:i4>
      </vt:variant>
      <vt:variant>
        <vt:i4>5</vt:i4>
      </vt:variant>
      <vt:variant>
        <vt:lpwstr>http://www.nevo.co.il/law/70301/40ji</vt:lpwstr>
      </vt:variant>
      <vt:variant>
        <vt:lpwstr/>
      </vt:variant>
      <vt:variant>
        <vt:i4>3866736</vt:i4>
      </vt:variant>
      <vt:variant>
        <vt:i4>120</vt:i4>
      </vt:variant>
      <vt:variant>
        <vt:i4>0</vt:i4>
      </vt:variant>
      <vt:variant>
        <vt:i4>5</vt:i4>
      </vt:variant>
      <vt:variant>
        <vt:lpwstr>http://www.nevo.co.il/case/22369038</vt:lpwstr>
      </vt:variant>
      <vt:variant>
        <vt:lpwstr/>
      </vt:variant>
      <vt:variant>
        <vt:i4>4063359</vt:i4>
      </vt:variant>
      <vt:variant>
        <vt:i4>117</vt:i4>
      </vt:variant>
      <vt:variant>
        <vt:i4>0</vt:i4>
      </vt:variant>
      <vt:variant>
        <vt:i4>5</vt:i4>
      </vt:variant>
      <vt:variant>
        <vt:lpwstr>http://www.nevo.co.il/case/30530885</vt:lpwstr>
      </vt:variant>
      <vt:variant>
        <vt:lpwstr/>
      </vt:variant>
      <vt:variant>
        <vt:i4>3145841</vt:i4>
      </vt:variant>
      <vt:variant>
        <vt:i4>114</vt:i4>
      </vt:variant>
      <vt:variant>
        <vt:i4>0</vt:i4>
      </vt:variant>
      <vt:variant>
        <vt:i4>5</vt:i4>
      </vt:variant>
      <vt:variant>
        <vt:lpwstr>http://www.nevo.co.il/case/25131323</vt:lpwstr>
      </vt:variant>
      <vt:variant>
        <vt:lpwstr/>
      </vt:variant>
      <vt:variant>
        <vt:i4>3342456</vt:i4>
      </vt:variant>
      <vt:variant>
        <vt:i4>111</vt:i4>
      </vt:variant>
      <vt:variant>
        <vt:i4>0</vt:i4>
      </vt:variant>
      <vt:variant>
        <vt:i4>5</vt:i4>
      </vt:variant>
      <vt:variant>
        <vt:lpwstr>http://www.nevo.co.il/case/28607400</vt:lpwstr>
      </vt:variant>
      <vt:variant>
        <vt:lpwstr/>
      </vt:variant>
      <vt:variant>
        <vt:i4>3866747</vt:i4>
      </vt:variant>
      <vt:variant>
        <vt:i4>108</vt:i4>
      </vt:variant>
      <vt:variant>
        <vt:i4>0</vt:i4>
      </vt:variant>
      <vt:variant>
        <vt:i4>5</vt:i4>
      </vt:variant>
      <vt:variant>
        <vt:lpwstr>http://www.nevo.co.il/case/18850227</vt:lpwstr>
      </vt:variant>
      <vt:variant>
        <vt:lpwstr/>
      </vt:variant>
      <vt:variant>
        <vt:i4>4063344</vt:i4>
      </vt:variant>
      <vt:variant>
        <vt:i4>105</vt:i4>
      </vt:variant>
      <vt:variant>
        <vt:i4>0</vt:i4>
      </vt:variant>
      <vt:variant>
        <vt:i4>5</vt:i4>
      </vt:variant>
      <vt:variant>
        <vt:lpwstr>http://www.nevo.co.il/case/20569205</vt:lpwstr>
      </vt:variant>
      <vt:variant>
        <vt:lpwstr/>
      </vt:variant>
      <vt:variant>
        <vt:i4>3407987</vt:i4>
      </vt:variant>
      <vt:variant>
        <vt:i4>102</vt:i4>
      </vt:variant>
      <vt:variant>
        <vt:i4>0</vt:i4>
      </vt:variant>
      <vt:variant>
        <vt:i4>5</vt:i4>
      </vt:variant>
      <vt:variant>
        <vt:lpwstr>http://www.nevo.co.il/case/20551220</vt:lpwstr>
      </vt:variant>
      <vt:variant>
        <vt:lpwstr/>
      </vt:variant>
      <vt:variant>
        <vt:i4>4128880</vt:i4>
      </vt:variant>
      <vt:variant>
        <vt:i4>99</vt:i4>
      </vt:variant>
      <vt:variant>
        <vt:i4>0</vt:i4>
      </vt:variant>
      <vt:variant>
        <vt:i4>5</vt:i4>
      </vt:variant>
      <vt:variant>
        <vt:lpwstr>http://www.nevo.co.il/case/22956321</vt:lpwstr>
      </vt:variant>
      <vt:variant>
        <vt:lpwstr/>
      </vt:variant>
      <vt:variant>
        <vt:i4>3801215</vt:i4>
      </vt:variant>
      <vt:variant>
        <vt:i4>96</vt:i4>
      </vt:variant>
      <vt:variant>
        <vt:i4>0</vt:i4>
      </vt:variant>
      <vt:variant>
        <vt:i4>5</vt:i4>
      </vt:variant>
      <vt:variant>
        <vt:lpwstr>http://www.nevo.co.il/case/20534897</vt:lpwstr>
      </vt:variant>
      <vt:variant>
        <vt:lpwstr/>
      </vt:variant>
      <vt:variant>
        <vt:i4>3407990</vt:i4>
      </vt:variant>
      <vt:variant>
        <vt:i4>93</vt:i4>
      </vt:variant>
      <vt:variant>
        <vt:i4>0</vt:i4>
      </vt:variant>
      <vt:variant>
        <vt:i4>5</vt:i4>
      </vt:variant>
      <vt:variant>
        <vt:lpwstr>http://www.nevo.co.il/case/23792839</vt:lpwstr>
      </vt:variant>
      <vt:variant>
        <vt:lpwstr/>
      </vt:variant>
      <vt:variant>
        <vt:i4>3801200</vt:i4>
      </vt:variant>
      <vt:variant>
        <vt:i4>90</vt:i4>
      </vt:variant>
      <vt:variant>
        <vt:i4>0</vt:i4>
      </vt:variant>
      <vt:variant>
        <vt:i4>5</vt:i4>
      </vt:variant>
      <vt:variant>
        <vt:lpwstr>http://www.nevo.co.il/case/11279208</vt:lpwstr>
      </vt:variant>
      <vt:variant>
        <vt:lpwstr/>
      </vt:variant>
      <vt:variant>
        <vt:i4>3997811</vt:i4>
      </vt:variant>
      <vt:variant>
        <vt:i4>87</vt:i4>
      </vt:variant>
      <vt:variant>
        <vt:i4>0</vt:i4>
      </vt:variant>
      <vt:variant>
        <vt:i4>5</vt:i4>
      </vt:variant>
      <vt:variant>
        <vt:lpwstr>http://www.nevo.co.il/case/19994719</vt:lpwstr>
      </vt:variant>
      <vt:variant>
        <vt:lpwstr/>
      </vt:variant>
      <vt:variant>
        <vt:i4>3342453</vt:i4>
      </vt:variant>
      <vt:variant>
        <vt:i4>84</vt:i4>
      </vt:variant>
      <vt:variant>
        <vt:i4>0</vt:i4>
      </vt:variant>
      <vt:variant>
        <vt:i4>5</vt:i4>
      </vt:variant>
      <vt:variant>
        <vt:lpwstr>http://www.nevo.co.il/case/23750765</vt:lpwstr>
      </vt:variant>
      <vt:variant>
        <vt:lpwstr/>
      </vt:variant>
      <vt:variant>
        <vt:i4>3276925</vt:i4>
      </vt:variant>
      <vt:variant>
        <vt:i4>81</vt:i4>
      </vt:variant>
      <vt:variant>
        <vt:i4>0</vt:i4>
      </vt:variant>
      <vt:variant>
        <vt:i4>5</vt:i4>
      </vt:variant>
      <vt:variant>
        <vt:lpwstr>http://www.nevo.co.il/case/28710074</vt:lpwstr>
      </vt:variant>
      <vt:variant>
        <vt:lpwstr/>
      </vt:variant>
      <vt:variant>
        <vt:i4>3407989</vt:i4>
      </vt:variant>
      <vt:variant>
        <vt:i4>78</vt:i4>
      </vt:variant>
      <vt:variant>
        <vt:i4>0</vt:i4>
      </vt:variant>
      <vt:variant>
        <vt:i4>5</vt:i4>
      </vt:variant>
      <vt:variant>
        <vt:lpwstr>http://www.nevo.co.il/case/27719783</vt:lpwstr>
      </vt:variant>
      <vt:variant>
        <vt:lpwstr/>
      </vt:variant>
      <vt:variant>
        <vt:i4>3539069</vt:i4>
      </vt:variant>
      <vt:variant>
        <vt:i4>75</vt:i4>
      </vt:variant>
      <vt:variant>
        <vt:i4>0</vt:i4>
      </vt:variant>
      <vt:variant>
        <vt:i4>5</vt:i4>
      </vt:variant>
      <vt:variant>
        <vt:lpwstr>http://www.nevo.co.il/case/28854489</vt:lpwstr>
      </vt:variant>
      <vt:variant>
        <vt:lpwstr/>
      </vt:variant>
      <vt:variant>
        <vt:i4>3801208</vt:i4>
      </vt:variant>
      <vt:variant>
        <vt:i4>72</vt:i4>
      </vt:variant>
      <vt:variant>
        <vt:i4>0</vt:i4>
      </vt:variant>
      <vt:variant>
        <vt:i4>5</vt:i4>
      </vt:variant>
      <vt:variant>
        <vt:lpwstr>http://www.nevo.co.il/case/6987521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3539068</vt:i4>
      </vt:variant>
      <vt:variant>
        <vt:i4>51</vt:i4>
      </vt:variant>
      <vt:variant>
        <vt:i4>0</vt:i4>
      </vt:variant>
      <vt:variant>
        <vt:i4>5</vt:i4>
      </vt:variant>
      <vt:variant>
        <vt:lpwstr>http://www.nevo.co.il/case/26796758</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3473526</vt:i4>
      </vt:variant>
      <vt:variant>
        <vt:i4>39</vt:i4>
      </vt:variant>
      <vt:variant>
        <vt:i4>0</vt:i4>
      </vt:variant>
      <vt:variant>
        <vt:i4>5</vt:i4>
      </vt:variant>
      <vt:variant>
        <vt:lpwstr>http://www.nevo.co.il/case/26532707</vt:lpwstr>
      </vt:variant>
      <vt:variant>
        <vt:lpwstr/>
      </vt:variant>
      <vt:variant>
        <vt:i4>786443</vt:i4>
      </vt:variant>
      <vt:variant>
        <vt:i4>36</vt:i4>
      </vt:variant>
      <vt:variant>
        <vt:i4>0</vt:i4>
      </vt:variant>
      <vt:variant>
        <vt:i4>5</vt:i4>
      </vt:variant>
      <vt:variant>
        <vt:lpwstr>http://www.nevo.co.il/law/70301/40ji</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http://www.nevo.co.il/law/70301/40h</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24895;67506</vt:lpwstr>
  </property>
  <property fmtid="{D5CDD505-2E9C-101B-9397-08002B2CF9AE}" pid="6" name="NEWPARTB">
    <vt:lpwstr>03;06</vt:lpwstr>
  </property>
  <property fmtid="{D5CDD505-2E9C-101B-9397-08002B2CF9AE}" pid="7" name="NEWPARTC">
    <vt:lpwstr>20;20</vt:lpwstr>
  </property>
  <property fmtid="{D5CDD505-2E9C-101B-9397-08002B2CF9AE}" pid="8" name="APPELLANT">
    <vt:lpwstr>מדינת ישראל</vt:lpwstr>
  </property>
  <property fmtid="{D5CDD505-2E9C-101B-9397-08002B2CF9AE}" pid="9" name="APPELLEE">
    <vt:lpwstr>מיכאל אלחזוב</vt:lpwstr>
  </property>
  <property fmtid="{D5CDD505-2E9C-101B-9397-08002B2CF9AE}" pid="10" name="LAWYER">
    <vt:lpwstr>רעות בונה ז'ורנו;איתן פרידמן</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20240609</vt:lpwstr>
  </property>
  <property fmtid="{D5CDD505-2E9C-101B-9397-08002B2CF9AE}" pid="14" name="TYPE_N_DATE">
    <vt:lpwstr>38020240609</vt:lpwstr>
  </property>
  <property fmtid="{D5CDD505-2E9C-101B-9397-08002B2CF9AE}" pid="15" name="CASESLISTTMP1">
    <vt:lpwstr>26532707;26796758;13093721;6987521;28854489;27719783;28710074;23750765;19994719;11279208;23792839;20534897;22956321;20551220;20569205;18850227;28607400;25131323;30530885;22369038;24287803;20683594</vt:lpwstr>
  </property>
  <property fmtid="{D5CDD505-2E9C-101B-9397-08002B2CF9AE}" pid="16" name="WORDNUMPAGES">
    <vt:lpwstr>14</vt:lpwstr>
  </property>
  <property fmtid="{D5CDD505-2E9C-101B-9397-08002B2CF9AE}" pid="17" name="TYPE_ABS_DATE">
    <vt:lpwstr>380020240609</vt:lpwstr>
  </property>
  <property fmtid="{D5CDD505-2E9C-101B-9397-08002B2CF9AE}" pid="18" name="LAWLISTTMP1">
    <vt:lpwstr>4216/007.a:2;007.c:2;037a</vt:lpwstr>
  </property>
  <property fmtid="{D5CDD505-2E9C-101B-9397-08002B2CF9AE}" pid="19" name="LAWLISTTMP2">
    <vt:lpwstr>70301/040c.a;40ji;040h;040c.b;40ja;040d;040f;040g</vt:lpwstr>
  </property>
  <property fmtid="{D5CDD505-2E9C-101B-9397-08002B2CF9AE}" pid="20" name="ISABSTRACT">
    <vt:lpwstr>Y</vt:lpwstr>
  </property>
</Properties>
</file>