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9"/>
        <w:gridCol w:w="3660"/>
        <w:gridCol w:w="99"/>
      </w:tblGrid>
      <w:tr w:rsidR="00ED09A0" w:rsidRPr="00EA4216" w14:paraId="625BF131" w14:textId="77777777" w:rsidTr="00C717D6">
        <w:trPr>
          <w:gridAfter w:val="1"/>
          <w:wAfter w:w="99" w:type="dxa"/>
          <w:trHeight w:hRule="exact" w:val="418"/>
          <w:jc w:val="center"/>
        </w:trPr>
        <w:tc>
          <w:tcPr>
            <w:tcW w:w="8721" w:type="dxa"/>
            <w:gridSpan w:val="4"/>
          </w:tcPr>
          <w:p w14:paraId="2B65257D" w14:textId="77777777" w:rsidR="00ED09A0" w:rsidRPr="00EA4216" w:rsidRDefault="00ED09A0" w:rsidP="008D7894">
            <w:pPr>
              <w:pStyle w:val="a3"/>
              <w:jc w:val="center"/>
              <w:rPr>
                <w:rFonts w:ascii="Tahoma" w:hAnsi="Tahoma" w:cs="Tahoma"/>
                <w:color w:val="000080"/>
                <w:rtl/>
              </w:rPr>
            </w:pPr>
            <w:bookmarkStart w:id="0" w:name="LastJudge"/>
            <w:r w:rsidRPr="00EA4216">
              <w:rPr>
                <w:rFonts w:ascii="Tahoma" w:hAnsi="Tahoma" w:cs="Tahoma"/>
                <w:b/>
                <w:bCs/>
                <w:color w:val="000080"/>
                <w:rtl/>
              </w:rPr>
              <w:t>בית משפט השלום בבאר שבע</w:t>
            </w:r>
          </w:p>
        </w:tc>
      </w:tr>
      <w:tr w:rsidR="00ED09A0" w:rsidRPr="00EA4216" w14:paraId="156CC243" w14:textId="77777777" w:rsidTr="00C717D6">
        <w:trPr>
          <w:gridAfter w:val="1"/>
          <w:wAfter w:w="99" w:type="dxa"/>
          <w:trHeight w:val="337"/>
          <w:jc w:val="center"/>
        </w:trPr>
        <w:tc>
          <w:tcPr>
            <w:tcW w:w="5061" w:type="dxa"/>
            <w:gridSpan w:val="3"/>
          </w:tcPr>
          <w:p w14:paraId="7C40DB42" w14:textId="77777777" w:rsidR="00ED09A0" w:rsidRPr="00EA4216" w:rsidRDefault="00ED09A0" w:rsidP="008D7894">
            <w:pPr>
              <w:rPr>
                <w:rFonts w:cs="FrankRuehl"/>
                <w:sz w:val="28"/>
                <w:szCs w:val="28"/>
                <w:rtl/>
              </w:rPr>
            </w:pPr>
            <w:r w:rsidRPr="00EA4216">
              <w:rPr>
                <w:rFonts w:cs="FrankRuehl"/>
                <w:sz w:val="28"/>
                <w:szCs w:val="28"/>
                <w:rtl/>
              </w:rPr>
              <w:t>ת"פ</w:t>
            </w:r>
            <w:r w:rsidRPr="00EA4216">
              <w:rPr>
                <w:rFonts w:cs="FrankRuehl" w:hint="cs"/>
                <w:sz w:val="28"/>
                <w:szCs w:val="28"/>
                <w:rtl/>
              </w:rPr>
              <w:t xml:space="preserve"> </w:t>
            </w:r>
            <w:r w:rsidRPr="00EA4216">
              <w:rPr>
                <w:rFonts w:cs="FrankRuehl"/>
                <w:sz w:val="28"/>
                <w:szCs w:val="28"/>
                <w:rtl/>
              </w:rPr>
              <w:t>28736-03-20</w:t>
            </w:r>
            <w:r w:rsidRPr="00EA4216">
              <w:rPr>
                <w:rFonts w:cs="FrankRuehl" w:hint="cs"/>
                <w:sz w:val="28"/>
                <w:szCs w:val="28"/>
                <w:rtl/>
              </w:rPr>
              <w:t xml:space="preserve"> </w:t>
            </w:r>
            <w:r w:rsidRPr="00EA4216">
              <w:rPr>
                <w:rFonts w:cs="FrankRuehl"/>
                <w:sz w:val="28"/>
                <w:szCs w:val="28"/>
                <w:rtl/>
              </w:rPr>
              <w:t>מדינת ישראל נ' אבו מנסי(עצור/אסיר בפיקוח)</w:t>
            </w:r>
          </w:p>
          <w:p w14:paraId="5F2879D9" w14:textId="77777777" w:rsidR="00ED09A0" w:rsidRPr="00EA4216" w:rsidRDefault="00ED09A0" w:rsidP="008D7894">
            <w:pPr>
              <w:pStyle w:val="a3"/>
              <w:rPr>
                <w:rFonts w:cs="FrankRuehl"/>
                <w:sz w:val="28"/>
                <w:szCs w:val="28"/>
                <w:rtl/>
              </w:rPr>
            </w:pPr>
          </w:p>
        </w:tc>
        <w:tc>
          <w:tcPr>
            <w:tcW w:w="3660" w:type="dxa"/>
          </w:tcPr>
          <w:p w14:paraId="2ED751E0" w14:textId="77777777" w:rsidR="00ED09A0" w:rsidRPr="00EA4216" w:rsidRDefault="00ED09A0" w:rsidP="008D7894">
            <w:pPr>
              <w:pStyle w:val="a3"/>
              <w:jc w:val="right"/>
              <w:rPr>
                <w:rFonts w:cs="FrankRuehl"/>
                <w:sz w:val="28"/>
                <w:szCs w:val="28"/>
                <w:rtl/>
              </w:rPr>
            </w:pPr>
          </w:p>
        </w:tc>
      </w:tr>
      <w:tr w:rsidR="00ED09A0" w:rsidRPr="00EA4216" w14:paraId="313FF056" w14:textId="77777777" w:rsidTr="00C717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8654D8C" w14:textId="77777777" w:rsidR="00ED09A0" w:rsidRPr="00EA4216" w:rsidRDefault="00ED09A0" w:rsidP="00ED09A0">
            <w:pPr>
              <w:jc w:val="both"/>
              <w:rPr>
                <w:rFonts w:ascii="David" w:hAnsi="David"/>
                <w:sz w:val="26"/>
                <w:szCs w:val="26"/>
              </w:rPr>
            </w:pPr>
            <w:r w:rsidRPr="00EA4216">
              <w:rPr>
                <w:rFonts w:hint="cs"/>
                <w:rtl/>
              </w:rPr>
              <w:t xml:space="preserve"> </w:t>
            </w:r>
            <w:r w:rsidRPr="00EA421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15CB918" w14:textId="77777777" w:rsidR="00ED09A0" w:rsidRPr="00EA4216" w:rsidRDefault="00ED09A0" w:rsidP="008D7894">
            <w:pPr>
              <w:rPr>
                <w:rFonts w:ascii="David" w:hAnsi="David"/>
                <w:b/>
                <w:bCs/>
                <w:sz w:val="26"/>
                <w:szCs w:val="26"/>
                <w:rtl/>
              </w:rPr>
            </w:pPr>
            <w:r w:rsidRPr="00EA4216">
              <w:rPr>
                <w:rFonts w:ascii="David" w:hAnsi="David"/>
                <w:b/>
                <w:bCs/>
                <w:sz w:val="26"/>
                <w:szCs w:val="26"/>
                <w:rtl/>
              </w:rPr>
              <w:t>כבוד השופטת  אחינעם צוריאל</w:t>
            </w:r>
          </w:p>
          <w:p w14:paraId="4D35A143" w14:textId="77777777" w:rsidR="00ED09A0" w:rsidRPr="00EA4216" w:rsidRDefault="00ED09A0" w:rsidP="008D7894">
            <w:pPr>
              <w:rPr>
                <w:rFonts w:ascii="David" w:hAnsi="David"/>
                <w:sz w:val="26"/>
                <w:szCs w:val="26"/>
                <w:rtl/>
              </w:rPr>
            </w:pPr>
          </w:p>
          <w:p w14:paraId="1D78757D" w14:textId="77777777" w:rsidR="00ED09A0" w:rsidRPr="00EA4216" w:rsidRDefault="00ED09A0" w:rsidP="00ED09A0">
            <w:pPr>
              <w:jc w:val="both"/>
              <w:rPr>
                <w:rFonts w:ascii="David" w:hAnsi="David"/>
                <w:sz w:val="26"/>
                <w:szCs w:val="26"/>
              </w:rPr>
            </w:pPr>
          </w:p>
        </w:tc>
      </w:tr>
      <w:tr w:rsidR="00ED09A0" w:rsidRPr="00EA4216" w14:paraId="58B1B69E" w14:textId="77777777" w:rsidTr="00C717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F3E85B" w14:textId="77777777" w:rsidR="00ED09A0" w:rsidRPr="00EA4216" w:rsidRDefault="00ED09A0" w:rsidP="00ED09A0">
            <w:pPr>
              <w:jc w:val="both"/>
              <w:rPr>
                <w:rFonts w:ascii="David" w:hAnsi="David"/>
                <w:sz w:val="26"/>
                <w:szCs w:val="26"/>
              </w:rPr>
            </w:pPr>
            <w:bookmarkStart w:id="1" w:name="FirstAppellant"/>
            <w:bookmarkStart w:id="2" w:name="FirstLawyer"/>
            <w:r w:rsidRPr="00EA4216">
              <w:rPr>
                <w:rFonts w:ascii="David" w:hAnsi="David"/>
                <w:sz w:val="26"/>
                <w:szCs w:val="26"/>
                <w:rtl/>
              </w:rPr>
              <w:t>בעניין:</w:t>
            </w:r>
          </w:p>
        </w:tc>
        <w:tc>
          <w:tcPr>
            <w:tcW w:w="3219" w:type="dxa"/>
            <w:tcBorders>
              <w:top w:val="nil"/>
              <w:left w:val="nil"/>
              <w:bottom w:val="nil"/>
              <w:right w:val="nil"/>
            </w:tcBorders>
            <w:shd w:val="clear" w:color="auto" w:fill="auto"/>
          </w:tcPr>
          <w:p w14:paraId="3425F873" w14:textId="77777777" w:rsidR="00ED09A0" w:rsidRPr="00EA4216" w:rsidRDefault="00ED09A0" w:rsidP="00ED09A0">
            <w:pPr>
              <w:suppressLineNumbers/>
            </w:pPr>
            <w:r w:rsidRPr="00EA4216">
              <w:rPr>
                <w:rFonts w:ascii="Arial" w:hAnsi="Arial" w:hint="cs"/>
                <w:b/>
                <w:bCs/>
                <w:sz w:val="26"/>
                <w:szCs w:val="26"/>
                <w:rtl/>
              </w:rPr>
              <w:t>ה</w:t>
            </w:r>
            <w:r w:rsidRPr="00EA4216">
              <w:rPr>
                <w:rFonts w:ascii="Arial" w:hAnsi="Arial"/>
                <w:b/>
                <w:bCs/>
                <w:sz w:val="26"/>
                <w:szCs w:val="26"/>
                <w:rtl/>
              </w:rPr>
              <w:t>מאשימה</w:t>
            </w:r>
          </w:p>
          <w:p w14:paraId="2FB92454" w14:textId="77777777" w:rsidR="00ED09A0" w:rsidRPr="00EA4216" w:rsidRDefault="00ED09A0" w:rsidP="008D789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CB3681B" w14:textId="77777777" w:rsidR="00ED09A0" w:rsidRPr="00EA4216" w:rsidRDefault="00ED09A0" w:rsidP="00ED09A0">
            <w:pPr>
              <w:suppressLineNumbers/>
            </w:pPr>
            <w:r w:rsidRPr="00EA4216">
              <w:rPr>
                <w:rFonts w:ascii="Arial" w:hAnsi="Arial"/>
                <w:b/>
                <w:bCs/>
                <w:sz w:val="26"/>
                <w:szCs w:val="26"/>
                <w:rtl/>
              </w:rPr>
              <w:t>מדינת ישראל</w:t>
            </w:r>
          </w:p>
          <w:p w14:paraId="39ADB97D" w14:textId="77777777" w:rsidR="00ED09A0" w:rsidRPr="00EA4216" w:rsidRDefault="00ED09A0" w:rsidP="008D7894">
            <w:pPr>
              <w:rPr>
                <w:rFonts w:ascii="David" w:hAnsi="David"/>
                <w:b/>
                <w:bCs/>
                <w:sz w:val="26"/>
                <w:szCs w:val="26"/>
              </w:rPr>
            </w:pPr>
            <w:r w:rsidRPr="00EA4216">
              <w:rPr>
                <w:rFonts w:ascii="David" w:hAnsi="David" w:hint="cs"/>
                <w:b/>
                <w:bCs/>
                <w:sz w:val="26"/>
                <w:szCs w:val="26"/>
                <w:rtl/>
              </w:rPr>
              <w:t>ע"י ב"כ עו"ד עדי יזרעאלי</w:t>
            </w:r>
          </w:p>
        </w:tc>
      </w:tr>
      <w:bookmarkEnd w:id="1"/>
      <w:bookmarkEnd w:id="2"/>
      <w:tr w:rsidR="00ED09A0" w:rsidRPr="00EA4216" w14:paraId="2952B8C5" w14:textId="77777777" w:rsidTr="00C717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B7ACCE" w14:textId="77777777" w:rsidR="00ED09A0" w:rsidRPr="00EA4216" w:rsidRDefault="00ED09A0" w:rsidP="00ED09A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56D39C6" w14:textId="77777777" w:rsidR="00ED09A0" w:rsidRPr="00EA4216" w:rsidRDefault="00ED09A0" w:rsidP="00ED09A0">
            <w:pPr>
              <w:jc w:val="center"/>
              <w:rPr>
                <w:rFonts w:ascii="David" w:hAnsi="David"/>
                <w:b/>
                <w:bCs/>
                <w:sz w:val="26"/>
                <w:szCs w:val="26"/>
                <w:rtl/>
              </w:rPr>
            </w:pPr>
          </w:p>
          <w:p w14:paraId="4A4E19BA" w14:textId="77777777" w:rsidR="00ED09A0" w:rsidRPr="00EA4216" w:rsidRDefault="00ED09A0" w:rsidP="00ED09A0">
            <w:pPr>
              <w:jc w:val="center"/>
              <w:rPr>
                <w:rFonts w:ascii="David" w:hAnsi="David"/>
                <w:b/>
                <w:bCs/>
                <w:sz w:val="26"/>
                <w:szCs w:val="26"/>
                <w:rtl/>
              </w:rPr>
            </w:pPr>
            <w:r w:rsidRPr="00EA4216">
              <w:rPr>
                <w:rFonts w:ascii="David" w:hAnsi="David"/>
                <w:b/>
                <w:bCs/>
                <w:sz w:val="26"/>
                <w:szCs w:val="26"/>
                <w:rtl/>
              </w:rPr>
              <w:t>נגד</w:t>
            </w:r>
          </w:p>
          <w:p w14:paraId="313DC246" w14:textId="77777777" w:rsidR="00ED09A0" w:rsidRPr="00EA4216" w:rsidRDefault="00ED09A0" w:rsidP="00ED09A0">
            <w:pPr>
              <w:jc w:val="both"/>
              <w:rPr>
                <w:rFonts w:ascii="David" w:hAnsi="David"/>
                <w:sz w:val="26"/>
                <w:szCs w:val="26"/>
              </w:rPr>
            </w:pPr>
          </w:p>
        </w:tc>
      </w:tr>
      <w:tr w:rsidR="00ED09A0" w:rsidRPr="00EA4216" w14:paraId="37FCE77A" w14:textId="77777777" w:rsidTr="00C717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872007" w14:textId="77777777" w:rsidR="00ED09A0" w:rsidRPr="00EA4216" w:rsidRDefault="00ED09A0" w:rsidP="008D7894">
            <w:pPr>
              <w:rPr>
                <w:rFonts w:ascii="David" w:hAnsi="David"/>
                <w:sz w:val="26"/>
                <w:szCs w:val="26"/>
                <w:rtl/>
              </w:rPr>
            </w:pPr>
          </w:p>
        </w:tc>
        <w:tc>
          <w:tcPr>
            <w:tcW w:w="3219" w:type="dxa"/>
            <w:tcBorders>
              <w:top w:val="nil"/>
              <w:left w:val="nil"/>
              <w:bottom w:val="nil"/>
              <w:right w:val="nil"/>
            </w:tcBorders>
            <w:shd w:val="clear" w:color="auto" w:fill="auto"/>
          </w:tcPr>
          <w:p w14:paraId="0BE48ACE" w14:textId="77777777" w:rsidR="00ED09A0" w:rsidRPr="00EA4216" w:rsidRDefault="00ED09A0" w:rsidP="008D7894">
            <w:pPr>
              <w:rPr>
                <w:rFonts w:ascii="Arial" w:hAnsi="Arial"/>
                <w:b/>
                <w:bCs/>
                <w:sz w:val="26"/>
                <w:szCs w:val="26"/>
                <w:rtl/>
              </w:rPr>
            </w:pPr>
            <w:r w:rsidRPr="00EA421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9ADC7A4" w14:textId="77777777" w:rsidR="00ED09A0" w:rsidRPr="00EA4216" w:rsidRDefault="00ED09A0" w:rsidP="00ED09A0">
            <w:pPr>
              <w:suppressLineNumbers/>
            </w:pPr>
            <w:r w:rsidRPr="00EA4216">
              <w:rPr>
                <w:rFonts w:ascii="Arial" w:hAnsi="Arial"/>
                <w:b/>
                <w:bCs/>
                <w:sz w:val="26"/>
                <w:szCs w:val="26"/>
                <w:rtl/>
              </w:rPr>
              <w:t>עלאא אבו מנסי (עצור/אסיר בפיקוח)</w:t>
            </w:r>
          </w:p>
          <w:p w14:paraId="7AD0D15D" w14:textId="77777777" w:rsidR="00ED09A0" w:rsidRPr="00EA4216" w:rsidRDefault="00ED09A0" w:rsidP="008D7894">
            <w:pPr>
              <w:rPr>
                <w:rFonts w:ascii="David" w:hAnsi="David"/>
                <w:sz w:val="26"/>
                <w:szCs w:val="26"/>
              </w:rPr>
            </w:pPr>
            <w:r w:rsidRPr="00EA4216">
              <w:rPr>
                <w:rFonts w:ascii="David" w:hAnsi="David" w:hint="cs"/>
                <w:sz w:val="26"/>
                <w:szCs w:val="26"/>
                <w:rtl/>
              </w:rPr>
              <w:t>ע"י ב"כ עו"ד שני דיין</w:t>
            </w:r>
          </w:p>
        </w:tc>
      </w:tr>
    </w:tbl>
    <w:p w14:paraId="7C49158C" w14:textId="77777777" w:rsidR="00C717D6" w:rsidRDefault="00C717D6" w:rsidP="00EA4216">
      <w:pPr>
        <w:rPr>
          <w:sz w:val="26"/>
          <w:szCs w:val="26"/>
          <w:rtl/>
        </w:rPr>
      </w:pPr>
    </w:p>
    <w:p w14:paraId="1ACCA116" w14:textId="77777777" w:rsidR="00C717D6" w:rsidRPr="00C717D6" w:rsidRDefault="00C717D6" w:rsidP="00C717D6">
      <w:pPr>
        <w:spacing w:after="120" w:line="240" w:lineRule="exact"/>
        <w:ind w:left="283" w:hanging="283"/>
        <w:jc w:val="both"/>
        <w:rPr>
          <w:rFonts w:ascii="FrankRuehl" w:hAnsi="FrankRuehl" w:cs="FrankRuehl"/>
          <w:rtl/>
        </w:rPr>
      </w:pPr>
    </w:p>
    <w:p w14:paraId="374C7AF8" w14:textId="77777777" w:rsidR="00AF26B9" w:rsidRPr="00AF26B9" w:rsidRDefault="00AF26B9" w:rsidP="00AF26B9">
      <w:pPr>
        <w:spacing w:before="120" w:after="120" w:line="240" w:lineRule="exact"/>
        <w:ind w:left="283" w:hanging="283"/>
        <w:jc w:val="both"/>
        <w:rPr>
          <w:rFonts w:ascii="FrankRuehl" w:hAnsi="FrankRuehl" w:cs="FrankRuehl"/>
          <w:rtl/>
        </w:rPr>
      </w:pPr>
    </w:p>
    <w:p w14:paraId="0C165BDB" w14:textId="77777777" w:rsidR="00AF26B9" w:rsidRPr="00AF26B9" w:rsidRDefault="00AF26B9" w:rsidP="00AF26B9">
      <w:pPr>
        <w:spacing w:before="120" w:after="120" w:line="240" w:lineRule="exact"/>
        <w:ind w:left="283" w:hanging="283"/>
        <w:jc w:val="both"/>
        <w:rPr>
          <w:rFonts w:ascii="FrankRuehl" w:hAnsi="FrankRuehl" w:cs="FrankRuehl"/>
          <w:rtl/>
        </w:rPr>
      </w:pPr>
    </w:p>
    <w:p w14:paraId="50CE9947" w14:textId="77777777" w:rsidR="000A02AD" w:rsidRDefault="000A02AD" w:rsidP="000A02AD">
      <w:pPr>
        <w:rPr>
          <w:sz w:val="26"/>
          <w:szCs w:val="26"/>
          <w:rtl/>
        </w:rPr>
      </w:pPr>
      <w:bookmarkStart w:id="3" w:name="LawTable"/>
      <w:bookmarkEnd w:id="3"/>
    </w:p>
    <w:p w14:paraId="20DB25E4" w14:textId="77777777" w:rsidR="000A02AD" w:rsidRPr="000A02AD" w:rsidRDefault="000A02AD" w:rsidP="000A02AD">
      <w:pPr>
        <w:spacing w:before="120" w:after="120" w:line="240" w:lineRule="exact"/>
        <w:ind w:left="283" w:hanging="283"/>
        <w:jc w:val="both"/>
        <w:rPr>
          <w:rFonts w:ascii="FrankRuehl" w:hAnsi="FrankRuehl" w:cs="FrankRuehl"/>
          <w:rtl/>
        </w:rPr>
      </w:pPr>
    </w:p>
    <w:p w14:paraId="1249614A" w14:textId="77777777" w:rsidR="000A02AD" w:rsidRPr="000A02AD" w:rsidRDefault="000A02AD" w:rsidP="000A02AD">
      <w:pPr>
        <w:spacing w:before="120" w:after="120" w:line="240" w:lineRule="exact"/>
        <w:ind w:left="283" w:hanging="283"/>
        <w:jc w:val="both"/>
        <w:rPr>
          <w:rFonts w:ascii="FrankRuehl" w:hAnsi="FrankRuehl" w:cs="FrankRuehl"/>
          <w:rtl/>
        </w:rPr>
      </w:pPr>
    </w:p>
    <w:p w14:paraId="242615F9" w14:textId="77777777" w:rsidR="000A02AD" w:rsidRPr="000A02AD" w:rsidRDefault="000A02AD" w:rsidP="000A02AD">
      <w:pPr>
        <w:spacing w:before="120" w:after="120" w:line="240" w:lineRule="exact"/>
        <w:ind w:left="283" w:hanging="283"/>
        <w:jc w:val="both"/>
        <w:rPr>
          <w:rFonts w:ascii="FrankRuehl" w:hAnsi="FrankRuehl" w:cs="FrankRuehl"/>
          <w:rtl/>
        </w:rPr>
      </w:pPr>
      <w:r w:rsidRPr="000A02AD">
        <w:rPr>
          <w:rFonts w:ascii="FrankRuehl" w:hAnsi="FrankRuehl" w:cs="FrankRuehl"/>
          <w:rtl/>
        </w:rPr>
        <w:t xml:space="preserve">חקיקה שאוזכרה: </w:t>
      </w:r>
    </w:p>
    <w:p w14:paraId="6425ACE0" w14:textId="77777777" w:rsidR="000A02AD" w:rsidRPr="000A02AD" w:rsidRDefault="000A02AD" w:rsidP="000A02AD">
      <w:pPr>
        <w:spacing w:before="120" w:after="120" w:line="240" w:lineRule="exact"/>
        <w:ind w:left="283" w:hanging="283"/>
        <w:jc w:val="both"/>
        <w:rPr>
          <w:rFonts w:ascii="FrankRuehl" w:hAnsi="FrankRuehl" w:cs="FrankRuehl"/>
          <w:rtl/>
        </w:rPr>
      </w:pPr>
      <w:hyperlink r:id="rId7" w:history="1">
        <w:r w:rsidRPr="000A02AD">
          <w:rPr>
            <w:rFonts w:ascii="FrankRuehl" w:hAnsi="FrankRuehl" w:cs="FrankRuehl"/>
            <w:color w:val="0000FF"/>
            <w:rtl/>
          </w:rPr>
          <w:t>פקודת הסמים המסוכנים [נוסח חדש], תשל"ג-1973</w:t>
        </w:r>
      </w:hyperlink>
      <w:r w:rsidRPr="000A02AD">
        <w:rPr>
          <w:rFonts w:ascii="FrankRuehl" w:hAnsi="FrankRuehl" w:cs="FrankRuehl"/>
          <w:rtl/>
        </w:rPr>
        <w:t xml:space="preserve">: סע'  </w:t>
      </w:r>
      <w:hyperlink r:id="rId8" w:history="1">
        <w:r w:rsidRPr="000A02AD">
          <w:rPr>
            <w:rFonts w:ascii="FrankRuehl" w:hAnsi="FrankRuehl" w:cs="FrankRuehl"/>
            <w:color w:val="0000FF"/>
            <w:rtl/>
          </w:rPr>
          <w:t>7.א.</w:t>
        </w:r>
      </w:hyperlink>
      <w:r w:rsidRPr="000A02AD">
        <w:rPr>
          <w:rFonts w:ascii="FrankRuehl" w:hAnsi="FrankRuehl" w:cs="FrankRuehl"/>
          <w:rtl/>
        </w:rPr>
        <w:t xml:space="preserve">, </w:t>
      </w:r>
      <w:hyperlink r:id="rId9" w:history="1">
        <w:r w:rsidRPr="000A02AD">
          <w:rPr>
            <w:rFonts w:ascii="FrankRuehl" w:hAnsi="FrankRuehl" w:cs="FrankRuehl"/>
            <w:color w:val="0000FF"/>
            <w:rtl/>
          </w:rPr>
          <w:t>7.ג</w:t>
        </w:r>
      </w:hyperlink>
      <w:r w:rsidRPr="000A02AD">
        <w:rPr>
          <w:rFonts w:ascii="FrankRuehl" w:hAnsi="FrankRuehl" w:cs="FrankRuehl"/>
          <w:rtl/>
        </w:rPr>
        <w:t xml:space="preserve">, </w:t>
      </w:r>
      <w:hyperlink r:id="rId10" w:history="1">
        <w:r w:rsidRPr="000A02AD">
          <w:rPr>
            <w:rFonts w:ascii="FrankRuehl" w:hAnsi="FrankRuehl" w:cs="FrankRuehl"/>
            <w:color w:val="0000FF"/>
            <w:rtl/>
          </w:rPr>
          <w:t>37א</w:t>
        </w:r>
      </w:hyperlink>
    </w:p>
    <w:p w14:paraId="1465E8CA" w14:textId="77777777" w:rsidR="000A02AD" w:rsidRPr="000A02AD" w:rsidRDefault="000A02AD" w:rsidP="000A02AD">
      <w:pPr>
        <w:spacing w:before="120" w:after="120" w:line="240" w:lineRule="exact"/>
        <w:ind w:left="283" w:hanging="283"/>
        <w:jc w:val="both"/>
        <w:rPr>
          <w:rFonts w:ascii="FrankRuehl" w:hAnsi="FrankRuehl" w:cs="FrankRuehl"/>
          <w:rtl/>
        </w:rPr>
      </w:pPr>
      <w:hyperlink r:id="rId11" w:history="1">
        <w:r w:rsidRPr="000A02AD">
          <w:rPr>
            <w:rFonts w:ascii="FrankRuehl" w:hAnsi="FrankRuehl" w:cs="FrankRuehl"/>
            <w:color w:val="0000FF"/>
            <w:rtl/>
          </w:rPr>
          <w:t>חוק העונשין, תשל"ז-1977</w:t>
        </w:r>
      </w:hyperlink>
      <w:r w:rsidRPr="000A02AD">
        <w:rPr>
          <w:rFonts w:ascii="FrankRuehl" w:hAnsi="FrankRuehl" w:cs="FrankRuehl"/>
          <w:rtl/>
        </w:rPr>
        <w:t xml:space="preserve">: סע'  </w:t>
      </w:r>
      <w:hyperlink r:id="rId12" w:history="1">
        <w:r w:rsidRPr="000A02AD">
          <w:rPr>
            <w:rFonts w:ascii="FrankRuehl" w:hAnsi="FrankRuehl" w:cs="FrankRuehl"/>
            <w:color w:val="0000FF"/>
            <w:rtl/>
          </w:rPr>
          <w:t>40 ט</w:t>
        </w:r>
      </w:hyperlink>
      <w:r w:rsidRPr="000A02AD">
        <w:rPr>
          <w:rFonts w:ascii="FrankRuehl" w:hAnsi="FrankRuehl" w:cs="FrankRuehl"/>
          <w:rtl/>
        </w:rPr>
        <w:t xml:space="preserve">, </w:t>
      </w:r>
      <w:hyperlink r:id="rId13" w:history="1">
        <w:r w:rsidRPr="000A02AD">
          <w:rPr>
            <w:rFonts w:ascii="FrankRuehl" w:hAnsi="FrankRuehl" w:cs="FrankRuehl"/>
            <w:color w:val="0000FF"/>
            <w:rtl/>
          </w:rPr>
          <w:t>186(א)</w:t>
        </w:r>
      </w:hyperlink>
    </w:p>
    <w:p w14:paraId="24A057F0" w14:textId="77777777" w:rsidR="000A02AD" w:rsidRPr="000A02AD" w:rsidRDefault="000A02AD" w:rsidP="000A02AD">
      <w:pPr>
        <w:rPr>
          <w:sz w:val="26"/>
          <w:szCs w:val="26"/>
          <w:rtl/>
        </w:rPr>
      </w:pPr>
      <w:bookmarkStart w:id="4" w:name="LawTable_End"/>
      <w:bookmarkEnd w:id="4"/>
    </w:p>
    <w:p w14:paraId="365A61C3" w14:textId="77777777" w:rsidR="00ED09A0" w:rsidRPr="00AF26B9" w:rsidRDefault="00ED09A0" w:rsidP="00AF26B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D09A0" w14:paraId="2444E3F6" w14:textId="77777777" w:rsidTr="00ED09A0">
        <w:trPr>
          <w:trHeight w:val="355"/>
          <w:jc w:val="center"/>
        </w:trPr>
        <w:tc>
          <w:tcPr>
            <w:tcW w:w="8820" w:type="dxa"/>
            <w:tcBorders>
              <w:top w:val="nil"/>
              <w:left w:val="nil"/>
              <w:bottom w:val="nil"/>
              <w:right w:val="nil"/>
            </w:tcBorders>
            <w:shd w:val="clear" w:color="auto" w:fill="auto"/>
          </w:tcPr>
          <w:p w14:paraId="44654BEF" w14:textId="77777777" w:rsidR="00EA4216" w:rsidRPr="00EA4216" w:rsidRDefault="00EA4216" w:rsidP="00EA4216">
            <w:pPr>
              <w:jc w:val="center"/>
              <w:rPr>
                <w:rFonts w:ascii="David" w:hAnsi="David"/>
                <w:b/>
                <w:bCs/>
                <w:sz w:val="32"/>
                <w:szCs w:val="32"/>
                <w:u w:val="single"/>
                <w:rtl/>
              </w:rPr>
            </w:pPr>
            <w:bookmarkStart w:id="5" w:name="PsakDin" w:colFirst="0" w:colLast="0"/>
            <w:bookmarkEnd w:id="0"/>
            <w:r w:rsidRPr="00EA4216">
              <w:rPr>
                <w:rFonts w:ascii="David" w:hAnsi="David"/>
                <w:b/>
                <w:bCs/>
                <w:sz w:val="32"/>
                <w:szCs w:val="32"/>
                <w:u w:val="single"/>
                <w:rtl/>
              </w:rPr>
              <w:t>גזר דין</w:t>
            </w:r>
          </w:p>
          <w:p w14:paraId="7D1EDE58" w14:textId="77777777" w:rsidR="00ED09A0" w:rsidRPr="00EA4216" w:rsidRDefault="00ED09A0" w:rsidP="00EA4216">
            <w:pPr>
              <w:jc w:val="center"/>
              <w:rPr>
                <w:rFonts w:ascii="David" w:hAnsi="David"/>
                <w:bCs/>
                <w:sz w:val="32"/>
                <w:szCs w:val="32"/>
                <w:u w:val="single"/>
                <w:rtl/>
              </w:rPr>
            </w:pPr>
          </w:p>
        </w:tc>
      </w:tr>
      <w:bookmarkEnd w:id="5"/>
    </w:tbl>
    <w:p w14:paraId="01EA0FF0" w14:textId="77777777" w:rsidR="00ED09A0" w:rsidRPr="000F2247" w:rsidRDefault="00ED09A0" w:rsidP="00ED09A0">
      <w:pPr>
        <w:rPr>
          <w:rFonts w:ascii="Arial" w:hAnsi="Arial"/>
          <w:b/>
          <w:bCs/>
          <w:sz w:val="26"/>
          <w:szCs w:val="26"/>
          <w:rtl/>
        </w:rPr>
      </w:pPr>
    </w:p>
    <w:p w14:paraId="0B722D2D" w14:textId="77777777" w:rsidR="00ED09A0" w:rsidRDefault="00ED09A0" w:rsidP="00ED09A0">
      <w:pPr>
        <w:spacing w:line="360" w:lineRule="auto"/>
        <w:jc w:val="both"/>
        <w:rPr>
          <w:rFonts w:ascii="David" w:hAnsi="David"/>
          <w:b/>
          <w:bCs/>
          <w:u w:val="single"/>
          <w:rtl/>
        </w:rPr>
      </w:pPr>
      <w:r>
        <w:rPr>
          <w:rFonts w:ascii="David" w:hAnsi="David"/>
          <w:b/>
          <w:bCs/>
          <w:u w:val="single"/>
          <w:rtl/>
        </w:rPr>
        <w:t>רקע:</w:t>
      </w:r>
    </w:p>
    <w:p w14:paraId="363BD9AA" w14:textId="77777777" w:rsidR="00ED09A0" w:rsidRDefault="00ED09A0" w:rsidP="00ED09A0">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עפ"י הודאתו בעובדות כתב האישום המתוקן בעבירה של </w:t>
      </w:r>
      <w:r>
        <w:rPr>
          <w:rFonts w:ascii="David" w:hAnsi="David" w:cs="David"/>
          <w:b/>
          <w:bCs/>
          <w:sz w:val="24"/>
          <w:szCs w:val="24"/>
          <w:rtl/>
        </w:rPr>
        <w:t>החזקת סם שלא לצריכה עצמית</w:t>
      </w:r>
      <w:r>
        <w:rPr>
          <w:rFonts w:ascii="David" w:hAnsi="David" w:cs="David"/>
          <w:sz w:val="24"/>
          <w:szCs w:val="24"/>
          <w:rtl/>
        </w:rPr>
        <w:t xml:space="preserve">, עבירה לפי </w:t>
      </w:r>
      <w:hyperlink r:id="rId14" w:history="1">
        <w:r w:rsidR="00C717D6" w:rsidRPr="00C717D6">
          <w:rPr>
            <w:rStyle w:val="Hyperlink"/>
            <w:rFonts w:ascii="David" w:hAnsi="David" w:cs="David"/>
            <w:sz w:val="24"/>
            <w:szCs w:val="24"/>
            <w:rtl/>
          </w:rPr>
          <w:t>סעיף 7(א)+(ג)</w:t>
        </w:r>
      </w:hyperlink>
      <w:r>
        <w:rPr>
          <w:rFonts w:ascii="David" w:hAnsi="David" w:cs="David"/>
          <w:sz w:val="24"/>
          <w:szCs w:val="24"/>
          <w:rtl/>
        </w:rPr>
        <w:t xml:space="preserve"> רישא ב</w:t>
      </w:r>
      <w:hyperlink r:id="rId15" w:history="1">
        <w:r w:rsidR="00EA4216" w:rsidRPr="00EA4216">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פקודת הסמים), </w:t>
      </w:r>
      <w:r>
        <w:rPr>
          <w:rFonts w:ascii="David" w:hAnsi="David" w:cs="David"/>
          <w:b/>
          <w:bCs/>
          <w:sz w:val="24"/>
          <w:szCs w:val="24"/>
          <w:rtl/>
        </w:rPr>
        <w:t>ועבירה של החזקת סכין</w:t>
      </w:r>
      <w:r>
        <w:rPr>
          <w:rFonts w:ascii="David" w:hAnsi="David" w:cs="David"/>
          <w:sz w:val="24"/>
          <w:szCs w:val="24"/>
          <w:rtl/>
        </w:rPr>
        <w:t xml:space="preserve">, לפי </w:t>
      </w:r>
      <w:hyperlink r:id="rId16" w:history="1">
        <w:r w:rsidR="00C717D6" w:rsidRPr="00C717D6">
          <w:rPr>
            <w:rStyle w:val="Hyperlink"/>
            <w:rFonts w:ascii="David" w:hAnsi="David" w:cs="David"/>
            <w:sz w:val="24"/>
            <w:szCs w:val="24"/>
            <w:rtl/>
          </w:rPr>
          <w:t>סעיף 186(א)</w:t>
        </w:r>
      </w:hyperlink>
      <w:r>
        <w:rPr>
          <w:rFonts w:ascii="David" w:hAnsi="David" w:cs="David"/>
          <w:sz w:val="24"/>
          <w:szCs w:val="24"/>
          <w:rtl/>
        </w:rPr>
        <w:t xml:space="preserve"> ב</w:t>
      </w:r>
      <w:hyperlink r:id="rId17" w:history="1">
        <w:r w:rsidR="00EA4216" w:rsidRPr="00EA4216">
          <w:rPr>
            <w:rFonts w:ascii="David" w:hAnsi="David" w:cs="David"/>
            <w:color w:val="0000FF"/>
            <w:sz w:val="24"/>
            <w:szCs w:val="24"/>
            <w:u w:val="single"/>
            <w:rtl/>
          </w:rPr>
          <w:t>חוק העונשין</w:t>
        </w:r>
      </w:hyperlink>
      <w:r>
        <w:rPr>
          <w:rFonts w:ascii="David" w:hAnsi="David" w:cs="David"/>
          <w:sz w:val="24"/>
          <w:szCs w:val="24"/>
          <w:rtl/>
        </w:rPr>
        <w:t xml:space="preserve"> התשל"ז- 1977. </w:t>
      </w:r>
    </w:p>
    <w:p w14:paraId="311A0FB6" w14:textId="77777777" w:rsidR="00ED09A0" w:rsidRDefault="00ED09A0" w:rsidP="00ED09A0">
      <w:pPr>
        <w:spacing w:line="360" w:lineRule="auto"/>
        <w:ind w:left="720"/>
        <w:jc w:val="both"/>
        <w:rPr>
          <w:rFonts w:ascii="David" w:hAnsi="David"/>
          <w:rtl/>
        </w:rPr>
      </w:pPr>
      <w:bookmarkStart w:id="7" w:name="ABSTRACT_END"/>
      <w:bookmarkEnd w:id="7"/>
      <w:r>
        <w:rPr>
          <w:rFonts w:ascii="David" w:hAnsi="David"/>
          <w:rtl/>
        </w:rPr>
        <w:t>עפ"י עובדות כתב האישום המתוקן, ביום 25.8.19, בשעות הלילה המאוחרות, החזיק הנאשם בתא המטען ברכבו בתוך קופסה סם מסוכן מסוג קנבוס במשקל 39 גרם נטו שלא לצריכה עצמית, וזאת ללא היתר כדין או רישיון מאת המנהל. באותו מעמד החזיק הנאשם ברכבו בתא המטען שני סכינים.</w:t>
      </w:r>
    </w:p>
    <w:p w14:paraId="4FD9962D" w14:textId="77777777" w:rsidR="00ED09A0" w:rsidRDefault="00ED09A0" w:rsidP="00ED09A0">
      <w:pPr>
        <w:spacing w:line="360" w:lineRule="auto"/>
        <w:ind w:left="720"/>
        <w:jc w:val="both"/>
        <w:rPr>
          <w:rFonts w:ascii="David" w:hAnsi="David"/>
          <w:rtl/>
        </w:rPr>
      </w:pPr>
      <w:r>
        <w:rPr>
          <w:rFonts w:ascii="David" w:hAnsi="David"/>
          <w:rtl/>
        </w:rPr>
        <w:lastRenderedPageBreak/>
        <w:t>הצדדים הגיעו להסדר דיוני לפיו כתב האישום יתוקן, הנאשם יודה, יורשע ויישלח לקבלת תסקיר שירות מבחן. לאחר שהנאשם הצהיר על כוונתו לצרף תיק זה לתיק נוסף, המתנהל בבית המשפט המחוזי, שירות המבחן התבקש ליתן דעתו גם לתיק הנוסף, אך בסופו של יום החליט הנאשם שלא לצרף התיקים.</w:t>
      </w:r>
    </w:p>
    <w:p w14:paraId="69632D1D" w14:textId="77777777" w:rsidR="00ED09A0" w:rsidRDefault="00ED09A0" w:rsidP="00ED09A0">
      <w:pPr>
        <w:spacing w:line="360" w:lineRule="auto"/>
        <w:jc w:val="both"/>
        <w:rPr>
          <w:rFonts w:ascii="David" w:hAnsi="David"/>
          <w:b/>
          <w:bCs/>
          <w:u w:val="single"/>
          <w:rtl/>
        </w:rPr>
      </w:pPr>
    </w:p>
    <w:p w14:paraId="1CC6998A" w14:textId="77777777" w:rsidR="00ED09A0" w:rsidRDefault="00ED09A0" w:rsidP="00ED09A0">
      <w:pPr>
        <w:spacing w:line="360" w:lineRule="auto"/>
        <w:jc w:val="both"/>
        <w:rPr>
          <w:rFonts w:ascii="David" w:hAnsi="David"/>
          <w:b/>
          <w:bCs/>
          <w:u w:val="single"/>
          <w:rtl/>
        </w:rPr>
      </w:pPr>
      <w:r>
        <w:rPr>
          <w:rFonts w:ascii="David" w:hAnsi="David"/>
          <w:b/>
          <w:bCs/>
          <w:u w:val="single"/>
          <w:rtl/>
        </w:rPr>
        <w:t>תסקיר שירות המבחן:</w:t>
      </w:r>
    </w:p>
    <w:p w14:paraId="09FCFB1C" w14:textId="77777777" w:rsidR="00ED09A0" w:rsidRDefault="00ED09A0" w:rsidP="00ED09A0">
      <w:pPr>
        <w:pStyle w:val="a9"/>
        <w:numPr>
          <w:ilvl w:val="0"/>
          <w:numId w:val="1"/>
        </w:numPr>
        <w:spacing w:line="360" w:lineRule="auto"/>
        <w:jc w:val="both"/>
        <w:rPr>
          <w:rFonts w:ascii="David" w:hAnsi="David" w:cs="David"/>
          <w:sz w:val="24"/>
          <w:szCs w:val="24"/>
          <w:rtl/>
        </w:rPr>
      </w:pPr>
      <w:r>
        <w:rPr>
          <w:rFonts w:ascii="David" w:hAnsi="David" w:cs="David"/>
          <w:b/>
          <w:bCs/>
          <w:sz w:val="24"/>
          <w:szCs w:val="24"/>
          <w:rtl/>
        </w:rPr>
        <w:t>מתסקיר שירות המבחן</w:t>
      </w:r>
      <w:r>
        <w:rPr>
          <w:rFonts w:ascii="David" w:hAnsi="David" w:cs="David"/>
          <w:sz w:val="24"/>
          <w:szCs w:val="24"/>
          <w:rtl/>
        </w:rPr>
        <w:t xml:space="preserve"> עולה כי הנאשם, נשוי, בן 28, עובד בעסק המשפחתי. הנאשם גדל במשפחה נורמטיבית, נעדר עבר פלילי ומגיל צעיר סייע בפרנסת המשפחה.  </w:t>
      </w:r>
    </w:p>
    <w:p w14:paraId="493A0895" w14:textId="77777777" w:rsidR="00ED09A0" w:rsidRDefault="00ED09A0" w:rsidP="00ED09A0">
      <w:pPr>
        <w:spacing w:line="360" w:lineRule="auto"/>
        <w:ind w:left="720"/>
        <w:jc w:val="both"/>
        <w:rPr>
          <w:rFonts w:ascii="David" w:hAnsi="David"/>
          <w:rtl/>
        </w:rPr>
      </w:pPr>
      <w:r>
        <w:rPr>
          <w:rFonts w:ascii="David" w:hAnsi="David"/>
          <w:rtl/>
        </w:rPr>
        <w:t>בהתייחס לעבירה, הנאשם טען כי הרכב נמצא בשימוש העסק המשפחתי ונגיש לכל בני המשפחה, ועל אף שצרך סמים בתקופה זו, הסמים ברכב אינם קשורים אליו. עם זאת לקח אחריות, שכן מדובר ברכבו הפרטי. בנוגע להימצאות הסכינים ברכב, הסביר כי הסכינים נשארו ברכב לאחר שנעשה בהם שימוש לכבוד חג הקורבן לצורך שחיטת כבש לחג.</w:t>
      </w:r>
    </w:p>
    <w:p w14:paraId="52682ACC" w14:textId="77777777" w:rsidR="00ED09A0" w:rsidRDefault="00ED09A0" w:rsidP="00ED09A0">
      <w:pPr>
        <w:spacing w:line="360" w:lineRule="auto"/>
        <w:ind w:left="720"/>
        <w:jc w:val="both"/>
        <w:rPr>
          <w:rFonts w:ascii="David" w:hAnsi="David"/>
          <w:rtl/>
        </w:rPr>
      </w:pPr>
      <w:r>
        <w:rPr>
          <w:rFonts w:ascii="David" w:hAnsi="David"/>
          <w:rtl/>
        </w:rPr>
        <w:t>שירות המבחן התרשם כי הנאשם לקח אחריות מסוימת על חלקו בעבירות. מחד, מכחיש את הקשר לסמים, ומאידך, מבין את גבולות החוק ומכיר בעובדה כי הסמים נמצאו תחת אחריותו, וברכבו. מהתסקיר עולה כי הנאשם ממוקד במחירים האישיים והמשפחתיים אותם שילם בשל מעורבותו בפלילים ולא בעצם הבעייתיות במעבר על החוק, וכן מבטא עמדות מצמצמות באשר לחומרת התנהלותו בעבירה.</w:t>
      </w:r>
    </w:p>
    <w:p w14:paraId="013EB8D1" w14:textId="77777777" w:rsidR="00ED09A0" w:rsidRDefault="00ED09A0" w:rsidP="00ED09A0">
      <w:pPr>
        <w:spacing w:line="360" w:lineRule="auto"/>
        <w:ind w:left="720"/>
        <w:jc w:val="both"/>
        <w:rPr>
          <w:rFonts w:ascii="David" w:hAnsi="David"/>
          <w:rtl/>
        </w:rPr>
      </w:pPr>
      <w:r>
        <w:rPr>
          <w:rFonts w:ascii="David" w:hAnsi="David"/>
          <w:rtl/>
        </w:rPr>
        <w:t>לדברי שירות המבחן, במסגרת הליך מעצר בתיק אחר, השתלב הנאשם בטיפול קבוצתי במשך חצי שנה. הנאשם הגיע לטיפול, השתתף באופן פעיל, ושיתף פעולה באופן מלא עם ההליך הטיפולי. עם זאת, עולה מהתסקיר כי הנאשם גילה דפוסי חשיבה נוקשים והתקשה לזהות ולבחון דפוסים אלימים. במהלך שנה מסר הנאשם 14 בדיקות שתן, בכולן לא נמצאו שרידי סם.</w:t>
      </w:r>
    </w:p>
    <w:p w14:paraId="5E44E232" w14:textId="77777777" w:rsidR="00ED09A0" w:rsidRDefault="00ED09A0" w:rsidP="00ED09A0">
      <w:pPr>
        <w:spacing w:line="360" w:lineRule="auto"/>
        <w:ind w:left="720"/>
        <w:jc w:val="both"/>
        <w:rPr>
          <w:rFonts w:ascii="David" w:hAnsi="David"/>
          <w:rtl/>
        </w:rPr>
      </w:pPr>
      <w:r>
        <w:rPr>
          <w:rFonts w:ascii="David" w:hAnsi="David"/>
          <w:rtl/>
        </w:rPr>
        <w:t>בסופו של יום, בא שירות המבחן בהמלצה להטיל עליו צו של"צ בהיקף של 140 שעות, צו מבחן במסגרתו ימשיך את ההליך הטיפולי והתחייבות להימנע מעבירה.</w:t>
      </w:r>
    </w:p>
    <w:p w14:paraId="13A681D1" w14:textId="77777777" w:rsidR="00ED09A0" w:rsidRDefault="00ED09A0" w:rsidP="00ED09A0">
      <w:pPr>
        <w:spacing w:line="360" w:lineRule="auto"/>
        <w:ind w:left="720"/>
        <w:jc w:val="both"/>
        <w:rPr>
          <w:rFonts w:ascii="David" w:hAnsi="David"/>
          <w:rtl/>
        </w:rPr>
      </w:pPr>
    </w:p>
    <w:p w14:paraId="75CEF235" w14:textId="77777777" w:rsidR="00ED09A0" w:rsidRDefault="00ED09A0" w:rsidP="00ED09A0">
      <w:pPr>
        <w:spacing w:line="360" w:lineRule="auto"/>
        <w:jc w:val="both"/>
        <w:rPr>
          <w:rFonts w:ascii="David" w:hAnsi="David"/>
          <w:b/>
          <w:bCs/>
          <w:u w:val="single"/>
          <w:rtl/>
        </w:rPr>
      </w:pPr>
      <w:r>
        <w:rPr>
          <w:rFonts w:ascii="David" w:hAnsi="David"/>
          <w:b/>
          <w:bCs/>
          <w:u w:val="single"/>
          <w:rtl/>
        </w:rPr>
        <w:t>טענות הצדדים:</w:t>
      </w:r>
    </w:p>
    <w:p w14:paraId="1F2EDFCE" w14:textId="77777777" w:rsidR="00ED09A0" w:rsidRDefault="00ED09A0" w:rsidP="00ED09A0">
      <w:pPr>
        <w:pStyle w:val="a9"/>
        <w:numPr>
          <w:ilvl w:val="0"/>
          <w:numId w:val="1"/>
        </w:numPr>
        <w:spacing w:line="360" w:lineRule="auto"/>
        <w:jc w:val="both"/>
        <w:rPr>
          <w:rFonts w:ascii="David" w:hAnsi="David" w:cs="David"/>
          <w:sz w:val="24"/>
          <w:szCs w:val="24"/>
          <w:rtl/>
        </w:rPr>
      </w:pPr>
      <w:r>
        <w:rPr>
          <w:rFonts w:ascii="David" w:hAnsi="David" w:cs="David"/>
          <w:sz w:val="24"/>
          <w:szCs w:val="24"/>
          <w:rtl/>
        </w:rPr>
        <w:t>בטיעוניה לעונש הדגישה ב"כ המאשימה את חומרת העבירות ואת הסיכון הטמון בהן לשלום הציבור, בריאותו ובטחונו. ב"כ המאשימה הפנתה לכמות הסם שנמצאה ברכבו של הנאשם, העולה לכדי למעלה מפי שתים מהכמות שהוגדרה ב</w:t>
      </w:r>
      <w:hyperlink r:id="rId18" w:history="1">
        <w:r w:rsidR="00EA4216" w:rsidRPr="00EA4216">
          <w:rPr>
            <w:rFonts w:ascii="David" w:hAnsi="David" w:cs="David"/>
            <w:color w:val="0000FF"/>
            <w:sz w:val="24"/>
            <w:szCs w:val="24"/>
            <w:u w:val="single"/>
            <w:rtl/>
          </w:rPr>
          <w:t>פקודת הסמים המסוכנים</w:t>
        </w:r>
      </w:hyperlink>
      <w:r>
        <w:rPr>
          <w:rFonts w:ascii="David" w:hAnsi="David" w:cs="David"/>
          <w:sz w:val="24"/>
          <w:szCs w:val="24"/>
          <w:rtl/>
        </w:rPr>
        <w:t xml:space="preserve"> ככמות אשר נחשבת כהחזקה לצריכה עצמית, וכן להימצאותם של שני סכינים ברכבו של הנאשם, דבר המבטא תמונה עבריינית חריפה יותר. ב"כ המאשימה הפנתה למדיניות הענישה הנהוגה בעבירות סמים, המבכרת שיקולי גמול והרתעה על פני שיקולי שיקום ונסיבותיו האישיות של הנאשם, וכן למדיניות הענישה הנהוגה בעבירות החזקת סכין הכוללת עונשי מאסר בפועל.  לאור האמור, טענה המאשימה כי מתחם העונש ההולם את כלל העבירות בהן הורשע הנאשם נע בין 8 חודשי מאסר שיכול וירוצו בעבודות שירות  ל-18 </w:t>
      </w:r>
      <w:r>
        <w:rPr>
          <w:rFonts w:ascii="David" w:hAnsi="David" w:cs="David"/>
          <w:sz w:val="24"/>
          <w:szCs w:val="24"/>
          <w:rtl/>
        </w:rPr>
        <w:lastRenderedPageBreak/>
        <w:t>חודשי מאסר בפועל בצירוף ענישה נלווית, ואשר לעונש המתאים לנאשם, עתרה  ב"כ המאשימה, למקם את עונשו בחלקו התחתון של המתחם, בשל היותו נעדר עבר פלילי, ולאחר שהודה במיוחס לו, וכן לגזור עליו מאסר מותנה, קנס, פסילת רישיון נהיגה בפועל ועל תנאי והתחייבות להימנע מעבירה.</w:t>
      </w:r>
    </w:p>
    <w:p w14:paraId="644CA1BF" w14:textId="77777777" w:rsidR="00ED09A0" w:rsidRDefault="00ED09A0" w:rsidP="00ED09A0">
      <w:pPr>
        <w:spacing w:line="360" w:lineRule="auto"/>
        <w:ind w:left="720"/>
        <w:jc w:val="both"/>
        <w:rPr>
          <w:rFonts w:ascii="David" w:hAnsi="David"/>
          <w:rtl/>
        </w:rPr>
      </w:pPr>
      <w:r>
        <w:rPr>
          <w:rFonts w:ascii="David" w:hAnsi="David"/>
          <w:rtl/>
        </w:rPr>
        <w:t>ב"כ הנאשם הפנתה לפסיקה הנוהגת ולענישה הכוללת מאסרים מותנים או לחילופין מספר חודשי מאסר  בודדים לריצוי בעבודות שירות, והדגישה כי נסיבות ביצוע העבירות בהן הורשע הנאשם אינן עולות בקנה אחד עם הפסיקה אליה הפנתה המאשימה. כמו כן טענה כי הנאשם לקח אחריות ומסר את אותה גרסה עקבית כבר בשלב החקירה, וזאת על אף שהסמים והסכינים שנמצאו ברכבו אינם שלו. בסופו של יום, הדגישה את ההליך השיקומי המשמעותי שעבר הנאשם, ועתרה לאמץ את המלצות שירות המבחן.</w:t>
      </w:r>
    </w:p>
    <w:p w14:paraId="6AE61A44" w14:textId="77777777" w:rsidR="00ED09A0" w:rsidRDefault="00ED09A0" w:rsidP="00ED09A0">
      <w:pPr>
        <w:shd w:val="clear" w:color="auto" w:fill="FFFFFF"/>
        <w:spacing w:line="360" w:lineRule="atLeast"/>
        <w:ind w:left="720"/>
        <w:jc w:val="both"/>
        <w:rPr>
          <w:rFonts w:ascii="David" w:hAnsi="David"/>
          <w:color w:val="000000"/>
          <w:rtl/>
        </w:rPr>
      </w:pPr>
      <w:r>
        <w:rPr>
          <w:rFonts w:ascii="David" w:hAnsi="David"/>
          <w:color w:val="000000"/>
          <w:rtl/>
        </w:rPr>
        <w:t>בדבריו לבית המשפט הסביר הנאשם שבעת ביצוע העבירות היה צעיר ורווק. מדובר באירוע יחיד,  וכעת הוא נמצא במקום אחר, בין השאר, אודות להליך הטיפולי שעבר בשירות המבחן.</w:t>
      </w:r>
    </w:p>
    <w:p w14:paraId="188A828A" w14:textId="77777777" w:rsidR="00ED09A0" w:rsidRDefault="00ED09A0" w:rsidP="00ED09A0">
      <w:pPr>
        <w:spacing w:line="360" w:lineRule="auto"/>
        <w:jc w:val="both"/>
        <w:rPr>
          <w:rFonts w:ascii="David" w:hAnsi="David"/>
          <w:rtl/>
        </w:rPr>
      </w:pPr>
    </w:p>
    <w:p w14:paraId="14BEA7E6" w14:textId="77777777" w:rsidR="00ED09A0" w:rsidRDefault="00ED09A0" w:rsidP="00ED09A0">
      <w:pPr>
        <w:spacing w:line="360" w:lineRule="auto"/>
        <w:jc w:val="both"/>
        <w:rPr>
          <w:rFonts w:ascii="David" w:hAnsi="David"/>
          <w:b/>
          <w:bCs/>
          <w:u w:val="single"/>
          <w:rtl/>
        </w:rPr>
      </w:pPr>
      <w:r>
        <w:rPr>
          <w:rFonts w:ascii="David" w:hAnsi="David"/>
          <w:b/>
          <w:bCs/>
          <w:u w:val="single"/>
          <w:rtl/>
        </w:rPr>
        <w:t>דיון והכרעה:</w:t>
      </w:r>
    </w:p>
    <w:p w14:paraId="713BEC22" w14:textId="77777777" w:rsidR="00ED09A0" w:rsidRDefault="00ED09A0" w:rsidP="00ED09A0">
      <w:pPr>
        <w:spacing w:line="360" w:lineRule="auto"/>
        <w:ind w:firstLine="360"/>
        <w:jc w:val="both"/>
        <w:rPr>
          <w:rFonts w:ascii="David" w:hAnsi="David"/>
          <w:b/>
          <w:bCs/>
          <w:rtl/>
        </w:rPr>
      </w:pPr>
      <w:r>
        <w:rPr>
          <w:rFonts w:ascii="David" w:hAnsi="David"/>
          <w:b/>
          <w:bCs/>
          <w:rtl/>
        </w:rPr>
        <w:t>קביעת מתחם העונש ההולם:</w:t>
      </w:r>
    </w:p>
    <w:p w14:paraId="22DEBC6E" w14:textId="77777777" w:rsidR="00ED09A0" w:rsidRDefault="00ED09A0" w:rsidP="00ED09A0">
      <w:pPr>
        <w:pStyle w:val="a9"/>
        <w:numPr>
          <w:ilvl w:val="0"/>
          <w:numId w:val="1"/>
        </w:numPr>
        <w:spacing w:line="360" w:lineRule="auto"/>
        <w:jc w:val="both"/>
        <w:rPr>
          <w:rFonts w:ascii="David" w:hAnsi="David" w:cs="David"/>
          <w:sz w:val="24"/>
          <w:szCs w:val="24"/>
          <w:rtl/>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55EF86FA" w14:textId="77777777" w:rsidR="00ED09A0" w:rsidRDefault="00ED09A0" w:rsidP="00ED09A0">
      <w:pPr>
        <w:spacing w:line="360" w:lineRule="auto"/>
        <w:ind w:left="720"/>
        <w:jc w:val="both"/>
        <w:rPr>
          <w:rFonts w:ascii="David" w:hAnsi="David"/>
          <w:rtl/>
        </w:rPr>
      </w:pPr>
      <w:r>
        <w:rPr>
          <w:rFonts w:ascii="David" w:hAnsi="David"/>
          <w:rtl/>
        </w:rPr>
        <w:t xml:space="preserve">על אף שמדובר בשתי עבירות שונות, כתב האישום מתאר </w:t>
      </w:r>
      <w:r>
        <w:rPr>
          <w:rFonts w:ascii="David" w:hAnsi="David"/>
          <w:b/>
          <w:bCs/>
          <w:rtl/>
        </w:rPr>
        <w:t>אירוע אחד</w:t>
      </w:r>
      <w:r>
        <w:rPr>
          <w:rFonts w:ascii="David" w:hAnsi="David"/>
          <w:rtl/>
        </w:rPr>
        <w:t xml:space="preserve"> במסגרתו נתפסו ברכבו של הנאשם הסמים והסכינים ומכאן מצאתי לנכון לקבוע בגינו מתחם עונש הולם אחד.</w:t>
      </w:r>
    </w:p>
    <w:p w14:paraId="6119F571" w14:textId="77777777" w:rsidR="00ED09A0" w:rsidRDefault="00ED09A0" w:rsidP="00ED09A0">
      <w:pPr>
        <w:spacing w:line="360" w:lineRule="auto"/>
        <w:ind w:left="720"/>
        <w:jc w:val="both"/>
        <w:rPr>
          <w:rFonts w:ascii="David" w:hAnsi="David"/>
          <w:rtl/>
        </w:rPr>
      </w:pPr>
      <w:r>
        <w:rPr>
          <w:rFonts w:ascii="David" w:hAnsi="David"/>
          <w:rtl/>
        </w:rPr>
        <w:t>לעניין הערכים המוגנים שבבסיס העבירה של החזקת סמים שלא לצריכה עצמית, מדובר בערכים הנוגעים לשלומו ובריאותו של הציבור, לצד המלחמה בנגע הסמים. אין צורך להכביר מילים בדבר נזקי הסמים ופגיעתם בחברה. פגיעתם של הסמים בחברה רחבת היקף, הן באשר למשתמש הבודד, הן באשר למשפחתו וקרוביו, והן באשר לחברה כולה. המשתמש המבקש לספק את הדחף לסם מבצע, לעיתים, על הדרך, עבירות נוספות. כמו כן, ייצור הסם ושיווקו מייצר כשלעצמו פעילות עבריינית נרחבת, ורווחיו מגיעים לעיתים לארגוני פשיעה וטרור, ומאפשרים את פעילותם.</w:t>
      </w:r>
    </w:p>
    <w:p w14:paraId="3BE9DAF9" w14:textId="77777777" w:rsidR="00ED09A0" w:rsidRDefault="00ED09A0" w:rsidP="00ED09A0">
      <w:pPr>
        <w:spacing w:line="360" w:lineRule="auto"/>
        <w:ind w:left="720"/>
        <w:jc w:val="both"/>
        <w:rPr>
          <w:rFonts w:ascii="David" w:hAnsi="David"/>
          <w:rtl/>
        </w:rPr>
      </w:pPr>
      <w:r>
        <w:rPr>
          <w:rFonts w:ascii="David" w:hAnsi="David"/>
          <w:rtl/>
        </w:rPr>
        <w:t>בית המשפט העליון הדגיש לא אחת את חומרתן של עבירות הסמים, וקבע כי יש צורך בהטלת ענישה מחמירה ומרתיעה על מבצעיהן, אשר תתמוך במאבק למיגורן. עמד על כך השופט נ' הנדל ב</w:t>
      </w:r>
      <w:hyperlink r:id="rId19" w:history="1">
        <w:r w:rsidR="00EA4216" w:rsidRPr="00EA4216">
          <w:rPr>
            <w:rFonts w:ascii="David" w:hAnsi="David"/>
            <w:color w:val="0000FF"/>
            <w:u w:val="single"/>
            <w:rtl/>
          </w:rPr>
          <w:t>ע"פ 6165/16</w:t>
        </w:r>
      </w:hyperlink>
      <w:r>
        <w:rPr>
          <w:rFonts w:ascii="David" w:hAnsi="David"/>
          <w:rtl/>
        </w:rPr>
        <w:t xml:space="preserve"> </w:t>
      </w:r>
      <w:r>
        <w:rPr>
          <w:rFonts w:ascii="David" w:hAnsi="David"/>
          <w:b/>
          <w:bCs/>
          <w:rtl/>
        </w:rPr>
        <w:t>כהן נ' מדינת ישראל</w:t>
      </w:r>
      <w:r>
        <w:rPr>
          <w:rFonts w:ascii="David" w:hAnsi="David"/>
          <w:rtl/>
        </w:rPr>
        <w:t>, [פורסם בנבו] פסקה 3 (19.7.2017):</w:t>
      </w:r>
    </w:p>
    <w:p w14:paraId="15826404" w14:textId="77777777" w:rsidR="00ED09A0" w:rsidRDefault="00ED09A0" w:rsidP="00ED09A0">
      <w:pPr>
        <w:spacing w:line="360" w:lineRule="auto"/>
        <w:ind w:left="1440"/>
        <w:jc w:val="both"/>
        <w:rPr>
          <w:rFonts w:ascii="David" w:hAnsi="David"/>
          <w:b/>
          <w:bCs/>
          <w:rtl/>
        </w:rPr>
      </w:pPr>
      <w:r>
        <w:rPr>
          <w:rFonts w:ascii="David" w:hAnsi="David"/>
          <w:b/>
          <w:bCs/>
          <w:rtl/>
        </w:rPr>
        <w:t>"נגע הסמים פושה בארצנו ומתפשט בכל פינות החברה. כך, למשתמשים בסם, שבהמשך נופלים קורבן להתמכרותם, וכך לאלה שאינם משתמשים בסם, האזרחים מן השורה, אשר חשופים לפגיעה ברכושם בשל תעשיית הסמים. הענישה חייבת להיות קשה וברורה במטרה להרתיע את המערער בפועל ואחרים בכוח."</w:t>
      </w:r>
    </w:p>
    <w:p w14:paraId="4643B3F6" w14:textId="77777777" w:rsidR="00ED09A0" w:rsidRDefault="00ED09A0" w:rsidP="00ED09A0">
      <w:pPr>
        <w:spacing w:line="360" w:lineRule="auto"/>
        <w:ind w:firstLine="720"/>
        <w:jc w:val="both"/>
        <w:rPr>
          <w:rFonts w:ascii="David" w:hAnsi="David"/>
          <w:rtl/>
        </w:rPr>
      </w:pPr>
      <w:r>
        <w:rPr>
          <w:rFonts w:ascii="David" w:hAnsi="David"/>
          <w:rtl/>
        </w:rPr>
        <w:t>עוד נקבע כי:</w:t>
      </w:r>
    </w:p>
    <w:p w14:paraId="2E5BBB49" w14:textId="77777777" w:rsidR="00ED09A0" w:rsidRDefault="00ED09A0" w:rsidP="00ED09A0">
      <w:pPr>
        <w:spacing w:line="360" w:lineRule="auto"/>
        <w:ind w:left="1440"/>
        <w:jc w:val="both"/>
        <w:rPr>
          <w:rFonts w:ascii="David" w:hAnsi="David"/>
          <w:rtl/>
        </w:rPr>
      </w:pPr>
      <w:r>
        <w:rPr>
          <w:rFonts w:ascii="David" w:hAnsi="David"/>
          <w:b/>
          <w:bC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20" w:history="1">
        <w:r w:rsidR="00EA4216" w:rsidRPr="00EA4216">
          <w:rPr>
            <w:rFonts w:ascii="David" w:hAnsi="David"/>
            <w:b/>
            <w:bCs/>
            <w:color w:val="0000FF"/>
            <w:u w:val="single"/>
            <w:rtl/>
          </w:rPr>
          <w:t>חוק העונשין</w:t>
        </w:r>
      </w:hyperlink>
      <w:r>
        <w:rPr>
          <w:rFonts w:ascii="David" w:hAnsi="David"/>
          <w:b/>
          <w:bCs/>
          <w:rtl/>
        </w:rPr>
        <w:t xml:space="preserve">, העומד כיום על 202,000 ש"ח [...] יידעו המעורבים בסמים שלא לצריכה עצמית, כי יד המשפט תכבד עליהם" </w:t>
      </w:r>
    </w:p>
    <w:p w14:paraId="102CADF9" w14:textId="77777777" w:rsidR="00ED09A0" w:rsidRDefault="00ED09A0" w:rsidP="00ED09A0">
      <w:pPr>
        <w:spacing w:line="360" w:lineRule="auto"/>
        <w:ind w:left="720" w:firstLine="720"/>
        <w:jc w:val="both"/>
        <w:rPr>
          <w:rFonts w:ascii="David" w:hAnsi="David"/>
          <w:rtl/>
        </w:rPr>
      </w:pPr>
      <w:r>
        <w:rPr>
          <w:rFonts w:ascii="David" w:hAnsi="David"/>
          <w:rtl/>
        </w:rPr>
        <w:t>(</w:t>
      </w:r>
      <w:hyperlink r:id="rId21" w:history="1">
        <w:r w:rsidR="00EA4216" w:rsidRPr="00EA4216">
          <w:rPr>
            <w:rFonts w:ascii="David" w:hAnsi="David"/>
            <w:color w:val="0000FF"/>
            <w:u w:val="single"/>
            <w:rtl/>
          </w:rPr>
          <w:t>ע"פ 1345/08</w:t>
        </w:r>
      </w:hyperlink>
      <w:r>
        <w:rPr>
          <w:rFonts w:ascii="David" w:hAnsi="David"/>
          <w:rtl/>
        </w:rPr>
        <w:t xml:space="preserve"> </w:t>
      </w:r>
      <w:r>
        <w:rPr>
          <w:rFonts w:ascii="David" w:hAnsi="David"/>
          <w:b/>
          <w:bCs/>
          <w:rtl/>
        </w:rPr>
        <w:t>איסטרחוב נ' מדינת ישראל</w:t>
      </w:r>
      <w:r>
        <w:rPr>
          <w:rFonts w:ascii="David" w:hAnsi="David"/>
          <w:rtl/>
        </w:rPr>
        <w:t>, [פורסם בנבו] פסקה כ"ג (18.5.2009))</w:t>
      </w:r>
    </w:p>
    <w:p w14:paraId="1D1AE3C1" w14:textId="77777777" w:rsidR="00ED09A0" w:rsidRDefault="00ED09A0" w:rsidP="00ED09A0">
      <w:pPr>
        <w:spacing w:line="360" w:lineRule="auto"/>
        <w:ind w:left="720"/>
        <w:jc w:val="both"/>
        <w:rPr>
          <w:rFonts w:ascii="David" w:hAnsi="David"/>
          <w:rtl/>
        </w:rPr>
      </w:pPr>
      <w:r>
        <w:rPr>
          <w:rFonts w:ascii="David" w:hAnsi="David"/>
          <w:rtl/>
        </w:rPr>
        <w:t xml:space="preserve">כמו כן נקבע, כי ככלל נסיבותיו האישיות של נאשם ייסוגו בפני האינטרס הציבורי שבהחמרת הענישה בגין עבירות מסוג זה (ראו לדוגמה </w:t>
      </w:r>
      <w:hyperlink r:id="rId22" w:history="1">
        <w:r w:rsidR="00EA4216" w:rsidRPr="00EA4216">
          <w:rPr>
            <w:rFonts w:ascii="David" w:hAnsi="David"/>
            <w:color w:val="0000FF"/>
            <w:u w:val="single"/>
            <w:rtl/>
          </w:rPr>
          <w:t>ע"פ 8988/16</w:t>
        </w:r>
      </w:hyperlink>
      <w:r>
        <w:rPr>
          <w:rFonts w:ascii="David" w:hAnsi="David"/>
          <w:rtl/>
        </w:rPr>
        <w:t xml:space="preserve"> </w:t>
      </w:r>
      <w:r>
        <w:rPr>
          <w:rFonts w:ascii="David" w:hAnsi="David"/>
          <w:b/>
          <w:bCs/>
          <w:rtl/>
        </w:rPr>
        <w:t>בן סימון נ' מדינת ישראל</w:t>
      </w:r>
      <w:r>
        <w:rPr>
          <w:rFonts w:ascii="David" w:hAnsi="David"/>
          <w:rtl/>
        </w:rPr>
        <w:t>, [פורסם בנבו] פסקה 10 (8.3.2017)).</w:t>
      </w:r>
    </w:p>
    <w:p w14:paraId="2BA022BB" w14:textId="77777777" w:rsidR="00ED09A0" w:rsidRDefault="00ED09A0" w:rsidP="00ED09A0">
      <w:pPr>
        <w:spacing w:line="360" w:lineRule="auto"/>
        <w:ind w:left="720"/>
        <w:jc w:val="both"/>
        <w:rPr>
          <w:rFonts w:ascii="David" w:hAnsi="David"/>
          <w:rtl/>
        </w:rPr>
      </w:pPr>
      <w:r>
        <w:rPr>
          <w:rFonts w:ascii="David" w:hAnsi="David"/>
          <w:rtl/>
        </w:rPr>
        <w:t xml:space="preserve">הפסיקה הבחינה בין סוגי הסמים השונים, בין החזקה של סמים מסוג קנביס וחשיש, המכונים סמים "קלים", על אף שהגדרה שכזו לא מופיעה בפקודת הסמים, אל מול החזקה של סמים "קשים", כדוגמת הירואין וקוקאין. כמו כן, הפסיקה התייחסה להיקף הסם, אופן ההחזקה והעדרה או קיומה של אינדיקציה להפצת הסם. </w:t>
      </w:r>
    </w:p>
    <w:p w14:paraId="39611B94" w14:textId="77777777" w:rsidR="00ED09A0" w:rsidRDefault="00ED09A0" w:rsidP="00ED09A0">
      <w:pPr>
        <w:spacing w:line="360" w:lineRule="auto"/>
        <w:ind w:left="720"/>
        <w:jc w:val="both"/>
        <w:rPr>
          <w:rFonts w:ascii="David" w:hAnsi="David"/>
          <w:rtl/>
        </w:rPr>
      </w:pPr>
      <w:r>
        <w:rPr>
          <w:rFonts w:ascii="David" w:hAnsi="David"/>
          <w:rtl/>
        </w:rPr>
        <w:t xml:space="preserve">במקרה דנן, מידת </w:t>
      </w:r>
      <w:r>
        <w:rPr>
          <w:rFonts w:ascii="David" w:hAnsi="David"/>
          <w:b/>
          <w:bCs/>
          <w:rtl/>
        </w:rPr>
        <w:t>הפגיעה בערכים המוגנים</w:t>
      </w:r>
      <w:r>
        <w:rPr>
          <w:rFonts w:ascii="David" w:hAnsi="David"/>
          <w:rtl/>
        </w:rPr>
        <w:t xml:space="preserve"> אינה ברף הגבוה, הן מבחינת סוג הסם בו החזיק הנאשם, והן מבחינת הכמות, כפי שיפורט להלן.</w:t>
      </w:r>
    </w:p>
    <w:p w14:paraId="5D6BC6B8" w14:textId="77777777" w:rsidR="00ED09A0" w:rsidRDefault="00ED09A0" w:rsidP="00ED09A0">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בנוגע לערכים המוגנים בעבירת החזקת הסכין, מדובר בהגנה על ערכי שלמות הגוף והנפש מפני עבירות שעניינן מעשיי אלימות. מטרתו של האיסור למנוע מראש את פוטנציאל האלימות הגלום בהחזקת סכין שלא למטרה כשרה. בעניין זה יש להפנות לאמירתו של בית המשפט העליון: </w:t>
      </w:r>
    </w:p>
    <w:p w14:paraId="0AB36567" w14:textId="77777777" w:rsidR="00ED09A0" w:rsidRDefault="00ED09A0" w:rsidP="00ED09A0">
      <w:pPr>
        <w:spacing w:line="360" w:lineRule="auto"/>
        <w:ind w:left="1440"/>
        <w:jc w:val="both"/>
        <w:rPr>
          <w:rFonts w:ascii="David" w:hAnsi="David"/>
          <w:rtl/>
        </w:rPr>
      </w:pPr>
      <w:r>
        <w:rPr>
          <w:rFonts w:ascii="David" w:hAnsi="David"/>
          <w:rtl/>
        </w:rPr>
        <w:t>"</w:t>
      </w:r>
      <w:r>
        <w:rPr>
          <w:rFonts w:ascii="David" w:hAnsi="David"/>
          <w:b/>
          <w:bCs/>
          <w:rtl/>
        </w:rPr>
        <w:t>סכין הנישאת על גוף במערכה הראשונה, סופה שהיא נשלפת וננעצת בגופו של הזולת במערכה השנייה</w:t>
      </w:r>
      <w:r>
        <w:rPr>
          <w:rFonts w:ascii="David" w:hAnsi="David"/>
          <w:rtl/>
        </w:rPr>
        <w:t>". (</w:t>
      </w:r>
      <w:hyperlink r:id="rId23" w:history="1">
        <w:r w:rsidR="00EA4216" w:rsidRPr="00EA4216">
          <w:rPr>
            <w:rFonts w:ascii="David" w:hAnsi="David"/>
            <w:color w:val="0000FF"/>
            <w:u w:val="single"/>
            <w:rtl/>
          </w:rPr>
          <w:t>ע"פ 9133/04</w:t>
        </w:r>
      </w:hyperlink>
      <w:r>
        <w:rPr>
          <w:rFonts w:ascii="David" w:hAnsi="David"/>
          <w:rtl/>
        </w:rPr>
        <w:t xml:space="preserve"> </w:t>
      </w:r>
      <w:r>
        <w:rPr>
          <w:rFonts w:ascii="David" w:hAnsi="David"/>
          <w:b/>
          <w:bCs/>
          <w:rtl/>
        </w:rPr>
        <w:t>גורדון נ' מדינת ישראל</w:t>
      </w:r>
      <w:r>
        <w:rPr>
          <w:rFonts w:ascii="David" w:hAnsi="David"/>
          <w:rtl/>
        </w:rPr>
        <w:t xml:space="preserve"> (20.12.2004)).</w:t>
      </w:r>
    </w:p>
    <w:p w14:paraId="1F45CAC1" w14:textId="77777777" w:rsidR="00ED09A0" w:rsidRDefault="00ED09A0" w:rsidP="00ED09A0">
      <w:pPr>
        <w:spacing w:line="360" w:lineRule="auto"/>
        <w:jc w:val="both"/>
        <w:rPr>
          <w:rFonts w:ascii="David" w:hAnsi="David"/>
          <w:rtl/>
        </w:rPr>
      </w:pPr>
    </w:p>
    <w:p w14:paraId="538019A4" w14:textId="77777777" w:rsidR="00ED09A0" w:rsidRDefault="00ED09A0" w:rsidP="00ED09A0">
      <w:pPr>
        <w:spacing w:line="360" w:lineRule="auto"/>
        <w:ind w:firstLine="720"/>
        <w:jc w:val="both"/>
        <w:rPr>
          <w:rFonts w:ascii="David" w:hAnsi="David"/>
          <w:rtl/>
        </w:rPr>
      </w:pPr>
      <w:r>
        <w:rPr>
          <w:rFonts w:ascii="David" w:hAnsi="David"/>
          <w:rtl/>
        </w:rPr>
        <w:t xml:space="preserve"> וכן ב</w:t>
      </w:r>
      <w:hyperlink r:id="rId24" w:history="1">
        <w:r w:rsidR="00EA4216" w:rsidRPr="00EA4216">
          <w:rPr>
            <w:rFonts w:ascii="David" w:hAnsi="David"/>
            <w:color w:val="0000FF"/>
            <w:u w:val="single"/>
            <w:rtl/>
          </w:rPr>
          <w:t>ע"פ 2047/07</w:t>
        </w:r>
      </w:hyperlink>
      <w:r>
        <w:rPr>
          <w:rFonts w:ascii="David" w:hAnsi="David"/>
          <w:rtl/>
        </w:rPr>
        <w:t xml:space="preserve"> </w:t>
      </w:r>
      <w:r>
        <w:rPr>
          <w:rFonts w:ascii="David" w:hAnsi="David"/>
          <w:b/>
          <w:bCs/>
          <w:rtl/>
        </w:rPr>
        <w:t>הנוק נ' מדינת ישראל</w:t>
      </w:r>
      <w:r>
        <w:rPr>
          <w:rFonts w:ascii="David" w:hAnsi="David"/>
          <w:rtl/>
        </w:rPr>
        <w:t>:</w:t>
      </w:r>
    </w:p>
    <w:p w14:paraId="74648603" w14:textId="77777777" w:rsidR="00ED09A0" w:rsidRDefault="00ED09A0" w:rsidP="00ED09A0">
      <w:pPr>
        <w:spacing w:line="360" w:lineRule="auto"/>
        <w:ind w:left="1440"/>
        <w:jc w:val="both"/>
        <w:rPr>
          <w:rFonts w:ascii="David" w:hAnsi="David"/>
          <w:b/>
          <w:bCs/>
          <w:rtl/>
        </w:rPr>
      </w:pPr>
      <w:r>
        <w:rPr>
          <w:rFonts w:ascii="David" w:hAnsi="David"/>
          <w:b/>
          <w:bCs/>
          <w:rtl/>
        </w:rPr>
        <w:t>"כבר נשתפך דיו רב ונשתברו קולמוסים ומקלדות בפסקי הדין של בית משפט זה ובתי המשפט האחרים לעניין "תת-תרבות-הסכין". לפנים היה אדם יוצא לרחוב ובידו או בכיסו ארנקו, מטפחתו ועטו. היום רבים היוצאים לרחוב וסכין בידם, או איש סכינו על ירכו, לאו דווקא כדי לקלף מפירות הארץ, ואך יוציאם פלוני משלוותם, ברב או במעט, תישלף הסכין; וסגולתה הטבועה של זו, שהיא עלולה לשפיכות דמים, וכדברי חכמים ש"הברזל מקצר ימיו של אדם"</w:t>
      </w:r>
      <w:r>
        <w:rPr>
          <w:rFonts w:ascii="David" w:hAnsi="David"/>
          <w:b/>
          <w:bCs/>
          <w:i/>
          <w:iCs/>
          <w:rtl/>
        </w:rPr>
        <w:t xml:space="preserve"> </w:t>
      </w:r>
      <w:r>
        <w:rPr>
          <w:rFonts w:ascii="David" w:hAnsi="David"/>
          <w:b/>
          <w:bCs/>
          <w:rtl/>
        </w:rPr>
        <w:t>(ילקוט שמעוני, פרשת יתרו)."</w:t>
      </w:r>
    </w:p>
    <w:p w14:paraId="4F760E56" w14:textId="77777777" w:rsidR="00ED09A0" w:rsidRDefault="00ED09A0" w:rsidP="00ED09A0">
      <w:pPr>
        <w:spacing w:line="360" w:lineRule="auto"/>
        <w:ind w:left="720"/>
        <w:jc w:val="both"/>
        <w:rPr>
          <w:rFonts w:ascii="David" w:hAnsi="David"/>
          <w:rtl/>
        </w:rPr>
      </w:pPr>
      <w:r>
        <w:rPr>
          <w:rFonts w:ascii="David" w:hAnsi="David"/>
          <w:rtl/>
        </w:rPr>
        <w:t xml:space="preserve">בית המשפט העליון שב וקרא למגר את תופעת הסכינאות הפושה בקרבינו, ועמד על כך אף במסגרת </w:t>
      </w:r>
      <w:hyperlink r:id="rId25" w:history="1">
        <w:r w:rsidR="00EA4216" w:rsidRPr="00EA4216">
          <w:rPr>
            <w:rFonts w:ascii="David" w:hAnsi="David"/>
            <w:color w:val="0000FF"/>
            <w:u w:val="single"/>
            <w:rtl/>
          </w:rPr>
          <w:t>ע"פ 7682/18</w:t>
        </w:r>
      </w:hyperlink>
      <w:r>
        <w:rPr>
          <w:rFonts w:ascii="David" w:hAnsi="David"/>
          <w:rtl/>
        </w:rPr>
        <w:t xml:space="preserve"> </w:t>
      </w:r>
      <w:r>
        <w:rPr>
          <w:rFonts w:ascii="David" w:hAnsi="David"/>
          <w:b/>
          <w:bCs/>
          <w:rtl/>
        </w:rPr>
        <w:t xml:space="preserve">מוחמד עלקם נ' מדינת ישראל </w:t>
      </w:r>
      <w:r>
        <w:rPr>
          <w:rFonts w:ascii="David" w:hAnsi="David"/>
          <w:rtl/>
        </w:rPr>
        <w:t>(04.04.2019).</w:t>
      </w:r>
    </w:p>
    <w:p w14:paraId="7F10CCC9" w14:textId="77777777" w:rsidR="00ED09A0" w:rsidRDefault="00ED09A0" w:rsidP="00ED09A0">
      <w:pPr>
        <w:spacing w:line="360" w:lineRule="auto"/>
        <w:ind w:left="720"/>
        <w:jc w:val="both"/>
        <w:rPr>
          <w:rFonts w:ascii="David" w:hAnsi="David"/>
          <w:rtl/>
        </w:rPr>
      </w:pPr>
      <w:r>
        <w:rPr>
          <w:rFonts w:ascii="David" w:hAnsi="David"/>
          <w:rtl/>
        </w:rPr>
        <w:t>אף בנוגע להחזקת הסכינים, בעניינו של הנאשם מדובר בפגיעה בערכים המוגנים שאיננה מן הרף הגבוה, וזאת בשל נסיבות ביצוע העבירה אשר יפורטו לעיל.</w:t>
      </w:r>
    </w:p>
    <w:p w14:paraId="428D292A" w14:textId="77777777" w:rsidR="00ED09A0" w:rsidRDefault="00ED09A0" w:rsidP="00ED09A0">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בבחינת הנסיבות הקשורות בביצוע העבירה (סעיף </w:t>
      </w:r>
      <w:hyperlink r:id="rId26" w:history="1">
        <w:r w:rsidR="00C717D6" w:rsidRPr="00C717D6">
          <w:rPr>
            <w:rStyle w:val="Hyperlink"/>
            <w:rFonts w:ascii="David" w:hAnsi="David" w:cs="David"/>
            <w:sz w:val="24"/>
            <w:szCs w:val="24"/>
            <w:rtl/>
          </w:rPr>
          <w:t>40 ט</w:t>
        </w:r>
      </w:hyperlink>
      <w:r>
        <w:rPr>
          <w:rFonts w:ascii="David" w:hAnsi="David" w:cs="David"/>
          <w:sz w:val="24"/>
          <w:szCs w:val="24"/>
          <w:rtl/>
        </w:rPr>
        <w:t xml:space="preserve"> לחוק) יש לתן את הדעת לשיקולים הבאים:</w:t>
      </w:r>
    </w:p>
    <w:p w14:paraId="3C710AB2" w14:textId="77777777" w:rsidR="00ED09A0" w:rsidRDefault="00ED09A0" w:rsidP="00ED09A0">
      <w:pPr>
        <w:pStyle w:val="a9"/>
        <w:spacing w:line="360" w:lineRule="auto"/>
        <w:jc w:val="both"/>
        <w:rPr>
          <w:rFonts w:ascii="David" w:hAnsi="David" w:cs="David"/>
          <w:sz w:val="24"/>
          <w:szCs w:val="24"/>
        </w:rPr>
      </w:pPr>
    </w:p>
    <w:p w14:paraId="57B431B8" w14:textId="77777777" w:rsidR="00ED09A0" w:rsidRDefault="00ED09A0" w:rsidP="00ED09A0">
      <w:pPr>
        <w:pStyle w:val="a9"/>
        <w:numPr>
          <w:ilvl w:val="0"/>
          <w:numId w:val="2"/>
        </w:numPr>
        <w:spacing w:line="360" w:lineRule="auto"/>
        <w:jc w:val="both"/>
        <w:rPr>
          <w:rFonts w:ascii="David" w:hAnsi="David" w:cs="David"/>
          <w:sz w:val="24"/>
          <w:szCs w:val="24"/>
          <w:rtl/>
        </w:rPr>
      </w:pPr>
      <w:r>
        <w:rPr>
          <w:rFonts w:ascii="David" w:hAnsi="David" w:cs="David"/>
          <w:sz w:val="24"/>
          <w:szCs w:val="24"/>
          <w:rtl/>
        </w:rPr>
        <w:t>הנאשם החזיק ברכבו בסם מסוכן מסוג קנבוס, הנחשב כסם "קל", במשקל נטו של 39 גרם, כמות העולה למעלה מפי שתים מהכמות שהוגדרה בפקודת הסמים כצריכה עצמית. כמו כן, לא נמצאו אינדיקציות להפצת הסם או למסחר בו.</w:t>
      </w:r>
    </w:p>
    <w:p w14:paraId="36E43EA1" w14:textId="77777777" w:rsidR="00ED09A0" w:rsidRDefault="00ED09A0" w:rsidP="00ED09A0">
      <w:pPr>
        <w:pStyle w:val="a9"/>
        <w:numPr>
          <w:ilvl w:val="0"/>
          <w:numId w:val="2"/>
        </w:numPr>
        <w:spacing w:line="360" w:lineRule="auto"/>
        <w:jc w:val="both"/>
        <w:rPr>
          <w:rFonts w:ascii="David" w:hAnsi="David" w:cs="David"/>
          <w:sz w:val="24"/>
          <w:szCs w:val="24"/>
          <w:rtl/>
        </w:rPr>
      </w:pPr>
      <w:r>
        <w:rPr>
          <w:rFonts w:ascii="David" w:hAnsi="David" w:cs="David"/>
          <w:sz w:val="24"/>
          <w:szCs w:val="24"/>
          <w:rtl/>
        </w:rPr>
        <w:t>הגם שבפועל הסמים נתפסו, יילקח  בחשבון הנזק הפוטנציאלי הטמון בסם לו היה מופץ.</w:t>
      </w:r>
    </w:p>
    <w:p w14:paraId="6D4377B5" w14:textId="77777777" w:rsidR="00ED09A0" w:rsidRDefault="00ED09A0" w:rsidP="00ED09A0">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בטיעוניה לעונש, טענה המאשימה כי במהלך תפיסתו ברכב, הנאשם הגביר את מהירות נסיעתו בשעה שהשוטרים דלקו אחריו והשליך את הסמים מהרכב הנוסע. יודגש כי לא מדובר בעובדה, המוסכמת ע"י ההגנה, ואף לא הוצגו ראיות לבית המשפט על מנת לבססה. מדובר בעובדה שאינה כלולה בעובדות כתב האישום המתוקן בו הורשע הנאשם ועל כן לא מצאתי לייחס לה משקל כלל. </w:t>
      </w:r>
    </w:p>
    <w:p w14:paraId="5054570F" w14:textId="77777777" w:rsidR="00ED09A0" w:rsidRDefault="00ED09A0" w:rsidP="00ED09A0">
      <w:pPr>
        <w:pStyle w:val="a9"/>
        <w:numPr>
          <w:ilvl w:val="0"/>
          <w:numId w:val="2"/>
        </w:numPr>
        <w:spacing w:line="360" w:lineRule="auto"/>
        <w:jc w:val="both"/>
        <w:rPr>
          <w:rFonts w:ascii="David" w:hAnsi="David" w:cs="David"/>
          <w:sz w:val="24"/>
          <w:szCs w:val="24"/>
        </w:rPr>
      </w:pPr>
      <w:r>
        <w:rPr>
          <w:rFonts w:ascii="David" w:hAnsi="David" w:cs="David"/>
          <w:sz w:val="24"/>
          <w:szCs w:val="24"/>
          <w:rtl/>
        </w:rPr>
        <w:t>עוד נתתי את דעתי לנסיבות החזקת הסכין ולפוטנציאל הסיכון. לא מדובר בהצטיידות בסכין לצורך השתתפות בריב כזה או אחר, או הגעה עם סכין למקום ציבורי או למועדון. הסכינים הוחזקו ברכבו של הנאשם בתא המטען, ולא על גופו או במקום בו ניתן לשלוף אותם בקלות, ואף לא במקום המועד לפורענות. אין כל אינדיקציה כי החזקת הסכינים באה לקדם פני אלימות כזו או אחרת.</w:t>
      </w:r>
    </w:p>
    <w:p w14:paraId="4E9CC17A" w14:textId="77777777" w:rsidR="00ED09A0" w:rsidRDefault="00ED09A0" w:rsidP="00ED09A0">
      <w:pPr>
        <w:pStyle w:val="a9"/>
        <w:spacing w:line="360" w:lineRule="auto"/>
        <w:ind w:left="1080"/>
        <w:jc w:val="both"/>
        <w:rPr>
          <w:rFonts w:ascii="David" w:hAnsi="David" w:cs="David"/>
          <w:sz w:val="24"/>
          <w:szCs w:val="24"/>
        </w:rPr>
      </w:pPr>
    </w:p>
    <w:p w14:paraId="6EB735CA" w14:textId="77777777" w:rsidR="00ED09A0" w:rsidRDefault="00ED09A0" w:rsidP="00ED09A0">
      <w:pPr>
        <w:pStyle w:val="a9"/>
        <w:numPr>
          <w:ilvl w:val="0"/>
          <w:numId w:val="1"/>
        </w:numPr>
        <w:spacing w:line="360" w:lineRule="auto"/>
        <w:jc w:val="both"/>
        <w:rPr>
          <w:rFonts w:ascii="David" w:hAnsi="David" w:cs="David"/>
          <w:sz w:val="24"/>
          <w:szCs w:val="24"/>
          <w:rtl/>
        </w:rPr>
      </w:pPr>
      <w:r>
        <w:rPr>
          <w:rFonts w:ascii="David" w:hAnsi="David" w:cs="David"/>
          <w:b/>
          <w:bCs/>
          <w:sz w:val="24"/>
          <w:szCs w:val="24"/>
          <w:rtl/>
        </w:rPr>
        <w:t>בחינת מדיניות הענישה</w:t>
      </w:r>
      <w:r>
        <w:rPr>
          <w:rFonts w:ascii="David" w:hAnsi="David" w:cs="David"/>
          <w:sz w:val="24"/>
          <w:szCs w:val="24"/>
          <w:rtl/>
        </w:rPr>
        <w:t xml:space="preserve"> הנוהגת מלמדת, כי במקרים דומים הוטלו על נאשמים עונשים במנעד רחב. ראו, למשל:</w:t>
      </w:r>
    </w:p>
    <w:p w14:paraId="059789BC" w14:textId="77777777" w:rsidR="00ED09A0" w:rsidRDefault="00ED09A0" w:rsidP="00ED09A0">
      <w:pPr>
        <w:pStyle w:val="a9"/>
        <w:spacing w:line="360" w:lineRule="auto"/>
        <w:jc w:val="both"/>
        <w:rPr>
          <w:rFonts w:ascii="David" w:hAnsi="David" w:cs="David"/>
          <w:sz w:val="24"/>
          <w:szCs w:val="24"/>
        </w:rPr>
      </w:pPr>
    </w:p>
    <w:p w14:paraId="218BB4CF" w14:textId="77777777" w:rsidR="00ED09A0" w:rsidRDefault="00EA4216" w:rsidP="00ED09A0">
      <w:pPr>
        <w:pStyle w:val="a9"/>
        <w:numPr>
          <w:ilvl w:val="0"/>
          <w:numId w:val="3"/>
        </w:numPr>
        <w:spacing w:after="0" w:line="360" w:lineRule="auto"/>
        <w:jc w:val="both"/>
        <w:rPr>
          <w:rFonts w:ascii="David" w:hAnsi="David" w:cs="David"/>
          <w:b/>
          <w:bCs/>
          <w:sz w:val="24"/>
          <w:szCs w:val="24"/>
          <w:rtl/>
        </w:rPr>
      </w:pPr>
      <w:hyperlink r:id="rId27" w:history="1">
        <w:r w:rsidRPr="00EA4216">
          <w:rPr>
            <w:rFonts w:ascii="David" w:hAnsi="David" w:cs="David"/>
            <w:color w:val="0000FF"/>
            <w:sz w:val="24"/>
            <w:szCs w:val="24"/>
            <w:u w:val="single"/>
            <w:rtl/>
          </w:rPr>
          <w:t>רע"פ 4030/22</w:t>
        </w:r>
      </w:hyperlink>
      <w:r w:rsidR="00ED09A0">
        <w:rPr>
          <w:rFonts w:ascii="David" w:hAnsi="David" w:cs="David"/>
          <w:b/>
          <w:bCs/>
          <w:sz w:val="24"/>
          <w:szCs w:val="24"/>
          <w:rtl/>
        </w:rPr>
        <w:t xml:space="preserve"> ליאור יפרח נ' מדינת ישראל </w:t>
      </w:r>
      <w:r w:rsidR="00ED09A0">
        <w:rPr>
          <w:rFonts w:ascii="David" w:hAnsi="David" w:cs="David"/>
          <w:sz w:val="24"/>
          <w:szCs w:val="24"/>
          <w:rtl/>
        </w:rPr>
        <w:t>(19.6.22)</w:t>
      </w:r>
      <w:r w:rsidR="00ED09A0">
        <w:rPr>
          <w:rFonts w:ascii="David" w:hAnsi="David" w:cs="David"/>
          <w:b/>
          <w:bCs/>
          <w:sz w:val="24"/>
          <w:szCs w:val="24"/>
          <w:rtl/>
        </w:rPr>
        <w:t xml:space="preserve">- </w:t>
      </w:r>
      <w:r w:rsidR="00ED09A0">
        <w:rPr>
          <w:rFonts w:ascii="David" w:hAnsi="David" w:cs="David"/>
          <w:sz w:val="24"/>
          <w:szCs w:val="24"/>
          <w:rtl/>
        </w:rPr>
        <w:t>הנאשם הורשע על פי הודאתו בעבירת החזקת סכין למטרה לא כשרה והחזקת סם מסוכן שלא לשימוש עצמי לאחר שהחזיק בתא המטען של רכבו  בסם מסוכן מסוג קנבוס במשקל 98.9 גרם נטו, ואף החזיק בסכין מטבח ברצפת הרכב.  בית המשפט קמא קבע כי מתחם העונש ההולם את העבירות נע בין 6 חודשי מאסר ל-12 חודשים. בסופו של יום בית המשפט גזר על הנאשם, בעל הרשעה קודמת בעבירת אלימות, שלא התייצב אצל הממונה על עבודות השירות על אף הזדמנויות שניתנו לו, עונש של 7 חודשי מאסר בפועל, לצד מאסרים מותנים וקנס בסך 5,000 ש"ח. הערעורים שהוגשו בפני בית המשפט המחוזי ובית המשפט העליון נדחו.</w:t>
      </w:r>
    </w:p>
    <w:p w14:paraId="07A435EE" w14:textId="77777777" w:rsidR="00ED09A0" w:rsidRDefault="00EA4216" w:rsidP="00ED09A0">
      <w:pPr>
        <w:numPr>
          <w:ilvl w:val="0"/>
          <w:numId w:val="3"/>
        </w:numPr>
        <w:spacing w:line="360" w:lineRule="auto"/>
        <w:contextualSpacing/>
        <w:jc w:val="both"/>
        <w:rPr>
          <w:rFonts w:ascii="David" w:hAnsi="David"/>
          <w:b/>
          <w:bCs/>
          <w:u w:val="single"/>
        </w:rPr>
      </w:pPr>
      <w:hyperlink r:id="rId28" w:history="1">
        <w:r w:rsidRPr="00EA4216">
          <w:rPr>
            <w:rFonts w:ascii="David" w:hAnsi="David"/>
            <w:color w:val="0000FF"/>
            <w:u w:val="single"/>
            <w:rtl/>
          </w:rPr>
          <w:t>רע"פ 322/15</w:t>
        </w:r>
      </w:hyperlink>
      <w:r w:rsidR="00ED09A0">
        <w:rPr>
          <w:rFonts w:ascii="David" w:hAnsi="David"/>
          <w:rtl/>
        </w:rPr>
        <w:t xml:space="preserve"> </w:t>
      </w:r>
      <w:r w:rsidR="00ED09A0">
        <w:rPr>
          <w:rFonts w:ascii="David" w:hAnsi="David"/>
          <w:b/>
          <w:bCs/>
          <w:rtl/>
        </w:rPr>
        <w:t xml:space="preserve">ג'אנח נ' מדינת ישראל </w:t>
      </w:r>
      <w:r w:rsidR="00ED09A0">
        <w:rPr>
          <w:rFonts w:ascii="David" w:hAnsi="David"/>
          <w:rtl/>
        </w:rPr>
        <w:t>(22.1.15)- הנאשם הורשע על פי הודאתו בעבירת החזקת סכין למטרה לא כשרה והחזקת סם מסוכן שלא לשימוש עצמי עת החזיק בכיסו סכין, שעה שהובהל לבית החולים לאחר שנדקר. הנאשם צירף תיק נוסף בו הורשע בעבירה של החזקת סם מסוכן שלא לצריכה עצמית לאחר שהחזיק בביתו סם מסוכן מסוג חשיש במשקל 214.62 מחולק למספר פלטות ופלטה במשקל 192.67. בית המשפט קמא קבע כי מתחם העונש ההולם בעבירת הסם נע בין 7 חודשי מאסר ל-18 חודשים וכי מתחם העונש ההולם לעבירת החזקת הסכין נע בין 6 חודשי מאסר ל-12 חודשים. בשקלול העבירות, קבע בית משפט השלום מתחם עונש הולם שנע בין 9 ל-24 חודשים. בית המשפט גזר על הנאשם, בעל עבר פלילי מכביד בתחום הרלוונטי, תוך התחשבות בכך שעבר זמן רב מעת ביצוע העבירות וכי מדובר באב טרי, עונש של 12 חודשי מאסר בפועל, הפעלת המאסר המותנה בן 6 חודשים כך שירצה סה"כ 18 חודשי מאסר לצד מאסרים מותנים. הערעורים שהוגשו בפני בית המשפט המחוזי ובית המשפט העליון נדחו.</w:t>
      </w:r>
    </w:p>
    <w:p w14:paraId="41B59EF0" w14:textId="77777777" w:rsidR="00ED09A0" w:rsidRDefault="00EA4216" w:rsidP="00ED09A0">
      <w:pPr>
        <w:pStyle w:val="28"/>
        <w:numPr>
          <w:ilvl w:val="0"/>
          <w:numId w:val="3"/>
        </w:numPr>
        <w:snapToGrid/>
        <w:spacing w:line="360" w:lineRule="auto"/>
        <w:jc w:val="both"/>
        <w:rPr>
          <w:rFonts w:ascii="Arial" w:hAnsi="Arial"/>
          <w:b/>
          <w:bCs/>
        </w:rPr>
      </w:pPr>
      <w:hyperlink r:id="rId29" w:history="1">
        <w:r w:rsidRPr="00EA4216">
          <w:rPr>
            <w:rFonts w:ascii="Arial" w:hAnsi="Arial"/>
            <w:color w:val="0000FF"/>
            <w:u w:val="single"/>
            <w:rtl/>
          </w:rPr>
          <w:t>רע"פ 8759/21</w:t>
        </w:r>
      </w:hyperlink>
      <w:r w:rsidR="00ED09A0">
        <w:rPr>
          <w:rFonts w:ascii="Arial" w:hAnsi="Arial"/>
          <w:rtl/>
        </w:rPr>
        <w:t xml:space="preserve"> </w:t>
      </w:r>
      <w:r w:rsidR="00ED09A0">
        <w:rPr>
          <w:rFonts w:ascii="Arial" w:hAnsi="Arial"/>
          <w:b/>
          <w:bCs/>
          <w:rtl/>
        </w:rPr>
        <w:t>אלעד קסלר נ' מדינת ישראל</w:t>
      </w:r>
      <w:r w:rsidR="00ED09A0">
        <w:rPr>
          <w:rFonts w:ascii="Arial" w:hAnsi="Arial"/>
          <w:rtl/>
        </w:rPr>
        <w:t xml:space="preserve"> (23.12.21) – המערער</w:t>
      </w:r>
      <w:r w:rsidR="00ED09A0">
        <w:rPr>
          <w:rFonts w:ascii="David" w:hAnsi="David"/>
          <w:rtl/>
        </w:rPr>
        <w:t xml:space="preserve"> הורשע, על פי הודאתו, בעבירה של החזקת סם שלא לצריכה עצמית וצירף תיק נוסף במסגרתו הורשע בעבירה של החזקת אגרופן או סכין שלא כדין. על פי כתב האישום בתיק העיקרי, עולה כי המערער החזיק בביתו בסם מסוכן מסוג קנבוס,</w:t>
      </w:r>
      <w:r w:rsidR="00ED09A0">
        <w:rPr>
          <w:rtl/>
        </w:rPr>
        <w:t xml:space="preserve"> </w:t>
      </w:r>
      <w:r w:rsidR="00ED09A0">
        <w:rPr>
          <w:rFonts w:ascii="David" w:hAnsi="David"/>
          <w:rtl/>
        </w:rPr>
        <w:t>במשקל כולל של 229.35 גרם נטו, במספר מקומות שונים. על פי כתב האישום בתיק המצורף, עולה כי המערער החזיק באגרופן, מחוץ לתחום ביתו. באשר לעבירת החזקת הסם שלא לצריכה עצמית, בית המשפט העמיד את מתחם העונש ההולם כנע בין מאסר על תנאי לצד צו של"צ, וענישה נלווית ועד ל-8 חודשי מאסר בפועל. באשר לעבירת החזקת האגרופן, נקבע מתחם שנע בין מאסר על תנאי ל-6 חודשי מאסר בפועל. בית המשפט גזר על המערער, יליד 1993, נעדר עבר פלילי, אשר הוציא מאז העבירה רישיון לקנאביס רפואי ומאידך לא שיתף פעולה במהלך התהליך הארוך שעבר במסגרת שירות המבחן, מאסר לתקופה של 30 יום על דרך של עבודות שירות, צו מבחן למשך שנה וחצי כהמלצת שירות המבחן, מאסרים על תנאי, התחייבות, חילוט הטלפון הנייד וקנס בסך 2000 ₪.</w:t>
      </w:r>
      <w:r w:rsidR="00ED09A0">
        <w:rPr>
          <w:rFonts w:ascii="Arial" w:hAnsi="Arial"/>
          <w:b/>
          <w:bCs/>
          <w:rtl/>
        </w:rPr>
        <w:t xml:space="preserve"> </w:t>
      </w:r>
      <w:r w:rsidR="00ED09A0">
        <w:rPr>
          <w:rFonts w:ascii="Arial" w:hAnsi="Arial"/>
          <w:rtl/>
        </w:rPr>
        <w:t>הערעורים שהוגש לבית המשפט המחוזי והעליון נדחו.</w:t>
      </w:r>
    </w:p>
    <w:p w14:paraId="6F9F2EDB" w14:textId="77777777" w:rsidR="00ED09A0" w:rsidRDefault="00EA4216" w:rsidP="00ED09A0">
      <w:pPr>
        <w:pStyle w:val="28"/>
        <w:numPr>
          <w:ilvl w:val="0"/>
          <w:numId w:val="3"/>
        </w:numPr>
        <w:snapToGrid/>
        <w:spacing w:line="360" w:lineRule="auto"/>
        <w:jc w:val="both"/>
        <w:rPr>
          <w:rFonts w:ascii="Arial" w:hAnsi="Arial"/>
        </w:rPr>
      </w:pPr>
      <w:hyperlink r:id="rId30" w:history="1">
        <w:r w:rsidRPr="00EA4216">
          <w:rPr>
            <w:rFonts w:ascii="Arial" w:hAnsi="Arial"/>
            <w:color w:val="0000FF"/>
            <w:u w:val="single"/>
            <w:rtl/>
          </w:rPr>
          <w:t>רע"פ 636/21</w:t>
        </w:r>
      </w:hyperlink>
      <w:r w:rsidR="00ED09A0">
        <w:rPr>
          <w:rFonts w:ascii="Arial" w:hAnsi="Arial"/>
          <w:rtl/>
        </w:rPr>
        <w:t xml:space="preserve"> </w:t>
      </w:r>
      <w:r w:rsidR="00ED09A0">
        <w:rPr>
          <w:rFonts w:ascii="Arial" w:hAnsi="Arial"/>
          <w:b/>
          <w:bCs/>
          <w:rtl/>
        </w:rPr>
        <w:t xml:space="preserve">ברוך לוי נ' מדינת ישראל </w:t>
      </w:r>
      <w:r w:rsidR="00ED09A0">
        <w:rPr>
          <w:rFonts w:ascii="Arial" w:hAnsi="Arial"/>
          <w:rtl/>
        </w:rPr>
        <w:t>(16.2.21)- הנאשם</w:t>
      </w:r>
      <w:r w:rsidR="00ED09A0">
        <w:rPr>
          <w:rtl/>
        </w:rPr>
        <w:t xml:space="preserve"> הורשע על פי הודאתו בעבירה של החזקת סמים שלא לצריכה עצמית. למקרא עובדות כתב האישום, החזיק הנאשם </w:t>
      </w:r>
      <w:r w:rsidR="00ED09A0">
        <w:rPr>
          <w:rtl/>
        </w:rPr>
        <w:softHyphen/>
        <w:t xml:space="preserve">– בדירתו, ובארון חשמל במסדרון הגובל בדירתו </w:t>
      </w:r>
      <w:r w:rsidR="00ED09A0">
        <w:rPr>
          <w:rFonts w:ascii="FrankRuehl" w:hAnsi="FrankRuehl"/>
          <w:rtl/>
        </w:rPr>
        <w:t>–</w:t>
      </w:r>
      <w:r w:rsidR="00ED09A0">
        <w:rPr>
          <w:rtl/>
        </w:rPr>
        <w:t xml:space="preserve"> סם מסוכן מסוג חשיש במשקל כולל של כ-760 גרם נטו.</w:t>
      </w:r>
      <w:r w:rsidR="00ED09A0">
        <w:rPr>
          <w:rFonts w:ascii="Arial" w:hAnsi="Arial"/>
          <w:rtl/>
        </w:rPr>
        <w:t xml:space="preserve"> בית המשפט השלום קבע מתחם עונשי הולם הנע בין 6 חודשי מאסר בפועל לריצוי בדרך של עבודות שירות ועד 12 חודשי מאסר בפועל.</w:t>
      </w:r>
      <w:r w:rsidR="00ED09A0">
        <w:rPr>
          <w:rFonts w:ascii="Arial" w:hAnsi="Arial"/>
          <w:b/>
          <w:bCs/>
          <w:rtl/>
        </w:rPr>
        <w:t xml:space="preserve"> </w:t>
      </w:r>
      <w:r w:rsidR="00ED09A0">
        <w:rPr>
          <w:rFonts w:ascii="Arial" w:hAnsi="Arial"/>
          <w:rtl/>
        </w:rPr>
        <w:t xml:space="preserve">בית המשפט השלום סטה ממתחם הענישה וגזר על הנאשם, תוך התחשבות בהודאתו, שילובו בהליך הטיפולי, מצבו המשפחתי והכלכלי, חלוף השנתיים ומחצה מעת ביצוע העבירות, עונש של 4 חודשי מאסר בפועל בדרך של עבודות שירות לצד מע"ת וצו מבחן. הערעורים שהוגשו לבית המשפט המחוזי והעליון נדחו. </w:t>
      </w:r>
    </w:p>
    <w:p w14:paraId="48D58750" w14:textId="77777777" w:rsidR="00ED09A0" w:rsidRDefault="00ED09A0" w:rsidP="00ED09A0">
      <w:pPr>
        <w:pStyle w:val="28"/>
        <w:numPr>
          <w:ilvl w:val="0"/>
          <w:numId w:val="3"/>
        </w:numPr>
        <w:snapToGrid/>
        <w:spacing w:line="360" w:lineRule="auto"/>
        <w:jc w:val="both"/>
        <w:rPr>
          <w:rFonts w:ascii="Arial" w:hAnsi="Arial"/>
        </w:rPr>
      </w:pPr>
      <w:r>
        <w:rPr>
          <w:rFonts w:ascii="Arial" w:hAnsi="Arial"/>
          <w:rtl/>
        </w:rPr>
        <w:t xml:space="preserve"> </w:t>
      </w:r>
      <w:hyperlink r:id="rId31" w:history="1">
        <w:r w:rsidR="00EA4216" w:rsidRPr="00EA4216">
          <w:rPr>
            <w:rFonts w:ascii="Arial" w:hAnsi="Arial"/>
            <w:color w:val="0000FF"/>
            <w:u w:val="single"/>
            <w:rtl/>
          </w:rPr>
          <w:t>רע"פ 1297/22</w:t>
        </w:r>
      </w:hyperlink>
      <w:r>
        <w:rPr>
          <w:rFonts w:ascii="Arial" w:hAnsi="Arial" w:hint="cs"/>
          <w:rtl/>
        </w:rPr>
        <w:t xml:space="preserve"> </w:t>
      </w:r>
      <w:r>
        <w:rPr>
          <w:rFonts w:ascii="Arial" w:hAnsi="Arial" w:hint="cs"/>
          <w:b/>
          <w:bCs/>
          <w:rtl/>
        </w:rPr>
        <w:t>ממן נגד מדינת ישראל</w:t>
      </w:r>
      <w:r>
        <w:rPr>
          <w:rFonts w:ascii="Arial" w:hAnsi="Arial" w:hint="cs"/>
          <w:rtl/>
        </w:rPr>
        <w:t xml:space="preserve"> (1.3.22) – הנאשם הורשע לאחר שמיעת הוכחות, בעבירה של החזקת סכין, עת נתפס כשישב ברכבו, וברשותו סכין קומנדו. בית משפט קמא קבע מתחם ענישה הולם הנע בין מאסר על תנאי למספר חודשי מאסר שיכול וירוצו בעבודות שירות, ובסופו של יום גזר על הנאשם, בעל עבר פלילי, 7 חודשי מאסר לריצוי בעבודות שירות וענישה נלווית. הערעורים שהוגשו לבית המשפט המחוזי והעליון נדחו. </w:t>
      </w:r>
    </w:p>
    <w:p w14:paraId="42B4D65D" w14:textId="77777777" w:rsidR="00ED09A0" w:rsidRDefault="00EA4216" w:rsidP="00ED09A0">
      <w:pPr>
        <w:pStyle w:val="28"/>
        <w:numPr>
          <w:ilvl w:val="0"/>
          <w:numId w:val="3"/>
        </w:numPr>
        <w:snapToGrid/>
        <w:spacing w:line="360" w:lineRule="auto"/>
        <w:jc w:val="both"/>
        <w:rPr>
          <w:rFonts w:ascii="Arial" w:hAnsi="Arial"/>
        </w:rPr>
      </w:pPr>
      <w:hyperlink r:id="rId32" w:history="1">
        <w:r w:rsidRPr="00EA4216">
          <w:rPr>
            <w:rFonts w:ascii="Arial" w:hAnsi="Arial"/>
            <w:color w:val="0000FF"/>
            <w:u w:val="single"/>
            <w:rtl/>
          </w:rPr>
          <w:t>עפ"ג (מרכז) 69406-01-20</w:t>
        </w:r>
      </w:hyperlink>
      <w:r w:rsidR="00ED09A0">
        <w:rPr>
          <w:rFonts w:ascii="Arial" w:hAnsi="Arial"/>
          <w:rtl/>
        </w:rPr>
        <w:t xml:space="preserve"> </w:t>
      </w:r>
      <w:r w:rsidR="00ED09A0">
        <w:rPr>
          <w:rFonts w:ascii="Arial" w:hAnsi="Arial"/>
          <w:b/>
          <w:bCs/>
          <w:rtl/>
        </w:rPr>
        <w:t xml:space="preserve">פרנקו נ' מדינת ישראל </w:t>
      </w:r>
      <w:r w:rsidR="00ED09A0">
        <w:rPr>
          <w:rFonts w:ascii="Arial" w:hAnsi="Arial"/>
          <w:rtl/>
        </w:rPr>
        <w:t xml:space="preserve">(31.8.20)- הנאשם הורשע על פי הודאתו בעבירה של החזקת סמים שלא לצריכה עצמית. </w:t>
      </w:r>
      <w:r w:rsidR="00ED09A0">
        <w:rPr>
          <w:rFonts w:ascii="David" w:hAnsi="David"/>
          <w:rtl/>
        </w:rPr>
        <w:t xml:space="preserve">לפי כתב האישום, ביום 6.12.17, החזיק הנאשם בחדרו 5 צנצנות המכילות סם מסוכן מסוג קנבוס במשקל של 80 גרם. בית המשפט </w:t>
      </w:r>
      <w:r w:rsidR="00ED09A0" w:rsidRPr="00ED09A0">
        <w:rPr>
          <w:rFonts w:ascii="David" w:hAnsi="David"/>
          <w:color w:val="000000"/>
          <w:rtl/>
        </w:rPr>
        <w:t xml:space="preserve">קבע כי </w:t>
      </w:r>
      <w:r w:rsidR="00ED09A0">
        <w:rPr>
          <w:rtl/>
        </w:rPr>
        <w:t>מתחם העונש ההולם את העבירה מושא כתב האישום, נע בין מאסר על תנאי ובין מאסר לתקופה של 6 חודשים, לצד ענישה נלווית.</w:t>
      </w:r>
      <w:r w:rsidR="00ED09A0">
        <w:rPr>
          <w:rFonts w:ascii="Arial" w:hAnsi="Arial"/>
          <w:rtl/>
        </w:rPr>
        <w:t xml:space="preserve"> בית המשפט גזר על הנאשם, שנטל אחריות על מעשיו, תוך התייחסות לכך שלא שיתף פעולה עם שירות המבחן, שלחובתו 3 הרשעות קודמות בעבירות אלימות ורכוש, נסיבות חייו הלא פשוטות כפי שתוארו בתסקיר שירות המבחן ומאמציו לסייע בכלכלת משפחתו, עונש של </w:t>
      </w:r>
      <w:r w:rsidR="00ED09A0">
        <w:rPr>
          <w:rtl/>
        </w:rPr>
        <w:t>מאסר בפועל לתקופה של 30 ימים, בניכוי ימי מעצרו לצד מע"ת וקנס בסך 500 ₪.</w:t>
      </w:r>
      <w:r w:rsidR="00ED09A0">
        <w:rPr>
          <w:rFonts w:ascii="Arial" w:hAnsi="Arial"/>
          <w:rtl/>
        </w:rPr>
        <w:t xml:space="preserve"> הערעור שהוגש לבית המשפט המחוזי נדחה.</w:t>
      </w:r>
    </w:p>
    <w:p w14:paraId="2E908082" w14:textId="77777777" w:rsidR="00ED09A0" w:rsidRDefault="00EA4216" w:rsidP="00ED09A0">
      <w:pPr>
        <w:pStyle w:val="28"/>
        <w:numPr>
          <w:ilvl w:val="0"/>
          <w:numId w:val="3"/>
        </w:numPr>
        <w:snapToGrid/>
        <w:spacing w:line="360" w:lineRule="auto"/>
        <w:jc w:val="both"/>
        <w:rPr>
          <w:rFonts w:ascii="Arial" w:hAnsi="Arial"/>
        </w:rPr>
      </w:pPr>
      <w:hyperlink r:id="rId33" w:history="1">
        <w:r w:rsidRPr="00EA4216">
          <w:rPr>
            <w:rFonts w:ascii="Arial" w:hAnsi="Arial"/>
            <w:color w:val="0000FF"/>
            <w:u w:val="single"/>
            <w:rtl/>
          </w:rPr>
          <w:t>ת"פ (ת"א) 59619-10-20</w:t>
        </w:r>
      </w:hyperlink>
      <w:r w:rsidR="00ED09A0">
        <w:rPr>
          <w:rFonts w:ascii="Arial" w:hAnsi="Arial"/>
          <w:rtl/>
        </w:rPr>
        <w:t xml:space="preserve"> </w:t>
      </w:r>
      <w:r w:rsidR="00ED09A0">
        <w:rPr>
          <w:rFonts w:ascii="Arial" w:hAnsi="Arial"/>
          <w:b/>
          <w:bCs/>
          <w:rtl/>
        </w:rPr>
        <w:t>מדינת ישראל נ' קרופניק</w:t>
      </w:r>
      <w:r w:rsidR="00ED09A0">
        <w:rPr>
          <w:rFonts w:ascii="Arial" w:hAnsi="Arial"/>
          <w:rtl/>
        </w:rPr>
        <w:t xml:space="preserve">  - הנאשם הורשע בהחזקת סמים שלא לצריכה עצמית ובהחזקת סכין, אותם החזיק ברכב , על ספסל המושב שלצד הנהג. הנאשם החזיק ב-2 פלטות של סם מסוכן מסוג חשיש במשקל כולל של 181.49 גרם, משקל אלקטרוני ובסכין יפנית, אותה, כפי המתואר בכתב האישום המתוקן, החזיק לשם חיתוך הסם. בית המשפט השלום גזר על הנאשם 200 שעות של"צ, מאסר מותנה, קנס בסך 2000 ₪, התחייבות ופסילת רשיון על תנאי.</w:t>
      </w:r>
    </w:p>
    <w:p w14:paraId="789EC314" w14:textId="77777777" w:rsidR="00ED09A0" w:rsidRDefault="00EA4216" w:rsidP="00ED09A0">
      <w:pPr>
        <w:pStyle w:val="28"/>
        <w:numPr>
          <w:ilvl w:val="0"/>
          <w:numId w:val="3"/>
        </w:numPr>
        <w:snapToGrid/>
        <w:spacing w:line="360" w:lineRule="auto"/>
        <w:jc w:val="both"/>
        <w:rPr>
          <w:rFonts w:ascii="Arial" w:hAnsi="Arial"/>
        </w:rPr>
      </w:pPr>
      <w:hyperlink r:id="rId34" w:history="1">
        <w:r w:rsidRPr="00EA4216">
          <w:rPr>
            <w:rFonts w:ascii="Arial" w:hAnsi="Arial"/>
            <w:color w:val="0000FF"/>
            <w:u w:val="single"/>
            <w:rtl/>
          </w:rPr>
          <w:t>ת"פ (ק"ג) 21806-01-19</w:t>
        </w:r>
      </w:hyperlink>
      <w:r w:rsidR="00ED09A0">
        <w:rPr>
          <w:rFonts w:ascii="Arial" w:hAnsi="Arial"/>
          <w:rtl/>
        </w:rPr>
        <w:t xml:space="preserve"> </w:t>
      </w:r>
      <w:r w:rsidR="00ED09A0">
        <w:rPr>
          <w:rFonts w:ascii="Arial" w:hAnsi="Arial"/>
          <w:b/>
          <w:bCs/>
          <w:rtl/>
        </w:rPr>
        <w:t xml:space="preserve">מדינת ישראל נ' חדד </w:t>
      </w:r>
      <w:r w:rsidR="00ED09A0">
        <w:rPr>
          <w:rFonts w:ascii="Arial" w:hAnsi="Arial"/>
          <w:rtl/>
        </w:rPr>
        <w:t>(14.6.20)- הנאשם הודה והורשע בעבירה של החזקת סם שלא לצריכה עצמית. על פי עובדות כתב האישום, הנאשם שהה ברכבו בבאר שבע והחזיק שם סם מסוכן מסוג קנבוס במשקל כולל של כ-500 גרם נטו: 250 גרם בקופסת נעלים בתוך תא מטען הרכב מחולק ל-10 שקיות שונות ו-249.88 גרם מחולק לשקיות בצדו הימני של המושב האחורי של הרכב בתוך תיק. בית המשפט קבע כי מתחם העונש ההולם נע בין 6 חודשי מאסר (שניתן לרצותם בעבודות שירות) לבין 12 חודשי מאסר בפועל.</w:t>
      </w:r>
      <w:r w:rsidR="00ED09A0">
        <w:rPr>
          <w:rFonts w:ascii="Arial" w:hAnsi="Arial"/>
          <w:b/>
          <w:bCs/>
          <w:rtl/>
        </w:rPr>
        <w:t xml:space="preserve"> </w:t>
      </w:r>
      <w:r w:rsidR="00ED09A0">
        <w:rPr>
          <w:rFonts w:ascii="Arial" w:hAnsi="Arial"/>
          <w:rtl/>
        </w:rPr>
        <w:t>בית המשפט סטה ממתחם העונש ההולם וגזר על הנאשם, שהודה ולקח אחריות על מעשיו, שהה במעצר משך כחודש ולאחר מכן תקופה ארוכה נוספת בתנאים מגבילים, שהיה בעת ביצוע העבירות כבן 25, נעדר עבר פלילי, בעל מוטיבציה לחולל שינויים בחייו ושהצהיר כי לא יחזור לשימוש בסמים, עונש של צו של"צ בהיקף של 300 שעות למשך 18 חודשים, קנס בסך 5,000 ₪, התחייבות כספית בסך 15,000 ₪ ופסילה מלקבל או להחזיק רישיון נהיגה למשך 8 חודשים על תנאי.</w:t>
      </w:r>
    </w:p>
    <w:p w14:paraId="7DAEDDE2" w14:textId="77777777" w:rsidR="00ED09A0" w:rsidRDefault="00EA4216" w:rsidP="00ED09A0">
      <w:pPr>
        <w:numPr>
          <w:ilvl w:val="0"/>
          <w:numId w:val="3"/>
        </w:numPr>
        <w:spacing w:line="360" w:lineRule="auto"/>
        <w:contextualSpacing/>
        <w:jc w:val="both"/>
        <w:rPr>
          <w:rFonts w:ascii="David" w:hAnsi="David"/>
        </w:rPr>
      </w:pPr>
      <w:hyperlink r:id="rId35" w:history="1">
        <w:r w:rsidRPr="00EA4216">
          <w:rPr>
            <w:rFonts w:ascii="David" w:hAnsi="David"/>
            <w:color w:val="0000FF"/>
            <w:u w:val="single"/>
            <w:rtl/>
          </w:rPr>
          <w:t>ת"פ (ב"ש) 44373-01-17</w:t>
        </w:r>
      </w:hyperlink>
      <w:r w:rsidR="00ED09A0">
        <w:rPr>
          <w:rFonts w:ascii="David" w:hAnsi="David"/>
          <w:rtl/>
        </w:rPr>
        <w:t xml:space="preserve"> </w:t>
      </w:r>
      <w:r w:rsidR="00ED09A0">
        <w:rPr>
          <w:rFonts w:ascii="David" w:hAnsi="David"/>
          <w:b/>
          <w:bCs/>
          <w:rtl/>
        </w:rPr>
        <w:t>מדינת ישראל נ' אשורוב</w:t>
      </w:r>
      <w:r w:rsidR="00ED09A0">
        <w:rPr>
          <w:rFonts w:ascii="David" w:hAnsi="David"/>
          <w:rtl/>
        </w:rPr>
        <w:t xml:space="preserve"> (6.4.17)  - בגין החזקת 88 גרם חשיש בביתו קבע בית המשפט מתחם הנע ממספר חודשי מאסר, שיכול וירוצו בעבודות שירות עד 12 חודשים מאסר בפועל, והשית על נאשם, שלחובתו רישום ללא הרשעה והרשעה בעבירות רכוש ואלימות ואשר לא שיתף פעולה עם שירות המבחן - 7 חודשי מאסר בפועל וענישה נלווית.</w:t>
      </w:r>
    </w:p>
    <w:p w14:paraId="38831E9D" w14:textId="77777777" w:rsidR="00ED09A0" w:rsidRDefault="00EA4216" w:rsidP="00ED09A0">
      <w:pPr>
        <w:numPr>
          <w:ilvl w:val="0"/>
          <w:numId w:val="3"/>
        </w:numPr>
        <w:spacing w:line="360" w:lineRule="auto"/>
        <w:contextualSpacing/>
        <w:jc w:val="both"/>
        <w:rPr>
          <w:rFonts w:ascii="David" w:hAnsi="David"/>
        </w:rPr>
      </w:pPr>
      <w:hyperlink r:id="rId36" w:history="1">
        <w:r w:rsidRPr="00EA4216">
          <w:rPr>
            <w:rFonts w:ascii="David" w:hAnsi="David"/>
            <w:color w:val="0000FF"/>
            <w:u w:val="single"/>
            <w:rtl/>
          </w:rPr>
          <w:t>ת"פ (ב"ש) 20767-09-16</w:t>
        </w:r>
      </w:hyperlink>
      <w:r w:rsidR="00ED09A0">
        <w:rPr>
          <w:rFonts w:ascii="David" w:hAnsi="David"/>
          <w:rtl/>
        </w:rPr>
        <w:t xml:space="preserve"> </w:t>
      </w:r>
      <w:r w:rsidR="00ED09A0">
        <w:rPr>
          <w:rFonts w:ascii="David" w:hAnsi="David"/>
          <w:b/>
          <w:bCs/>
          <w:rtl/>
        </w:rPr>
        <w:t>מדינת ישראל נ' אבו מעיוף</w:t>
      </w:r>
      <w:r w:rsidR="00ED09A0">
        <w:rPr>
          <w:rFonts w:ascii="David" w:hAnsi="David"/>
          <w:rtl/>
        </w:rPr>
        <w:t xml:space="preserve">  (24.05.17) – בית המשפט השית על מי שהורשע בהחזקת 93.8 גרם נטו סם מסוכן מסוג חשיש בצוותא חדא עם שניים אחרים ברכב בו נמצא גם כלי המשמש לעישון סמים - 6 חודשי מאסר בפועל לצד ענישה נלווית, 2,500 ₪ קנס, 4,000 ₪ התחייבות, פסילה בפועל ופסילה מותנית;</w:t>
      </w:r>
    </w:p>
    <w:p w14:paraId="193A3C16" w14:textId="77777777" w:rsidR="00ED09A0" w:rsidRDefault="00ED09A0" w:rsidP="00ED09A0">
      <w:pPr>
        <w:spacing w:line="360" w:lineRule="auto"/>
        <w:ind w:left="720"/>
        <w:contextualSpacing/>
        <w:jc w:val="both"/>
        <w:rPr>
          <w:rFonts w:ascii="David" w:hAnsi="David"/>
          <w:b/>
          <w:bCs/>
          <w:u w:val="single"/>
        </w:rPr>
      </w:pPr>
    </w:p>
    <w:p w14:paraId="6A1FE3AB" w14:textId="77777777" w:rsidR="00ED09A0" w:rsidRDefault="00ED09A0" w:rsidP="00ED09A0">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הורשע  בעבירה של החזקת סמים שלא לצריכה עצמית והחזקת סכין, כאשר את אלה החזיק ברכבו, באופן שעלול לסכן את המשתמשים בדרך. בנסיבות אלה ועל בסיס הוראת </w:t>
      </w:r>
      <w:hyperlink r:id="rId37" w:history="1">
        <w:r w:rsidR="00C717D6" w:rsidRPr="00C717D6">
          <w:rPr>
            <w:rStyle w:val="Hyperlink"/>
            <w:rFonts w:ascii="David" w:hAnsi="David" w:cs="David"/>
            <w:sz w:val="24"/>
            <w:szCs w:val="24"/>
            <w:rtl/>
          </w:rPr>
          <w:t>סעיף 37א</w:t>
        </w:r>
      </w:hyperlink>
      <w:r w:rsidR="00EA4216">
        <w:rPr>
          <w:rFonts w:ascii="David" w:hAnsi="David" w:cs="David"/>
          <w:sz w:val="24"/>
          <w:szCs w:val="24"/>
          <w:rtl/>
        </w:rPr>
        <w:t xml:space="preserve"> </w:t>
      </w:r>
      <w:r>
        <w:rPr>
          <w:rFonts w:ascii="David" w:hAnsi="David" w:cs="David"/>
          <w:sz w:val="24"/>
          <w:szCs w:val="24"/>
          <w:rtl/>
        </w:rPr>
        <w:t>לפקודת הסמים, מצאתי כי גזר דינו של הנאשם יכלול אף פסילת רישיון נהיגה אף אם לתקופה קצרה.</w:t>
      </w:r>
    </w:p>
    <w:p w14:paraId="646E027E" w14:textId="77777777" w:rsidR="00ED09A0" w:rsidRDefault="00ED09A0" w:rsidP="00ED09A0">
      <w:pPr>
        <w:pStyle w:val="a9"/>
        <w:spacing w:line="360" w:lineRule="auto"/>
        <w:jc w:val="both"/>
        <w:rPr>
          <w:rFonts w:ascii="David" w:hAnsi="David" w:cs="David"/>
          <w:sz w:val="24"/>
          <w:szCs w:val="24"/>
        </w:rPr>
      </w:pPr>
    </w:p>
    <w:p w14:paraId="6B6280C6" w14:textId="77777777" w:rsidR="00ED09A0" w:rsidRDefault="00ED09A0" w:rsidP="00ED09A0">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בהינתן כל המפורט לעיל אני קובעת, כי </w:t>
      </w:r>
      <w:r>
        <w:rPr>
          <w:rFonts w:ascii="David" w:hAnsi="David" w:cs="David"/>
          <w:b/>
          <w:bCs/>
          <w:sz w:val="24"/>
          <w:szCs w:val="24"/>
          <w:rtl/>
        </w:rPr>
        <w:t>מתחם העונש ההולם את העבירות בהן הורשע הנאשם הוא 6 חודשי מאסר שיכול וירוצו בעבודות שירות עד 12 חודשי מאסר בפועל בצירוף ענישה נלווית הכוללת קנס כספי ופסילת רישיון נהיגה</w:t>
      </w:r>
      <w:r>
        <w:rPr>
          <w:rFonts w:ascii="David" w:hAnsi="David" w:cs="David"/>
          <w:sz w:val="24"/>
          <w:szCs w:val="24"/>
          <w:rtl/>
        </w:rPr>
        <w:t>.</w:t>
      </w:r>
    </w:p>
    <w:p w14:paraId="3CF32670" w14:textId="77777777" w:rsidR="00ED09A0" w:rsidRDefault="00ED09A0" w:rsidP="00ED09A0">
      <w:pPr>
        <w:spacing w:line="360" w:lineRule="auto"/>
        <w:ind w:firstLine="720"/>
        <w:jc w:val="both"/>
        <w:rPr>
          <w:rFonts w:ascii="David" w:hAnsi="David"/>
          <w:rtl/>
        </w:rPr>
      </w:pPr>
      <w:r>
        <w:rPr>
          <w:rFonts w:ascii="David" w:hAnsi="David"/>
          <w:rtl/>
        </w:rPr>
        <w:t>במקרה דנן, לא קיימים שיקולים אשר מצדיקים סטייה מהמתחם לחומרא או לקולא.</w:t>
      </w:r>
    </w:p>
    <w:p w14:paraId="57166FED" w14:textId="77777777" w:rsidR="00ED09A0" w:rsidRDefault="00ED09A0" w:rsidP="00ED09A0">
      <w:pPr>
        <w:spacing w:line="360" w:lineRule="auto"/>
        <w:ind w:left="720"/>
        <w:jc w:val="both"/>
        <w:rPr>
          <w:rFonts w:ascii="David" w:hAnsi="David"/>
          <w:rtl/>
        </w:rPr>
      </w:pPr>
      <w:r>
        <w:rPr>
          <w:rFonts w:ascii="David" w:hAnsi="David"/>
          <w:rtl/>
        </w:rPr>
        <w:t>אמנם מצאתי לנכון ליתן משקל משמעותי להליך השיקומי שעבר הנאשם בחסות שירות המבחן, אך לא לחרוג לקולא ממתחם העונש ההולם את מעשיו.</w:t>
      </w:r>
    </w:p>
    <w:p w14:paraId="12D0BDC1" w14:textId="77777777" w:rsidR="00ED09A0" w:rsidRDefault="00ED09A0" w:rsidP="00ED09A0">
      <w:pPr>
        <w:spacing w:line="360" w:lineRule="auto"/>
        <w:jc w:val="both"/>
        <w:rPr>
          <w:rFonts w:ascii="David" w:hAnsi="David"/>
          <w:rtl/>
        </w:rPr>
      </w:pPr>
    </w:p>
    <w:p w14:paraId="6D0C42BE" w14:textId="77777777" w:rsidR="00ED09A0" w:rsidRDefault="00ED09A0" w:rsidP="00ED09A0">
      <w:pPr>
        <w:spacing w:line="360" w:lineRule="auto"/>
        <w:ind w:firstLine="360"/>
        <w:jc w:val="both"/>
        <w:rPr>
          <w:rFonts w:ascii="David" w:hAnsi="David"/>
          <w:rtl/>
        </w:rPr>
      </w:pPr>
      <w:r>
        <w:rPr>
          <w:rFonts w:ascii="David" w:hAnsi="David"/>
          <w:b/>
          <w:bCs/>
          <w:rtl/>
        </w:rPr>
        <w:t>קביעת העונש המתאים בגדרי המתחם</w:t>
      </w:r>
      <w:r>
        <w:rPr>
          <w:rFonts w:ascii="David" w:hAnsi="David"/>
          <w:rtl/>
        </w:rPr>
        <w:t>:</w:t>
      </w:r>
    </w:p>
    <w:p w14:paraId="0A69649E" w14:textId="77777777" w:rsidR="00ED09A0" w:rsidRDefault="00ED09A0" w:rsidP="00ED09A0">
      <w:pPr>
        <w:pStyle w:val="a9"/>
        <w:numPr>
          <w:ilvl w:val="0"/>
          <w:numId w:val="1"/>
        </w:numPr>
        <w:spacing w:line="360" w:lineRule="auto"/>
        <w:jc w:val="both"/>
        <w:rPr>
          <w:rFonts w:ascii="David" w:hAnsi="David" w:cs="David"/>
          <w:sz w:val="24"/>
          <w:szCs w:val="24"/>
          <w:rtl/>
        </w:rPr>
      </w:pPr>
      <w:r>
        <w:rPr>
          <w:rFonts w:ascii="David" w:hAnsi="David" w:cs="David"/>
          <w:sz w:val="24"/>
          <w:szCs w:val="24"/>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0845C2F7" w14:textId="77777777" w:rsidR="00ED09A0" w:rsidRDefault="00ED09A0" w:rsidP="00ED09A0">
      <w:pPr>
        <w:spacing w:line="360" w:lineRule="auto"/>
        <w:ind w:left="720"/>
        <w:jc w:val="both"/>
        <w:rPr>
          <w:rFonts w:ascii="David" w:hAnsi="David"/>
          <w:rtl/>
        </w:rPr>
      </w:pPr>
      <w:r>
        <w:rPr>
          <w:rFonts w:ascii="David" w:hAnsi="David"/>
          <w:rtl/>
        </w:rPr>
        <w:t>הנאשם צעיר בגילו, והוא בן 28 שנים, נשוי ונעדר עבר פלילי.</w:t>
      </w:r>
    </w:p>
    <w:p w14:paraId="77552EBB" w14:textId="77777777" w:rsidR="00ED09A0" w:rsidRDefault="00ED09A0" w:rsidP="00ED09A0">
      <w:pPr>
        <w:spacing w:line="360" w:lineRule="auto"/>
        <w:ind w:left="720"/>
        <w:jc w:val="both"/>
        <w:rPr>
          <w:rFonts w:ascii="David" w:hAnsi="David"/>
          <w:rtl/>
        </w:rPr>
      </w:pPr>
      <w:r>
        <w:rPr>
          <w:rFonts w:ascii="David" w:hAnsi="David"/>
          <w:rtl/>
        </w:rPr>
        <w:t>הנאשם הודה במיוחס לו וחסך בזמן שיפוטי יקר, נטל אחריות על מעשיו וניכר כי משקיע מאמצים על מנת לחזור למוטב, כפי שעולה מתסקיר שירות המבחן.</w:t>
      </w:r>
    </w:p>
    <w:p w14:paraId="19EEB432" w14:textId="77777777" w:rsidR="00ED09A0" w:rsidRDefault="00ED09A0" w:rsidP="00ED09A0">
      <w:pPr>
        <w:spacing w:line="360" w:lineRule="auto"/>
        <w:ind w:left="720"/>
        <w:jc w:val="both"/>
        <w:rPr>
          <w:rFonts w:ascii="David" w:hAnsi="David"/>
          <w:rtl/>
        </w:rPr>
      </w:pPr>
      <w:r>
        <w:rPr>
          <w:rFonts w:ascii="David" w:hAnsi="David"/>
          <w:rtl/>
        </w:rPr>
        <w:t>שליחתו של הנאשם למאסר, ואפילו בדרך של עבודות שירות, תפגע במשפחתו התלויה בו, ויש להביא אף נתון זה בחשבון.</w:t>
      </w:r>
    </w:p>
    <w:p w14:paraId="7583AA2B" w14:textId="77777777" w:rsidR="00ED09A0" w:rsidRDefault="00ED09A0" w:rsidP="00ED09A0">
      <w:pPr>
        <w:spacing w:line="360" w:lineRule="auto"/>
        <w:ind w:left="720"/>
        <w:jc w:val="both"/>
        <w:rPr>
          <w:rFonts w:ascii="David" w:hAnsi="David"/>
          <w:rtl/>
        </w:rPr>
      </w:pPr>
      <w:r>
        <w:rPr>
          <w:rFonts w:ascii="David" w:hAnsi="David"/>
          <w:rtl/>
        </w:rPr>
        <w:t xml:space="preserve">בהתייחס להמלצת שירות המבחן, לטעמי, יש בהליך השיקומי בו החל הנאשם כדי להצדיק ענישה המצויה בתחתית מתחם העונש ההולם, אך לא כזו המאפשרת להסתפק בהמלצות שירות המבחן. סבורני כי המלצת שירות המבחן אינה מאזנת כראוי בין שיקולי הענישה בנסיבות המקרה דנן, וכי עונש אשר לא יכלול תקופת מאסר, אף אם לריצוי בעבודות שירות, עלול ללמד על יחס מקל כלפי העבירות בהן הורשע הנאשם, ולפגוע בשיקולי הגמול וההרתעה הנדרשים, שכן בעבירות בהן הורשע הנאשם, יש ליתן את הדעת אף לשיקולי הרתעה ולבכר את האינטרס הציבורי בהגנה על החברה מפני פשיעה. </w:t>
      </w:r>
    </w:p>
    <w:p w14:paraId="572422D0" w14:textId="77777777" w:rsidR="00ED09A0" w:rsidRDefault="00ED09A0" w:rsidP="00ED09A0">
      <w:pPr>
        <w:spacing w:line="360" w:lineRule="auto"/>
        <w:jc w:val="both"/>
        <w:rPr>
          <w:rFonts w:ascii="David" w:hAnsi="David"/>
          <w:b/>
          <w:bCs/>
          <w:u w:val="single"/>
          <w:rtl/>
        </w:rPr>
      </w:pPr>
      <w:r>
        <w:rPr>
          <w:rFonts w:ascii="David" w:hAnsi="David"/>
          <w:b/>
          <w:bCs/>
          <w:u w:val="single"/>
          <w:rtl/>
        </w:rPr>
        <w:t>סוף דבר:</w:t>
      </w:r>
    </w:p>
    <w:p w14:paraId="205874AF" w14:textId="77777777" w:rsidR="00ED09A0" w:rsidRDefault="00ED09A0" w:rsidP="00ED09A0">
      <w:pPr>
        <w:pStyle w:val="a9"/>
        <w:numPr>
          <w:ilvl w:val="0"/>
          <w:numId w:val="1"/>
        </w:numPr>
        <w:spacing w:line="360" w:lineRule="auto"/>
        <w:jc w:val="both"/>
        <w:rPr>
          <w:rFonts w:ascii="David" w:hAnsi="David" w:cs="David"/>
          <w:sz w:val="24"/>
          <w:szCs w:val="24"/>
          <w:rtl/>
        </w:rPr>
      </w:pPr>
      <w:r>
        <w:rPr>
          <w:rFonts w:ascii="David" w:hAnsi="David" w:cs="David"/>
          <w:sz w:val="24"/>
          <w:szCs w:val="24"/>
          <w:rtl/>
        </w:rPr>
        <w:t>לאחר ששקלתי את מכלול השיקולים כמפורט לעיל, אני מטילה על הנאשם את העונשים הבאים:</w:t>
      </w:r>
    </w:p>
    <w:p w14:paraId="7C811F5C" w14:textId="77777777" w:rsidR="00ED09A0" w:rsidRDefault="00ED09A0" w:rsidP="00ED09A0">
      <w:pPr>
        <w:pStyle w:val="a9"/>
        <w:numPr>
          <w:ilvl w:val="0"/>
          <w:numId w:val="4"/>
        </w:numPr>
        <w:spacing w:line="360" w:lineRule="auto"/>
        <w:jc w:val="both"/>
        <w:rPr>
          <w:rFonts w:ascii="Arial" w:hAnsi="Arial" w:cs="David"/>
          <w:sz w:val="24"/>
          <w:szCs w:val="24"/>
          <w:rtl/>
        </w:rPr>
      </w:pPr>
      <w:r>
        <w:rPr>
          <w:rFonts w:ascii="Arial" w:hAnsi="Arial" w:cs="David"/>
          <w:sz w:val="24"/>
          <w:szCs w:val="24"/>
          <w:rtl/>
        </w:rPr>
        <w:t>6 חודשי</w:t>
      </w:r>
      <w:r w:rsidR="00EA4216">
        <w:rPr>
          <w:rFonts w:ascii="Arial" w:hAnsi="Arial" w:cs="David"/>
          <w:sz w:val="24"/>
          <w:szCs w:val="24"/>
          <w:rtl/>
        </w:rPr>
        <w:t xml:space="preserve"> </w:t>
      </w:r>
      <w:r>
        <w:rPr>
          <w:rFonts w:ascii="Arial" w:hAnsi="Arial" w:cs="David"/>
          <w:sz w:val="24"/>
          <w:szCs w:val="24"/>
          <w:rtl/>
        </w:rPr>
        <w:t xml:space="preserve"> מאסר שירוצו בעבודות שירות. בהתאם לחוות דעת הממונה, הנאשם יבצע את עבודות השירות ב</w:t>
      </w:r>
      <w:r>
        <w:rPr>
          <w:rFonts w:ascii="Arial" w:hAnsi="Arial" w:cs="David" w:hint="cs"/>
          <w:sz w:val="24"/>
          <w:szCs w:val="24"/>
          <w:rtl/>
        </w:rPr>
        <w:t>אצטדיון טרנר</w:t>
      </w:r>
      <w:r>
        <w:rPr>
          <w:rFonts w:ascii="Arial" w:hAnsi="Arial" w:cs="David"/>
          <w:sz w:val="24"/>
          <w:szCs w:val="24"/>
          <w:rtl/>
        </w:rPr>
        <w:t xml:space="preserve"> בימים א'-ה' במשך 8.5 שעות עבודה יומיות.</w:t>
      </w:r>
      <w:r w:rsidR="00EA4216">
        <w:rPr>
          <w:rFonts w:ascii="Arial" w:hAnsi="Arial" w:cs="David"/>
          <w:sz w:val="24"/>
          <w:szCs w:val="24"/>
          <w:rtl/>
        </w:rPr>
        <w:t xml:space="preserve"> </w:t>
      </w:r>
      <w:r>
        <w:rPr>
          <w:rFonts w:ascii="Arial" w:hAnsi="Arial" w:cs="David"/>
          <w:sz w:val="24"/>
          <w:szCs w:val="24"/>
          <w:rtl/>
        </w:rPr>
        <w:t xml:space="preserve"> </w:t>
      </w:r>
    </w:p>
    <w:p w14:paraId="009CF8B3" w14:textId="77777777" w:rsidR="00ED09A0" w:rsidRDefault="00ED09A0" w:rsidP="00ED09A0">
      <w:pPr>
        <w:spacing w:line="360" w:lineRule="auto"/>
        <w:ind w:left="1080"/>
        <w:jc w:val="both"/>
        <w:rPr>
          <w:rFonts w:ascii="Arial" w:hAnsi="Arial"/>
        </w:rPr>
      </w:pPr>
      <w:r>
        <w:rPr>
          <w:rFonts w:ascii="Arial" w:hAnsi="Arial"/>
          <w:rtl/>
        </w:rPr>
        <w:t>הנאשם יתייצב לריצוי המאסר ביום</w:t>
      </w:r>
      <w:r>
        <w:rPr>
          <w:rFonts w:ascii="Arial" w:hAnsi="Arial" w:hint="cs"/>
          <w:rtl/>
        </w:rPr>
        <w:t xml:space="preserve"> 6.12.22</w:t>
      </w:r>
      <w:r>
        <w:rPr>
          <w:rFonts w:ascii="Arial" w:hAnsi="Arial"/>
          <w:rtl/>
        </w:rPr>
        <w:t xml:space="preserve"> בשעה 08:00 במ</w:t>
      </w:r>
      <w:r>
        <w:rPr>
          <w:rFonts w:ascii="Arial" w:hAnsi="Arial" w:hint="cs"/>
          <w:rtl/>
        </w:rPr>
        <w:t xml:space="preserve">שרדי הממונה על </w:t>
      </w:r>
      <w:r>
        <w:rPr>
          <w:rFonts w:ascii="Arial" w:hAnsi="Arial"/>
          <w:rtl/>
        </w:rPr>
        <w:t>עבודות השירות</w:t>
      </w:r>
      <w:r>
        <w:rPr>
          <w:rFonts w:ascii="Arial" w:hAnsi="Arial" w:hint="cs"/>
          <w:rtl/>
        </w:rPr>
        <w:t xml:space="preserve"> </w:t>
      </w:r>
      <w:r>
        <w:rPr>
          <w:rFonts w:ascii="Arial" w:hAnsi="Arial"/>
          <w:rtl/>
        </w:rPr>
        <w:t>–</w:t>
      </w:r>
      <w:r>
        <w:rPr>
          <w:rFonts w:ascii="Arial" w:hAnsi="Arial" w:hint="cs"/>
          <w:rtl/>
        </w:rPr>
        <w:t xml:space="preserve"> שלוחת דרום</w:t>
      </w:r>
      <w:r>
        <w:rPr>
          <w:rFonts w:ascii="Arial" w:hAnsi="Arial"/>
          <w:rtl/>
        </w:rPr>
        <w:t xml:space="preserve">, </w:t>
      </w:r>
      <w:r>
        <w:rPr>
          <w:rFonts w:ascii="Arial" w:hAnsi="Arial" w:hint="cs"/>
          <w:rtl/>
        </w:rPr>
        <w:t xml:space="preserve">סמוך לכלא באר שבע, </w:t>
      </w:r>
      <w:r>
        <w:rPr>
          <w:rFonts w:ascii="Arial" w:hAnsi="Arial"/>
          <w:rtl/>
        </w:rPr>
        <w:t>אלא אם הממונה על עבודות השירות יודיע לו על מועד תחילה אחר. מוסבר לנאשם כי עליו לעמוד בתנאי העבודה, וכי כל הפרה של תנאי עבודות השירות עלולה להביא להפסקה מנהלית של העבודות ולריצוי יתרת התקופה במאסר ממש.</w:t>
      </w:r>
    </w:p>
    <w:p w14:paraId="20FD8A46" w14:textId="77777777" w:rsidR="00ED09A0" w:rsidRDefault="00ED09A0" w:rsidP="00ED09A0">
      <w:pPr>
        <w:pStyle w:val="a9"/>
        <w:numPr>
          <w:ilvl w:val="0"/>
          <w:numId w:val="4"/>
        </w:numPr>
        <w:spacing w:line="360" w:lineRule="auto"/>
        <w:jc w:val="both"/>
        <w:rPr>
          <w:rFonts w:ascii="Arial" w:hAnsi="Arial" w:cs="David"/>
          <w:sz w:val="24"/>
          <w:szCs w:val="24"/>
          <w:rtl/>
        </w:rPr>
      </w:pPr>
      <w:r>
        <w:rPr>
          <w:rFonts w:ascii="Arial" w:hAnsi="Arial" w:cs="David"/>
          <w:sz w:val="24"/>
          <w:szCs w:val="24"/>
          <w:rtl/>
        </w:rPr>
        <w:t xml:space="preserve">מאסר על תנאי לתקופה של 3 חודשים. המאסר המותנה יופעל אם תוך תקופה של 3 שנים מהיום, יעבור הנאשם עבירה של החזקת סכין. </w:t>
      </w:r>
    </w:p>
    <w:p w14:paraId="39AE6F74" w14:textId="77777777" w:rsidR="00ED09A0" w:rsidRDefault="00ED09A0" w:rsidP="00ED09A0">
      <w:pPr>
        <w:pStyle w:val="a9"/>
        <w:spacing w:line="360" w:lineRule="auto"/>
        <w:ind w:left="1080"/>
        <w:jc w:val="both"/>
        <w:rPr>
          <w:rFonts w:ascii="Arial" w:hAnsi="Arial" w:cs="David"/>
          <w:sz w:val="24"/>
          <w:szCs w:val="24"/>
        </w:rPr>
      </w:pPr>
    </w:p>
    <w:p w14:paraId="73F69A2E" w14:textId="77777777" w:rsidR="00ED09A0" w:rsidRDefault="00ED09A0" w:rsidP="00ED09A0">
      <w:pPr>
        <w:pStyle w:val="a9"/>
        <w:numPr>
          <w:ilvl w:val="0"/>
          <w:numId w:val="4"/>
        </w:numPr>
        <w:spacing w:line="360" w:lineRule="auto"/>
        <w:jc w:val="both"/>
        <w:rPr>
          <w:rFonts w:ascii="Arial" w:hAnsi="Arial" w:cs="David"/>
          <w:sz w:val="24"/>
          <w:szCs w:val="24"/>
        </w:rPr>
      </w:pPr>
      <w:r>
        <w:rPr>
          <w:rFonts w:ascii="David" w:hAnsi="David" w:cs="David"/>
          <w:color w:val="000000"/>
          <w:sz w:val="24"/>
          <w:szCs w:val="24"/>
          <w:rtl/>
        </w:rPr>
        <w:t>מאסר על תנאי לתקופה של 6 חודשים. המאסר המותנה יופעל אם תוך תקופה של 3 שנים מהיום, יעבור הנאשם</w:t>
      </w:r>
      <w:r w:rsidR="00EA4216">
        <w:rPr>
          <w:rFonts w:ascii="David" w:hAnsi="David" w:cs="David"/>
          <w:color w:val="000000"/>
          <w:sz w:val="24"/>
          <w:szCs w:val="24"/>
          <w:rtl/>
        </w:rPr>
        <w:t xml:space="preserve"> </w:t>
      </w:r>
      <w:r>
        <w:rPr>
          <w:rFonts w:ascii="David" w:hAnsi="David" w:cs="David"/>
          <w:color w:val="000000"/>
          <w:sz w:val="24"/>
          <w:szCs w:val="24"/>
          <w:rtl/>
        </w:rPr>
        <w:t xml:space="preserve"> עבירת סמים מסוג פשע.</w:t>
      </w:r>
    </w:p>
    <w:p w14:paraId="5685C18F" w14:textId="77777777" w:rsidR="00ED09A0" w:rsidRDefault="00ED09A0" w:rsidP="00ED09A0">
      <w:pPr>
        <w:pStyle w:val="a9"/>
        <w:rPr>
          <w:rFonts w:ascii="Arial" w:hAnsi="Arial" w:cs="David"/>
          <w:sz w:val="24"/>
          <w:szCs w:val="24"/>
        </w:rPr>
      </w:pPr>
    </w:p>
    <w:p w14:paraId="645F65AF" w14:textId="77777777" w:rsidR="00ED09A0" w:rsidRDefault="00ED09A0" w:rsidP="00ED09A0">
      <w:pPr>
        <w:pStyle w:val="a9"/>
        <w:numPr>
          <w:ilvl w:val="0"/>
          <w:numId w:val="4"/>
        </w:numPr>
        <w:spacing w:line="360" w:lineRule="auto"/>
        <w:jc w:val="both"/>
        <w:rPr>
          <w:rFonts w:ascii="Arial" w:hAnsi="Arial" w:cs="David"/>
          <w:sz w:val="24"/>
          <w:szCs w:val="24"/>
          <w:rtl/>
        </w:rPr>
      </w:pPr>
      <w:r>
        <w:rPr>
          <w:rFonts w:ascii="Arial" w:hAnsi="Arial" w:cs="David"/>
          <w:sz w:val="24"/>
          <w:szCs w:val="24"/>
          <w:rtl/>
        </w:rPr>
        <w:t>קנס בסך 2,000 ₪</w:t>
      </w:r>
      <w:r w:rsidR="00EA4216">
        <w:rPr>
          <w:rFonts w:ascii="Arial" w:hAnsi="Arial" w:cs="David"/>
          <w:sz w:val="24"/>
          <w:szCs w:val="24"/>
          <w:rtl/>
        </w:rPr>
        <w:t xml:space="preserve"> </w:t>
      </w:r>
      <w:r>
        <w:rPr>
          <w:rFonts w:ascii="Arial" w:hAnsi="Arial" w:cs="David"/>
          <w:sz w:val="24"/>
          <w:szCs w:val="24"/>
          <w:rtl/>
        </w:rPr>
        <w:t xml:space="preserve"> או 5 ימי מאסר תמורתו. </w:t>
      </w:r>
      <w:r>
        <w:rPr>
          <w:rFonts w:ascii="David" w:hAnsi="David" w:cs="David"/>
          <w:color w:val="000000"/>
          <w:sz w:val="24"/>
          <w:szCs w:val="24"/>
          <w:rtl/>
        </w:rPr>
        <w:t>הקנס ישולם ב- 5 תשלומים חודשיים שווים ורצופים, החל מיום 1.</w:t>
      </w:r>
      <w:r>
        <w:rPr>
          <w:rFonts w:ascii="David" w:hAnsi="David" w:cs="David" w:hint="cs"/>
          <w:color w:val="000000"/>
          <w:sz w:val="24"/>
          <w:szCs w:val="24"/>
          <w:rtl/>
        </w:rPr>
        <w:t>12</w:t>
      </w:r>
      <w:r>
        <w:rPr>
          <w:rFonts w:ascii="David" w:hAnsi="David" w:cs="David"/>
          <w:color w:val="000000"/>
          <w:sz w:val="24"/>
          <w:szCs w:val="24"/>
          <w:rtl/>
        </w:rPr>
        <w:t>.22.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3ACCE981" w14:textId="77777777" w:rsidR="00ED09A0" w:rsidRDefault="00ED09A0" w:rsidP="00ED09A0">
      <w:pPr>
        <w:spacing w:line="360" w:lineRule="auto"/>
        <w:ind w:firstLine="720"/>
        <w:jc w:val="both"/>
        <w:rPr>
          <w:rFonts w:ascii="David" w:hAnsi="David"/>
          <w:b/>
          <w:bCs/>
        </w:rPr>
      </w:pPr>
      <w:r>
        <w:rPr>
          <w:rFonts w:ascii="David" w:hAnsi="David"/>
          <w:b/>
          <w:bCs/>
          <w:rtl/>
        </w:rPr>
        <w:t xml:space="preserve">את הקנס ניתן לשלם באחת מהדרכים הבאות: </w:t>
      </w:r>
    </w:p>
    <w:p w14:paraId="6226C829" w14:textId="77777777" w:rsidR="00ED09A0" w:rsidRDefault="00ED09A0" w:rsidP="00ED09A0">
      <w:pPr>
        <w:numPr>
          <w:ilvl w:val="0"/>
          <w:numId w:val="5"/>
        </w:numPr>
        <w:spacing w:line="360" w:lineRule="auto"/>
        <w:jc w:val="both"/>
        <w:rPr>
          <w:rFonts w:ascii="David" w:hAnsi="David"/>
          <w:b/>
          <w:bCs/>
        </w:rPr>
      </w:pPr>
      <w:r>
        <w:rPr>
          <w:rFonts w:ascii="David" w:hAnsi="David"/>
          <w:b/>
          <w:bCs/>
          <w:rtl/>
        </w:rPr>
        <w:t xml:space="preserve">בכרטיס אשראי – באתר המקוון של רשות האכיפה והגבייה, </w:t>
      </w:r>
      <w:r w:rsidRPr="00ED09A0">
        <w:rPr>
          <w:rFonts w:ascii="David" w:hAnsi="David"/>
          <w:b/>
          <w:bCs/>
          <w:color w:val="0563C1"/>
          <w:u w:val="single"/>
        </w:rPr>
        <w:t>www.eca.gov.il</w:t>
      </w:r>
      <w:r>
        <w:rPr>
          <w:rFonts w:ascii="David" w:hAnsi="David"/>
          <w:b/>
          <w:bCs/>
        </w:rPr>
        <w:t xml:space="preserve"> </w:t>
      </w:r>
      <w:r w:rsidR="00EA4216">
        <w:rPr>
          <w:rFonts w:ascii="David" w:hAnsi="David"/>
          <w:b/>
          <w:bCs/>
          <w:rtl/>
        </w:rPr>
        <w:t xml:space="preserve"> </w:t>
      </w:r>
    </w:p>
    <w:p w14:paraId="04D9C5FC" w14:textId="77777777" w:rsidR="00ED09A0" w:rsidRDefault="00ED09A0" w:rsidP="00ED09A0">
      <w:pPr>
        <w:numPr>
          <w:ilvl w:val="0"/>
          <w:numId w:val="5"/>
        </w:numPr>
        <w:spacing w:line="360" w:lineRule="auto"/>
        <w:jc w:val="both"/>
        <w:rPr>
          <w:rFonts w:ascii="David" w:hAnsi="David"/>
          <w:b/>
          <w:bCs/>
        </w:rPr>
      </w:pPr>
      <w:r>
        <w:rPr>
          <w:rFonts w:ascii="David" w:hAnsi="David"/>
          <w:b/>
          <w:bCs/>
          <w:rtl/>
        </w:rPr>
        <w:t>מוקד שירות טלפוני בשרות עצמי (מרכז גבייה)</w:t>
      </w:r>
      <w:r w:rsidR="00EA4216">
        <w:rPr>
          <w:rFonts w:ascii="David" w:hAnsi="David"/>
          <w:b/>
          <w:bCs/>
          <w:rtl/>
        </w:rPr>
        <w:t xml:space="preserve"> </w:t>
      </w:r>
      <w:r>
        <w:rPr>
          <w:rFonts w:ascii="David" w:hAnsi="David"/>
          <w:b/>
          <w:bCs/>
          <w:rtl/>
        </w:rPr>
        <w:t xml:space="preserve"> – בטלפון 35592* או בטלפון 073-2055000</w:t>
      </w:r>
    </w:p>
    <w:p w14:paraId="318CF60B" w14:textId="77777777" w:rsidR="00ED09A0" w:rsidRDefault="00ED09A0" w:rsidP="00ED09A0">
      <w:pPr>
        <w:numPr>
          <w:ilvl w:val="0"/>
          <w:numId w:val="5"/>
        </w:numPr>
        <w:spacing w:line="360" w:lineRule="auto"/>
        <w:jc w:val="both"/>
        <w:rPr>
          <w:rFonts w:ascii="David" w:hAnsi="David"/>
          <w:b/>
          <w:bCs/>
        </w:rPr>
      </w:pPr>
      <w:r>
        <w:rPr>
          <w:rFonts w:ascii="David" w:hAnsi="David"/>
          <w:b/>
          <w:bCs/>
          <w:rtl/>
        </w:rPr>
        <w:t>במזומן בכל סניף של בנק הדואר – בהצגת תעודת זהות בלבד (אין צורך בהצגת בשוברי תשלום).</w:t>
      </w:r>
    </w:p>
    <w:p w14:paraId="07C7BEE5" w14:textId="77777777" w:rsidR="00ED09A0" w:rsidRDefault="00ED09A0" w:rsidP="00ED09A0">
      <w:pPr>
        <w:spacing w:line="360" w:lineRule="auto"/>
        <w:ind w:left="1080"/>
        <w:jc w:val="both"/>
        <w:rPr>
          <w:rFonts w:ascii="David" w:hAnsi="David"/>
          <w:b/>
          <w:bCs/>
        </w:rPr>
      </w:pPr>
    </w:p>
    <w:p w14:paraId="14F301D4" w14:textId="77777777" w:rsidR="00ED09A0" w:rsidRDefault="00ED09A0" w:rsidP="00ED09A0">
      <w:pPr>
        <w:pStyle w:val="a9"/>
        <w:numPr>
          <w:ilvl w:val="0"/>
          <w:numId w:val="4"/>
        </w:numPr>
        <w:spacing w:line="360" w:lineRule="auto"/>
        <w:jc w:val="both"/>
        <w:rPr>
          <w:rFonts w:ascii="Arial" w:hAnsi="Arial" w:cs="David"/>
          <w:sz w:val="24"/>
          <w:szCs w:val="24"/>
          <w:rtl/>
        </w:rPr>
      </w:pPr>
      <w:r>
        <w:rPr>
          <w:rFonts w:ascii="Arial" w:hAnsi="Arial" w:cs="David"/>
          <w:sz w:val="24"/>
          <w:szCs w:val="24"/>
          <w:rtl/>
        </w:rPr>
        <w:t>הנאשם פסול מלקבל או מלהחזיק רישיון נהיגה, וזאת למשך חודש. הנאשם יפקיד רישיונו במשטרה בתוך 48 שעות .  תקופת הפסילה תימנה רק לאחר ההפקדה.</w:t>
      </w:r>
    </w:p>
    <w:p w14:paraId="4999E30E" w14:textId="77777777" w:rsidR="00ED09A0" w:rsidRDefault="00ED09A0" w:rsidP="00ED09A0">
      <w:pPr>
        <w:pStyle w:val="a9"/>
        <w:numPr>
          <w:ilvl w:val="0"/>
          <w:numId w:val="4"/>
        </w:numPr>
        <w:spacing w:line="360" w:lineRule="auto"/>
        <w:jc w:val="both"/>
        <w:rPr>
          <w:rFonts w:ascii="Times New Roman" w:hAnsi="Times New Roman" w:cs="David"/>
          <w:sz w:val="24"/>
          <w:szCs w:val="24"/>
          <w:rtl/>
        </w:rPr>
      </w:pPr>
      <w:r>
        <w:rPr>
          <w:rFonts w:ascii="Arial" w:hAnsi="Arial" w:cs="David"/>
          <w:sz w:val="24"/>
          <w:szCs w:val="24"/>
          <w:rtl/>
        </w:rPr>
        <w:t>פסילה מלקבל או להחזיק רישיון נהיגה על תנאי למשך 6 חודשים, הפסילה תופעל אם תוך תקופה של 3 שנים מהיום, יעבור הנאשם עבירת סמים או עבירה אחרת מ</w:t>
      </w:r>
      <w:hyperlink r:id="rId38" w:history="1">
        <w:r w:rsidR="00EA4216" w:rsidRPr="00EA4216">
          <w:rPr>
            <w:rFonts w:ascii="Arial" w:hAnsi="Arial" w:cs="David"/>
            <w:color w:val="0000FF"/>
            <w:sz w:val="24"/>
            <w:szCs w:val="24"/>
            <w:u w:val="single"/>
            <w:rtl/>
          </w:rPr>
          <w:t>חוק העונשין</w:t>
        </w:r>
      </w:hyperlink>
      <w:r w:rsidR="00EA4216">
        <w:rPr>
          <w:rFonts w:ascii="Arial" w:hAnsi="Arial" w:cs="David"/>
          <w:sz w:val="24"/>
          <w:szCs w:val="24"/>
        </w:rPr>
        <w:t xml:space="preserve"> </w:t>
      </w:r>
      <w:r>
        <w:rPr>
          <w:rFonts w:ascii="Arial" w:hAnsi="Arial" w:cs="David"/>
          <w:sz w:val="24"/>
          <w:szCs w:val="24"/>
          <w:rtl/>
        </w:rPr>
        <w:t>תוך שימוש ברכב</w:t>
      </w:r>
      <w:r>
        <w:rPr>
          <w:rFonts w:ascii="Arial" w:hAnsi="Arial" w:cs="David"/>
          <w:sz w:val="24"/>
          <w:szCs w:val="24"/>
        </w:rPr>
        <w:t>.</w:t>
      </w:r>
    </w:p>
    <w:p w14:paraId="2FA85D0A" w14:textId="77777777" w:rsidR="00ED09A0" w:rsidRDefault="00ED09A0" w:rsidP="00ED09A0">
      <w:pPr>
        <w:spacing w:line="360" w:lineRule="auto"/>
        <w:jc w:val="both"/>
        <w:rPr>
          <w:rFonts w:ascii="Calibri" w:hAnsi="Calibri"/>
          <w:b/>
          <w:bCs/>
          <w:rtl/>
        </w:rPr>
      </w:pPr>
      <w:r>
        <w:rPr>
          <w:rFonts w:ascii="Arial" w:hAnsi="Arial"/>
          <w:b/>
          <w:bCs/>
          <w:rtl/>
        </w:rPr>
        <w:t>ניתן בזאת צו להשמדת המוצגים – סמים וסכינים בכפוף לחלוף תקופת הערעור.</w:t>
      </w:r>
    </w:p>
    <w:p w14:paraId="69061103" w14:textId="77777777" w:rsidR="00ED09A0" w:rsidRDefault="00ED09A0" w:rsidP="00ED09A0">
      <w:pPr>
        <w:spacing w:line="360" w:lineRule="auto"/>
        <w:jc w:val="both"/>
        <w:rPr>
          <w:rFonts w:ascii="Arial" w:hAnsi="Arial"/>
          <w:b/>
          <w:bCs/>
          <w:u w:val="single"/>
          <w:rtl/>
        </w:rPr>
      </w:pPr>
    </w:p>
    <w:p w14:paraId="28C78BC3" w14:textId="77777777" w:rsidR="00ED09A0" w:rsidRDefault="00ED09A0" w:rsidP="00ED09A0">
      <w:pPr>
        <w:spacing w:line="360" w:lineRule="auto"/>
        <w:jc w:val="both"/>
        <w:rPr>
          <w:rFonts w:ascii="Arial" w:hAnsi="Arial"/>
          <w:b/>
          <w:bCs/>
          <w:u w:val="single"/>
          <w:rtl/>
        </w:rPr>
      </w:pPr>
      <w:r>
        <w:rPr>
          <w:rFonts w:ascii="Arial" w:hAnsi="Arial"/>
          <w:b/>
          <w:bCs/>
          <w:u w:val="single"/>
          <w:rtl/>
        </w:rPr>
        <w:t xml:space="preserve">המזכירות תעביר עותק מגזר הדין לממונה על עבודות השירות. </w:t>
      </w:r>
    </w:p>
    <w:p w14:paraId="0A49925B" w14:textId="77777777" w:rsidR="00ED09A0" w:rsidRPr="00ED09A0" w:rsidRDefault="00ED09A0" w:rsidP="00ED09A0">
      <w:pPr>
        <w:spacing w:line="360" w:lineRule="auto"/>
        <w:jc w:val="both"/>
        <w:rPr>
          <w:rFonts w:ascii="Calibri" w:hAnsi="Calibri"/>
          <w:rtl/>
        </w:rPr>
      </w:pPr>
    </w:p>
    <w:p w14:paraId="438070B8" w14:textId="77777777" w:rsidR="00ED09A0" w:rsidRPr="00ED09A0" w:rsidRDefault="00ED09A0" w:rsidP="00ED09A0">
      <w:pPr>
        <w:spacing w:line="360" w:lineRule="auto"/>
        <w:jc w:val="both"/>
        <w:rPr>
          <w:rFonts w:eastAsia="Calibri" w:cs="Arial"/>
          <w:sz w:val="22"/>
          <w:szCs w:val="22"/>
          <w:rtl/>
        </w:rPr>
      </w:pPr>
      <w:r>
        <w:rPr>
          <w:rtl/>
        </w:rPr>
        <w:t xml:space="preserve">זכות ערעור כחוק. </w:t>
      </w:r>
    </w:p>
    <w:p w14:paraId="31711D82" w14:textId="77777777" w:rsidR="00ED09A0" w:rsidRPr="00EA4216" w:rsidRDefault="00EA4216" w:rsidP="00ED09A0">
      <w:pPr>
        <w:rPr>
          <w:rFonts w:ascii="Arial" w:hAnsi="Arial"/>
          <w:b/>
          <w:bCs/>
          <w:color w:val="FFFFFF"/>
          <w:sz w:val="2"/>
          <w:szCs w:val="2"/>
          <w:rtl/>
        </w:rPr>
      </w:pPr>
      <w:r w:rsidRPr="00EA4216">
        <w:rPr>
          <w:rFonts w:ascii="Arial" w:hAnsi="Arial"/>
          <w:b/>
          <w:bCs/>
          <w:color w:val="FFFFFF"/>
          <w:sz w:val="2"/>
          <w:szCs w:val="2"/>
          <w:rtl/>
        </w:rPr>
        <w:t>5129371</w:t>
      </w:r>
    </w:p>
    <w:p w14:paraId="5B85D5D2" w14:textId="77777777" w:rsidR="00ED09A0" w:rsidRPr="00EA4216" w:rsidRDefault="00EA4216" w:rsidP="00ED09A0">
      <w:pPr>
        <w:rPr>
          <w:rFonts w:ascii="Arial" w:hAnsi="Arial"/>
          <w:b/>
          <w:bCs/>
          <w:color w:val="FFFFFF"/>
          <w:sz w:val="2"/>
          <w:szCs w:val="2"/>
          <w:rtl/>
        </w:rPr>
      </w:pPr>
      <w:r w:rsidRPr="00EA4216">
        <w:rPr>
          <w:rFonts w:ascii="Arial" w:hAnsi="Arial"/>
          <w:b/>
          <w:bCs/>
          <w:color w:val="FFFFFF"/>
          <w:sz w:val="2"/>
          <w:szCs w:val="2"/>
          <w:rtl/>
        </w:rPr>
        <w:t>54678313</w:t>
      </w:r>
    </w:p>
    <w:p w14:paraId="3868D213" w14:textId="77777777" w:rsidR="00ED09A0" w:rsidRPr="000F2247" w:rsidRDefault="00ED09A0" w:rsidP="00ED09A0">
      <w:pPr>
        <w:rPr>
          <w:rFonts w:ascii="Arial" w:hAnsi="Arial"/>
          <w:b/>
          <w:bCs/>
          <w:sz w:val="26"/>
          <w:szCs w:val="26"/>
          <w:rtl/>
        </w:rPr>
      </w:pPr>
    </w:p>
    <w:p w14:paraId="284FF540" w14:textId="77777777" w:rsidR="00ED09A0" w:rsidRPr="000F2247" w:rsidRDefault="00EA4216" w:rsidP="00ED09A0">
      <w:pPr>
        <w:rPr>
          <w:rFonts w:ascii="Arial" w:hAnsi="Arial"/>
          <w:b/>
          <w:bCs/>
          <w:sz w:val="26"/>
          <w:szCs w:val="26"/>
          <w:rtl/>
        </w:rPr>
      </w:pPr>
      <w:bookmarkStart w:id="8" w:name="Nitan"/>
      <w:r>
        <w:rPr>
          <w:rFonts w:ascii="Arial" w:hAnsi="Arial"/>
          <w:b/>
          <w:bCs/>
          <w:sz w:val="26"/>
          <w:szCs w:val="26"/>
          <w:rtl/>
        </w:rPr>
        <w:t xml:space="preserve">ניתן היום,  כ"ח תשרי תשפ"ג, 23 אוקטובר 2022, במעמד הצדדים. </w:t>
      </w:r>
      <w:bookmarkEnd w:id="8"/>
    </w:p>
    <w:p w14:paraId="1E8063A1" w14:textId="77777777" w:rsidR="00ED09A0" w:rsidRPr="000F2247" w:rsidRDefault="00ED09A0" w:rsidP="00EA421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E7AE6FD" w14:textId="77777777" w:rsidR="00ED09A0" w:rsidRPr="00C717D6" w:rsidRDefault="00C717D6" w:rsidP="00ED09A0">
      <w:pPr>
        <w:jc w:val="center"/>
        <w:rPr>
          <w:rFonts w:ascii="Arial" w:hAnsi="Arial"/>
          <w:b/>
          <w:bCs/>
          <w:color w:val="FFFFFF"/>
          <w:sz w:val="2"/>
          <w:szCs w:val="2"/>
          <w:rtl/>
        </w:rPr>
      </w:pPr>
      <w:r w:rsidRPr="00C717D6">
        <w:rPr>
          <w:rFonts w:ascii="Arial" w:hAnsi="Arial"/>
          <w:b/>
          <w:bCs/>
          <w:color w:val="FFFFFF"/>
          <w:sz w:val="2"/>
          <w:szCs w:val="2"/>
          <w:rtl/>
        </w:rPr>
        <w:t>5129371</w:t>
      </w:r>
    </w:p>
    <w:p w14:paraId="0BFC470A" w14:textId="77777777" w:rsidR="00DD473B" w:rsidRPr="00C717D6" w:rsidRDefault="00C717D6" w:rsidP="00EA4216">
      <w:pPr>
        <w:keepNext/>
        <w:rPr>
          <w:rFonts w:ascii="David" w:hAnsi="David"/>
          <w:color w:val="FFFFFF"/>
          <w:sz w:val="2"/>
          <w:szCs w:val="2"/>
          <w:rtl/>
        </w:rPr>
      </w:pPr>
      <w:r w:rsidRPr="00C717D6">
        <w:rPr>
          <w:rFonts w:ascii="David" w:hAnsi="David"/>
          <w:color w:val="FFFFFF"/>
          <w:sz w:val="2"/>
          <w:szCs w:val="2"/>
          <w:rtl/>
        </w:rPr>
        <w:t>54678313</w:t>
      </w:r>
    </w:p>
    <w:p w14:paraId="683DF6EA" w14:textId="77777777" w:rsidR="00EA4216" w:rsidRDefault="00EA4216" w:rsidP="00EA4216">
      <w:pPr>
        <w:rPr>
          <w:rtl/>
        </w:rPr>
      </w:pPr>
    </w:p>
    <w:p w14:paraId="2C365643" w14:textId="77777777" w:rsidR="00EA4216" w:rsidRDefault="00EA4216" w:rsidP="00EA4216">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3B98075B" w14:textId="77777777" w:rsidR="00C717D6" w:rsidRPr="00C717D6" w:rsidRDefault="00C717D6" w:rsidP="00C717D6">
      <w:pPr>
        <w:keepNext/>
        <w:rPr>
          <w:rFonts w:ascii="David" w:hAnsi="David"/>
          <w:color w:val="000000"/>
          <w:sz w:val="22"/>
          <w:szCs w:val="22"/>
          <w:rtl/>
        </w:rPr>
      </w:pPr>
    </w:p>
    <w:p w14:paraId="525EFEAE" w14:textId="77777777" w:rsidR="00C717D6" w:rsidRPr="00C717D6" w:rsidRDefault="00C717D6" w:rsidP="00C717D6">
      <w:pPr>
        <w:keepNext/>
        <w:rPr>
          <w:rFonts w:ascii="David" w:hAnsi="David"/>
          <w:color w:val="000000"/>
          <w:sz w:val="22"/>
          <w:szCs w:val="22"/>
          <w:rtl/>
        </w:rPr>
      </w:pPr>
      <w:r w:rsidRPr="00C717D6">
        <w:rPr>
          <w:rFonts w:ascii="David" w:hAnsi="David"/>
          <w:color w:val="000000"/>
          <w:sz w:val="22"/>
          <w:szCs w:val="22"/>
          <w:rtl/>
        </w:rPr>
        <w:t>אחינעם צוריאל 54678313-/</w:t>
      </w:r>
    </w:p>
    <w:p w14:paraId="215D4423" w14:textId="77777777" w:rsidR="00EA4216" w:rsidRPr="00EA4216" w:rsidRDefault="00C717D6" w:rsidP="00C717D6">
      <w:pPr>
        <w:rPr>
          <w:color w:val="0000FF"/>
          <w:u w:val="single"/>
        </w:rPr>
      </w:pPr>
      <w:r w:rsidRPr="00C717D6">
        <w:rPr>
          <w:color w:val="000000"/>
          <w:u w:val="single"/>
          <w:rtl/>
        </w:rPr>
        <w:t>נוסח מסמך זה כפוף לשינויי ניסוח ועריכה</w:t>
      </w:r>
    </w:p>
    <w:sectPr w:rsidR="00EA4216" w:rsidRPr="00EA4216" w:rsidSect="00C717D6">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6979B" w14:textId="77777777" w:rsidR="009549BA" w:rsidRDefault="009549BA" w:rsidP="00C82D47">
      <w:r>
        <w:separator/>
      </w:r>
    </w:p>
  </w:endnote>
  <w:endnote w:type="continuationSeparator" w:id="0">
    <w:p w14:paraId="1548D1B6" w14:textId="77777777" w:rsidR="009549BA" w:rsidRDefault="009549BA" w:rsidP="00C82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F26D2" w14:textId="77777777" w:rsidR="00C717D6" w:rsidRDefault="00C717D6" w:rsidP="00C717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C0FBC9" w14:textId="77777777" w:rsidR="008D7894" w:rsidRPr="00C717D6" w:rsidRDefault="00C717D6" w:rsidP="00C717D6">
    <w:pPr>
      <w:pStyle w:val="a5"/>
      <w:pBdr>
        <w:top w:val="single" w:sz="4" w:space="1" w:color="auto"/>
        <w:between w:val="single" w:sz="4" w:space="0" w:color="auto"/>
      </w:pBdr>
      <w:spacing w:after="60"/>
      <w:jc w:val="center"/>
      <w:rPr>
        <w:rFonts w:ascii="FrankRuehl" w:hAnsi="FrankRuehl" w:cs="FrankRuehl"/>
        <w:color w:val="000000"/>
      </w:rPr>
    </w:pPr>
    <w:r w:rsidRPr="00C717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786E3" w14:textId="77777777" w:rsidR="00C717D6" w:rsidRDefault="00C717D6" w:rsidP="00C717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865C0">
      <w:rPr>
        <w:rFonts w:ascii="FrankRuehl" w:hAnsi="FrankRuehl" w:cs="FrankRuehl"/>
        <w:noProof/>
        <w:rtl/>
      </w:rPr>
      <w:t>1</w:t>
    </w:r>
    <w:r>
      <w:rPr>
        <w:rFonts w:ascii="FrankRuehl" w:hAnsi="FrankRuehl" w:cs="FrankRuehl"/>
        <w:rtl/>
      </w:rPr>
      <w:fldChar w:fldCharType="end"/>
    </w:r>
  </w:p>
  <w:p w14:paraId="5AAE91C6" w14:textId="77777777" w:rsidR="008D7894" w:rsidRPr="00C717D6" w:rsidRDefault="00C717D6" w:rsidP="00C717D6">
    <w:pPr>
      <w:pStyle w:val="a5"/>
      <w:pBdr>
        <w:top w:val="single" w:sz="4" w:space="1" w:color="auto"/>
        <w:between w:val="single" w:sz="4" w:space="0" w:color="auto"/>
      </w:pBdr>
      <w:spacing w:after="60"/>
      <w:jc w:val="center"/>
      <w:rPr>
        <w:rFonts w:ascii="FrankRuehl" w:hAnsi="FrankRuehl" w:cs="FrankRuehl"/>
        <w:color w:val="000000"/>
      </w:rPr>
    </w:pPr>
    <w:r w:rsidRPr="00C717D6">
      <w:rPr>
        <w:rFonts w:ascii="FrankRuehl" w:hAnsi="FrankRuehl" w:cs="FrankRuehl"/>
        <w:color w:val="000000"/>
      </w:rPr>
      <w:pict w14:anchorId="363FC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B8A26" w14:textId="77777777" w:rsidR="009549BA" w:rsidRDefault="009549BA" w:rsidP="00C82D47">
      <w:r>
        <w:separator/>
      </w:r>
    </w:p>
  </w:footnote>
  <w:footnote w:type="continuationSeparator" w:id="0">
    <w:p w14:paraId="64550771" w14:textId="77777777" w:rsidR="009549BA" w:rsidRDefault="009549BA" w:rsidP="00C82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C1A7A" w14:textId="77777777" w:rsidR="00EA4216" w:rsidRPr="00C717D6" w:rsidRDefault="00C717D6" w:rsidP="00C717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28736-03-20</w:t>
    </w:r>
    <w:r>
      <w:rPr>
        <w:rFonts w:ascii="David" w:hAnsi="David"/>
        <w:color w:val="000000"/>
        <w:sz w:val="22"/>
        <w:szCs w:val="22"/>
        <w:rtl/>
      </w:rPr>
      <w:tab/>
      <w:t xml:space="preserve"> מדינת ישראל נ' עלאא אבו מנסי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39008" w14:textId="77777777" w:rsidR="00EA4216" w:rsidRPr="00C717D6" w:rsidRDefault="00C717D6" w:rsidP="00C717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28736-03-20</w:t>
    </w:r>
    <w:r>
      <w:rPr>
        <w:rFonts w:ascii="David" w:hAnsi="David"/>
        <w:color w:val="000000"/>
        <w:sz w:val="22"/>
        <w:szCs w:val="22"/>
        <w:rtl/>
      </w:rPr>
      <w:tab/>
      <w:t xml:space="preserve"> מדינת ישראל נ' עלאא אבו מנסי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0F4D"/>
    <w:multiLevelType w:val="hybridMultilevel"/>
    <w:tmpl w:val="E7821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2305327E"/>
    <w:multiLevelType w:val="hybridMultilevel"/>
    <w:tmpl w:val="165AC70A"/>
    <w:lvl w:ilvl="0" w:tplc="50D2FA0A">
      <w:start w:val="1"/>
      <w:numFmt w:val="hebrew1"/>
      <w:lvlText w:val="%1."/>
      <w:lvlJc w:val="left"/>
      <w:pPr>
        <w:ind w:left="1080" w:hanging="360"/>
      </w:pPr>
      <w:rPr>
        <w:rFonts w:ascii="David" w:eastAsia="Times New Roman" w:hAnsi="David"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5A2C1C86"/>
    <w:multiLevelType w:val="hybridMultilevel"/>
    <w:tmpl w:val="1DF0DA98"/>
    <w:lvl w:ilvl="0" w:tplc="A8AA1C32">
      <w:start w:val="1"/>
      <w:numFmt w:val="hebrew1"/>
      <w:lvlText w:val="%1."/>
      <w:lvlJc w:val="left"/>
      <w:pPr>
        <w:ind w:left="1080" w:hanging="360"/>
      </w:pPr>
      <w:rPr>
        <w:rFonts w:ascii="David" w:eastAsia="Times New Roman" w:hAnsi="David" w:cs="David"/>
        <w:b w:val="0"/>
        <w:bCs w:val="0"/>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4F569B2"/>
    <w:multiLevelType w:val="hybridMultilevel"/>
    <w:tmpl w:val="752C94AE"/>
    <w:lvl w:ilvl="0" w:tplc="AF9ED77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242172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93855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3552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20915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0695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09A0"/>
    <w:rsid w:val="000A02AD"/>
    <w:rsid w:val="000A0508"/>
    <w:rsid w:val="001B5A3B"/>
    <w:rsid w:val="00270E44"/>
    <w:rsid w:val="005F0249"/>
    <w:rsid w:val="008D7894"/>
    <w:rsid w:val="009549BA"/>
    <w:rsid w:val="00A865C0"/>
    <w:rsid w:val="00AF26B9"/>
    <w:rsid w:val="00C717D6"/>
    <w:rsid w:val="00C82D47"/>
    <w:rsid w:val="00DD473B"/>
    <w:rsid w:val="00E606C1"/>
    <w:rsid w:val="00EA4216"/>
    <w:rsid w:val="00ED09A0"/>
    <w:rsid w:val="00F847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B7092B"/>
  <w15:chartTrackingRefBased/>
  <w15:docId w15:val="{ECB5E491-7A04-4FB0-8004-B0349E14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09A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09A0"/>
    <w:pPr>
      <w:tabs>
        <w:tab w:val="center" w:pos="4153"/>
        <w:tab w:val="right" w:pos="8306"/>
      </w:tabs>
    </w:pPr>
  </w:style>
  <w:style w:type="character" w:customStyle="1" w:styleId="a4">
    <w:name w:val="כותרת עליונה תו"/>
    <w:link w:val="a3"/>
    <w:rsid w:val="00ED09A0"/>
    <w:rPr>
      <w:rFonts w:ascii="Times New Roman" w:eastAsia="Times New Roman" w:hAnsi="Times New Roman" w:cs="David"/>
      <w:sz w:val="24"/>
      <w:szCs w:val="24"/>
    </w:rPr>
  </w:style>
  <w:style w:type="paragraph" w:styleId="a5">
    <w:name w:val="footer"/>
    <w:basedOn w:val="a"/>
    <w:link w:val="a6"/>
    <w:rsid w:val="00ED09A0"/>
    <w:pPr>
      <w:tabs>
        <w:tab w:val="center" w:pos="4153"/>
        <w:tab w:val="right" w:pos="8306"/>
      </w:tabs>
    </w:pPr>
  </w:style>
  <w:style w:type="character" w:customStyle="1" w:styleId="a6">
    <w:name w:val="כותרת תחתונה תו"/>
    <w:link w:val="a5"/>
    <w:rsid w:val="00ED09A0"/>
    <w:rPr>
      <w:rFonts w:ascii="Times New Roman" w:eastAsia="Times New Roman" w:hAnsi="Times New Roman" w:cs="David"/>
      <w:sz w:val="24"/>
      <w:szCs w:val="24"/>
    </w:rPr>
  </w:style>
  <w:style w:type="table" w:styleId="a7">
    <w:name w:val="Table Grid"/>
    <w:basedOn w:val="a1"/>
    <w:rsid w:val="00ED09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09A0"/>
  </w:style>
  <w:style w:type="paragraph" w:styleId="a9">
    <w:name w:val="List Paragraph"/>
    <w:basedOn w:val="a"/>
    <w:qFormat/>
    <w:rsid w:val="00ED09A0"/>
    <w:pPr>
      <w:spacing w:after="160" w:line="256" w:lineRule="auto"/>
      <w:ind w:left="720"/>
      <w:contextualSpacing/>
    </w:pPr>
    <w:rPr>
      <w:rFonts w:ascii="Calibri" w:hAnsi="Calibri" w:cs="Arial"/>
      <w:sz w:val="22"/>
      <w:szCs w:val="22"/>
    </w:rPr>
  </w:style>
  <w:style w:type="paragraph" w:customStyle="1" w:styleId="28">
    <w:name w:val="פיסקת רשימה28"/>
    <w:basedOn w:val="a"/>
    <w:rsid w:val="00ED09A0"/>
    <w:pPr>
      <w:snapToGrid w:val="0"/>
      <w:ind w:left="720"/>
      <w:contextualSpacing/>
    </w:pPr>
    <w:rPr>
      <w:lang w:eastAsia="he-IL"/>
    </w:rPr>
  </w:style>
  <w:style w:type="character" w:styleId="Hyperlink">
    <w:name w:val="Hyperlink"/>
    <w:rsid w:val="00EA4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86.a"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i"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5763166" TargetMode="External"/><Relationship Id="rId34" Type="http://schemas.openxmlformats.org/officeDocument/2006/relationships/hyperlink" Target="http://www.nevo.co.il/case/25304212"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86.a" TargetMode="External"/><Relationship Id="rId29" Type="http://schemas.openxmlformats.org/officeDocument/2006/relationships/hyperlink" Target="http://www.nevo.co.il/case/281909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808647" TargetMode="External"/><Relationship Id="rId32" Type="http://schemas.openxmlformats.org/officeDocument/2006/relationships/hyperlink" Target="http://www.nevo.co.il/case/26406170" TargetMode="External"/><Relationship Id="rId37" Type="http://schemas.openxmlformats.org/officeDocument/2006/relationships/hyperlink" Target="http://www.nevo.co.il/law/4216/37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6145792" TargetMode="External"/><Relationship Id="rId28" Type="http://schemas.openxmlformats.org/officeDocument/2006/relationships/hyperlink" Target="http://www.nevo.co.il/case/19999565" TargetMode="External"/><Relationship Id="rId36" Type="http://schemas.openxmlformats.org/officeDocument/2006/relationships/hyperlink" Target="http://www.nevo.co.il/case/21924102" TargetMode="External"/><Relationship Id="rId10" Type="http://schemas.openxmlformats.org/officeDocument/2006/relationships/hyperlink" Target="http://www.nevo.co.il/law/4216/37a" TargetMode="External"/><Relationship Id="rId19" Type="http://schemas.openxmlformats.org/officeDocument/2006/relationships/hyperlink" Target="http://www.nevo.co.il/case/21477662" TargetMode="External"/><Relationship Id="rId31" Type="http://schemas.openxmlformats.org/officeDocument/2006/relationships/hyperlink" Target="http://www.nevo.co.il/case/28334199"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1644133" TargetMode="External"/><Relationship Id="rId27" Type="http://schemas.openxmlformats.org/officeDocument/2006/relationships/hyperlink" Target="http://www.nevo.co.il/case/28689499" TargetMode="External"/><Relationship Id="rId30" Type="http://schemas.openxmlformats.org/officeDocument/2006/relationships/hyperlink" Target="http://www.nevo.co.il/case/27361147" TargetMode="External"/><Relationship Id="rId35" Type="http://schemas.openxmlformats.org/officeDocument/2006/relationships/hyperlink" Target="http://www.nevo.co.il/case/22183077"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092075" TargetMode="External"/><Relationship Id="rId33" Type="http://schemas.openxmlformats.org/officeDocument/2006/relationships/hyperlink" Target="http://www.nevo.co.il/case/27110026" TargetMode="External"/><Relationship Id="rId38"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3375</Words>
  <Characters>16876</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20211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2883709</vt:i4>
      </vt:variant>
      <vt:variant>
        <vt:i4>90</vt:i4>
      </vt:variant>
      <vt:variant>
        <vt:i4>0</vt:i4>
      </vt:variant>
      <vt:variant>
        <vt:i4>5</vt:i4>
      </vt:variant>
      <vt:variant>
        <vt:lpwstr>http://www.nevo.co.il/law/4216/37a</vt:lpwstr>
      </vt:variant>
      <vt:variant>
        <vt:lpwstr/>
      </vt:variant>
      <vt:variant>
        <vt:i4>4128886</vt:i4>
      </vt:variant>
      <vt:variant>
        <vt:i4>87</vt:i4>
      </vt:variant>
      <vt:variant>
        <vt:i4>0</vt:i4>
      </vt:variant>
      <vt:variant>
        <vt:i4>5</vt:i4>
      </vt:variant>
      <vt:variant>
        <vt:lpwstr>http://www.nevo.co.il/case/21924102</vt:lpwstr>
      </vt:variant>
      <vt:variant>
        <vt:lpwstr/>
      </vt:variant>
      <vt:variant>
        <vt:i4>3604606</vt:i4>
      </vt:variant>
      <vt:variant>
        <vt:i4>84</vt:i4>
      </vt:variant>
      <vt:variant>
        <vt:i4>0</vt:i4>
      </vt:variant>
      <vt:variant>
        <vt:i4>5</vt:i4>
      </vt:variant>
      <vt:variant>
        <vt:lpwstr>http://www.nevo.co.il/case/22183077</vt:lpwstr>
      </vt:variant>
      <vt:variant>
        <vt:lpwstr/>
      </vt:variant>
      <vt:variant>
        <vt:i4>3407987</vt:i4>
      </vt:variant>
      <vt:variant>
        <vt:i4>81</vt:i4>
      </vt:variant>
      <vt:variant>
        <vt:i4>0</vt:i4>
      </vt:variant>
      <vt:variant>
        <vt:i4>5</vt:i4>
      </vt:variant>
      <vt:variant>
        <vt:lpwstr>http://www.nevo.co.il/case/25304212</vt:lpwstr>
      </vt:variant>
      <vt:variant>
        <vt:lpwstr/>
      </vt:variant>
      <vt:variant>
        <vt:i4>3211378</vt:i4>
      </vt:variant>
      <vt:variant>
        <vt:i4>78</vt:i4>
      </vt:variant>
      <vt:variant>
        <vt:i4>0</vt:i4>
      </vt:variant>
      <vt:variant>
        <vt:i4>5</vt:i4>
      </vt:variant>
      <vt:variant>
        <vt:lpwstr>http://www.nevo.co.il/case/27110026</vt:lpwstr>
      </vt:variant>
      <vt:variant>
        <vt:lpwstr/>
      </vt:variant>
      <vt:variant>
        <vt:i4>3604595</vt:i4>
      </vt:variant>
      <vt:variant>
        <vt:i4>75</vt:i4>
      </vt:variant>
      <vt:variant>
        <vt:i4>0</vt:i4>
      </vt:variant>
      <vt:variant>
        <vt:i4>5</vt:i4>
      </vt:variant>
      <vt:variant>
        <vt:lpwstr>http://www.nevo.co.il/case/26406170</vt:lpwstr>
      </vt:variant>
      <vt:variant>
        <vt:lpwstr/>
      </vt:variant>
      <vt:variant>
        <vt:i4>3932286</vt:i4>
      </vt:variant>
      <vt:variant>
        <vt:i4>72</vt:i4>
      </vt:variant>
      <vt:variant>
        <vt:i4>0</vt:i4>
      </vt:variant>
      <vt:variant>
        <vt:i4>5</vt:i4>
      </vt:variant>
      <vt:variant>
        <vt:lpwstr>http://www.nevo.co.il/case/28334199</vt:lpwstr>
      </vt:variant>
      <vt:variant>
        <vt:lpwstr/>
      </vt:variant>
      <vt:variant>
        <vt:i4>3407988</vt:i4>
      </vt:variant>
      <vt:variant>
        <vt:i4>69</vt:i4>
      </vt:variant>
      <vt:variant>
        <vt:i4>0</vt:i4>
      </vt:variant>
      <vt:variant>
        <vt:i4>5</vt:i4>
      </vt:variant>
      <vt:variant>
        <vt:lpwstr>http://www.nevo.co.il/case/27361147</vt:lpwstr>
      </vt:variant>
      <vt:variant>
        <vt:lpwstr/>
      </vt:variant>
      <vt:variant>
        <vt:i4>3211388</vt:i4>
      </vt:variant>
      <vt:variant>
        <vt:i4>66</vt:i4>
      </vt:variant>
      <vt:variant>
        <vt:i4>0</vt:i4>
      </vt:variant>
      <vt:variant>
        <vt:i4>5</vt:i4>
      </vt:variant>
      <vt:variant>
        <vt:lpwstr>http://www.nevo.co.il/case/28190928</vt:lpwstr>
      </vt:variant>
      <vt:variant>
        <vt:lpwstr/>
      </vt:variant>
      <vt:variant>
        <vt:i4>3604593</vt:i4>
      </vt:variant>
      <vt:variant>
        <vt:i4>63</vt:i4>
      </vt:variant>
      <vt:variant>
        <vt:i4>0</vt:i4>
      </vt:variant>
      <vt:variant>
        <vt:i4>5</vt:i4>
      </vt:variant>
      <vt:variant>
        <vt:lpwstr>http://www.nevo.co.il/case/19999565</vt:lpwstr>
      </vt:variant>
      <vt:variant>
        <vt:lpwstr/>
      </vt:variant>
      <vt:variant>
        <vt:i4>3407984</vt:i4>
      </vt:variant>
      <vt:variant>
        <vt:i4>60</vt:i4>
      </vt:variant>
      <vt:variant>
        <vt:i4>0</vt:i4>
      </vt:variant>
      <vt:variant>
        <vt:i4>5</vt:i4>
      </vt:variant>
      <vt:variant>
        <vt:lpwstr>http://www.nevo.co.il/case/28689499</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3604600</vt:i4>
      </vt:variant>
      <vt:variant>
        <vt:i4>54</vt:i4>
      </vt:variant>
      <vt:variant>
        <vt:i4>0</vt:i4>
      </vt:variant>
      <vt:variant>
        <vt:i4>5</vt:i4>
      </vt:variant>
      <vt:variant>
        <vt:lpwstr>http://www.nevo.co.il/case/25092075</vt:lpwstr>
      </vt:variant>
      <vt:variant>
        <vt:lpwstr/>
      </vt:variant>
      <vt:variant>
        <vt:i4>3407984</vt:i4>
      </vt:variant>
      <vt:variant>
        <vt:i4>51</vt:i4>
      </vt:variant>
      <vt:variant>
        <vt:i4>0</vt:i4>
      </vt:variant>
      <vt:variant>
        <vt:i4>5</vt:i4>
      </vt:variant>
      <vt:variant>
        <vt:lpwstr>http://www.nevo.co.il/case/5808647</vt:lpwstr>
      </vt:variant>
      <vt:variant>
        <vt:lpwstr/>
      </vt:variant>
      <vt:variant>
        <vt:i4>3604601</vt:i4>
      </vt:variant>
      <vt:variant>
        <vt:i4>48</vt:i4>
      </vt:variant>
      <vt:variant>
        <vt:i4>0</vt:i4>
      </vt:variant>
      <vt:variant>
        <vt:i4>5</vt:i4>
      </vt:variant>
      <vt:variant>
        <vt:lpwstr>http://www.nevo.co.il/case/6145792</vt:lpwstr>
      </vt:variant>
      <vt:variant>
        <vt:lpwstr/>
      </vt:variant>
      <vt:variant>
        <vt:i4>3342448</vt:i4>
      </vt:variant>
      <vt:variant>
        <vt:i4>45</vt:i4>
      </vt:variant>
      <vt:variant>
        <vt:i4>0</vt:i4>
      </vt:variant>
      <vt:variant>
        <vt:i4>5</vt:i4>
      </vt:variant>
      <vt:variant>
        <vt:lpwstr>http://www.nevo.co.il/case/21644133</vt:lpwstr>
      </vt:variant>
      <vt:variant>
        <vt:lpwstr/>
      </vt:variant>
      <vt:variant>
        <vt:i4>3407990</vt:i4>
      </vt:variant>
      <vt:variant>
        <vt:i4>42</vt:i4>
      </vt:variant>
      <vt:variant>
        <vt:i4>0</vt:i4>
      </vt:variant>
      <vt:variant>
        <vt:i4>5</vt:i4>
      </vt:variant>
      <vt:variant>
        <vt:lpwstr>http://www.nevo.co.il/case/5763166</vt:lpwstr>
      </vt:variant>
      <vt:variant>
        <vt:lpwstr/>
      </vt:variant>
      <vt:variant>
        <vt:i4>7995492</vt:i4>
      </vt:variant>
      <vt:variant>
        <vt:i4>39</vt:i4>
      </vt:variant>
      <vt:variant>
        <vt:i4>0</vt:i4>
      </vt:variant>
      <vt:variant>
        <vt:i4>5</vt:i4>
      </vt:variant>
      <vt:variant>
        <vt:lpwstr>http://www.nevo.co.il/law/70301</vt:lpwstr>
      </vt:variant>
      <vt:variant>
        <vt:lpwstr/>
      </vt:variant>
      <vt:variant>
        <vt:i4>3604596</vt:i4>
      </vt:variant>
      <vt:variant>
        <vt:i4>36</vt:i4>
      </vt:variant>
      <vt:variant>
        <vt:i4>0</vt:i4>
      </vt:variant>
      <vt:variant>
        <vt:i4>5</vt:i4>
      </vt:variant>
      <vt:variant>
        <vt:lpwstr>http://www.nevo.co.il/case/21477662</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2025-04-23T00:31:00Z</dcterms:created>
  <dcterms:modified xsi:type="dcterms:W3CDTF">2025-04-23T00:31:00Z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28736</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עלאא אבו מנסי</vt:lpwstr>
  </property>
  <property fmtid="{D5CDD505-2E9C-101B-9397-08002B2CF9AE}" pid="10" name="LAWYER">
    <vt:lpwstr>עדי יזרעאלי;שני דיין</vt:lpwstr>
  </property>
  <property fmtid="{D5CDD505-2E9C-101B-9397-08002B2CF9AE}" pid="11" name="JUDGE">
    <vt:lpwstr>אחינעם צוריאל</vt:lpwstr>
  </property>
  <property fmtid="{D5CDD505-2E9C-101B-9397-08002B2CF9AE}" pid="12" name="CITY">
    <vt:lpwstr>ב"ש</vt:lpwstr>
  </property>
  <property fmtid="{D5CDD505-2E9C-101B-9397-08002B2CF9AE}" pid="13" name="DATE">
    <vt:lpwstr>20221023</vt:lpwstr>
  </property>
  <property fmtid="{D5CDD505-2E9C-101B-9397-08002B2CF9AE}" pid="14" name="TYPE_N_DATE">
    <vt:lpwstr>38020221023</vt:lpwstr>
  </property>
  <property fmtid="{D5CDD505-2E9C-101B-9397-08002B2CF9AE}" pid="15" name="WORDNUMPAGES">
    <vt:lpwstr>10</vt:lpwstr>
  </property>
  <property fmtid="{D5CDD505-2E9C-101B-9397-08002B2CF9AE}" pid="16" name="TYPE_ABS_DATE">
    <vt:lpwstr>380020221023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21477662;5763166;21644133;6145792;5808647;25092075;28689499;19999565;28190928;27361147;28334199;26406170;27110026;25304212;22183077;21924102</vt:lpwstr>
  </property>
  <property fmtid="{D5CDD505-2E9C-101B-9397-08002B2CF9AE}" pid="36" name="LAWLISTTMP1">
    <vt:lpwstr>4216/007.a;007.c;037a</vt:lpwstr>
  </property>
  <property fmtid="{D5CDD505-2E9C-101B-9397-08002B2CF9AE}" pid="37" name="LAWLISTTMP2">
    <vt:lpwstr>70301/186.a;040i</vt:lpwstr>
  </property>
</Properties>
</file>