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54C8A" w:rsidRPr="007F05EC" w14:paraId="753EE87F" w14:textId="77777777" w:rsidTr="008E598F">
        <w:trPr>
          <w:trHeight w:hRule="exact" w:val="418"/>
          <w:jc w:val="center"/>
        </w:trPr>
        <w:tc>
          <w:tcPr>
            <w:tcW w:w="8721" w:type="dxa"/>
            <w:gridSpan w:val="2"/>
          </w:tcPr>
          <w:p w14:paraId="7089E5B9" w14:textId="77777777" w:rsidR="00254C8A" w:rsidRPr="007F05EC" w:rsidRDefault="00254C8A" w:rsidP="00772F29">
            <w:pPr>
              <w:pStyle w:val="a3"/>
              <w:jc w:val="center"/>
              <w:rPr>
                <w:rFonts w:ascii="Tahoma" w:hAnsi="Tahoma" w:cs="Tahoma"/>
                <w:color w:val="000080"/>
                <w:rtl/>
              </w:rPr>
            </w:pPr>
            <w:r w:rsidRPr="007F05EC">
              <w:rPr>
                <w:rFonts w:ascii="Tahoma" w:hAnsi="Tahoma" w:cs="Tahoma"/>
                <w:b/>
                <w:bCs/>
                <w:color w:val="000080"/>
                <w:rtl/>
              </w:rPr>
              <w:t>בית משפט השלום בבאר שבע</w:t>
            </w:r>
          </w:p>
        </w:tc>
      </w:tr>
      <w:tr w:rsidR="00254C8A" w:rsidRPr="007F05EC" w14:paraId="09890B82" w14:textId="77777777" w:rsidTr="008E598F">
        <w:trPr>
          <w:trHeight w:val="337"/>
          <w:jc w:val="center"/>
        </w:trPr>
        <w:tc>
          <w:tcPr>
            <w:tcW w:w="5054" w:type="dxa"/>
          </w:tcPr>
          <w:p w14:paraId="096A4328" w14:textId="77777777" w:rsidR="00254C8A" w:rsidRPr="007F05EC" w:rsidRDefault="00254C8A" w:rsidP="00772F29">
            <w:pPr>
              <w:rPr>
                <w:rFonts w:ascii="David" w:hAnsi="David"/>
                <w:b/>
                <w:bCs/>
                <w:sz w:val="26"/>
                <w:szCs w:val="26"/>
                <w:rtl/>
              </w:rPr>
            </w:pPr>
            <w:r w:rsidRPr="007F05EC">
              <w:rPr>
                <w:rFonts w:ascii="David" w:hAnsi="David"/>
                <w:b/>
                <w:bCs/>
                <w:sz w:val="26"/>
                <w:szCs w:val="26"/>
                <w:rtl/>
              </w:rPr>
              <w:t xml:space="preserve">ת"פ </w:t>
            </w:r>
            <w:hyperlink r:id="rId7" w:history="1">
              <w:r w:rsidR="00D11A64" w:rsidRPr="00D11A64">
                <w:rPr>
                  <w:rFonts w:ascii="David" w:hAnsi="David"/>
                  <w:b/>
                  <w:bCs/>
                  <w:color w:val="0000FF"/>
                  <w:sz w:val="26"/>
                  <w:szCs w:val="26"/>
                  <w:u w:val="single"/>
                  <w:rtl/>
                </w:rPr>
                <w:t xml:space="preserve">38311-03-20 </w:t>
              </w:r>
            </w:hyperlink>
            <w:r w:rsidRPr="007F05EC">
              <w:rPr>
                <w:rFonts w:ascii="David" w:hAnsi="David"/>
                <w:b/>
                <w:bCs/>
                <w:sz w:val="26"/>
                <w:szCs w:val="26"/>
                <w:rtl/>
              </w:rPr>
              <w:t xml:space="preserve"> מדינת ישראל נ' אבו רקייק</w:t>
            </w:r>
          </w:p>
          <w:p w14:paraId="4C9F021D" w14:textId="77777777" w:rsidR="00254C8A" w:rsidRPr="007F05EC" w:rsidRDefault="00254C8A" w:rsidP="00772F29">
            <w:pPr>
              <w:pStyle w:val="a3"/>
              <w:rPr>
                <w:rFonts w:cs="FrankRuehl"/>
                <w:sz w:val="28"/>
                <w:szCs w:val="28"/>
                <w:rtl/>
              </w:rPr>
            </w:pPr>
          </w:p>
        </w:tc>
        <w:tc>
          <w:tcPr>
            <w:tcW w:w="3667" w:type="dxa"/>
          </w:tcPr>
          <w:p w14:paraId="0B20EF4D" w14:textId="77777777" w:rsidR="00254C8A" w:rsidRPr="007F05EC" w:rsidRDefault="00254C8A" w:rsidP="00772F29">
            <w:pPr>
              <w:pStyle w:val="a3"/>
              <w:jc w:val="right"/>
              <w:rPr>
                <w:rFonts w:cs="FrankRuehl"/>
                <w:sz w:val="28"/>
                <w:szCs w:val="28"/>
                <w:rtl/>
              </w:rPr>
            </w:pPr>
          </w:p>
        </w:tc>
      </w:tr>
    </w:tbl>
    <w:p w14:paraId="698B25FC" w14:textId="77777777" w:rsidR="00254C8A" w:rsidRPr="007F05EC" w:rsidRDefault="00254C8A" w:rsidP="00254C8A">
      <w:pPr>
        <w:pStyle w:val="a3"/>
        <w:rPr>
          <w:rtl/>
        </w:rPr>
      </w:pPr>
      <w:r w:rsidRPr="007F05EC">
        <w:rPr>
          <w:rFonts w:hint="cs"/>
          <w:rtl/>
        </w:rPr>
        <w:t xml:space="preserve"> </w:t>
      </w:r>
    </w:p>
    <w:p w14:paraId="1A3D1163" w14:textId="77777777" w:rsidR="00254C8A" w:rsidRPr="007F05EC" w:rsidRDefault="00254C8A" w:rsidP="00254C8A">
      <w:pPr>
        <w:rPr>
          <w:rtl/>
        </w:rPr>
      </w:pPr>
    </w:p>
    <w:p w14:paraId="33D0B877" w14:textId="77777777" w:rsidR="00254C8A" w:rsidRPr="007F05EC" w:rsidRDefault="00254C8A" w:rsidP="00254C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54C8A" w:rsidRPr="007F05EC" w14:paraId="7026E63D" w14:textId="77777777" w:rsidTr="00254C8A">
        <w:trPr>
          <w:trHeight w:val="295"/>
          <w:jc w:val="center"/>
        </w:trPr>
        <w:tc>
          <w:tcPr>
            <w:tcW w:w="923" w:type="dxa"/>
            <w:tcBorders>
              <w:top w:val="nil"/>
              <w:left w:val="nil"/>
              <w:bottom w:val="nil"/>
              <w:right w:val="nil"/>
            </w:tcBorders>
            <w:shd w:val="clear" w:color="auto" w:fill="auto"/>
          </w:tcPr>
          <w:p w14:paraId="69417B3B" w14:textId="77777777" w:rsidR="00254C8A" w:rsidRPr="007F05EC" w:rsidRDefault="00254C8A" w:rsidP="00254C8A">
            <w:pPr>
              <w:jc w:val="both"/>
              <w:rPr>
                <w:rFonts w:ascii="David" w:hAnsi="David"/>
                <w:b/>
                <w:bCs/>
                <w:sz w:val="26"/>
                <w:szCs w:val="26"/>
              </w:rPr>
            </w:pPr>
            <w:r w:rsidRPr="007F05EC">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02163A6" w14:textId="77777777" w:rsidR="00254C8A" w:rsidRPr="007F05EC" w:rsidRDefault="00254C8A" w:rsidP="00772F29">
            <w:pPr>
              <w:rPr>
                <w:rFonts w:ascii="David" w:hAnsi="David"/>
                <w:b/>
                <w:bCs/>
                <w:sz w:val="26"/>
                <w:szCs w:val="26"/>
                <w:rtl/>
              </w:rPr>
            </w:pPr>
            <w:r w:rsidRPr="007F05EC">
              <w:rPr>
                <w:rFonts w:ascii="David" w:hAnsi="David"/>
                <w:b/>
                <w:bCs/>
                <w:sz w:val="26"/>
                <w:szCs w:val="26"/>
                <w:rtl/>
              </w:rPr>
              <w:t>כבוד השופטת, סגנית הנשיא  ענת חולתא</w:t>
            </w:r>
          </w:p>
          <w:p w14:paraId="6BF88948" w14:textId="77777777" w:rsidR="00254C8A" w:rsidRPr="007F05EC" w:rsidRDefault="00254C8A" w:rsidP="00772F29">
            <w:pPr>
              <w:rPr>
                <w:rFonts w:ascii="David" w:hAnsi="David"/>
                <w:b/>
                <w:bCs/>
                <w:sz w:val="26"/>
                <w:szCs w:val="26"/>
                <w:rtl/>
              </w:rPr>
            </w:pPr>
          </w:p>
          <w:p w14:paraId="38B76EEA" w14:textId="77777777" w:rsidR="00254C8A" w:rsidRPr="007F05EC" w:rsidRDefault="00254C8A" w:rsidP="00254C8A">
            <w:pPr>
              <w:jc w:val="both"/>
              <w:rPr>
                <w:rFonts w:ascii="David" w:hAnsi="David"/>
                <w:b/>
                <w:bCs/>
                <w:sz w:val="26"/>
                <w:szCs w:val="26"/>
              </w:rPr>
            </w:pPr>
          </w:p>
        </w:tc>
      </w:tr>
      <w:tr w:rsidR="00254C8A" w:rsidRPr="007F05EC" w14:paraId="6DF29534" w14:textId="77777777" w:rsidTr="00254C8A">
        <w:trPr>
          <w:trHeight w:val="355"/>
          <w:jc w:val="center"/>
        </w:trPr>
        <w:tc>
          <w:tcPr>
            <w:tcW w:w="923" w:type="dxa"/>
            <w:tcBorders>
              <w:top w:val="nil"/>
              <w:left w:val="nil"/>
              <w:bottom w:val="nil"/>
              <w:right w:val="nil"/>
            </w:tcBorders>
            <w:shd w:val="clear" w:color="auto" w:fill="auto"/>
          </w:tcPr>
          <w:p w14:paraId="1F5BAD32" w14:textId="77777777" w:rsidR="00254C8A" w:rsidRPr="007F05EC" w:rsidRDefault="00254C8A" w:rsidP="00254C8A">
            <w:pPr>
              <w:jc w:val="both"/>
              <w:rPr>
                <w:rFonts w:ascii="David" w:hAnsi="David"/>
                <w:b/>
                <w:bCs/>
                <w:sz w:val="26"/>
                <w:szCs w:val="26"/>
              </w:rPr>
            </w:pPr>
            <w:bookmarkStart w:id="0" w:name="FirstAppellant"/>
            <w:bookmarkStart w:id="1" w:name="LastJudge"/>
            <w:bookmarkEnd w:id="1"/>
            <w:r w:rsidRPr="007F05EC">
              <w:rPr>
                <w:rFonts w:ascii="David" w:hAnsi="David"/>
                <w:b/>
                <w:bCs/>
                <w:sz w:val="26"/>
                <w:szCs w:val="26"/>
                <w:rtl/>
              </w:rPr>
              <w:t>בעניין:</w:t>
            </w:r>
          </w:p>
        </w:tc>
        <w:tc>
          <w:tcPr>
            <w:tcW w:w="4126" w:type="dxa"/>
            <w:tcBorders>
              <w:top w:val="nil"/>
              <w:left w:val="nil"/>
              <w:bottom w:val="nil"/>
              <w:right w:val="nil"/>
            </w:tcBorders>
            <w:shd w:val="clear" w:color="auto" w:fill="auto"/>
          </w:tcPr>
          <w:p w14:paraId="1B101488" w14:textId="77777777" w:rsidR="00254C8A" w:rsidRPr="007F05EC" w:rsidRDefault="00254C8A" w:rsidP="00772F29">
            <w:pPr>
              <w:rPr>
                <w:rFonts w:ascii="David" w:hAnsi="David"/>
                <w:b/>
                <w:bCs/>
                <w:sz w:val="26"/>
                <w:szCs w:val="26"/>
              </w:rPr>
            </w:pPr>
            <w:r w:rsidRPr="007F05EC">
              <w:rPr>
                <w:rFonts w:ascii="David" w:hAnsi="David"/>
                <w:b/>
                <w:bCs/>
                <w:sz w:val="26"/>
                <w:szCs w:val="26"/>
                <w:rtl/>
              </w:rPr>
              <w:t>מדינת ישראל</w:t>
            </w:r>
            <w:r w:rsidRPr="007F05EC">
              <w:rPr>
                <w:rFonts w:ascii="David" w:hAnsi="David" w:hint="cs"/>
                <w:b/>
                <w:bCs/>
                <w:sz w:val="26"/>
                <w:szCs w:val="26"/>
                <w:rtl/>
              </w:rPr>
              <w:t>-תביעות נגב</w:t>
            </w:r>
          </w:p>
        </w:tc>
        <w:tc>
          <w:tcPr>
            <w:tcW w:w="3771" w:type="dxa"/>
            <w:tcBorders>
              <w:top w:val="nil"/>
              <w:left w:val="nil"/>
              <w:bottom w:val="nil"/>
              <w:right w:val="nil"/>
            </w:tcBorders>
            <w:shd w:val="clear" w:color="auto" w:fill="auto"/>
          </w:tcPr>
          <w:p w14:paraId="52F0762E" w14:textId="77777777" w:rsidR="00254C8A" w:rsidRPr="007F05EC" w:rsidRDefault="00254C8A" w:rsidP="00254C8A">
            <w:pPr>
              <w:jc w:val="both"/>
              <w:rPr>
                <w:rFonts w:ascii="David" w:hAnsi="David"/>
                <w:b/>
                <w:bCs/>
                <w:sz w:val="26"/>
                <w:szCs w:val="26"/>
              </w:rPr>
            </w:pPr>
          </w:p>
        </w:tc>
      </w:tr>
      <w:tr w:rsidR="00254C8A" w:rsidRPr="007F05EC" w14:paraId="06F066A7" w14:textId="77777777" w:rsidTr="00254C8A">
        <w:trPr>
          <w:trHeight w:val="355"/>
          <w:jc w:val="center"/>
        </w:trPr>
        <w:tc>
          <w:tcPr>
            <w:tcW w:w="923" w:type="dxa"/>
            <w:tcBorders>
              <w:top w:val="nil"/>
              <w:left w:val="nil"/>
              <w:bottom w:val="nil"/>
              <w:right w:val="nil"/>
            </w:tcBorders>
            <w:shd w:val="clear" w:color="auto" w:fill="auto"/>
          </w:tcPr>
          <w:p w14:paraId="0E52EB92" w14:textId="77777777" w:rsidR="00254C8A" w:rsidRPr="007F05EC" w:rsidRDefault="00254C8A" w:rsidP="00254C8A">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1E24074C" w14:textId="77777777" w:rsidR="00254C8A" w:rsidRPr="007F05EC" w:rsidRDefault="00254C8A" w:rsidP="00254C8A">
            <w:pPr>
              <w:jc w:val="both"/>
              <w:rPr>
                <w:rFonts w:ascii="David" w:hAnsi="David"/>
                <w:b/>
                <w:bCs/>
                <w:sz w:val="26"/>
                <w:szCs w:val="26"/>
                <w:rtl/>
              </w:rPr>
            </w:pPr>
            <w:r w:rsidRPr="007F05EC">
              <w:rPr>
                <w:rFonts w:ascii="David" w:hAnsi="David" w:hint="cs"/>
                <w:b/>
                <w:bCs/>
                <w:sz w:val="26"/>
                <w:szCs w:val="26"/>
                <w:rtl/>
              </w:rPr>
              <w:t>ע"י ב"כ עו"ד לי גורמן</w:t>
            </w:r>
          </w:p>
        </w:tc>
        <w:tc>
          <w:tcPr>
            <w:tcW w:w="3771" w:type="dxa"/>
            <w:tcBorders>
              <w:top w:val="nil"/>
              <w:left w:val="nil"/>
              <w:bottom w:val="nil"/>
              <w:right w:val="nil"/>
            </w:tcBorders>
            <w:shd w:val="clear" w:color="auto" w:fill="auto"/>
          </w:tcPr>
          <w:p w14:paraId="6738BE7B" w14:textId="77777777" w:rsidR="00254C8A" w:rsidRPr="007F05EC" w:rsidRDefault="00254C8A" w:rsidP="00254C8A">
            <w:pPr>
              <w:jc w:val="right"/>
              <w:rPr>
                <w:rFonts w:ascii="David" w:hAnsi="David"/>
                <w:b/>
                <w:bCs/>
                <w:sz w:val="26"/>
                <w:szCs w:val="26"/>
                <w:rtl/>
              </w:rPr>
            </w:pPr>
            <w:r w:rsidRPr="007F05EC">
              <w:rPr>
                <w:rFonts w:ascii="David" w:hAnsi="David"/>
                <w:b/>
                <w:bCs/>
                <w:sz w:val="26"/>
                <w:szCs w:val="26"/>
                <w:rtl/>
              </w:rPr>
              <w:t>המאשימה</w:t>
            </w:r>
          </w:p>
        </w:tc>
      </w:tr>
      <w:bookmarkEnd w:id="2"/>
      <w:tr w:rsidR="00254C8A" w:rsidRPr="007F05EC" w14:paraId="393336EF" w14:textId="77777777" w:rsidTr="00254C8A">
        <w:trPr>
          <w:trHeight w:val="355"/>
          <w:jc w:val="center"/>
        </w:trPr>
        <w:tc>
          <w:tcPr>
            <w:tcW w:w="923" w:type="dxa"/>
            <w:tcBorders>
              <w:top w:val="nil"/>
              <w:left w:val="nil"/>
              <w:bottom w:val="nil"/>
              <w:right w:val="nil"/>
            </w:tcBorders>
            <w:shd w:val="clear" w:color="auto" w:fill="auto"/>
          </w:tcPr>
          <w:p w14:paraId="4F9ED2B5" w14:textId="77777777" w:rsidR="00254C8A" w:rsidRPr="007F05EC" w:rsidRDefault="00254C8A" w:rsidP="00254C8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B0652E2" w14:textId="77777777" w:rsidR="00254C8A" w:rsidRPr="007F05EC" w:rsidRDefault="00254C8A" w:rsidP="00254C8A">
            <w:pPr>
              <w:jc w:val="center"/>
              <w:rPr>
                <w:rFonts w:ascii="David" w:hAnsi="David"/>
                <w:b/>
                <w:bCs/>
                <w:sz w:val="26"/>
                <w:szCs w:val="26"/>
                <w:rtl/>
              </w:rPr>
            </w:pPr>
          </w:p>
          <w:p w14:paraId="5CA65582" w14:textId="77777777" w:rsidR="00254C8A" w:rsidRPr="007F05EC" w:rsidRDefault="00254C8A" w:rsidP="00254C8A">
            <w:pPr>
              <w:jc w:val="center"/>
              <w:rPr>
                <w:rFonts w:ascii="David" w:hAnsi="David"/>
                <w:b/>
                <w:bCs/>
                <w:sz w:val="26"/>
                <w:szCs w:val="26"/>
                <w:rtl/>
              </w:rPr>
            </w:pPr>
            <w:r w:rsidRPr="007F05EC">
              <w:rPr>
                <w:rFonts w:ascii="David" w:hAnsi="David"/>
                <w:b/>
                <w:bCs/>
                <w:sz w:val="26"/>
                <w:szCs w:val="26"/>
                <w:rtl/>
              </w:rPr>
              <w:t>נגד</w:t>
            </w:r>
          </w:p>
          <w:p w14:paraId="742B38E9" w14:textId="77777777" w:rsidR="00254C8A" w:rsidRPr="007F05EC" w:rsidRDefault="00254C8A" w:rsidP="00254C8A">
            <w:pPr>
              <w:jc w:val="both"/>
              <w:rPr>
                <w:rFonts w:ascii="David" w:hAnsi="David"/>
                <w:b/>
                <w:bCs/>
                <w:sz w:val="26"/>
                <w:szCs w:val="26"/>
              </w:rPr>
            </w:pPr>
          </w:p>
        </w:tc>
      </w:tr>
      <w:tr w:rsidR="00254C8A" w:rsidRPr="007F05EC" w14:paraId="74D32CED" w14:textId="77777777" w:rsidTr="00254C8A">
        <w:trPr>
          <w:trHeight w:val="355"/>
          <w:jc w:val="center"/>
        </w:trPr>
        <w:tc>
          <w:tcPr>
            <w:tcW w:w="923" w:type="dxa"/>
            <w:tcBorders>
              <w:top w:val="nil"/>
              <w:left w:val="nil"/>
              <w:bottom w:val="nil"/>
              <w:right w:val="nil"/>
            </w:tcBorders>
            <w:shd w:val="clear" w:color="auto" w:fill="auto"/>
          </w:tcPr>
          <w:p w14:paraId="7CCF4510" w14:textId="77777777" w:rsidR="00254C8A" w:rsidRPr="007F05EC" w:rsidRDefault="00254C8A" w:rsidP="00772F29">
            <w:pPr>
              <w:rPr>
                <w:rFonts w:ascii="David" w:hAnsi="David"/>
                <w:b/>
                <w:bCs/>
                <w:sz w:val="26"/>
                <w:szCs w:val="26"/>
                <w:rtl/>
              </w:rPr>
            </w:pPr>
          </w:p>
        </w:tc>
        <w:tc>
          <w:tcPr>
            <w:tcW w:w="4126" w:type="dxa"/>
            <w:tcBorders>
              <w:top w:val="nil"/>
              <w:left w:val="nil"/>
              <w:bottom w:val="nil"/>
              <w:right w:val="nil"/>
            </w:tcBorders>
            <w:shd w:val="clear" w:color="auto" w:fill="auto"/>
          </w:tcPr>
          <w:p w14:paraId="369979A3" w14:textId="77777777" w:rsidR="00254C8A" w:rsidRPr="007F05EC" w:rsidRDefault="00254C8A" w:rsidP="00772F29">
            <w:pPr>
              <w:rPr>
                <w:rFonts w:ascii="David" w:hAnsi="David"/>
                <w:b/>
                <w:bCs/>
                <w:sz w:val="26"/>
                <w:szCs w:val="26"/>
                <w:rtl/>
              </w:rPr>
            </w:pPr>
            <w:r w:rsidRPr="007F05EC">
              <w:rPr>
                <w:rFonts w:ascii="David" w:hAnsi="David"/>
                <w:b/>
                <w:bCs/>
                <w:sz w:val="26"/>
                <w:szCs w:val="26"/>
                <w:rtl/>
              </w:rPr>
              <w:t>אברהים אבו רקייק</w:t>
            </w:r>
            <w:r w:rsidRPr="007F05EC">
              <w:rPr>
                <w:rFonts w:ascii="David" w:hAnsi="David" w:hint="cs"/>
                <w:b/>
                <w:bCs/>
                <w:sz w:val="26"/>
                <w:szCs w:val="26"/>
                <w:rtl/>
              </w:rPr>
              <w:t>-בעצמו</w:t>
            </w:r>
          </w:p>
        </w:tc>
        <w:tc>
          <w:tcPr>
            <w:tcW w:w="3771" w:type="dxa"/>
            <w:tcBorders>
              <w:top w:val="nil"/>
              <w:left w:val="nil"/>
              <w:bottom w:val="nil"/>
              <w:right w:val="nil"/>
            </w:tcBorders>
            <w:shd w:val="clear" w:color="auto" w:fill="auto"/>
          </w:tcPr>
          <w:p w14:paraId="38DC41C0" w14:textId="77777777" w:rsidR="00254C8A" w:rsidRPr="007F05EC" w:rsidRDefault="00254C8A" w:rsidP="00254C8A">
            <w:pPr>
              <w:jc w:val="right"/>
              <w:rPr>
                <w:rFonts w:ascii="David" w:hAnsi="David"/>
                <w:b/>
                <w:bCs/>
                <w:sz w:val="26"/>
                <w:szCs w:val="26"/>
              </w:rPr>
            </w:pPr>
          </w:p>
        </w:tc>
      </w:tr>
      <w:tr w:rsidR="00254C8A" w:rsidRPr="007F05EC" w14:paraId="09801CC0" w14:textId="77777777" w:rsidTr="00254C8A">
        <w:trPr>
          <w:trHeight w:val="355"/>
          <w:jc w:val="center"/>
        </w:trPr>
        <w:tc>
          <w:tcPr>
            <w:tcW w:w="923" w:type="dxa"/>
            <w:tcBorders>
              <w:top w:val="nil"/>
              <w:left w:val="nil"/>
              <w:bottom w:val="nil"/>
              <w:right w:val="nil"/>
            </w:tcBorders>
            <w:shd w:val="clear" w:color="auto" w:fill="auto"/>
          </w:tcPr>
          <w:p w14:paraId="646F798E" w14:textId="77777777" w:rsidR="00254C8A" w:rsidRPr="007F05EC" w:rsidRDefault="00254C8A" w:rsidP="00254C8A">
            <w:pPr>
              <w:jc w:val="both"/>
              <w:rPr>
                <w:rFonts w:ascii="David" w:hAnsi="David"/>
                <w:b/>
                <w:bCs/>
                <w:sz w:val="26"/>
                <w:szCs w:val="26"/>
                <w:rtl/>
              </w:rPr>
            </w:pPr>
          </w:p>
        </w:tc>
        <w:tc>
          <w:tcPr>
            <w:tcW w:w="4126" w:type="dxa"/>
            <w:tcBorders>
              <w:top w:val="nil"/>
              <w:left w:val="nil"/>
              <w:bottom w:val="nil"/>
              <w:right w:val="nil"/>
            </w:tcBorders>
            <w:shd w:val="clear" w:color="auto" w:fill="auto"/>
          </w:tcPr>
          <w:p w14:paraId="2397275C" w14:textId="77777777" w:rsidR="00254C8A" w:rsidRPr="007F05EC" w:rsidRDefault="00254C8A" w:rsidP="00254C8A">
            <w:pPr>
              <w:jc w:val="both"/>
              <w:rPr>
                <w:rFonts w:ascii="David" w:hAnsi="David"/>
                <w:b/>
                <w:bCs/>
                <w:sz w:val="26"/>
                <w:szCs w:val="26"/>
                <w:rtl/>
              </w:rPr>
            </w:pPr>
            <w:r w:rsidRPr="007F05EC">
              <w:rPr>
                <w:rFonts w:ascii="David" w:hAnsi="David" w:hint="cs"/>
                <w:b/>
                <w:bCs/>
                <w:sz w:val="26"/>
                <w:szCs w:val="26"/>
                <w:rtl/>
              </w:rPr>
              <w:t>ע"י ב"כ עו"ד עידו פורת</w:t>
            </w:r>
          </w:p>
        </w:tc>
        <w:tc>
          <w:tcPr>
            <w:tcW w:w="3771" w:type="dxa"/>
            <w:tcBorders>
              <w:top w:val="nil"/>
              <w:left w:val="nil"/>
              <w:bottom w:val="nil"/>
              <w:right w:val="nil"/>
            </w:tcBorders>
            <w:shd w:val="clear" w:color="auto" w:fill="auto"/>
          </w:tcPr>
          <w:p w14:paraId="78CDC80A" w14:textId="77777777" w:rsidR="00254C8A" w:rsidRPr="007F05EC" w:rsidRDefault="00254C8A" w:rsidP="00254C8A">
            <w:pPr>
              <w:jc w:val="right"/>
              <w:rPr>
                <w:rFonts w:ascii="David" w:hAnsi="David"/>
                <w:b/>
                <w:bCs/>
                <w:sz w:val="26"/>
                <w:szCs w:val="26"/>
              </w:rPr>
            </w:pPr>
            <w:r w:rsidRPr="007F05EC">
              <w:rPr>
                <w:rFonts w:ascii="David" w:hAnsi="David"/>
                <w:b/>
                <w:bCs/>
                <w:sz w:val="26"/>
                <w:szCs w:val="26"/>
                <w:rtl/>
              </w:rPr>
              <w:t>הנאשם</w:t>
            </w:r>
          </w:p>
        </w:tc>
      </w:tr>
    </w:tbl>
    <w:p w14:paraId="12DBA1A2" w14:textId="77777777" w:rsidR="008E598F" w:rsidRPr="008E598F" w:rsidRDefault="008E598F" w:rsidP="008E598F">
      <w:pPr>
        <w:spacing w:before="120" w:after="120" w:line="240" w:lineRule="exact"/>
        <w:ind w:left="283" w:hanging="283"/>
        <w:jc w:val="both"/>
        <w:rPr>
          <w:rFonts w:ascii="FrankRuehl" w:hAnsi="FrankRuehl" w:cs="FrankRuehl"/>
          <w:rtl/>
        </w:rPr>
      </w:pPr>
    </w:p>
    <w:p w14:paraId="0ED479F4" w14:textId="77777777" w:rsidR="00D11A64" w:rsidRPr="00D11A64" w:rsidRDefault="00D11A64" w:rsidP="00D11A64">
      <w:pPr>
        <w:spacing w:before="120" w:after="120" w:line="240" w:lineRule="exact"/>
        <w:ind w:left="283" w:hanging="283"/>
        <w:jc w:val="both"/>
        <w:rPr>
          <w:rFonts w:ascii="FrankRuehl" w:hAnsi="FrankRuehl" w:cs="FrankRuehl"/>
          <w:rtl/>
        </w:rPr>
      </w:pPr>
    </w:p>
    <w:p w14:paraId="08573EAA" w14:textId="77777777" w:rsidR="0065296B" w:rsidRDefault="0065296B" w:rsidP="0065296B">
      <w:pPr>
        <w:rPr>
          <w:sz w:val="26"/>
          <w:szCs w:val="26"/>
          <w:rtl/>
        </w:rPr>
      </w:pPr>
      <w:bookmarkStart w:id="3" w:name="LawTable"/>
      <w:bookmarkEnd w:id="3"/>
    </w:p>
    <w:p w14:paraId="160BBC01" w14:textId="77777777" w:rsidR="0065296B" w:rsidRPr="0065296B" w:rsidRDefault="0065296B" w:rsidP="0065296B">
      <w:pPr>
        <w:spacing w:before="120" w:after="120" w:line="240" w:lineRule="exact"/>
        <w:ind w:left="283" w:hanging="283"/>
        <w:jc w:val="both"/>
        <w:rPr>
          <w:rFonts w:ascii="FrankRuehl" w:hAnsi="FrankRuehl" w:cs="FrankRuehl"/>
          <w:rtl/>
        </w:rPr>
      </w:pPr>
    </w:p>
    <w:p w14:paraId="5B382756" w14:textId="77777777" w:rsidR="0065296B" w:rsidRPr="0065296B" w:rsidRDefault="0065296B" w:rsidP="0065296B">
      <w:pPr>
        <w:spacing w:before="120" w:after="120" w:line="240" w:lineRule="exact"/>
        <w:ind w:left="283" w:hanging="283"/>
        <w:jc w:val="both"/>
        <w:rPr>
          <w:rFonts w:ascii="FrankRuehl" w:hAnsi="FrankRuehl" w:cs="FrankRuehl"/>
          <w:rtl/>
        </w:rPr>
      </w:pPr>
    </w:p>
    <w:p w14:paraId="1449F832" w14:textId="77777777" w:rsidR="0065296B" w:rsidRPr="0065296B" w:rsidRDefault="0065296B" w:rsidP="0065296B">
      <w:pPr>
        <w:spacing w:before="120" w:after="120" w:line="240" w:lineRule="exact"/>
        <w:ind w:left="283" w:hanging="283"/>
        <w:jc w:val="both"/>
        <w:rPr>
          <w:rFonts w:ascii="FrankRuehl" w:hAnsi="FrankRuehl" w:cs="FrankRuehl"/>
          <w:rtl/>
        </w:rPr>
      </w:pPr>
      <w:r w:rsidRPr="0065296B">
        <w:rPr>
          <w:rFonts w:ascii="FrankRuehl" w:hAnsi="FrankRuehl" w:cs="FrankRuehl"/>
          <w:rtl/>
        </w:rPr>
        <w:t xml:space="preserve">חקיקה שאוזכרה: </w:t>
      </w:r>
    </w:p>
    <w:p w14:paraId="74C3437E" w14:textId="77777777" w:rsidR="0065296B" w:rsidRPr="0065296B" w:rsidRDefault="0065296B" w:rsidP="0065296B">
      <w:pPr>
        <w:spacing w:before="120" w:after="120" w:line="240" w:lineRule="exact"/>
        <w:ind w:left="283" w:hanging="283"/>
        <w:jc w:val="both"/>
        <w:rPr>
          <w:rFonts w:ascii="FrankRuehl" w:hAnsi="FrankRuehl" w:cs="FrankRuehl"/>
          <w:rtl/>
        </w:rPr>
      </w:pPr>
      <w:hyperlink r:id="rId8" w:history="1">
        <w:r w:rsidRPr="0065296B">
          <w:rPr>
            <w:rFonts w:ascii="FrankRuehl" w:hAnsi="FrankRuehl" w:cs="FrankRuehl"/>
            <w:color w:val="0000FF"/>
            <w:rtl/>
          </w:rPr>
          <w:t>פקודת הסמים המסוכנים [נוסח חדש], תשל"ג-1973</w:t>
        </w:r>
      </w:hyperlink>
      <w:r w:rsidRPr="0065296B">
        <w:rPr>
          <w:rFonts w:ascii="FrankRuehl" w:hAnsi="FrankRuehl" w:cs="FrankRuehl"/>
          <w:rtl/>
        </w:rPr>
        <w:t xml:space="preserve">: סע'  </w:t>
      </w:r>
      <w:hyperlink r:id="rId9" w:history="1">
        <w:r w:rsidRPr="0065296B">
          <w:rPr>
            <w:rFonts w:ascii="FrankRuehl" w:hAnsi="FrankRuehl" w:cs="FrankRuehl"/>
            <w:color w:val="0000FF"/>
            <w:rtl/>
          </w:rPr>
          <w:t>6</w:t>
        </w:r>
      </w:hyperlink>
      <w:r w:rsidRPr="0065296B">
        <w:rPr>
          <w:rFonts w:ascii="FrankRuehl" w:hAnsi="FrankRuehl" w:cs="FrankRuehl"/>
          <w:rtl/>
        </w:rPr>
        <w:t xml:space="preserve">, </w:t>
      </w:r>
      <w:hyperlink r:id="rId10" w:history="1">
        <w:r w:rsidRPr="0065296B">
          <w:rPr>
            <w:rFonts w:ascii="FrankRuehl" w:hAnsi="FrankRuehl" w:cs="FrankRuehl"/>
            <w:color w:val="0000FF"/>
            <w:rtl/>
          </w:rPr>
          <w:t>7(א)</w:t>
        </w:r>
      </w:hyperlink>
      <w:r w:rsidRPr="0065296B">
        <w:rPr>
          <w:rFonts w:ascii="FrankRuehl" w:hAnsi="FrankRuehl" w:cs="FrankRuehl"/>
          <w:rtl/>
        </w:rPr>
        <w:t xml:space="preserve">, </w:t>
      </w:r>
      <w:hyperlink r:id="rId11" w:history="1">
        <w:r w:rsidRPr="0065296B">
          <w:rPr>
            <w:rFonts w:ascii="FrankRuehl" w:hAnsi="FrankRuehl" w:cs="FrankRuehl"/>
            <w:color w:val="0000FF"/>
            <w:rtl/>
          </w:rPr>
          <w:t>7(ג)</w:t>
        </w:r>
      </w:hyperlink>
    </w:p>
    <w:p w14:paraId="020134DC" w14:textId="77777777" w:rsidR="0065296B" w:rsidRPr="0065296B" w:rsidRDefault="0065296B" w:rsidP="0065296B">
      <w:pPr>
        <w:spacing w:before="120" w:after="120" w:line="240" w:lineRule="exact"/>
        <w:ind w:left="283" w:hanging="283"/>
        <w:jc w:val="both"/>
        <w:rPr>
          <w:rFonts w:ascii="FrankRuehl" w:hAnsi="FrankRuehl" w:cs="FrankRuehl"/>
          <w:rtl/>
        </w:rPr>
      </w:pPr>
      <w:hyperlink r:id="rId12" w:history="1">
        <w:r w:rsidRPr="0065296B">
          <w:rPr>
            <w:rFonts w:ascii="FrankRuehl" w:hAnsi="FrankRuehl" w:cs="FrankRuehl"/>
            <w:color w:val="0000FF"/>
            <w:rtl/>
          </w:rPr>
          <w:t>חוק העונשין, תשל"ז-1977</w:t>
        </w:r>
      </w:hyperlink>
      <w:r w:rsidRPr="0065296B">
        <w:rPr>
          <w:rFonts w:ascii="FrankRuehl" w:hAnsi="FrankRuehl" w:cs="FrankRuehl"/>
          <w:rtl/>
        </w:rPr>
        <w:t xml:space="preserve">: סע'  </w:t>
      </w:r>
      <w:hyperlink r:id="rId13" w:history="1">
        <w:r w:rsidRPr="0065296B">
          <w:rPr>
            <w:rFonts w:ascii="FrankRuehl" w:hAnsi="FrankRuehl" w:cs="FrankRuehl"/>
            <w:color w:val="0000FF"/>
            <w:rtl/>
          </w:rPr>
          <w:t>40ד(א)</w:t>
        </w:r>
      </w:hyperlink>
    </w:p>
    <w:p w14:paraId="0355879C" w14:textId="77777777" w:rsidR="0065296B" w:rsidRPr="0065296B" w:rsidRDefault="0065296B" w:rsidP="0065296B">
      <w:pPr>
        <w:rPr>
          <w:sz w:val="26"/>
          <w:szCs w:val="26"/>
          <w:rtl/>
        </w:rPr>
      </w:pPr>
      <w:bookmarkStart w:id="4" w:name="LawTable_End"/>
      <w:bookmarkEnd w:id="4"/>
    </w:p>
    <w:p w14:paraId="03401B2F" w14:textId="77777777" w:rsidR="00254C8A" w:rsidRPr="00D11A64" w:rsidRDefault="00254C8A" w:rsidP="00D11A6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4C8A" w14:paraId="7BD59961" w14:textId="77777777" w:rsidTr="00254C8A">
        <w:trPr>
          <w:trHeight w:val="355"/>
          <w:jc w:val="center"/>
        </w:trPr>
        <w:tc>
          <w:tcPr>
            <w:tcW w:w="8820" w:type="dxa"/>
            <w:tcBorders>
              <w:top w:val="nil"/>
              <w:left w:val="nil"/>
              <w:bottom w:val="nil"/>
              <w:right w:val="nil"/>
            </w:tcBorders>
            <w:shd w:val="clear" w:color="auto" w:fill="auto"/>
          </w:tcPr>
          <w:p w14:paraId="4D5F8454" w14:textId="77777777" w:rsidR="007F05EC" w:rsidRPr="007F05EC" w:rsidRDefault="007F05EC" w:rsidP="007F05EC">
            <w:pPr>
              <w:jc w:val="center"/>
              <w:rPr>
                <w:rFonts w:ascii="David" w:hAnsi="David"/>
                <w:b/>
                <w:bCs/>
                <w:sz w:val="32"/>
                <w:szCs w:val="32"/>
                <w:u w:val="single"/>
                <w:rtl/>
              </w:rPr>
            </w:pPr>
            <w:bookmarkStart w:id="5" w:name="PsakDin" w:colFirst="0" w:colLast="0"/>
            <w:r w:rsidRPr="007F05EC">
              <w:rPr>
                <w:rFonts w:ascii="David" w:hAnsi="David"/>
                <w:b/>
                <w:bCs/>
                <w:sz w:val="32"/>
                <w:szCs w:val="32"/>
                <w:u w:val="single"/>
                <w:rtl/>
              </w:rPr>
              <w:t>גזר דין</w:t>
            </w:r>
          </w:p>
          <w:p w14:paraId="64646DCF" w14:textId="77777777" w:rsidR="00254C8A" w:rsidRPr="007F05EC" w:rsidRDefault="00254C8A" w:rsidP="007F05EC">
            <w:pPr>
              <w:jc w:val="center"/>
              <w:rPr>
                <w:rFonts w:ascii="David" w:hAnsi="David"/>
                <w:bCs/>
                <w:sz w:val="32"/>
                <w:szCs w:val="32"/>
                <w:u w:val="single"/>
                <w:rtl/>
              </w:rPr>
            </w:pPr>
          </w:p>
        </w:tc>
      </w:tr>
      <w:bookmarkEnd w:id="5"/>
    </w:tbl>
    <w:p w14:paraId="4C6A0FC1" w14:textId="77777777" w:rsidR="00254C8A" w:rsidRPr="002B7D23" w:rsidRDefault="00254C8A" w:rsidP="00254C8A">
      <w:pPr>
        <w:rPr>
          <w:rFonts w:ascii="David" w:hAnsi="David"/>
          <w:sz w:val="26"/>
          <w:szCs w:val="26"/>
          <w:rtl/>
        </w:rPr>
      </w:pPr>
    </w:p>
    <w:p w14:paraId="1BEB4026" w14:textId="77777777" w:rsidR="00254C8A" w:rsidRPr="002B7D23" w:rsidRDefault="00254C8A" w:rsidP="00254C8A">
      <w:pPr>
        <w:rPr>
          <w:rFonts w:ascii="David" w:hAnsi="David"/>
          <w:sz w:val="26"/>
          <w:szCs w:val="26"/>
          <w:rtl/>
        </w:rPr>
      </w:pPr>
    </w:p>
    <w:p w14:paraId="2B08ADE6" w14:textId="77777777" w:rsidR="00254C8A" w:rsidRPr="00254C8A" w:rsidRDefault="00254C8A" w:rsidP="00254C8A">
      <w:pPr>
        <w:spacing w:after="160" w:line="360" w:lineRule="auto"/>
        <w:jc w:val="both"/>
        <w:rPr>
          <w:rFonts w:ascii="Calibri" w:hAnsi="Calibri"/>
          <w:b/>
          <w:bCs/>
          <w:u w:val="single"/>
          <w:rtl/>
        </w:rPr>
      </w:pPr>
      <w:r w:rsidRPr="00254C8A">
        <w:rPr>
          <w:rFonts w:ascii="Calibri" w:hAnsi="Calibri" w:hint="eastAsia"/>
          <w:b/>
          <w:bCs/>
          <w:u w:val="single"/>
          <w:rtl/>
        </w:rPr>
        <w:t>רקע</w:t>
      </w:r>
    </w:p>
    <w:p w14:paraId="07041DF6" w14:textId="77777777" w:rsidR="00254C8A" w:rsidRPr="002430E6" w:rsidRDefault="00254C8A" w:rsidP="00254C8A">
      <w:pPr>
        <w:numPr>
          <w:ilvl w:val="0"/>
          <w:numId w:val="1"/>
        </w:numPr>
        <w:snapToGrid w:val="0"/>
        <w:spacing w:line="360" w:lineRule="auto"/>
        <w:contextualSpacing/>
        <w:jc w:val="both"/>
        <w:rPr>
          <w:lang w:eastAsia="he-IL"/>
        </w:rPr>
      </w:pPr>
      <w:bookmarkStart w:id="6" w:name="ABSTRACT_START"/>
      <w:bookmarkEnd w:id="6"/>
      <w:r w:rsidRPr="002430E6">
        <w:rPr>
          <w:rtl/>
          <w:lang w:eastAsia="he-IL"/>
        </w:rPr>
        <w:t xml:space="preserve">ביום 8.6.20 הורשע הנאשם על פי הודאתו בעובדות כתב האישום המתוקן בעבירה של </w:t>
      </w:r>
      <w:r w:rsidRPr="002430E6">
        <w:rPr>
          <w:b/>
          <w:bCs/>
          <w:rtl/>
          <w:lang w:eastAsia="he-IL"/>
        </w:rPr>
        <w:t xml:space="preserve">גידול, ייצור, הכנת סמים מסוכנים, </w:t>
      </w:r>
      <w:r w:rsidRPr="002430E6">
        <w:rPr>
          <w:rtl/>
          <w:lang w:eastAsia="he-IL"/>
        </w:rPr>
        <w:t xml:space="preserve">עבירה לפי </w:t>
      </w:r>
      <w:hyperlink r:id="rId14" w:history="1">
        <w:r w:rsidR="008E598F" w:rsidRPr="008E598F">
          <w:rPr>
            <w:rStyle w:val="Hyperlink"/>
            <w:rtl/>
            <w:lang w:eastAsia="he-IL"/>
          </w:rPr>
          <w:t>סעיף 6</w:t>
        </w:r>
      </w:hyperlink>
      <w:r w:rsidRPr="002430E6">
        <w:rPr>
          <w:rtl/>
          <w:lang w:eastAsia="he-IL"/>
        </w:rPr>
        <w:t xml:space="preserve"> ל</w:t>
      </w:r>
      <w:hyperlink r:id="rId15" w:history="1">
        <w:r w:rsidR="007F05EC" w:rsidRPr="007F05EC">
          <w:rPr>
            <w:color w:val="0000FF"/>
            <w:u w:val="single"/>
            <w:rtl/>
            <w:lang w:eastAsia="he-IL"/>
          </w:rPr>
          <w:t>פקודת הסמים המסוכנים</w:t>
        </w:r>
      </w:hyperlink>
      <w:r w:rsidRPr="002430E6">
        <w:rPr>
          <w:rtl/>
          <w:lang w:eastAsia="he-IL"/>
        </w:rPr>
        <w:t xml:space="preserve"> (נוסח חדש) תשל"ג-1973 ו</w:t>
      </w:r>
      <w:r w:rsidRPr="002430E6">
        <w:rPr>
          <w:b/>
          <w:bCs/>
          <w:rtl/>
          <w:lang w:eastAsia="he-IL"/>
        </w:rPr>
        <w:t xml:space="preserve">החזקת סם שלא לצריכה עצמית </w:t>
      </w:r>
      <w:r w:rsidRPr="002430E6">
        <w:rPr>
          <w:rtl/>
          <w:lang w:eastAsia="he-IL"/>
        </w:rPr>
        <w:t xml:space="preserve">לפי </w:t>
      </w:r>
      <w:hyperlink r:id="rId16" w:history="1">
        <w:r w:rsidR="008E598F" w:rsidRPr="008E598F">
          <w:rPr>
            <w:rStyle w:val="Hyperlink"/>
            <w:rtl/>
            <w:lang w:eastAsia="he-IL"/>
          </w:rPr>
          <w:t>סעיפים 7(א)</w:t>
        </w:r>
      </w:hyperlink>
      <w:r w:rsidRPr="002430E6">
        <w:rPr>
          <w:rtl/>
          <w:lang w:eastAsia="he-IL"/>
        </w:rPr>
        <w:t xml:space="preserve"> ו</w:t>
      </w:r>
      <w:hyperlink r:id="rId17" w:history="1">
        <w:r w:rsidR="008E598F" w:rsidRPr="008E598F">
          <w:rPr>
            <w:rStyle w:val="Hyperlink"/>
            <w:rtl/>
            <w:lang w:eastAsia="he-IL"/>
          </w:rPr>
          <w:t>7(ג)</w:t>
        </w:r>
      </w:hyperlink>
      <w:r w:rsidRPr="002430E6">
        <w:rPr>
          <w:rtl/>
          <w:lang w:eastAsia="he-IL"/>
        </w:rPr>
        <w:t xml:space="preserve"> רישא לפקודה.</w:t>
      </w:r>
    </w:p>
    <w:p w14:paraId="43FE0BD5" w14:textId="77777777" w:rsidR="00254C8A" w:rsidRPr="002430E6" w:rsidRDefault="00254C8A" w:rsidP="00254C8A">
      <w:pPr>
        <w:snapToGrid w:val="0"/>
        <w:spacing w:line="360" w:lineRule="auto"/>
        <w:ind w:left="786"/>
        <w:contextualSpacing/>
        <w:jc w:val="both"/>
        <w:rPr>
          <w:rtl/>
          <w:lang w:eastAsia="he-IL"/>
        </w:rPr>
      </w:pPr>
      <w:bookmarkStart w:id="7" w:name="ABSTRACT_END"/>
      <w:bookmarkEnd w:id="7"/>
    </w:p>
    <w:p w14:paraId="0418BD54"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 xml:space="preserve">על פי עובדות כתב האישום המתוקן, ביום 9.3.20 גידל הנאשם בביתו בתל-שבע 24 שתילי קנבוס במשקל 3 גרם, במעבדה מאולתרת שהקים בביתו תוך שימוש באמצעים שונים. כמו כן </w:t>
      </w:r>
      <w:r w:rsidRPr="002430E6">
        <w:rPr>
          <w:rtl/>
          <w:lang w:eastAsia="he-IL"/>
        </w:rPr>
        <w:lastRenderedPageBreak/>
        <w:t>החזיק בחצר האחורית של הבית בשקים ובה קנבוס במשקל 59 גרם וחשיש במשקל 96.74 גרם. כן החזיק סמוך לרכבו בחשיש במשקל 15.4 גרם.</w:t>
      </w:r>
    </w:p>
    <w:p w14:paraId="4423F5EA" w14:textId="77777777" w:rsidR="00254C8A" w:rsidRPr="002430E6" w:rsidRDefault="00254C8A" w:rsidP="00254C8A">
      <w:pPr>
        <w:snapToGrid w:val="0"/>
        <w:ind w:left="720"/>
        <w:contextualSpacing/>
        <w:rPr>
          <w:rtl/>
          <w:lang w:eastAsia="he-IL"/>
        </w:rPr>
      </w:pPr>
    </w:p>
    <w:p w14:paraId="329DE6E7" w14:textId="77777777" w:rsidR="00254C8A" w:rsidRPr="002430E6" w:rsidRDefault="00254C8A" w:rsidP="00254C8A">
      <w:pPr>
        <w:snapToGrid w:val="0"/>
        <w:ind w:left="720"/>
        <w:contextualSpacing/>
        <w:rPr>
          <w:rtl/>
          <w:lang w:eastAsia="he-IL"/>
        </w:rPr>
      </w:pPr>
    </w:p>
    <w:p w14:paraId="6EAFFE09"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 xml:space="preserve">בהתאם להסדר הדיוני אליו הגיעו הצדדים, שירות המבחן התבקש להכין תסקיר לעונש בעניינו של הנאשם וכן הופנה הנאשם לקבלת חוות דעת ממונה.  </w:t>
      </w:r>
    </w:p>
    <w:p w14:paraId="70B1A277" w14:textId="77777777" w:rsidR="00254C8A" w:rsidRPr="002430E6" w:rsidRDefault="00254C8A" w:rsidP="00254C8A">
      <w:pPr>
        <w:snapToGrid w:val="0"/>
        <w:ind w:left="720"/>
        <w:contextualSpacing/>
        <w:rPr>
          <w:rtl/>
          <w:lang w:eastAsia="he-IL"/>
        </w:rPr>
      </w:pPr>
    </w:p>
    <w:p w14:paraId="69B2B187"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בתסקיר מיום 19.10.20 שירות המבחן עמד על הרקע לביצוע העבירות כתוצאה ממצוקה אישית ועל רקע תרבותי בו מצוי הנאשם. הודגשו תחושת הבושה, חשיבות הצורך בשמירה על תדמית חיובית וההגנה על כבוד אביו שהביאו את הנאשם לבצע בחירה מוטעית ולא נורמטיבית. שירות המבחן עמד על הסיכויים לשיקום במקרה זה ובה בהמלצה לדחייה לצורך שילוב הנאשם במערך מסירת בדיקות שתן ומסגרת טיפולית.</w:t>
      </w:r>
    </w:p>
    <w:p w14:paraId="07518374" w14:textId="77777777" w:rsidR="00254C8A" w:rsidRPr="002430E6" w:rsidRDefault="00254C8A" w:rsidP="00254C8A">
      <w:pPr>
        <w:snapToGrid w:val="0"/>
        <w:ind w:left="720"/>
        <w:contextualSpacing/>
        <w:rPr>
          <w:rtl/>
          <w:lang w:eastAsia="he-IL"/>
        </w:rPr>
      </w:pPr>
    </w:p>
    <w:p w14:paraId="5D2CB2D5"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בתסקיר מיום 5.1.21 נמסר, כי בשל נסיבות שאינן קשורות בנאשם טרם שולב בהליך טיפולי. בתסקיר מיום 16.2.21 נמסר, כי הנאשם נמצא בשלב ראשוני של שילוב בטיפול וכי בדיקות שתן של הנאשם נקיות משרידי סם. בתסקיר מיום 25.5.21 נמסר, כי עד כה נערכו שני מפגשים בלבד במסגרת הקבוצה הטיפולית אליה הנאשם הגיע ושיתף פעולה. נמסר על אי בהירות בנושא צריכת הסמים על רקע הימצאות שרידי סם בשתיים מתוך כלל הבדיקות שנלקחו, כאשר הנאשם מכחיש בתוקף שימוש בסמים (האחת בתחילת התקופה והשניה בסמוך למועד הגשת התסקיר האחרון). כמו כן דווח על אי התמדה בשמירה על קשר עם קצינת המבחן. שירות המבחן ביקש תקופת דחייה נוספת בטרם תינתן המלצה סופית לעונש.</w:t>
      </w:r>
    </w:p>
    <w:p w14:paraId="16D59057" w14:textId="77777777" w:rsidR="00254C8A" w:rsidRPr="002430E6" w:rsidRDefault="00254C8A" w:rsidP="00254C8A">
      <w:pPr>
        <w:snapToGrid w:val="0"/>
        <w:ind w:left="720"/>
        <w:contextualSpacing/>
        <w:rPr>
          <w:rtl/>
          <w:lang w:eastAsia="he-IL"/>
        </w:rPr>
      </w:pPr>
    </w:p>
    <w:p w14:paraId="1A0F0FDB"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בפתח הדיון בפניי ביום 30.5.21 לבקשת הצדדים הופנה הנאשם לקבלת חוות דעת ממונה. על פי חוות הדעת הנאשם מתאים לביצוע עבודות שירות.</w:t>
      </w:r>
    </w:p>
    <w:p w14:paraId="4EE00B84" w14:textId="77777777" w:rsidR="00254C8A" w:rsidRPr="002430E6" w:rsidRDefault="00254C8A" w:rsidP="00254C8A">
      <w:pPr>
        <w:snapToGrid w:val="0"/>
        <w:spacing w:line="360" w:lineRule="auto"/>
        <w:ind w:left="360"/>
        <w:contextualSpacing/>
        <w:jc w:val="both"/>
        <w:rPr>
          <w:rtl/>
          <w:lang w:eastAsia="he-IL"/>
        </w:rPr>
      </w:pPr>
    </w:p>
    <w:p w14:paraId="0426A152" w14:textId="77777777" w:rsidR="00254C8A" w:rsidRPr="00254C8A" w:rsidRDefault="00254C8A" w:rsidP="00254C8A">
      <w:pPr>
        <w:spacing w:after="160" w:line="360" w:lineRule="auto"/>
        <w:jc w:val="both"/>
        <w:rPr>
          <w:rFonts w:ascii="Calibri" w:hAnsi="Calibri"/>
          <w:b/>
          <w:bCs/>
          <w:u w:val="single"/>
          <w:rtl/>
        </w:rPr>
      </w:pPr>
      <w:r w:rsidRPr="00254C8A">
        <w:rPr>
          <w:rFonts w:ascii="Calibri" w:hAnsi="Calibri" w:hint="eastAsia"/>
          <w:b/>
          <w:bCs/>
          <w:u w:val="single"/>
          <w:rtl/>
        </w:rPr>
        <w:t>עדויות</w:t>
      </w:r>
      <w:r w:rsidRPr="00254C8A">
        <w:rPr>
          <w:rFonts w:ascii="Calibri" w:hAnsi="Calibri"/>
          <w:b/>
          <w:bCs/>
          <w:u w:val="single"/>
          <w:rtl/>
        </w:rPr>
        <w:t xml:space="preserve"> </w:t>
      </w:r>
      <w:r w:rsidRPr="00254C8A">
        <w:rPr>
          <w:rFonts w:ascii="Calibri" w:hAnsi="Calibri" w:hint="eastAsia"/>
          <w:b/>
          <w:bCs/>
          <w:u w:val="single"/>
          <w:rtl/>
        </w:rPr>
        <w:t>וראיות</w:t>
      </w:r>
      <w:r w:rsidRPr="00254C8A">
        <w:rPr>
          <w:rFonts w:ascii="Calibri" w:hAnsi="Calibri"/>
          <w:b/>
          <w:bCs/>
          <w:u w:val="single"/>
          <w:rtl/>
        </w:rPr>
        <w:t xml:space="preserve"> </w:t>
      </w:r>
      <w:r w:rsidRPr="00254C8A">
        <w:rPr>
          <w:rFonts w:ascii="Calibri" w:hAnsi="Calibri" w:hint="eastAsia"/>
          <w:b/>
          <w:bCs/>
          <w:u w:val="single"/>
          <w:rtl/>
        </w:rPr>
        <w:t>לעונש</w:t>
      </w:r>
    </w:p>
    <w:p w14:paraId="59077C83" w14:textId="77777777" w:rsidR="00254C8A" w:rsidRPr="002430E6" w:rsidRDefault="00254C8A" w:rsidP="00254C8A">
      <w:pPr>
        <w:numPr>
          <w:ilvl w:val="0"/>
          <w:numId w:val="1"/>
        </w:numPr>
        <w:snapToGrid w:val="0"/>
        <w:spacing w:line="360" w:lineRule="auto"/>
        <w:contextualSpacing/>
        <w:jc w:val="both"/>
        <w:rPr>
          <w:lang w:eastAsia="he-IL"/>
        </w:rPr>
      </w:pPr>
      <w:r w:rsidRPr="002430E6">
        <w:rPr>
          <w:b/>
          <w:bCs/>
          <w:rtl/>
          <w:lang w:eastAsia="he-IL"/>
        </w:rPr>
        <w:t xml:space="preserve">המאשימה </w:t>
      </w:r>
      <w:r w:rsidRPr="002430E6">
        <w:rPr>
          <w:rtl/>
          <w:lang w:eastAsia="he-IL"/>
        </w:rPr>
        <w:t>הגישה טיעון לעונש בכתב. בשים לב לערכים המוגנים, למדיניות הענישה הנוהגת אליה הפנתה ולמידת הפגיעה בערכים המוגנים במקרה זה, עותרת המאשימה למתחם של 8-18 חודשי מאסר ועונשים נלווים. בתוך המתחם, עותרת להטיל על הנאשם עונש בתחתית המתחם.</w:t>
      </w:r>
    </w:p>
    <w:p w14:paraId="0F409080" w14:textId="77777777" w:rsidR="00254C8A" w:rsidRPr="002430E6" w:rsidRDefault="00254C8A" w:rsidP="00254C8A">
      <w:pPr>
        <w:numPr>
          <w:ilvl w:val="0"/>
          <w:numId w:val="1"/>
        </w:numPr>
        <w:snapToGrid w:val="0"/>
        <w:spacing w:line="360" w:lineRule="auto"/>
        <w:contextualSpacing/>
        <w:jc w:val="both"/>
        <w:rPr>
          <w:lang w:eastAsia="he-IL"/>
        </w:rPr>
      </w:pPr>
      <w:r w:rsidRPr="002430E6">
        <w:rPr>
          <w:b/>
          <w:bCs/>
          <w:rtl/>
          <w:lang w:eastAsia="he-IL"/>
        </w:rPr>
        <w:t xml:space="preserve">ב"כ הנאשם </w:t>
      </w:r>
      <w:r w:rsidRPr="002430E6">
        <w:rPr>
          <w:rtl/>
          <w:lang w:eastAsia="he-IL"/>
        </w:rPr>
        <w:t>הפנה לנסיבות ביצוע העבירה, כי מדובר במעבדה מאולתרת ולכמויות סם שאינם מן הגבוהות. נטען לרקע האישי של הנאשם כעולה מתסקירי שירות המבחן ולכך שהנאשם מביע צער וחרטה. הנאשם מורתע מההליך הפלילי. אין לנאשם הרשעות קודמות ולא נפחו תיקים חדשים. הנאשם שהה בתנאים מגבילים תקופה משמעותית. הנאשם לא שולב בהליך טיפולי באופן מלא, חרף רצונו בשל נסיבות חיצוניות, מבלי להמעיט בחלקו של הנאשם. נטען, כי במקרה זה המתחם צריך להתחיל בענישה צופה פני עתיד ויש להסתפק בכך במכלול הנסיבות. ב"כ הנאשם הפנה לאסמכתאות בעניין זה.</w:t>
      </w:r>
    </w:p>
    <w:p w14:paraId="3AF428FC" w14:textId="77777777" w:rsidR="00254C8A" w:rsidRPr="002430E6" w:rsidRDefault="00254C8A" w:rsidP="00254C8A">
      <w:pPr>
        <w:numPr>
          <w:ilvl w:val="0"/>
          <w:numId w:val="1"/>
        </w:numPr>
        <w:snapToGrid w:val="0"/>
        <w:spacing w:line="360" w:lineRule="auto"/>
        <w:contextualSpacing/>
        <w:jc w:val="both"/>
        <w:rPr>
          <w:lang w:eastAsia="he-IL"/>
        </w:rPr>
      </w:pPr>
      <w:r w:rsidRPr="002430E6">
        <w:rPr>
          <w:b/>
          <w:bCs/>
          <w:rtl/>
          <w:lang w:eastAsia="he-IL"/>
        </w:rPr>
        <w:lastRenderedPageBreak/>
        <w:t xml:space="preserve">הנאשם </w:t>
      </w:r>
      <w:r w:rsidRPr="002430E6">
        <w:rPr>
          <w:rtl/>
          <w:lang w:eastAsia="he-IL"/>
        </w:rPr>
        <w:t>בעצמו הביע צער על הטעות שעשה ורצון להצליח ולהתקדם בחייו.</w:t>
      </w:r>
    </w:p>
    <w:p w14:paraId="43D52503" w14:textId="77777777" w:rsidR="00254C8A" w:rsidRPr="00254C8A" w:rsidRDefault="00254C8A" w:rsidP="00254C8A">
      <w:pPr>
        <w:spacing w:after="160" w:line="360" w:lineRule="auto"/>
        <w:jc w:val="both"/>
        <w:rPr>
          <w:rFonts w:ascii="Calibri" w:hAnsi="Calibri"/>
          <w:bCs/>
          <w:u w:val="single"/>
          <w:rtl/>
        </w:rPr>
      </w:pPr>
    </w:p>
    <w:p w14:paraId="62F9B948" w14:textId="77777777" w:rsidR="00254C8A" w:rsidRPr="00254C8A" w:rsidRDefault="00254C8A" w:rsidP="00254C8A">
      <w:pPr>
        <w:spacing w:after="160" w:line="360" w:lineRule="auto"/>
        <w:jc w:val="both"/>
        <w:rPr>
          <w:rFonts w:ascii="Calibri" w:hAnsi="Calibri"/>
          <w:bCs/>
          <w:u w:val="single"/>
          <w:rtl/>
        </w:rPr>
      </w:pPr>
      <w:r w:rsidRPr="00254C8A">
        <w:rPr>
          <w:rFonts w:ascii="Calibri" w:hAnsi="Calibri" w:hint="eastAsia"/>
          <w:bCs/>
          <w:u w:val="single"/>
          <w:rtl/>
        </w:rPr>
        <w:t>דיון</w:t>
      </w:r>
      <w:r w:rsidRPr="00254C8A">
        <w:rPr>
          <w:rFonts w:ascii="Calibri" w:hAnsi="Calibri"/>
          <w:bCs/>
          <w:u w:val="single"/>
          <w:rtl/>
        </w:rPr>
        <w:t xml:space="preserve"> </w:t>
      </w:r>
      <w:r w:rsidRPr="00254C8A">
        <w:rPr>
          <w:rFonts w:ascii="Calibri" w:hAnsi="Calibri" w:hint="eastAsia"/>
          <w:bCs/>
          <w:u w:val="single"/>
          <w:rtl/>
        </w:rPr>
        <w:t>והכרעה</w:t>
      </w:r>
    </w:p>
    <w:p w14:paraId="2145ED27" w14:textId="77777777" w:rsidR="00254C8A" w:rsidRPr="00254C8A" w:rsidRDefault="00254C8A" w:rsidP="00254C8A">
      <w:pPr>
        <w:spacing w:after="160" w:line="360" w:lineRule="auto"/>
        <w:jc w:val="both"/>
        <w:rPr>
          <w:rFonts w:ascii="Calibri" w:hAnsi="Calibri"/>
          <w:u w:val="single"/>
        </w:rPr>
      </w:pPr>
      <w:r w:rsidRPr="00254C8A">
        <w:rPr>
          <w:rFonts w:ascii="Calibri" w:hAnsi="Calibri" w:hint="eastAsia"/>
          <w:u w:val="single"/>
          <w:rtl/>
        </w:rPr>
        <w:t>קביעת</w:t>
      </w:r>
      <w:r w:rsidRPr="00254C8A">
        <w:rPr>
          <w:rFonts w:ascii="Calibri" w:hAnsi="Calibri"/>
          <w:u w:val="single"/>
          <w:rtl/>
        </w:rPr>
        <w:t xml:space="preserve"> </w:t>
      </w:r>
      <w:r w:rsidRPr="00254C8A">
        <w:rPr>
          <w:rFonts w:ascii="Calibri" w:hAnsi="Calibri" w:hint="eastAsia"/>
          <w:u w:val="single"/>
          <w:rtl/>
        </w:rPr>
        <w:t>מתחם</w:t>
      </w:r>
      <w:r w:rsidRPr="00254C8A">
        <w:rPr>
          <w:rFonts w:ascii="Calibri" w:hAnsi="Calibri"/>
          <w:u w:val="single"/>
          <w:rtl/>
        </w:rPr>
        <w:t xml:space="preserve"> </w:t>
      </w:r>
      <w:r w:rsidRPr="00254C8A">
        <w:rPr>
          <w:rFonts w:ascii="Calibri" w:hAnsi="Calibri" w:hint="eastAsia"/>
          <w:u w:val="single"/>
          <w:rtl/>
        </w:rPr>
        <w:t>העונש</w:t>
      </w:r>
      <w:r w:rsidRPr="00254C8A">
        <w:rPr>
          <w:rFonts w:ascii="Calibri" w:hAnsi="Calibri"/>
          <w:u w:val="single"/>
          <w:rtl/>
        </w:rPr>
        <w:t xml:space="preserve"> </w:t>
      </w:r>
      <w:r w:rsidRPr="00254C8A">
        <w:rPr>
          <w:rFonts w:ascii="Calibri" w:hAnsi="Calibri" w:hint="eastAsia"/>
          <w:u w:val="single"/>
          <w:rtl/>
        </w:rPr>
        <w:t>ההולם</w:t>
      </w:r>
      <w:r w:rsidRPr="00254C8A">
        <w:rPr>
          <w:rFonts w:ascii="Calibri" w:hAnsi="Calibri"/>
          <w:u w:val="single"/>
          <w:rtl/>
        </w:rPr>
        <w:t>:</w:t>
      </w:r>
    </w:p>
    <w:p w14:paraId="12A7BD86"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481E74AD" w14:textId="77777777" w:rsidR="00254C8A" w:rsidRPr="002430E6" w:rsidRDefault="00254C8A" w:rsidP="00254C8A">
      <w:pPr>
        <w:snapToGrid w:val="0"/>
        <w:spacing w:line="360" w:lineRule="auto"/>
        <w:ind w:left="360"/>
        <w:contextualSpacing/>
        <w:jc w:val="both"/>
        <w:rPr>
          <w:rtl/>
          <w:lang w:eastAsia="he-IL"/>
        </w:rPr>
      </w:pPr>
    </w:p>
    <w:p w14:paraId="536EF720" w14:textId="77777777" w:rsidR="00254C8A" w:rsidRPr="002430E6" w:rsidRDefault="00254C8A" w:rsidP="00254C8A">
      <w:pPr>
        <w:numPr>
          <w:ilvl w:val="0"/>
          <w:numId w:val="1"/>
        </w:numPr>
        <w:snapToGrid w:val="0"/>
        <w:spacing w:after="200" w:line="360" w:lineRule="auto"/>
        <w:contextualSpacing/>
        <w:jc w:val="both"/>
        <w:rPr>
          <w:rFonts w:ascii="David" w:hAnsi="David"/>
          <w:lang w:eastAsia="he-IL"/>
        </w:rPr>
      </w:pPr>
      <w:r w:rsidRPr="002430E6">
        <w:rPr>
          <w:rFonts w:ascii="David" w:hAnsi="David"/>
          <w:rtl/>
          <w:lang w:eastAsia="he-IL"/>
        </w:rPr>
        <w:t xml:space="preserve">הערכים המוגנים בעבירות סמים הם הגנה על בריאות הציבור ועל שלומו הפיזי והנפשי וכן על רכושו, מפני הנזקים הישירים והעקיפים הנגרמים עקב השימוש בסמים. חקיקת הסמים נועדה לעקור את נגע הסמים מהשורש. והמחוקק מצא להחמיר בעבירות ייצור וגידול הסם ולהשוותן לסחר בסמים, מבחינה נורמטיבית.  בגידול הסמים לצרכי הפצה טמון פוטנציאל לנזק רחב, לא רק למעורבים הישירים בביצוע העבירה ואף לא רק לצרכנים המיועדים, אלא לציבור כולו: לבני המשפחה, לבעלי העסקים והציבור הנפגע מעבירות הרכוש הנלוות לעיתים קרובות לתלות בסם, לציבור המצוי במרחבים הציבוריים שהאווירה ואיכות החיים בהם נפגמת כתוצאה מהתופעה הנרחבת של הפצת הסם. כך, במקומות הבילוי, בכבישי הארץ, בגנים ובפארקים הציבוריים. </w:t>
      </w:r>
    </w:p>
    <w:p w14:paraId="630B5E24" w14:textId="77777777" w:rsidR="00254C8A" w:rsidRPr="002430E6" w:rsidRDefault="00254C8A" w:rsidP="00254C8A">
      <w:pPr>
        <w:numPr>
          <w:ilvl w:val="0"/>
          <w:numId w:val="1"/>
        </w:numPr>
        <w:snapToGrid w:val="0"/>
        <w:spacing w:line="360" w:lineRule="auto"/>
        <w:contextualSpacing/>
        <w:jc w:val="both"/>
        <w:rPr>
          <w:rFonts w:ascii="David" w:hAnsi="David"/>
          <w:lang w:eastAsia="he-IL"/>
        </w:rPr>
      </w:pPr>
      <w:r w:rsidRPr="002430E6">
        <w:rPr>
          <w:rFonts w:ascii="David" w:hAnsi="David"/>
          <w:rtl/>
          <w:lang w:eastAsia="he-IL"/>
        </w:rPr>
        <w:t xml:space="preserve">לעניין זה ראו דבריו הברורים של הרכב בית המשפט המחוזי בתל-אביב במסגרת </w:t>
      </w:r>
      <w:hyperlink r:id="rId18" w:history="1">
        <w:r w:rsidR="007F05EC" w:rsidRPr="007F05EC">
          <w:rPr>
            <w:rFonts w:ascii="David" w:hAnsi="David"/>
            <w:color w:val="0000FF"/>
            <w:u w:val="single"/>
            <w:rtl/>
            <w:lang w:eastAsia="he-IL"/>
          </w:rPr>
          <w:t>עפ"ג 46738-09-14</w:t>
        </w:r>
      </w:hyperlink>
      <w:r w:rsidRPr="002430E6">
        <w:rPr>
          <w:rFonts w:ascii="David" w:hAnsi="David"/>
          <w:rtl/>
          <w:lang w:eastAsia="he-IL"/>
        </w:rPr>
        <w:t xml:space="preserve"> </w:t>
      </w:r>
      <w:r w:rsidRPr="002430E6">
        <w:rPr>
          <w:rFonts w:ascii="David" w:hAnsi="David"/>
          <w:b/>
          <w:bCs/>
          <w:rtl/>
          <w:lang w:eastAsia="he-IL"/>
        </w:rPr>
        <w:t>מדינת ישראל נ' צקבאשווילי ואח'</w:t>
      </w:r>
      <w:r w:rsidRPr="002430E6">
        <w:rPr>
          <w:rFonts w:ascii="David" w:hAnsi="David"/>
          <w:rtl/>
          <w:lang w:eastAsia="he-IL"/>
        </w:rPr>
        <w:t xml:space="preserve"> (31.12.14), אליו הפנתה המאשימה:</w:t>
      </w:r>
    </w:p>
    <w:p w14:paraId="46276AE9" w14:textId="77777777" w:rsidR="00254C8A" w:rsidRPr="002430E6" w:rsidRDefault="00254C8A" w:rsidP="00254C8A">
      <w:pPr>
        <w:snapToGrid w:val="0"/>
        <w:spacing w:line="360" w:lineRule="auto"/>
        <w:ind w:left="360"/>
        <w:contextualSpacing/>
        <w:jc w:val="both"/>
        <w:rPr>
          <w:rFonts w:ascii="David" w:hAnsi="David"/>
          <w:rtl/>
          <w:lang w:eastAsia="he-IL"/>
        </w:rPr>
      </w:pPr>
    </w:p>
    <w:p w14:paraId="713D52B2" w14:textId="77777777" w:rsidR="00254C8A" w:rsidRPr="002430E6" w:rsidRDefault="00254C8A" w:rsidP="00254C8A">
      <w:pPr>
        <w:widowControl w:val="0"/>
        <w:snapToGrid w:val="0"/>
        <w:spacing w:before="60" w:line="360" w:lineRule="auto"/>
        <w:ind w:left="1440" w:right="992"/>
        <w:jc w:val="both"/>
        <w:rPr>
          <w:rFonts w:ascii="David" w:hAnsi="David"/>
          <w:rtl/>
          <w:lang w:eastAsia="he-IL"/>
        </w:rPr>
      </w:pPr>
      <w:r w:rsidRPr="002430E6">
        <w:rPr>
          <w:rFonts w:ascii="David" w:hAnsi="David"/>
          <w:rtl/>
          <w:lang w:eastAsia="he-IL"/>
        </w:rPr>
        <w:t>"</w:t>
      </w:r>
      <w:r w:rsidRPr="002430E6">
        <w:rPr>
          <w:rFonts w:ascii="David" w:hAnsi="David"/>
          <w:b/>
          <w:bCs/>
          <w:rtl/>
          <w:lang w:eastAsia="he-IL"/>
        </w:rPr>
        <w:t>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sidRPr="002430E6">
        <w:rPr>
          <w:rFonts w:ascii="David" w:hAnsi="David"/>
          <w:rtl/>
          <w:lang w:eastAsia="he-IL"/>
        </w:rPr>
        <w:t>".</w:t>
      </w:r>
    </w:p>
    <w:p w14:paraId="589A5FA3" w14:textId="77777777" w:rsidR="00254C8A" w:rsidRPr="002430E6" w:rsidRDefault="00254C8A" w:rsidP="00254C8A">
      <w:pPr>
        <w:widowControl w:val="0"/>
        <w:snapToGrid w:val="0"/>
        <w:spacing w:before="120" w:line="360" w:lineRule="auto"/>
        <w:ind w:left="714"/>
        <w:jc w:val="both"/>
        <w:rPr>
          <w:rFonts w:ascii="David" w:hAnsi="David"/>
          <w:rtl/>
          <w:lang w:eastAsia="he-IL"/>
        </w:rPr>
      </w:pPr>
      <w:r w:rsidRPr="002430E6">
        <w:rPr>
          <w:rFonts w:ascii="David" w:hAnsi="David"/>
          <w:rtl/>
          <w:lang w:eastAsia="he-IL"/>
        </w:rPr>
        <w:t>גם בחלוף השנים, הדברים נכונים וניכרים בעבודתו היומיומית של בית המשפט, ואף ביתר שאת.  ראו עוד גם ב</w:t>
      </w:r>
      <w:hyperlink r:id="rId19" w:history="1">
        <w:r w:rsidR="007F05EC" w:rsidRPr="007F05EC">
          <w:rPr>
            <w:rFonts w:ascii="David" w:hAnsi="David"/>
            <w:color w:val="0000FF"/>
            <w:u w:val="single"/>
            <w:rtl/>
            <w:lang w:eastAsia="he-IL"/>
          </w:rPr>
          <w:t>עפ"ג 42358-10-14</w:t>
        </w:r>
      </w:hyperlink>
      <w:r w:rsidRPr="002430E6">
        <w:rPr>
          <w:rFonts w:ascii="David" w:hAnsi="David"/>
          <w:rtl/>
          <w:lang w:eastAsia="he-IL"/>
        </w:rPr>
        <w:t xml:space="preserve"> </w:t>
      </w:r>
      <w:r w:rsidRPr="002430E6">
        <w:rPr>
          <w:rFonts w:ascii="David" w:hAnsi="David"/>
          <w:b/>
          <w:bCs/>
          <w:rtl/>
          <w:lang w:eastAsia="he-IL"/>
        </w:rPr>
        <w:t xml:space="preserve">גיא נ' מדינת ישראל </w:t>
      </w:r>
      <w:r w:rsidRPr="002430E6">
        <w:rPr>
          <w:rFonts w:ascii="David" w:hAnsi="David"/>
          <w:rtl/>
          <w:lang w:eastAsia="he-IL"/>
        </w:rPr>
        <w:t xml:space="preserve">(18.2.15):  </w:t>
      </w:r>
    </w:p>
    <w:p w14:paraId="3553DC7D" w14:textId="77777777" w:rsidR="00254C8A" w:rsidRPr="002430E6" w:rsidRDefault="00254C8A" w:rsidP="00254C8A">
      <w:pPr>
        <w:widowControl w:val="0"/>
        <w:snapToGrid w:val="0"/>
        <w:spacing w:before="120" w:line="360" w:lineRule="auto"/>
        <w:ind w:left="714"/>
        <w:jc w:val="both"/>
        <w:rPr>
          <w:rFonts w:ascii="David" w:hAnsi="David"/>
          <w:b/>
          <w:bCs/>
          <w:lang w:eastAsia="he-IL"/>
        </w:rPr>
      </w:pPr>
      <w:r w:rsidRPr="002430E6">
        <w:rPr>
          <w:rFonts w:ascii="David" w:hAnsi="David"/>
          <w:rtl/>
          <w:lang w:eastAsia="he-IL"/>
        </w:rPr>
        <w:t xml:space="preserve">  </w:t>
      </w:r>
    </w:p>
    <w:p w14:paraId="6D3E6CF1" w14:textId="77777777" w:rsidR="00254C8A" w:rsidRPr="002430E6" w:rsidRDefault="00254C8A" w:rsidP="00254C8A">
      <w:pPr>
        <w:widowControl w:val="0"/>
        <w:spacing w:before="60" w:after="160" w:line="360" w:lineRule="auto"/>
        <w:ind w:left="1440" w:right="993"/>
        <w:jc w:val="both"/>
        <w:rPr>
          <w:rFonts w:ascii="David" w:hAnsi="David"/>
          <w:b/>
          <w:bCs/>
        </w:rPr>
      </w:pPr>
      <w:r w:rsidRPr="002430E6">
        <w:rPr>
          <w:rFonts w:ascii="David" w:hAnsi="David"/>
          <w:b/>
          <w:bCs/>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p>
    <w:p w14:paraId="0EE648F9" w14:textId="77777777" w:rsidR="00254C8A" w:rsidRPr="002430E6" w:rsidRDefault="00254C8A" w:rsidP="00254C8A">
      <w:pPr>
        <w:numPr>
          <w:ilvl w:val="0"/>
          <w:numId w:val="1"/>
        </w:numPr>
        <w:snapToGrid w:val="0"/>
        <w:spacing w:after="200" w:line="360" w:lineRule="auto"/>
        <w:contextualSpacing/>
        <w:jc w:val="both"/>
        <w:rPr>
          <w:rFonts w:ascii="David" w:hAnsi="David"/>
          <w:lang w:eastAsia="he-IL"/>
        </w:rPr>
      </w:pPr>
      <w:r w:rsidRPr="002430E6">
        <w:rPr>
          <w:rFonts w:ascii="David" w:hAnsi="David"/>
          <w:rtl/>
          <w:lang w:eastAsia="he-IL"/>
        </w:rPr>
        <w:t>בבחינת נסיבות ביצוע העבירה במקרה זה, יש לקחת בחשבון את היקף הגידול שאינו גדול –הן מבחינת מספר השתילים והן מבחינת היקף התשתית. על פי כתב האישום מדובר במעבדה מאולתרת ולא במעבדה מסחרית. נסיבות ביצוע העבירה המתוארות בתסקיר שירות המבחן תומכות במקרה זה בנתוני כתב האישום.</w:t>
      </w:r>
    </w:p>
    <w:p w14:paraId="338A2FD5" w14:textId="77777777" w:rsidR="00254C8A" w:rsidRPr="002430E6" w:rsidRDefault="00254C8A" w:rsidP="00254C8A">
      <w:pPr>
        <w:snapToGrid w:val="0"/>
        <w:spacing w:after="200" w:line="360" w:lineRule="auto"/>
        <w:ind w:left="360"/>
        <w:contextualSpacing/>
        <w:jc w:val="both"/>
        <w:rPr>
          <w:rFonts w:ascii="David" w:hAnsi="David"/>
          <w:rtl/>
          <w:lang w:eastAsia="he-IL"/>
        </w:rPr>
      </w:pPr>
      <w:r w:rsidRPr="002430E6">
        <w:rPr>
          <w:rFonts w:ascii="David" w:hAnsi="David"/>
          <w:rtl/>
          <w:lang w:eastAsia="he-IL"/>
        </w:rPr>
        <w:t>מידת הפגיעה בערכים המוגנים במקרה זה היא, איפוא, ברף הבינוני-נמוך.</w:t>
      </w:r>
    </w:p>
    <w:p w14:paraId="5759BAC5" w14:textId="77777777" w:rsidR="00254C8A" w:rsidRPr="002430E6" w:rsidRDefault="00254C8A" w:rsidP="00254C8A">
      <w:pPr>
        <w:snapToGrid w:val="0"/>
        <w:spacing w:after="200" w:line="360" w:lineRule="auto"/>
        <w:ind w:left="360"/>
        <w:contextualSpacing/>
        <w:jc w:val="both"/>
        <w:rPr>
          <w:rFonts w:ascii="David" w:hAnsi="David"/>
          <w:lang w:eastAsia="he-IL"/>
        </w:rPr>
      </w:pPr>
    </w:p>
    <w:p w14:paraId="285F00D8" w14:textId="77777777" w:rsidR="00254C8A" w:rsidRPr="002430E6" w:rsidRDefault="00254C8A" w:rsidP="00254C8A">
      <w:pPr>
        <w:numPr>
          <w:ilvl w:val="0"/>
          <w:numId w:val="1"/>
        </w:numPr>
        <w:snapToGrid w:val="0"/>
        <w:spacing w:after="200" w:line="360" w:lineRule="auto"/>
        <w:contextualSpacing/>
        <w:jc w:val="both"/>
        <w:rPr>
          <w:rFonts w:ascii="David" w:hAnsi="David"/>
          <w:lang w:eastAsia="he-IL"/>
        </w:rPr>
      </w:pPr>
      <w:r w:rsidRPr="002430E6">
        <w:rPr>
          <w:rFonts w:ascii="David" w:hAnsi="David"/>
          <w:rtl/>
          <w:lang w:eastAsia="he-IL"/>
        </w:rPr>
        <w:t xml:space="preserve">בבחינת </w:t>
      </w:r>
      <w:r w:rsidRPr="002430E6">
        <w:rPr>
          <w:rFonts w:ascii="David" w:hAnsi="David"/>
          <w:b/>
          <w:bCs/>
          <w:rtl/>
          <w:lang w:eastAsia="he-IL"/>
        </w:rPr>
        <w:t xml:space="preserve">מדיניות הענישה הנוהגת </w:t>
      </w:r>
      <w:r w:rsidRPr="002430E6">
        <w:rPr>
          <w:rFonts w:ascii="David" w:hAnsi="David"/>
          <w:rtl/>
          <w:lang w:eastAsia="he-IL"/>
        </w:rPr>
        <w:t>עיינתי באסמכתאות אליהן הפנו ב"כ הצדדים ובפרט באלה שניתנו על ידי ערכאות הערעור המנחות, חלקן גם צוטטו בפסקי הדין של הערכאות הדיוניות.  העיון מלמד, כי במקרים שונים נקבעו מתחמי ענישה במנעד המשקף בעיקר את נסיבות הגידול ואת היקפו, ותוך התחשבות בטיב ובהיקף התשתית, מספר השתילים, כמות הסם בפועל, ונסיבות אחרות של מעשה העבירה. כך, כמות שתילים גדולה, המלמדת על גידול מסחרי ופוטנציאל נזק רב, עשויה להביא להחמרה בענישה גם אם משקל הסם בפועל אינו גדול. השאלה באיזה שלב נפסקת פעילות מעבדת הסמים היא מקרית, בכל הקשור למידת האשם של הנאשם, ותלויה בעיקר באיכות ובנחישות עבודת רשויות האכיפה.</w:t>
      </w:r>
    </w:p>
    <w:p w14:paraId="5FB019CF" w14:textId="77777777" w:rsidR="00254C8A" w:rsidRPr="002430E6" w:rsidRDefault="00254C8A" w:rsidP="00254C8A">
      <w:pPr>
        <w:snapToGrid w:val="0"/>
        <w:spacing w:after="200" w:line="360" w:lineRule="auto"/>
        <w:ind w:left="360"/>
        <w:contextualSpacing/>
        <w:jc w:val="both"/>
        <w:rPr>
          <w:rFonts w:ascii="David" w:hAnsi="David"/>
          <w:lang w:eastAsia="he-IL"/>
        </w:rPr>
      </w:pPr>
    </w:p>
    <w:p w14:paraId="01DB1503" w14:textId="77777777" w:rsidR="00254C8A" w:rsidRPr="002430E6" w:rsidRDefault="00254C8A" w:rsidP="00254C8A">
      <w:pPr>
        <w:numPr>
          <w:ilvl w:val="0"/>
          <w:numId w:val="1"/>
        </w:numPr>
        <w:snapToGrid w:val="0"/>
        <w:spacing w:after="200" w:line="360" w:lineRule="auto"/>
        <w:contextualSpacing/>
        <w:jc w:val="both"/>
        <w:rPr>
          <w:rFonts w:ascii="David" w:hAnsi="David"/>
          <w:lang w:eastAsia="he-IL"/>
        </w:rPr>
      </w:pPr>
      <w:r w:rsidRPr="002430E6">
        <w:rPr>
          <w:rFonts w:ascii="David" w:hAnsi="David"/>
          <w:rtl/>
          <w:lang w:eastAsia="he-IL"/>
        </w:rPr>
        <w:t>לעניין מדיניות הענישה, קראתי את פסקי הדין אליהם הפנו הצדדים וכן ראו  פסקי דין נוספים, שניתנו על ידי ערכאות הערעור בשנים האחרונות:</w:t>
      </w:r>
    </w:p>
    <w:p w14:paraId="4CC1BC67" w14:textId="77777777" w:rsidR="00254C8A" w:rsidRPr="002430E6" w:rsidRDefault="007F05EC" w:rsidP="00254C8A">
      <w:pPr>
        <w:widowControl w:val="0"/>
        <w:numPr>
          <w:ilvl w:val="0"/>
          <w:numId w:val="3"/>
        </w:numPr>
        <w:snapToGrid w:val="0"/>
        <w:spacing w:before="120" w:line="360" w:lineRule="auto"/>
        <w:jc w:val="both"/>
        <w:rPr>
          <w:rFonts w:ascii="David" w:hAnsi="David"/>
          <w:lang w:eastAsia="he-IL"/>
        </w:rPr>
      </w:pPr>
      <w:hyperlink r:id="rId20" w:history="1">
        <w:r w:rsidRPr="007F05EC">
          <w:rPr>
            <w:rFonts w:ascii="David" w:hAnsi="David"/>
            <w:color w:val="0000FF"/>
            <w:u w:val="single"/>
            <w:rtl/>
            <w:lang w:eastAsia="he-IL"/>
          </w:rPr>
          <w:t>רע"פ 8563/18</w:t>
        </w:r>
      </w:hyperlink>
      <w:r w:rsidR="00254C8A" w:rsidRPr="002430E6">
        <w:rPr>
          <w:rFonts w:ascii="David" w:hAnsi="David"/>
          <w:rtl/>
          <w:lang w:eastAsia="he-IL"/>
        </w:rPr>
        <w:t xml:space="preserve"> </w:t>
      </w:r>
      <w:r w:rsidR="00254C8A" w:rsidRPr="002430E6">
        <w:rPr>
          <w:rFonts w:ascii="David" w:hAnsi="David"/>
          <w:b/>
          <w:bCs/>
          <w:rtl/>
          <w:lang w:eastAsia="he-IL"/>
        </w:rPr>
        <w:t>שרפוב נ' מדינת ישראל</w:t>
      </w:r>
      <w:r w:rsidR="00254C8A" w:rsidRPr="002430E6">
        <w:rPr>
          <w:rFonts w:ascii="David" w:hAnsi="David"/>
          <w:rtl/>
          <w:lang w:eastAsia="he-IL"/>
        </w:rPr>
        <w:t xml:space="preserve"> (12.12.18) – שם הורשעו הנאשמים ושותפיו בגידול של כ- 18 ק"ג קנבוס, תוך גניבת חשמל, ונקבע מתחם ענישה של  10-30. על הנאשם הושת עונש מאסר בתחתית המתחם, בהינתן נתוניו האישיים לרבות נטילת אחריות והיעדר הרשעות קודמות ונוכח המלצת שירות המבחן, אשר היתה חיובית, אולם לא הצביע על הישג שיקומי משמעותי.  </w:t>
      </w:r>
    </w:p>
    <w:p w14:paraId="3F658A9F" w14:textId="77777777" w:rsidR="00254C8A" w:rsidRPr="002430E6" w:rsidRDefault="007F05EC" w:rsidP="00254C8A">
      <w:pPr>
        <w:widowControl w:val="0"/>
        <w:numPr>
          <w:ilvl w:val="0"/>
          <w:numId w:val="3"/>
        </w:numPr>
        <w:snapToGrid w:val="0"/>
        <w:spacing w:before="120" w:line="360" w:lineRule="auto"/>
        <w:jc w:val="both"/>
        <w:rPr>
          <w:rFonts w:ascii="David" w:hAnsi="David"/>
          <w:lang w:eastAsia="he-IL"/>
        </w:rPr>
      </w:pPr>
      <w:hyperlink r:id="rId21" w:history="1">
        <w:r w:rsidRPr="007F05EC">
          <w:rPr>
            <w:rFonts w:ascii="David" w:hAnsi="David"/>
            <w:color w:val="0000FF"/>
            <w:u w:val="single"/>
            <w:rtl/>
            <w:lang w:eastAsia="he-IL"/>
          </w:rPr>
          <w:t>עפ"ג 33215-12-18</w:t>
        </w:r>
      </w:hyperlink>
      <w:r w:rsidR="00254C8A" w:rsidRPr="002430E6">
        <w:rPr>
          <w:rFonts w:ascii="David" w:hAnsi="David"/>
          <w:rtl/>
          <w:lang w:eastAsia="he-IL"/>
        </w:rPr>
        <w:t xml:space="preserve"> </w:t>
      </w:r>
      <w:r w:rsidR="00254C8A" w:rsidRPr="002430E6">
        <w:rPr>
          <w:rFonts w:ascii="David" w:hAnsi="David"/>
          <w:b/>
          <w:bCs/>
          <w:rtl/>
          <w:lang w:eastAsia="he-IL"/>
        </w:rPr>
        <w:t>אבו עיאדה נ' מדינת ישראל</w:t>
      </w:r>
      <w:r w:rsidR="00254C8A" w:rsidRPr="002430E6">
        <w:rPr>
          <w:rFonts w:ascii="David" w:hAnsi="David"/>
          <w:rtl/>
          <w:lang w:eastAsia="he-IL"/>
        </w:rPr>
        <w:t xml:space="preserve"> (23.1.19) – שם אושר פסק הדין במסגרתו נקבע מתחם ענישה של 10-20 חודשי מאסר בפועל בגין גידול 900 שתילי קנבוס במשקל כולל של 44.80 </w:t>
      </w:r>
      <w:r w:rsidR="00254C8A" w:rsidRPr="002430E6">
        <w:rPr>
          <w:rFonts w:ascii="David" w:hAnsi="David"/>
          <w:b/>
          <w:bCs/>
          <w:rtl/>
          <w:lang w:eastAsia="he-IL"/>
        </w:rPr>
        <w:t>גרם</w:t>
      </w:r>
      <w:r w:rsidR="00254C8A" w:rsidRPr="002430E6">
        <w:rPr>
          <w:rFonts w:ascii="David" w:hAnsi="David"/>
          <w:rtl/>
          <w:lang w:eastAsia="he-IL"/>
        </w:rPr>
        <w:t>. על הנאשם באותו מקרה, צעיר כבן 26 ללא הרשעות קודמות, שעבד בתחום החשמל וביצע את העבירות על מנת להפיק רווח כספי קל ומהיר, הוטלו 12 חודשי מאסר לריצוי בפועל.</w:t>
      </w:r>
    </w:p>
    <w:p w14:paraId="3583C004" w14:textId="77777777" w:rsidR="00254C8A" w:rsidRPr="002430E6" w:rsidRDefault="007F05EC" w:rsidP="00254C8A">
      <w:pPr>
        <w:widowControl w:val="0"/>
        <w:numPr>
          <w:ilvl w:val="0"/>
          <w:numId w:val="3"/>
        </w:numPr>
        <w:snapToGrid w:val="0"/>
        <w:spacing w:before="120" w:line="360" w:lineRule="auto"/>
        <w:jc w:val="both"/>
        <w:rPr>
          <w:rFonts w:ascii="David" w:hAnsi="David"/>
          <w:lang w:eastAsia="he-IL"/>
        </w:rPr>
      </w:pPr>
      <w:hyperlink r:id="rId22" w:history="1">
        <w:r w:rsidRPr="007F05EC">
          <w:rPr>
            <w:rFonts w:ascii="David" w:hAnsi="David"/>
            <w:color w:val="0000FF"/>
            <w:u w:val="single"/>
            <w:rtl/>
            <w:lang w:eastAsia="he-IL"/>
          </w:rPr>
          <w:t>עפ"ג 5788-09-18</w:t>
        </w:r>
      </w:hyperlink>
      <w:r w:rsidR="00254C8A" w:rsidRPr="002430E6">
        <w:rPr>
          <w:rFonts w:ascii="David" w:hAnsi="David"/>
          <w:rtl/>
          <w:lang w:eastAsia="he-IL"/>
        </w:rPr>
        <w:t xml:space="preserve"> </w:t>
      </w:r>
      <w:r w:rsidR="00254C8A" w:rsidRPr="002430E6">
        <w:rPr>
          <w:rFonts w:ascii="David" w:hAnsi="David"/>
          <w:b/>
          <w:bCs/>
          <w:rtl/>
          <w:lang w:eastAsia="he-IL"/>
        </w:rPr>
        <w:t>אבו עסא נ' מדינת ישראל</w:t>
      </w:r>
      <w:r w:rsidR="00254C8A" w:rsidRPr="002430E6">
        <w:rPr>
          <w:rFonts w:ascii="David" w:hAnsi="David"/>
          <w:rtl/>
          <w:lang w:eastAsia="he-IL"/>
        </w:rPr>
        <w:t xml:space="preserve"> (28.11.18) – שם אושר פסק הדין במסגרתו נקבע מתחם ענישה של 9-22 חודשי מאסר בפועל בגין גידול 254 שתילי קנבוס במשקל של כ-6.5 ק"ג. על הנאשם הושם עונש מאסר של 9 חודשי מאסר בפועל, בהיותו צעיר, ללא הרשעות קודמות, שהודה במיוחס לו ושיתרת מאסרו קצרה. </w:t>
      </w:r>
    </w:p>
    <w:p w14:paraId="1A6A3385" w14:textId="77777777" w:rsidR="00254C8A" w:rsidRPr="002430E6" w:rsidRDefault="007F05EC" w:rsidP="00254C8A">
      <w:pPr>
        <w:widowControl w:val="0"/>
        <w:numPr>
          <w:ilvl w:val="0"/>
          <w:numId w:val="3"/>
        </w:numPr>
        <w:snapToGrid w:val="0"/>
        <w:spacing w:before="120" w:line="360" w:lineRule="auto"/>
        <w:jc w:val="both"/>
        <w:rPr>
          <w:rFonts w:ascii="David" w:hAnsi="David"/>
          <w:lang w:eastAsia="he-IL"/>
        </w:rPr>
      </w:pPr>
      <w:hyperlink r:id="rId23" w:history="1">
        <w:r w:rsidRPr="007F05EC">
          <w:rPr>
            <w:color w:val="0000FF"/>
            <w:u w:val="single"/>
            <w:rtl/>
            <w:lang w:eastAsia="he-IL"/>
          </w:rPr>
          <w:t>עפ"ג 8650-04-15</w:t>
        </w:r>
      </w:hyperlink>
      <w:r w:rsidR="00254C8A" w:rsidRPr="002430E6">
        <w:rPr>
          <w:rtl/>
          <w:lang w:eastAsia="he-IL"/>
        </w:rPr>
        <w:t xml:space="preserve"> </w:t>
      </w:r>
      <w:r w:rsidR="00254C8A" w:rsidRPr="002430E6">
        <w:rPr>
          <w:b/>
          <w:bCs/>
          <w:rtl/>
          <w:lang w:eastAsia="he-IL"/>
        </w:rPr>
        <w:t>שוורץ נ' מדינת ישראל</w:t>
      </w:r>
      <w:r w:rsidR="00254C8A" w:rsidRPr="002430E6">
        <w:rPr>
          <w:rtl/>
          <w:lang w:eastAsia="he-IL"/>
        </w:rPr>
        <w:t xml:space="preserve"> (7.1.16) – שם נדחה ערעור של נאשם, אשר הורשע בגידול 146 שתילי קנבוס במשקל 2.69 ק"ג בחדר נסתר בביתו. נקבע מתחם של 6-24 חודשי מאסר. אף ששירות המבחן המליץ על אפיק שיקומי, הנאשם נדון ל-9 חודשי מאסר בפועל.</w:t>
      </w:r>
    </w:p>
    <w:p w14:paraId="77473587" w14:textId="77777777" w:rsidR="00254C8A" w:rsidRPr="002430E6" w:rsidRDefault="007F05EC" w:rsidP="00254C8A">
      <w:pPr>
        <w:widowControl w:val="0"/>
        <w:numPr>
          <w:ilvl w:val="0"/>
          <w:numId w:val="3"/>
        </w:numPr>
        <w:snapToGrid w:val="0"/>
        <w:spacing w:before="120" w:line="360" w:lineRule="auto"/>
        <w:jc w:val="both"/>
        <w:rPr>
          <w:rFonts w:ascii="David" w:hAnsi="David"/>
          <w:lang w:eastAsia="he-IL"/>
        </w:rPr>
      </w:pPr>
      <w:hyperlink r:id="rId24" w:history="1">
        <w:r w:rsidRPr="007F05EC">
          <w:rPr>
            <w:color w:val="0000FF"/>
            <w:u w:val="single"/>
            <w:rtl/>
            <w:lang w:eastAsia="he-IL"/>
          </w:rPr>
          <w:t>עפ"ג 62171-05-17</w:t>
        </w:r>
      </w:hyperlink>
      <w:r w:rsidR="00254C8A" w:rsidRPr="002430E6">
        <w:rPr>
          <w:rtl/>
          <w:lang w:eastAsia="he-IL"/>
        </w:rPr>
        <w:t xml:space="preserve">  </w:t>
      </w:r>
      <w:r w:rsidR="00254C8A" w:rsidRPr="002430E6">
        <w:rPr>
          <w:b/>
          <w:bCs/>
          <w:rtl/>
          <w:lang w:eastAsia="he-IL"/>
        </w:rPr>
        <w:t>חן נ' מדינת ישראל</w:t>
      </w:r>
      <w:r w:rsidR="00254C8A" w:rsidRPr="002430E6">
        <w:rPr>
          <w:rtl/>
          <w:lang w:eastAsia="he-IL"/>
        </w:rPr>
        <w:t xml:space="preserve"> (10.7.17) – נדחה ערעור של נאשם שהורשע בגידול 18 שתילי קנבוס במשקל 3.85 ק"ג. נקבע מתחם של 8-20 חודשי מאסר והוטלו על הנאשם 12 חודשי מאסר בפועל.</w:t>
      </w:r>
    </w:p>
    <w:p w14:paraId="01DD6F70" w14:textId="77777777" w:rsidR="00254C8A" w:rsidRPr="002430E6" w:rsidRDefault="007F05EC" w:rsidP="00254C8A">
      <w:pPr>
        <w:widowControl w:val="0"/>
        <w:numPr>
          <w:ilvl w:val="0"/>
          <w:numId w:val="3"/>
        </w:numPr>
        <w:snapToGrid w:val="0"/>
        <w:spacing w:before="120" w:line="360" w:lineRule="auto"/>
        <w:jc w:val="both"/>
        <w:rPr>
          <w:rFonts w:ascii="David" w:hAnsi="David"/>
          <w:lang w:eastAsia="he-IL"/>
        </w:rPr>
      </w:pPr>
      <w:hyperlink r:id="rId25" w:history="1">
        <w:r w:rsidRPr="007F05EC">
          <w:rPr>
            <w:color w:val="0000FF"/>
            <w:u w:val="single"/>
            <w:rtl/>
            <w:lang w:eastAsia="he-IL"/>
          </w:rPr>
          <w:t>רע"פ 314/16</w:t>
        </w:r>
      </w:hyperlink>
      <w:r w:rsidR="00254C8A" w:rsidRPr="002430E6">
        <w:rPr>
          <w:rtl/>
          <w:lang w:eastAsia="he-IL"/>
        </w:rPr>
        <w:t xml:space="preserve"> </w:t>
      </w:r>
      <w:r w:rsidR="00254C8A" w:rsidRPr="002430E6">
        <w:rPr>
          <w:b/>
          <w:bCs/>
          <w:color w:val="000000"/>
          <w:rtl/>
          <w:lang w:eastAsia="he-IL"/>
        </w:rPr>
        <w:t xml:space="preserve">בן צבי נ' מדינת ישראל (22.6.16) </w:t>
      </w:r>
      <w:r w:rsidR="00254C8A" w:rsidRPr="002430E6">
        <w:rPr>
          <w:color w:val="000000"/>
          <w:rtl/>
          <w:lang w:eastAsia="he-IL"/>
        </w:rPr>
        <w:t>–</w:t>
      </w:r>
      <w:r w:rsidR="00254C8A" w:rsidRPr="002430E6">
        <w:rPr>
          <w:color w:val="000000"/>
          <w:sz w:val="27"/>
          <w:szCs w:val="27"/>
          <w:rtl/>
          <w:lang w:eastAsia="he-IL"/>
        </w:rPr>
        <w:t xml:space="preserve"> </w:t>
      </w:r>
      <w:r w:rsidR="00254C8A" w:rsidRPr="002430E6">
        <w:rPr>
          <w:rtl/>
          <w:lang w:eastAsia="he-IL"/>
        </w:rPr>
        <w:t xml:space="preserve">נדחה ערעור של נאשם, אשר הורשע בגידול שתילי קנבוס במשקל 2.5. ק"ג. בבית משפט השלום הוטלו עליו 6 חודשי מאסר לריצוי בעבודות שירות. במסגרת הערעור הוחמר עונשו והועמד על 10 חודשי מאסר בפועל. </w:t>
      </w:r>
    </w:p>
    <w:p w14:paraId="2708C4AD" w14:textId="77777777" w:rsidR="00254C8A" w:rsidRPr="002430E6" w:rsidRDefault="00254C8A" w:rsidP="00254C8A">
      <w:pPr>
        <w:widowControl w:val="0"/>
        <w:spacing w:before="120" w:after="160" w:line="360" w:lineRule="auto"/>
        <w:jc w:val="both"/>
        <w:rPr>
          <w:rFonts w:ascii="David" w:hAnsi="David" w:cs="Arial"/>
          <w:szCs w:val="22"/>
          <w:rtl/>
        </w:rPr>
      </w:pPr>
    </w:p>
    <w:p w14:paraId="166DE20A" w14:textId="77777777" w:rsidR="00254C8A" w:rsidRPr="002430E6" w:rsidRDefault="00254C8A" w:rsidP="00254C8A">
      <w:pPr>
        <w:spacing w:after="160" w:line="360" w:lineRule="auto"/>
        <w:contextualSpacing/>
        <w:jc w:val="both"/>
        <w:rPr>
          <w:rFonts w:ascii="David" w:hAnsi="David"/>
          <w:b/>
          <w:bCs/>
          <w:rtl/>
        </w:rPr>
      </w:pPr>
      <w:r w:rsidRPr="002430E6">
        <w:rPr>
          <w:rFonts w:ascii="David" w:hAnsi="David"/>
          <w:b/>
          <w:bCs/>
          <w:rtl/>
        </w:rPr>
        <w:t>מכל האמור לעיל, לא ניתן לקבל את הטענה כי מתחם העונש ההולם מתחיל מענישה צופה פני עתיד, אלא במקרים חריגים של שיקולי שיקום ונסיבות אישיות חריגות. הפסיקה מלמדת, כי ככלל, גם בהינתן שיקולי שיקום משמעותיים בתי המשפט אינם נמנעים מהטלת עונשי מאסר.</w:t>
      </w:r>
    </w:p>
    <w:p w14:paraId="1085652A" w14:textId="77777777" w:rsidR="00254C8A" w:rsidRPr="002430E6" w:rsidRDefault="00254C8A" w:rsidP="00254C8A">
      <w:pPr>
        <w:spacing w:after="160" w:line="360" w:lineRule="auto"/>
        <w:contextualSpacing/>
        <w:jc w:val="both"/>
        <w:rPr>
          <w:rFonts w:ascii="David" w:hAnsi="David"/>
          <w:b/>
          <w:bCs/>
          <w:rtl/>
        </w:rPr>
      </w:pPr>
      <w:r w:rsidRPr="002430E6">
        <w:rPr>
          <w:rFonts w:ascii="David" w:hAnsi="David"/>
          <w:b/>
          <w:bCs/>
          <w:rtl/>
        </w:rPr>
        <w:t>במכלול נסיבות המקרה, המלמדות על החזקה שלא לצריכה עצמית וגידול בהיקף לא גדול שלא באופן תעשייתי, נוכח מידת הפגיעה בערכים המוגנים,</w:t>
      </w:r>
      <w:r>
        <w:rPr>
          <w:rFonts w:ascii="David" w:hAnsi="David"/>
          <w:b/>
          <w:bCs/>
          <w:rtl/>
        </w:rPr>
        <w:t xml:space="preserve"> מתחם העונש ההולם במקרה זה הוא </w:t>
      </w:r>
      <w:r>
        <w:rPr>
          <w:rFonts w:ascii="David" w:hAnsi="David" w:hint="cs"/>
          <w:b/>
          <w:bCs/>
          <w:rtl/>
        </w:rPr>
        <w:t xml:space="preserve">4-12 </w:t>
      </w:r>
      <w:r w:rsidRPr="002430E6">
        <w:rPr>
          <w:rFonts w:ascii="David" w:hAnsi="David"/>
          <w:b/>
          <w:bCs/>
          <w:rtl/>
        </w:rPr>
        <w:t>חודשי מאסר בפועל, בצירוף ענישה נלווית.</w:t>
      </w:r>
    </w:p>
    <w:p w14:paraId="6886B354" w14:textId="77777777" w:rsidR="00254C8A" w:rsidRPr="002430E6" w:rsidRDefault="00254C8A" w:rsidP="00254C8A">
      <w:pPr>
        <w:spacing w:after="160" w:line="360" w:lineRule="auto"/>
        <w:jc w:val="both"/>
        <w:rPr>
          <w:rFonts w:ascii="David" w:hAnsi="David"/>
          <w:b/>
          <w:bCs/>
          <w:rtl/>
        </w:rPr>
      </w:pPr>
    </w:p>
    <w:p w14:paraId="129A8AC4" w14:textId="77777777" w:rsidR="00254C8A" w:rsidRPr="002430E6" w:rsidRDefault="00254C8A" w:rsidP="00254C8A">
      <w:pPr>
        <w:spacing w:after="160" w:line="360" w:lineRule="auto"/>
        <w:rPr>
          <w:rFonts w:ascii="David" w:hAnsi="David"/>
          <w:b/>
          <w:bCs/>
          <w:szCs w:val="22"/>
          <w:u w:val="single"/>
        </w:rPr>
      </w:pPr>
      <w:r w:rsidRPr="002430E6">
        <w:rPr>
          <w:rFonts w:ascii="David" w:hAnsi="David"/>
          <w:b/>
          <w:bCs/>
          <w:szCs w:val="22"/>
          <w:u w:val="single"/>
          <w:rtl/>
        </w:rPr>
        <w:t>סטייה ממתחם העונש ההולם משיקולי שיקום</w:t>
      </w:r>
      <w:r w:rsidRPr="002430E6">
        <w:rPr>
          <w:rFonts w:ascii="David" w:hAnsi="David"/>
          <w:b/>
          <w:bCs/>
          <w:szCs w:val="22"/>
          <w:u w:val="single"/>
        </w:rPr>
        <w:t>:</w:t>
      </w:r>
    </w:p>
    <w:p w14:paraId="4DCA2E3C" w14:textId="77777777" w:rsidR="00254C8A" w:rsidRPr="002430E6" w:rsidRDefault="00254C8A" w:rsidP="00254C8A">
      <w:pPr>
        <w:numPr>
          <w:ilvl w:val="0"/>
          <w:numId w:val="1"/>
        </w:numPr>
        <w:snapToGrid w:val="0"/>
        <w:spacing w:line="360" w:lineRule="auto"/>
        <w:contextualSpacing/>
        <w:jc w:val="both"/>
        <w:rPr>
          <w:lang w:eastAsia="he-IL"/>
        </w:rPr>
      </w:pPr>
      <w:r w:rsidRPr="002430E6">
        <w:rPr>
          <w:rFonts w:ascii="David" w:hAnsi="David"/>
          <w:rtl/>
          <w:lang w:eastAsia="he-IL"/>
        </w:rPr>
        <w:t xml:space="preserve">על פי </w:t>
      </w:r>
      <w:hyperlink r:id="rId26" w:history="1">
        <w:r w:rsidR="008E598F" w:rsidRPr="008E598F">
          <w:rPr>
            <w:rStyle w:val="Hyperlink"/>
            <w:rFonts w:ascii="David" w:hAnsi="David"/>
            <w:rtl/>
            <w:lang w:eastAsia="he-IL"/>
          </w:rPr>
          <w:t>סעיף 40ד(א)</w:t>
        </w:r>
      </w:hyperlink>
      <w:r w:rsidRPr="002430E6">
        <w:rPr>
          <w:rFonts w:ascii="David" w:hAnsi="David"/>
          <w:rtl/>
          <w:lang w:eastAsia="he-IL"/>
        </w:rPr>
        <w:t xml:space="preserve"> ל</w:t>
      </w:r>
      <w:hyperlink r:id="rId27" w:history="1">
        <w:r w:rsidR="007F05EC" w:rsidRPr="007F05EC">
          <w:rPr>
            <w:rFonts w:ascii="David" w:hAnsi="David"/>
            <w:color w:val="0000FF"/>
            <w:u w:val="single"/>
            <w:rtl/>
            <w:lang w:eastAsia="he-IL"/>
          </w:rPr>
          <w:t>חוק העונשין</w:t>
        </w:r>
      </w:hyperlink>
      <w:r w:rsidRPr="002430E6">
        <w:rPr>
          <w:rFonts w:ascii="David" w:hAnsi="David"/>
          <w:rtl/>
          <w:lang w:eastAsia="he-IL"/>
        </w:rPr>
        <w:t xml:space="preserve">: </w:t>
      </w:r>
      <w:r w:rsidRPr="002430E6">
        <w:rPr>
          <w:rFonts w:ascii="Miriam" w:hAnsi="Miriam"/>
          <w:rtl/>
          <w:lang w:eastAsia="he-IL"/>
        </w:rPr>
        <w:t>"</w:t>
      </w:r>
      <w:r w:rsidRPr="002430E6">
        <w:rPr>
          <w:rFonts w:ascii="Miriam" w:hAnsi="Miriam" w:hint="eastAsia"/>
          <w:rtl/>
          <w:lang w:eastAsia="he-IL"/>
        </w:rPr>
        <w:t>קבע</w:t>
      </w:r>
      <w:r w:rsidRPr="002430E6">
        <w:rPr>
          <w:rFonts w:ascii="Miriam" w:hAnsi="Miriam"/>
          <w:rtl/>
          <w:lang w:eastAsia="he-IL"/>
        </w:rPr>
        <w:t xml:space="preserve"> </w:t>
      </w:r>
      <w:r w:rsidRPr="002430E6">
        <w:rPr>
          <w:rFonts w:ascii="Miriam" w:hAnsi="Miriam" w:hint="eastAsia"/>
          <w:rtl/>
          <w:lang w:eastAsia="he-IL"/>
        </w:rPr>
        <w:t>בית</w:t>
      </w:r>
      <w:r w:rsidRPr="002430E6">
        <w:rPr>
          <w:rFonts w:ascii="Miriam" w:hAnsi="Miriam"/>
          <w:rtl/>
          <w:lang w:eastAsia="he-IL"/>
        </w:rPr>
        <w:t xml:space="preserve"> </w:t>
      </w:r>
      <w:r w:rsidRPr="002430E6">
        <w:rPr>
          <w:rFonts w:ascii="Miriam" w:hAnsi="Miriam" w:hint="eastAsia"/>
          <w:rtl/>
          <w:lang w:eastAsia="he-IL"/>
        </w:rPr>
        <w:t>המשפט</w:t>
      </w:r>
      <w:r w:rsidRPr="002430E6">
        <w:rPr>
          <w:rFonts w:ascii="Miriam" w:hAnsi="Miriam"/>
          <w:rtl/>
          <w:lang w:eastAsia="he-IL"/>
        </w:rPr>
        <w:t xml:space="preserve"> </w:t>
      </w:r>
      <w:r w:rsidRPr="002430E6">
        <w:rPr>
          <w:rFonts w:ascii="Miriam" w:hAnsi="Miriam" w:hint="eastAsia"/>
          <w:rtl/>
          <w:lang w:eastAsia="he-IL"/>
        </w:rPr>
        <w:t>את</w:t>
      </w:r>
      <w:r w:rsidRPr="002430E6">
        <w:rPr>
          <w:rFonts w:ascii="Miriam" w:hAnsi="Miriam"/>
          <w:rtl/>
          <w:lang w:eastAsia="he-IL"/>
        </w:rPr>
        <w:t xml:space="preserve"> </w:t>
      </w:r>
      <w:r w:rsidRPr="002430E6">
        <w:rPr>
          <w:rFonts w:ascii="Miriam" w:hAnsi="Miriam" w:hint="eastAsia"/>
          <w:rtl/>
          <w:lang w:eastAsia="he-IL"/>
        </w:rPr>
        <w:t>מתחם</w:t>
      </w:r>
      <w:r w:rsidRPr="002430E6">
        <w:rPr>
          <w:rFonts w:ascii="Miriam" w:hAnsi="Miriam"/>
          <w:rtl/>
          <w:lang w:eastAsia="he-IL"/>
        </w:rPr>
        <w:t xml:space="preserve"> </w:t>
      </w:r>
      <w:r w:rsidRPr="002430E6">
        <w:rPr>
          <w:rFonts w:ascii="Miriam" w:hAnsi="Miriam" w:hint="eastAsia"/>
          <w:rtl/>
          <w:lang w:eastAsia="he-IL"/>
        </w:rPr>
        <w:t>העונש</w:t>
      </w:r>
      <w:r w:rsidRPr="002430E6">
        <w:rPr>
          <w:rFonts w:ascii="Miriam" w:hAnsi="Miriam"/>
          <w:rtl/>
          <w:lang w:eastAsia="he-IL"/>
        </w:rPr>
        <w:t xml:space="preserve"> </w:t>
      </w:r>
      <w:r w:rsidRPr="002430E6">
        <w:rPr>
          <w:rFonts w:ascii="Miriam" w:hAnsi="Miriam" w:hint="eastAsia"/>
          <w:rtl/>
          <w:lang w:eastAsia="he-IL"/>
        </w:rPr>
        <w:t>ההולם</w:t>
      </w:r>
      <w:r w:rsidRPr="002430E6">
        <w:rPr>
          <w:rFonts w:ascii="Miriam" w:hAnsi="Miriam"/>
          <w:rtl/>
          <w:lang w:eastAsia="he-IL"/>
        </w:rPr>
        <w:t xml:space="preserve"> </w:t>
      </w:r>
      <w:r w:rsidRPr="002430E6">
        <w:rPr>
          <w:rFonts w:ascii="Miriam" w:hAnsi="Miriam" w:hint="eastAsia"/>
          <w:rtl/>
          <w:lang w:eastAsia="he-IL"/>
        </w:rPr>
        <w:t>בהתאם</w:t>
      </w:r>
      <w:r w:rsidRPr="002430E6">
        <w:rPr>
          <w:rFonts w:ascii="Miriam" w:hAnsi="Miriam"/>
          <w:rtl/>
          <w:lang w:eastAsia="he-IL"/>
        </w:rPr>
        <w:t xml:space="preserve"> </w:t>
      </w:r>
      <w:r w:rsidRPr="002430E6">
        <w:rPr>
          <w:rFonts w:ascii="Miriam" w:hAnsi="Miriam" w:hint="eastAsia"/>
          <w:rtl/>
          <w:lang w:eastAsia="he-IL"/>
        </w:rPr>
        <w:t>לעיקרון</w:t>
      </w:r>
      <w:r w:rsidRPr="002430E6">
        <w:rPr>
          <w:rFonts w:ascii="Miriam" w:hAnsi="Miriam"/>
          <w:rtl/>
          <w:lang w:eastAsia="he-IL"/>
        </w:rPr>
        <w:t xml:space="preserve"> </w:t>
      </w:r>
      <w:r w:rsidRPr="002430E6">
        <w:rPr>
          <w:rFonts w:ascii="Miriam" w:hAnsi="Miriam" w:hint="eastAsia"/>
          <w:rtl/>
          <w:lang w:eastAsia="he-IL"/>
        </w:rPr>
        <w:t>המנחה</w:t>
      </w:r>
      <w:r w:rsidRPr="002430E6">
        <w:rPr>
          <w:rFonts w:ascii="Miriam" w:hAnsi="Miriam"/>
          <w:rtl/>
          <w:lang w:eastAsia="he-IL"/>
        </w:rPr>
        <w:t xml:space="preserve"> </w:t>
      </w:r>
      <w:r w:rsidRPr="002430E6">
        <w:rPr>
          <w:rFonts w:ascii="Miriam" w:hAnsi="Miriam" w:hint="eastAsia"/>
          <w:rtl/>
          <w:lang w:eastAsia="he-IL"/>
        </w:rPr>
        <w:t>ומצא</w:t>
      </w:r>
      <w:r w:rsidRPr="002430E6">
        <w:rPr>
          <w:rFonts w:ascii="Miriam" w:hAnsi="Miriam"/>
          <w:rtl/>
          <w:lang w:eastAsia="he-IL"/>
        </w:rPr>
        <w:t xml:space="preserve"> </w:t>
      </w:r>
      <w:r w:rsidRPr="002430E6">
        <w:rPr>
          <w:rFonts w:ascii="Miriam" w:hAnsi="Miriam" w:hint="eastAsia"/>
          <w:rtl/>
          <w:lang w:eastAsia="he-IL"/>
        </w:rPr>
        <w:t>כי</w:t>
      </w:r>
      <w:r w:rsidRPr="002430E6">
        <w:rPr>
          <w:rFonts w:ascii="Miriam" w:hAnsi="Miriam"/>
          <w:rtl/>
          <w:lang w:eastAsia="he-IL"/>
        </w:rPr>
        <w:t xml:space="preserve"> </w:t>
      </w:r>
      <w:r w:rsidRPr="002430E6">
        <w:rPr>
          <w:rFonts w:ascii="Miriam" w:hAnsi="Miriam" w:hint="eastAsia"/>
          <w:rtl/>
          <w:lang w:eastAsia="he-IL"/>
        </w:rPr>
        <w:t>הנאשם</w:t>
      </w:r>
      <w:r w:rsidRPr="002430E6">
        <w:rPr>
          <w:rFonts w:ascii="Miriam" w:hAnsi="Miriam"/>
          <w:rtl/>
          <w:lang w:eastAsia="he-IL"/>
        </w:rPr>
        <w:t xml:space="preserve"> </w:t>
      </w:r>
      <w:r w:rsidRPr="002430E6">
        <w:rPr>
          <w:rFonts w:ascii="Miriam" w:hAnsi="Miriam" w:hint="eastAsia"/>
          <w:rtl/>
          <w:lang w:eastAsia="he-IL"/>
        </w:rPr>
        <w:t>השתקם</w:t>
      </w:r>
      <w:r w:rsidRPr="002430E6">
        <w:rPr>
          <w:rFonts w:ascii="Miriam" w:hAnsi="Miriam"/>
          <w:rtl/>
          <w:lang w:eastAsia="he-IL"/>
        </w:rPr>
        <w:t xml:space="preserve"> </w:t>
      </w:r>
      <w:r w:rsidRPr="002430E6">
        <w:rPr>
          <w:rFonts w:ascii="Miriam" w:hAnsi="Miriam" w:hint="eastAsia"/>
          <w:rtl/>
          <w:lang w:eastAsia="he-IL"/>
        </w:rPr>
        <w:t>או</w:t>
      </w:r>
      <w:r w:rsidRPr="002430E6">
        <w:rPr>
          <w:rFonts w:ascii="Miriam" w:hAnsi="Miriam"/>
          <w:rtl/>
          <w:lang w:eastAsia="he-IL"/>
        </w:rPr>
        <w:t xml:space="preserve"> </w:t>
      </w:r>
      <w:r w:rsidRPr="002430E6">
        <w:rPr>
          <w:rFonts w:ascii="Miriam" w:hAnsi="Miriam" w:hint="eastAsia"/>
          <w:rtl/>
          <w:lang w:eastAsia="he-IL"/>
        </w:rPr>
        <w:t>כי</w:t>
      </w:r>
      <w:r w:rsidRPr="002430E6">
        <w:rPr>
          <w:rFonts w:ascii="Miriam" w:hAnsi="Miriam"/>
          <w:rtl/>
          <w:lang w:eastAsia="he-IL"/>
        </w:rPr>
        <w:t xml:space="preserve"> </w:t>
      </w:r>
      <w:r w:rsidRPr="002430E6">
        <w:rPr>
          <w:rFonts w:ascii="Miriam" w:hAnsi="Miriam" w:hint="eastAsia"/>
          <w:rtl/>
          <w:lang w:eastAsia="he-IL"/>
        </w:rPr>
        <w:t>יש</w:t>
      </w:r>
      <w:r w:rsidRPr="002430E6">
        <w:rPr>
          <w:rFonts w:ascii="Miriam" w:hAnsi="Miriam"/>
          <w:rtl/>
          <w:lang w:eastAsia="he-IL"/>
        </w:rPr>
        <w:t xml:space="preserve"> </w:t>
      </w:r>
      <w:r w:rsidRPr="002430E6">
        <w:rPr>
          <w:rFonts w:ascii="Miriam" w:hAnsi="Miriam" w:hint="eastAsia"/>
          <w:rtl/>
          <w:lang w:eastAsia="he-IL"/>
        </w:rPr>
        <w:t>סיכוי</w:t>
      </w:r>
      <w:r w:rsidRPr="002430E6">
        <w:rPr>
          <w:rFonts w:ascii="Miriam" w:hAnsi="Miriam"/>
          <w:rtl/>
          <w:lang w:eastAsia="he-IL"/>
        </w:rPr>
        <w:t xml:space="preserve"> </w:t>
      </w:r>
      <w:r w:rsidRPr="002430E6">
        <w:rPr>
          <w:rFonts w:ascii="Miriam" w:hAnsi="Miriam" w:hint="eastAsia"/>
          <w:rtl/>
          <w:lang w:eastAsia="he-IL"/>
        </w:rPr>
        <w:t>של</w:t>
      </w:r>
      <w:r w:rsidRPr="002430E6">
        <w:rPr>
          <w:rFonts w:ascii="Miriam" w:hAnsi="Miriam"/>
          <w:rtl/>
          <w:lang w:eastAsia="he-IL"/>
        </w:rPr>
        <w:t xml:space="preserve"> </w:t>
      </w:r>
      <w:r w:rsidRPr="002430E6">
        <w:rPr>
          <w:rFonts w:ascii="Miriam" w:hAnsi="Miriam" w:hint="eastAsia"/>
          <w:rtl/>
          <w:lang w:eastAsia="he-IL"/>
        </w:rPr>
        <w:t>ממש</w:t>
      </w:r>
      <w:r w:rsidRPr="002430E6">
        <w:rPr>
          <w:rFonts w:ascii="Miriam" w:hAnsi="Miriam"/>
          <w:rtl/>
          <w:lang w:eastAsia="he-IL"/>
        </w:rPr>
        <w:t xml:space="preserve"> </w:t>
      </w:r>
      <w:r w:rsidRPr="002430E6">
        <w:rPr>
          <w:rFonts w:ascii="Miriam" w:hAnsi="Miriam" w:hint="eastAsia"/>
          <w:rtl/>
          <w:lang w:eastAsia="he-IL"/>
        </w:rPr>
        <w:t>שישתקם</w:t>
      </w:r>
      <w:r w:rsidRPr="002430E6">
        <w:rPr>
          <w:rFonts w:ascii="Miriam" w:hAnsi="Miriam"/>
          <w:rtl/>
          <w:lang w:eastAsia="he-IL"/>
        </w:rPr>
        <w:t xml:space="preserve">, </w:t>
      </w:r>
      <w:r w:rsidRPr="002430E6">
        <w:rPr>
          <w:rFonts w:ascii="Miriam" w:hAnsi="Miriam" w:hint="eastAsia"/>
          <w:rtl/>
          <w:lang w:eastAsia="he-IL"/>
        </w:rPr>
        <w:t>רשאי</w:t>
      </w:r>
      <w:r w:rsidRPr="002430E6">
        <w:rPr>
          <w:rFonts w:ascii="Miriam" w:hAnsi="Miriam"/>
          <w:rtl/>
          <w:lang w:eastAsia="he-IL"/>
        </w:rPr>
        <w:t xml:space="preserve"> </w:t>
      </w:r>
      <w:r w:rsidRPr="002430E6">
        <w:rPr>
          <w:rFonts w:ascii="Miriam" w:hAnsi="Miriam" w:hint="eastAsia"/>
          <w:rtl/>
          <w:lang w:eastAsia="he-IL"/>
        </w:rPr>
        <w:t>הוא</w:t>
      </w:r>
      <w:r w:rsidRPr="002430E6">
        <w:rPr>
          <w:rFonts w:ascii="Miriam" w:hAnsi="Miriam"/>
          <w:rtl/>
          <w:lang w:eastAsia="he-IL"/>
        </w:rPr>
        <w:t xml:space="preserve"> </w:t>
      </w:r>
      <w:r w:rsidRPr="002430E6">
        <w:rPr>
          <w:rFonts w:ascii="Miriam" w:hAnsi="Miriam" w:hint="eastAsia"/>
          <w:rtl/>
          <w:lang w:eastAsia="he-IL"/>
        </w:rPr>
        <w:t>לחרוג</w:t>
      </w:r>
      <w:r w:rsidRPr="002430E6">
        <w:rPr>
          <w:rFonts w:ascii="Miriam" w:hAnsi="Miriam"/>
          <w:rtl/>
          <w:lang w:eastAsia="he-IL"/>
        </w:rPr>
        <w:t xml:space="preserve"> </w:t>
      </w:r>
      <w:r w:rsidRPr="002430E6">
        <w:rPr>
          <w:rFonts w:ascii="Miriam" w:hAnsi="Miriam" w:hint="eastAsia"/>
          <w:rtl/>
          <w:lang w:eastAsia="he-IL"/>
        </w:rPr>
        <w:t>ממתחם</w:t>
      </w:r>
      <w:r w:rsidRPr="002430E6">
        <w:rPr>
          <w:rFonts w:ascii="Miriam" w:hAnsi="Miriam"/>
          <w:rtl/>
          <w:lang w:eastAsia="he-IL"/>
        </w:rPr>
        <w:t xml:space="preserve"> </w:t>
      </w:r>
      <w:r w:rsidRPr="002430E6">
        <w:rPr>
          <w:rFonts w:ascii="Miriam" w:hAnsi="Miriam" w:hint="eastAsia"/>
          <w:rtl/>
          <w:lang w:eastAsia="he-IL"/>
        </w:rPr>
        <w:t>העונש</w:t>
      </w:r>
      <w:r w:rsidRPr="002430E6">
        <w:rPr>
          <w:rFonts w:ascii="Miriam" w:hAnsi="Miriam"/>
          <w:rtl/>
          <w:lang w:eastAsia="he-IL"/>
        </w:rPr>
        <w:t xml:space="preserve"> </w:t>
      </w:r>
      <w:r w:rsidRPr="002430E6">
        <w:rPr>
          <w:rFonts w:ascii="Miriam" w:hAnsi="Miriam" w:hint="eastAsia"/>
          <w:rtl/>
          <w:lang w:eastAsia="he-IL"/>
        </w:rPr>
        <w:t>ההולם</w:t>
      </w:r>
      <w:r w:rsidRPr="002430E6">
        <w:rPr>
          <w:rFonts w:ascii="Miriam" w:hAnsi="Miriam"/>
          <w:rtl/>
          <w:lang w:eastAsia="he-IL"/>
        </w:rPr>
        <w:t xml:space="preserve"> </w:t>
      </w:r>
      <w:r w:rsidRPr="002430E6">
        <w:rPr>
          <w:rFonts w:ascii="Miriam" w:hAnsi="Miriam" w:hint="eastAsia"/>
          <w:rtl/>
          <w:lang w:eastAsia="he-IL"/>
        </w:rPr>
        <w:t>ולקבוע</w:t>
      </w:r>
      <w:r w:rsidRPr="002430E6">
        <w:rPr>
          <w:rFonts w:ascii="Miriam" w:hAnsi="Miriam"/>
          <w:rtl/>
          <w:lang w:eastAsia="he-IL"/>
        </w:rPr>
        <w:t xml:space="preserve"> </w:t>
      </w:r>
      <w:r w:rsidRPr="002430E6">
        <w:rPr>
          <w:rFonts w:ascii="Miriam" w:hAnsi="Miriam" w:hint="eastAsia"/>
          <w:rtl/>
          <w:lang w:eastAsia="he-IL"/>
        </w:rPr>
        <w:t>את</w:t>
      </w:r>
      <w:r w:rsidRPr="002430E6">
        <w:rPr>
          <w:rFonts w:ascii="Miriam" w:hAnsi="Miriam"/>
          <w:rtl/>
          <w:lang w:eastAsia="he-IL"/>
        </w:rPr>
        <w:t xml:space="preserve"> </w:t>
      </w:r>
      <w:r w:rsidRPr="002430E6">
        <w:rPr>
          <w:rFonts w:ascii="Miriam" w:hAnsi="Miriam" w:hint="eastAsia"/>
          <w:rtl/>
          <w:lang w:eastAsia="he-IL"/>
        </w:rPr>
        <w:t>עונשו</w:t>
      </w:r>
      <w:r w:rsidRPr="002430E6">
        <w:rPr>
          <w:rFonts w:ascii="Miriam" w:hAnsi="Miriam"/>
          <w:rtl/>
          <w:lang w:eastAsia="he-IL"/>
        </w:rPr>
        <w:t xml:space="preserve"> </w:t>
      </w:r>
      <w:r w:rsidRPr="002430E6">
        <w:rPr>
          <w:rFonts w:ascii="Miriam" w:hAnsi="Miriam" w:hint="eastAsia"/>
          <w:rtl/>
          <w:lang w:eastAsia="he-IL"/>
        </w:rPr>
        <w:t>של</w:t>
      </w:r>
      <w:r w:rsidRPr="002430E6">
        <w:rPr>
          <w:rFonts w:ascii="Miriam" w:hAnsi="Miriam"/>
          <w:rtl/>
          <w:lang w:eastAsia="he-IL"/>
        </w:rPr>
        <w:t xml:space="preserve"> </w:t>
      </w:r>
      <w:r w:rsidRPr="002430E6">
        <w:rPr>
          <w:rFonts w:ascii="Miriam" w:hAnsi="Miriam" w:hint="eastAsia"/>
          <w:rtl/>
          <w:lang w:eastAsia="he-IL"/>
        </w:rPr>
        <w:t>הנאשם</w:t>
      </w:r>
      <w:r w:rsidRPr="002430E6">
        <w:rPr>
          <w:rFonts w:ascii="Miriam" w:hAnsi="Miriam"/>
          <w:rtl/>
          <w:lang w:eastAsia="he-IL"/>
        </w:rPr>
        <w:t xml:space="preserve"> </w:t>
      </w:r>
      <w:r w:rsidRPr="002430E6">
        <w:rPr>
          <w:rFonts w:ascii="Miriam" w:hAnsi="Miriam" w:hint="eastAsia"/>
          <w:rtl/>
          <w:lang w:eastAsia="he-IL"/>
        </w:rPr>
        <w:t>לפי</w:t>
      </w:r>
      <w:r w:rsidRPr="002430E6">
        <w:rPr>
          <w:rFonts w:ascii="Miriam" w:hAnsi="Miriam"/>
          <w:rtl/>
          <w:lang w:eastAsia="he-IL"/>
        </w:rPr>
        <w:t xml:space="preserve"> </w:t>
      </w:r>
      <w:r w:rsidRPr="002430E6">
        <w:rPr>
          <w:rFonts w:ascii="Miriam" w:hAnsi="Miriam" w:hint="eastAsia"/>
          <w:rtl/>
          <w:lang w:eastAsia="he-IL"/>
        </w:rPr>
        <w:t>שיקולי</w:t>
      </w:r>
      <w:r w:rsidRPr="002430E6">
        <w:rPr>
          <w:rFonts w:ascii="Miriam" w:hAnsi="Miriam"/>
          <w:rtl/>
          <w:lang w:eastAsia="he-IL"/>
        </w:rPr>
        <w:t xml:space="preserve"> </w:t>
      </w:r>
      <w:r w:rsidRPr="002430E6">
        <w:rPr>
          <w:rFonts w:ascii="Miriam" w:hAnsi="Miriam" w:hint="eastAsia"/>
          <w:rtl/>
          <w:lang w:eastAsia="he-IL"/>
        </w:rPr>
        <w:t>שיקומו</w:t>
      </w:r>
      <w:r w:rsidRPr="002430E6">
        <w:rPr>
          <w:rFonts w:ascii="Miriam" w:hAnsi="Miriam"/>
          <w:rtl/>
          <w:lang w:eastAsia="he-IL"/>
        </w:rPr>
        <w:t xml:space="preserve">, </w:t>
      </w:r>
      <w:r w:rsidRPr="002430E6">
        <w:rPr>
          <w:rFonts w:ascii="Miriam" w:hAnsi="Miriam" w:hint="eastAsia"/>
          <w:rtl/>
          <w:lang w:eastAsia="he-IL"/>
        </w:rPr>
        <w:t>וכן</w:t>
      </w:r>
      <w:r w:rsidRPr="002430E6">
        <w:rPr>
          <w:rFonts w:ascii="Miriam" w:hAnsi="Miriam"/>
          <w:rtl/>
          <w:lang w:eastAsia="he-IL"/>
        </w:rPr>
        <w:t xml:space="preserve"> </w:t>
      </w:r>
      <w:r w:rsidRPr="002430E6">
        <w:rPr>
          <w:rFonts w:ascii="Miriam" w:hAnsi="Miriam" w:hint="eastAsia"/>
          <w:rtl/>
          <w:lang w:eastAsia="he-IL"/>
        </w:rPr>
        <w:t>להורות</w:t>
      </w:r>
      <w:r w:rsidRPr="002430E6">
        <w:rPr>
          <w:rFonts w:ascii="Miriam" w:hAnsi="Miriam"/>
          <w:rtl/>
          <w:lang w:eastAsia="he-IL"/>
        </w:rPr>
        <w:t xml:space="preserve"> </w:t>
      </w:r>
      <w:r w:rsidRPr="002430E6">
        <w:rPr>
          <w:rFonts w:ascii="Miriam" w:hAnsi="Miriam" w:hint="eastAsia"/>
          <w:rtl/>
          <w:lang w:eastAsia="he-IL"/>
        </w:rPr>
        <w:t>על</w:t>
      </w:r>
      <w:r w:rsidRPr="002430E6">
        <w:rPr>
          <w:rFonts w:ascii="Miriam" w:hAnsi="Miriam"/>
          <w:rtl/>
          <w:lang w:eastAsia="he-IL"/>
        </w:rPr>
        <w:t xml:space="preserve"> </w:t>
      </w:r>
      <w:r w:rsidRPr="002430E6">
        <w:rPr>
          <w:rFonts w:ascii="Miriam" w:hAnsi="Miriam" w:hint="eastAsia"/>
          <w:rtl/>
          <w:lang w:eastAsia="he-IL"/>
        </w:rPr>
        <w:t>נקיטת</w:t>
      </w:r>
      <w:r w:rsidRPr="002430E6">
        <w:rPr>
          <w:rFonts w:ascii="Miriam" w:hAnsi="Miriam"/>
          <w:rtl/>
          <w:lang w:eastAsia="he-IL"/>
        </w:rPr>
        <w:t xml:space="preserve"> </w:t>
      </w:r>
      <w:r w:rsidRPr="002430E6">
        <w:rPr>
          <w:rFonts w:ascii="Miriam" w:hAnsi="Miriam" w:hint="eastAsia"/>
          <w:rtl/>
          <w:lang w:eastAsia="he-IL"/>
        </w:rPr>
        <w:t>אמצעי</w:t>
      </w:r>
      <w:r w:rsidRPr="002430E6">
        <w:rPr>
          <w:rFonts w:ascii="Miriam" w:hAnsi="Miriam"/>
          <w:rtl/>
          <w:lang w:eastAsia="he-IL"/>
        </w:rPr>
        <w:t xml:space="preserve"> </w:t>
      </w:r>
      <w:r w:rsidRPr="002430E6">
        <w:rPr>
          <w:rFonts w:ascii="Miriam" w:hAnsi="Miriam" w:hint="eastAsia"/>
          <w:rtl/>
          <w:lang w:eastAsia="he-IL"/>
        </w:rPr>
        <w:t>שיקומי</w:t>
      </w:r>
      <w:r w:rsidRPr="002430E6">
        <w:rPr>
          <w:rFonts w:ascii="Miriam" w:hAnsi="Miriam"/>
          <w:rtl/>
          <w:lang w:eastAsia="he-IL"/>
        </w:rPr>
        <w:t xml:space="preserve"> </w:t>
      </w:r>
      <w:r w:rsidRPr="002430E6">
        <w:rPr>
          <w:rFonts w:ascii="Miriam" w:hAnsi="Miriam" w:hint="eastAsia"/>
          <w:rtl/>
          <w:lang w:eastAsia="he-IL"/>
        </w:rPr>
        <w:t>כלפי</w:t>
      </w:r>
      <w:r w:rsidRPr="002430E6">
        <w:rPr>
          <w:rFonts w:ascii="Miriam" w:hAnsi="Miriam"/>
          <w:rtl/>
          <w:lang w:eastAsia="he-IL"/>
        </w:rPr>
        <w:t xml:space="preserve"> </w:t>
      </w:r>
      <w:r w:rsidRPr="002430E6">
        <w:rPr>
          <w:rFonts w:ascii="Miriam" w:hAnsi="Miriam" w:hint="eastAsia"/>
          <w:rtl/>
          <w:lang w:eastAsia="he-IL"/>
        </w:rPr>
        <w:t>הנאשם</w:t>
      </w:r>
      <w:r w:rsidRPr="002430E6">
        <w:rPr>
          <w:rFonts w:ascii="Miriam" w:hAnsi="Miriam"/>
          <w:rtl/>
          <w:lang w:eastAsia="he-IL"/>
        </w:rPr>
        <w:t xml:space="preserve">, </w:t>
      </w:r>
      <w:r w:rsidRPr="002430E6">
        <w:rPr>
          <w:rFonts w:ascii="Miriam" w:hAnsi="Miriam" w:hint="eastAsia"/>
          <w:rtl/>
          <w:lang w:eastAsia="he-IL"/>
        </w:rPr>
        <w:t>לרבות</w:t>
      </w:r>
      <w:r w:rsidRPr="002430E6">
        <w:rPr>
          <w:rFonts w:ascii="Miriam" w:hAnsi="Miriam"/>
          <w:rtl/>
          <w:lang w:eastAsia="he-IL"/>
        </w:rPr>
        <w:t xml:space="preserve"> </w:t>
      </w:r>
      <w:r w:rsidRPr="002430E6">
        <w:rPr>
          <w:rFonts w:ascii="Miriam" w:hAnsi="Miriam" w:hint="eastAsia"/>
          <w:rtl/>
          <w:lang w:eastAsia="he-IL"/>
        </w:rPr>
        <w:t>העמדתו</w:t>
      </w:r>
      <w:r w:rsidRPr="002430E6">
        <w:rPr>
          <w:rFonts w:ascii="Miriam" w:hAnsi="Miriam"/>
          <w:rtl/>
          <w:lang w:eastAsia="he-IL"/>
        </w:rPr>
        <w:t xml:space="preserve"> </w:t>
      </w:r>
      <w:r w:rsidRPr="002430E6">
        <w:rPr>
          <w:rFonts w:ascii="Miriam" w:hAnsi="Miriam" w:hint="eastAsia"/>
          <w:rtl/>
          <w:lang w:eastAsia="he-IL"/>
        </w:rPr>
        <w:t>במבחן</w:t>
      </w:r>
      <w:r w:rsidRPr="002430E6">
        <w:rPr>
          <w:rFonts w:ascii="Miriam" w:hAnsi="Miriam"/>
          <w:rtl/>
          <w:lang w:eastAsia="he-IL"/>
        </w:rPr>
        <w:t>...".</w:t>
      </w:r>
    </w:p>
    <w:p w14:paraId="605C9401"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 xml:space="preserve">סעיף זה מנחה את בית המשפט לבחון שיקולים פרטניים המצדיקים, במקרה קונקרטי, לפעול מתוך חריג לכלל ולא להטיל על נאשם את העונש ההולם את מעשיו. להעדיף את השיקום על פני ההרתעה והגמול. </w:t>
      </w:r>
    </w:p>
    <w:p w14:paraId="5AA6CCE5"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במקרה זה הנאשם לא שיתף פעולה עם שירות המבחן במידה שהצדיקה המשך דחיית הדיון לצורך השלמת ההליך, כפי ששירות המבחן מבין אותו. בית המשפט סבר במכלול הנסיבות כי אין מקום להמשיך ולהאריך את ההליך המשפטי במקרה זה. אין בפניי המלצה טיפולית או נסיבות מהן ניתן ללמוד על שיתוף פעולה המצדיק סטייה מהמתחם משיקולי שיקומו של הנאשם. אכן, ממכלול הנסיבות האישיות והתנהלות הנאשם וההתרשמות לגבי מידת ההרתעה של ההליך בעניינו, יש לשקול שיקולים אלה בתוך המתחם בקביעת העונש המתאים.</w:t>
      </w:r>
    </w:p>
    <w:p w14:paraId="4C0F418F" w14:textId="77777777" w:rsidR="00254C8A" w:rsidRPr="00254C8A" w:rsidRDefault="00254C8A" w:rsidP="00254C8A">
      <w:pPr>
        <w:spacing w:after="160" w:line="360" w:lineRule="auto"/>
        <w:jc w:val="both"/>
        <w:rPr>
          <w:rFonts w:ascii="Calibri" w:hAnsi="Calibri" w:cs="Arial"/>
          <w:b/>
          <w:bCs/>
          <w:szCs w:val="22"/>
          <w:u w:val="single"/>
          <w:rtl/>
        </w:rPr>
      </w:pPr>
    </w:p>
    <w:p w14:paraId="0052F906" w14:textId="77777777" w:rsidR="00254C8A" w:rsidRPr="002430E6" w:rsidRDefault="00254C8A" w:rsidP="00254C8A">
      <w:pPr>
        <w:spacing w:after="160" w:line="360" w:lineRule="auto"/>
        <w:jc w:val="both"/>
        <w:rPr>
          <w:rFonts w:ascii="David" w:hAnsi="David"/>
        </w:rPr>
      </w:pPr>
      <w:r w:rsidRPr="002430E6">
        <w:rPr>
          <w:rFonts w:ascii="David" w:hAnsi="David"/>
          <w:b/>
          <w:bCs/>
          <w:u w:val="single"/>
          <w:rtl/>
        </w:rPr>
        <w:t>קביעת העונש בתוך מתחם הענישה</w:t>
      </w:r>
    </w:p>
    <w:p w14:paraId="0A280824"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בבחינת כלל השיקולים הפרטניים המפורטים בתסקיר שירות המבחן, שאולם לא מצאתי לנכון לפרט מחמת צנעת הפרט, בשים לב להיעדר הרשעות קודמות לנאשם, להודאתו ולנטילת האחריות מצדו וכן בשים לב למאמץ אותו השקיע במהלך התקופה בקשר עם שירות המבחן (הגם שאינו שלם) ולנסיבות החיצוניות בעטיין לא שולב בהליך טיפולי באופן אפקטיבי, יש להטיל על הנאשם עונ</w:t>
      </w:r>
      <w:r>
        <w:rPr>
          <w:rFonts w:hint="cs"/>
          <w:rtl/>
          <w:lang w:eastAsia="he-IL"/>
        </w:rPr>
        <w:t>ש</w:t>
      </w:r>
      <w:r w:rsidRPr="002430E6">
        <w:rPr>
          <w:rtl/>
          <w:lang w:eastAsia="he-IL"/>
        </w:rPr>
        <w:t xml:space="preserve"> בתחתית מתחם הענישה.</w:t>
      </w:r>
    </w:p>
    <w:p w14:paraId="3CCCFFF5" w14:textId="77777777" w:rsidR="00254C8A" w:rsidRPr="002430E6" w:rsidRDefault="00254C8A" w:rsidP="00254C8A">
      <w:pPr>
        <w:spacing w:after="160" w:line="360" w:lineRule="auto"/>
        <w:jc w:val="both"/>
        <w:rPr>
          <w:rFonts w:ascii="David" w:hAnsi="David"/>
          <w:b/>
          <w:bCs/>
          <w:u w:val="single"/>
          <w:rtl/>
        </w:rPr>
      </w:pPr>
    </w:p>
    <w:p w14:paraId="1F8428AC" w14:textId="77777777" w:rsidR="00254C8A" w:rsidRPr="002430E6" w:rsidRDefault="00254C8A" w:rsidP="00254C8A">
      <w:pPr>
        <w:spacing w:after="160" w:line="360" w:lineRule="auto"/>
        <w:jc w:val="both"/>
        <w:rPr>
          <w:rFonts w:ascii="David" w:hAnsi="David"/>
          <w:b/>
          <w:bCs/>
          <w:u w:val="single"/>
          <w:rtl/>
        </w:rPr>
      </w:pPr>
      <w:r w:rsidRPr="002430E6">
        <w:rPr>
          <w:rFonts w:ascii="David" w:hAnsi="David"/>
          <w:b/>
          <w:bCs/>
          <w:u w:val="single"/>
          <w:rtl/>
        </w:rPr>
        <w:t>סוף דבר:</w:t>
      </w:r>
    </w:p>
    <w:p w14:paraId="2C190E66" w14:textId="77777777" w:rsidR="00254C8A" w:rsidRPr="002430E6" w:rsidRDefault="00254C8A" w:rsidP="00254C8A">
      <w:pPr>
        <w:numPr>
          <w:ilvl w:val="0"/>
          <w:numId w:val="1"/>
        </w:numPr>
        <w:snapToGrid w:val="0"/>
        <w:spacing w:line="360" w:lineRule="auto"/>
        <w:contextualSpacing/>
        <w:jc w:val="both"/>
        <w:rPr>
          <w:lang w:eastAsia="he-IL"/>
        </w:rPr>
      </w:pPr>
      <w:r w:rsidRPr="002430E6">
        <w:rPr>
          <w:rtl/>
          <w:lang w:eastAsia="he-IL"/>
        </w:rPr>
        <w:t>לאחר ששקלתי את מכלול השיקולים כמפורט לעיל אני מטילה על הנאשם את העונשים הבאים:</w:t>
      </w:r>
    </w:p>
    <w:p w14:paraId="584A3692" w14:textId="77777777" w:rsidR="00254C8A" w:rsidRPr="002430E6" w:rsidRDefault="00254C8A" w:rsidP="00254C8A">
      <w:pPr>
        <w:numPr>
          <w:ilvl w:val="0"/>
          <w:numId w:val="2"/>
        </w:numPr>
        <w:snapToGrid w:val="0"/>
        <w:spacing w:line="360" w:lineRule="auto"/>
        <w:contextualSpacing/>
        <w:jc w:val="both"/>
        <w:rPr>
          <w:rFonts w:ascii="Arial" w:hAnsi="Arial"/>
          <w:lang w:eastAsia="he-IL"/>
        </w:rPr>
      </w:pPr>
      <w:r>
        <w:rPr>
          <w:rFonts w:hint="cs"/>
          <w:rtl/>
          <w:lang w:eastAsia="he-IL"/>
        </w:rPr>
        <w:t>4</w:t>
      </w:r>
      <w:r w:rsidRPr="002430E6">
        <w:rPr>
          <w:rtl/>
          <w:lang w:eastAsia="he-IL"/>
        </w:rPr>
        <w:t xml:space="preserve"> חודשי מאסר לריצוי בדרך של עבודות שירות. </w:t>
      </w:r>
    </w:p>
    <w:p w14:paraId="321C5EE0" w14:textId="77777777" w:rsidR="00254C8A" w:rsidRPr="002430E6" w:rsidRDefault="00254C8A" w:rsidP="00254C8A">
      <w:pPr>
        <w:snapToGrid w:val="0"/>
        <w:spacing w:line="360" w:lineRule="auto"/>
        <w:ind w:left="720"/>
        <w:contextualSpacing/>
        <w:jc w:val="both"/>
        <w:rPr>
          <w:rFonts w:ascii="Arial" w:hAnsi="Arial"/>
          <w:rtl/>
          <w:lang w:eastAsia="he-IL"/>
        </w:rPr>
      </w:pPr>
      <w:r w:rsidRPr="002430E6">
        <w:rPr>
          <w:rFonts w:ascii="Arial" w:hAnsi="Arial"/>
          <w:rtl/>
          <w:lang w:eastAsia="he-IL"/>
        </w:rPr>
        <w:t>בהתאם לחוות דעת הממונה, הנאשם יבצע את עבודות השירות בתחנת כיבוי באר שבע ויתייצב לריצוי העונש ביום 30.8.21 בשלוחת דרום, סמוך לכלא באר-שבע.</w:t>
      </w:r>
    </w:p>
    <w:p w14:paraId="05707711" w14:textId="77777777" w:rsidR="00254C8A" w:rsidRPr="002430E6" w:rsidRDefault="00254C8A" w:rsidP="00254C8A">
      <w:pPr>
        <w:snapToGrid w:val="0"/>
        <w:spacing w:line="360" w:lineRule="auto"/>
        <w:ind w:left="720"/>
        <w:contextualSpacing/>
        <w:jc w:val="both"/>
        <w:rPr>
          <w:rtl/>
          <w:lang w:eastAsia="he-IL"/>
        </w:rPr>
      </w:pPr>
      <w:r w:rsidRPr="002430E6">
        <w:rPr>
          <w:rFonts w:ascii="Arial" w:hAnsi="Arial"/>
          <w:rtl/>
          <w:lang w:eastAsia="he-I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469489C9" w14:textId="77777777" w:rsidR="00254C8A" w:rsidRPr="002430E6" w:rsidRDefault="00254C8A" w:rsidP="00254C8A">
      <w:pPr>
        <w:snapToGrid w:val="0"/>
        <w:ind w:left="720"/>
        <w:contextualSpacing/>
        <w:jc w:val="both"/>
        <w:rPr>
          <w:lang w:eastAsia="he-IL"/>
        </w:rPr>
      </w:pPr>
    </w:p>
    <w:p w14:paraId="4B76D037" w14:textId="77777777" w:rsidR="00254C8A" w:rsidRPr="002430E6" w:rsidRDefault="00254C8A" w:rsidP="00254C8A">
      <w:pPr>
        <w:numPr>
          <w:ilvl w:val="0"/>
          <w:numId w:val="2"/>
        </w:numPr>
        <w:snapToGrid w:val="0"/>
        <w:spacing w:line="360" w:lineRule="auto"/>
        <w:contextualSpacing/>
        <w:jc w:val="both"/>
        <w:rPr>
          <w:lang w:eastAsia="he-IL"/>
        </w:rPr>
      </w:pPr>
      <w:r w:rsidRPr="002430E6">
        <w:rPr>
          <w:rFonts w:ascii="Arial" w:hAnsi="Arial"/>
          <w:rtl/>
          <w:lang w:eastAsia="he-IL"/>
        </w:rPr>
        <w:t xml:space="preserve">מאסר על תנאי לתקופה של 3 חודשים. </w:t>
      </w:r>
      <w:r w:rsidRPr="002430E6">
        <w:rPr>
          <w:rFonts w:ascii="Arial" w:hAnsi="Arial"/>
          <w:sz w:val="28"/>
          <w:rtl/>
          <w:lang w:eastAsia="he-IL"/>
        </w:rPr>
        <w:t>המאסר המותנה יופעל אם תוך תקופה של 3 שנים מהיום, יעבור הנאשם עבירת סמים מסוג עוון.</w:t>
      </w:r>
    </w:p>
    <w:p w14:paraId="281EB2E9" w14:textId="77777777" w:rsidR="00254C8A" w:rsidRPr="002430E6" w:rsidRDefault="00254C8A" w:rsidP="00254C8A">
      <w:pPr>
        <w:snapToGrid w:val="0"/>
        <w:ind w:left="720"/>
        <w:contextualSpacing/>
        <w:jc w:val="both"/>
        <w:rPr>
          <w:rtl/>
          <w:lang w:eastAsia="he-IL"/>
        </w:rPr>
      </w:pPr>
    </w:p>
    <w:p w14:paraId="3CC261D2" w14:textId="77777777" w:rsidR="00254C8A" w:rsidRPr="002430E6" w:rsidRDefault="00254C8A" w:rsidP="00254C8A">
      <w:pPr>
        <w:numPr>
          <w:ilvl w:val="0"/>
          <w:numId w:val="2"/>
        </w:numPr>
        <w:spacing w:after="160" w:line="360" w:lineRule="auto"/>
        <w:contextualSpacing/>
        <w:jc w:val="both"/>
        <w:rPr>
          <w:rFonts w:ascii="Arial" w:hAnsi="Arial"/>
        </w:rPr>
      </w:pPr>
      <w:r w:rsidRPr="002430E6">
        <w:rPr>
          <w:rFonts w:ascii="Arial" w:hAnsi="Arial"/>
          <w:rtl/>
        </w:rPr>
        <w:t xml:space="preserve">מאסר על תנאי לתקופה של 6 חודשים </w:t>
      </w:r>
      <w:r w:rsidRPr="002430E6">
        <w:rPr>
          <w:rFonts w:ascii="Arial" w:hAnsi="Arial"/>
          <w:szCs w:val="22"/>
          <w:rtl/>
        </w:rPr>
        <w:t>המאסר המותנה יופעל אם תוך תקופה של 3 שנים מהיום, יעבור הנאשם  עבירת סמים מסוג פשע.</w:t>
      </w:r>
    </w:p>
    <w:p w14:paraId="082F9294" w14:textId="77777777" w:rsidR="00254C8A" w:rsidRPr="002430E6" w:rsidRDefault="00254C8A" w:rsidP="00254C8A">
      <w:pPr>
        <w:snapToGrid w:val="0"/>
        <w:ind w:left="720"/>
        <w:contextualSpacing/>
        <w:rPr>
          <w:rFonts w:ascii="Arial" w:hAnsi="Arial"/>
          <w:rtl/>
          <w:lang w:eastAsia="he-IL"/>
        </w:rPr>
      </w:pPr>
    </w:p>
    <w:p w14:paraId="2416F0B7" w14:textId="77777777" w:rsidR="00254C8A" w:rsidRPr="002430E6" w:rsidRDefault="00254C8A" w:rsidP="00254C8A">
      <w:pPr>
        <w:numPr>
          <w:ilvl w:val="0"/>
          <w:numId w:val="2"/>
        </w:numPr>
        <w:spacing w:after="160" w:line="360" w:lineRule="auto"/>
        <w:contextualSpacing/>
        <w:jc w:val="both"/>
        <w:rPr>
          <w:rFonts w:ascii="Arial" w:hAnsi="Arial"/>
        </w:rPr>
      </w:pPr>
      <w:r w:rsidRPr="002430E6">
        <w:rPr>
          <w:rFonts w:ascii="Arial" w:hAnsi="Arial"/>
          <w:rtl/>
        </w:rPr>
        <w:t>קנס בסך 3,000 ₪ או 15 ימי מאסר תמורתו. הקנס ישולם עד יום 1.11.21.</w:t>
      </w:r>
    </w:p>
    <w:p w14:paraId="1F1D51C2" w14:textId="77777777" w:rsidR="00254C8A" w:rsidRPr="00254C8A" w:rsidRDefault="00254C8A" w:rsidP="00254C8A">
      <w:pPr>
        <w:spacing w:after="160" w:line="360" w:lineRule="auto"/>
        <w:jc w:val="both"/>
        <w:rPr>
          <w:rFonts w:ascii="Calibri" w:hAnsi="Calibri"/>
          <w:rtl/>
        </w:rPr>
      </w:pPr>
    </w:p>
    <w:p w14:paraId="42D63892" w14:textId="77777777" w:rsidR="00254C8A" w:rsidRPr="00254C8A" w:rsidRDefault="00254C8A" w:rsidP="00254C8A">
      <w:pPr>
        <w:spacing w:after="160" w:line="360" w:lineRule="auto"/>
        <w:jc w:val="both"/>
        <w:rPr>
          <w:rFonts w:ascii="Calibri" w:hAnsi="Calibri"/>
          <w:b/>
          <w:bCs/>
          <w:rtl/>
        </w:rPr>
      </w:pPr>
      <w:r w:rsidRPr="00254C8A">
        <w:rPr>
          <w:rFonts w:ascii="Calibri" w:hAnsi="Calibri" w:hint="eastAsia"/>
          <w:b/>
          <w:bCs/>
          <w:rtl/>
        </w:rPr>
        <w:t>ניתן</w:t>
      </w:r>
      <w:r w:rsidRPr="00254C8A">
        <w:rPr>
          <w:rFonts w:ascii="Calibri" w:hAnsi="Calibri"/>
          <w:b/>
          <w:bCs/>
          <w:rtl/>
        </w:rPr>
        <w:t xml:space="preserve"> </w:t>
      </w:r>
      <w:r w:rsidRPr="00254C8A">
        <w:rPr>
          <w:rFonts w:ascii="Calibri" w:hAnsi="Calibri" w:hint="eastAsia"/>
          <w:b/>
          <w:bCs/>
          <w:rtl/>
        </w:rPr>
        <w:t>בזאת</w:t>
      </w:r>
      <w:r w:rsidRPr="00254C8A">
        <w:rPr>
          <w:rFonts w:ascii="Calibri" w:hAnsi="Calibri"/>
          <w:b/>
          <w:bCs/>
          <w:rtl/>
        </w:rPr>
        <w:t xml:space="preserve"> </w:t>
      </w:r>
      <w:r w:rsidRPr="00254C8A">
        <w:rPr>
          <w:rFonts w:ascii="Calibri" w:hAnsi="Calibri" w:hint="eastAsia"/>
          <w:b/>
          <w:bCs/>
          <w:rtl/>
        </w:rPr>
        <w:t>צו</w:t>
      </w:r>
      <w:r w:rsidRPr="00254C8A">
        <w:rPr>
          <w:rFonts w:ascii="Calibri" w:hAnsi="Calibri"/>
          <w:b/>
          <w:bCs/>
          <w:rtl/>
        </w:rPr>
        <w:t xml:space="preserve"> </w:t>
      </w:r>
      <w:r w:rsidRPr="00254C8A">
        <w:rPr>
          <w:rFonts w:ascii="Calibri" w:hAnsi="Calibri" w:hint="eastAsia"/>
          <w:b/>
          <w:bCs/>
          <w:rtl/>
        </w:rPr>
        <w:t>להשמדת</w:t>
      </w:r>
      <w:r w:rsidRPr="00254C8A">
        <w:rPr>
          <w:rFonts w:ascii="Calibri" w:hAnsi="Calibri"/>
          <w:b/>
          <w:bCs/>
          <w:rtl/>
        </w:rPr>
        <w:t xml:space="preserve"> </w:t>
      </w:r>
      <w:r w:rsidRPr="00254C8A">
        <w:rPr>
          <w:rFonts w:ascii="Calibri" w:hAnsi="Calibri" w:hint="eastAsia"/>
          <w:b/>
          <w:bCs/>
          <w:rtl/>
        </w:rPr>
        <w:t>מוצג</w:t>
      </w:r>
      <w:r w:rsidRPr="00254C8A">
        <w:rPr>
          <w:rFonts w:ascii="Calibri" w:hAnsi="Calibri"/>
          <w:b/>
          <w:bCs/>
          <w:rtl/>
        </w:rPr>
        <w:t xml:space="preserve"> – </w:t>
      </w:r>
      <w:r w:rsidRPr="00254C8A">
        <w:rPr>
          <w:rFonts w:ascii="Calibri" w:hAnsi="Calibri" w:hint="eastAsia"/>
          <w:b/>
          <w:bCs/>
          <w:rtl/>
        </w:rPr>
        <w:t>סמים</w:t>
      </w:r>
      <w:r w:rsidRPr="00254C8A">
        <w:rPr>
          <w:rFonts w:ascii="Calibri" w:hAnsi="Calibri"/>
          <w:b/>
          <w:bCs/>
          <w:rtl/>
        </w:rPr>
        <w:t xml:space="preserve"> </w:t>
      </w:r>
      <w:r w:rsidRPr="00254C8A">
        <w:rPr>
          <w:rFonts w:ascii="Calibri" w:hAnsi="Calibri" w:hint="eastAsia"/>
          <w:b/>
          <w:bCs/>
          <w:rtl/>
        </w:rPr>
        <w:t>בכפוף</w:t>
      </w:r>
      <w:r w:rsidRPr="00254C8A">
        <w:rPr>
          <w:rFonts w:ascii="Calibri" w:hAnsi="Calibri"/>
          <w:b/>
          <w:bCs/>
          <w:rtl/>
        </w:rPr>
        <w:t xml:space="preserve"> </w:t>
      </w:r>
      <w:r w:rsidRPr="00254C8A">
        <w:rPr>
          <w:rFonts w:ascii="Calibri" w:hAnsi="Calibri" w:hint="eastAsia"/>
          <w:b/>
          <w:bCs/>
          <w:rtl/>
        </w:rPr>
        <w:t>לחלוף</w:t>
      </w:r>
      <w:r w:rsidRPr="00254C8A">
        <w:rPr>
          <w:rFonts w:ascii="Calibri" w:hAnsi="Calibri"/>
          <w:b/>
          <w:bCs/>
          <w:rtl/>
        </w:rPr>
        <w:t xml:space="preserve"> </w:t>
      </w:r>
      <w:r w:rsidRPr="00254C8A">
        <w:rPr>
          <w:rFonts w:ascii="Calibri" w:hAnsi="Calibri" w:hint="eastAsia"/>
          <w:b/>
          <w:bCs/>
          <w:rtl/>
        </w:rPr>
        <w:t>תקופת</w:t>
      </w:r>
      <w:r w:rsidRPr="00254C8A">
        <w:rPr>
          <w:rFonts w:ascii="Calibri" w:hAnsi="Calibri"/>
          <w:b/>
          <w:bCs/>
          <w:rtl/>
        </w:rPr>
        <w:t xml:space="preserve"> </w:t>
      </w:r>
      <w:r w:rsidRPr="00254C8A">
        <w:rPr>
          <w:rFonts w:ascii="Calibri" w:hAnsi="Calibri" w:hint="eastAsia"/>
          <w:b/>
          <w:bCs/>
          <w:rtl/>
        </w:rPr>
        <w:t>הערעור</w:t>
      </w:r>
      <w:r w:rsidRPr="00254C8A">
        <w:rPr>
          <w:rFonts w:ascii="Calibri" w:hAnsi="Calibri"/>
          <w:b/>
          <w:bCs/>
          <w:rtl/>
        </w:rPr>
        <w:t>.</w:t>
      </w:r>
    </w:p>
    <w:p w14:paraId="2F45229D" w14:textId="77777777" w:rsidR="00254C8A" w:rsidRPr="00254C8A" w:rsidRDefault="00254C8A" w:rsidP="00254C8A">
      <w:pPr>
        <w:spacing w:after="160" w:line="360" w:lineRule="auto"/>
        <w:jc w:val="both"/>
        <w:rPr>
          <w:rFonts w:ascii="Calibri" w:hAnsi="Calibri"/>
          <w:b/>
          <w:bCs/>
          <w:rtl/>
        </w:rPr>
      </w:pPr>
      <w:r w:rsidRPr="00254C8A">
        <w:rPr>
          <w:rFonts w:ascii="Calibri" w:hAnsi="Calibri" w:hint="eastAsia"/>
          <w:b/>
          <w:bCs/>
          <w:rtl/>
        </w:rPr>
        <w:t>ניתן</w:t>
      </w:r>
      <w:r w:rsidRPr="00254C8A">
        <w:rPr>
          <w:rFonts w:ascii="Calibri" w:hAnsi="Calibri"/>
          <w:b/>
          <w:bCs/>
          <w:rtl/>
        </w:rPr>
        <w:t xml:space="preserve"> </w:t>
      </w:r>
      <w:r w:rsidRPr="00254C8A">
        <w:rPr>
          <w:rFonts w:ascii="Calibri" w:hAnsi="Calibri" w:hint="eastAsia"/>
          <w:b/>
          <w:bCs/>
          <w:rtl/>
        </w:rPr>
        <w:t>בזאת</w:t>
      </w:r>
      <w:r w:rsidRPr="00254C8A">
        <w:rPr>
          <w:rFonts w:ascii="Calibri" w:hAnsi="Calibri"/>
          <w:b/>
          <w:bCs/>
          <w:rtl/>
        </w:rPr>
        <w:t xml:space="preserve"> </w:t>
      </w:r>
      <w:r w:rsidRPr="00254C8A">
        <w:rPr>
          <w:rFonts w:ascii="Calibri" w:hAnsi="Calibri" w:hint="eastAsia"/>
          <w:b/>
          <w:bCs/>
          <w:rtl/>
        </w:rPr>
        <w:t>צו</w:t>
      </w:r>
      <w:r w:rsidRPr="00254C8A">
        <w:rPr>
          <w:rFonts w:ascii="Calibri" w:hAnsi="Calibri"/>
          <w:b/>
          <w:bCs/>
          <w:rtl/>
        </w:rPr>
        <w:t xml:space="preserve"> </w:t>
      </w:r>
      <w:r w:rsidRPr="00254C8A">
        <w:rPr>
          <w:rFonts w:ascii="Calibri" w:hAnsi="Calibri" w:hint="eastAsia"/>
          <w:b/>
          <w:bCs/>
          <w:rtl/>
        </w:rPr>
        <w:t>לחילוט</w:t>
      </w:r>
      <w:r w:rsidRPr="00254C8A">
        <w:rPr>
          <w:rFonts w:ascii="Calibri" w:hAnsi="Calibri"/>
          <w:b/>
          <w:bCs/>
          <w:rtl/>
        </w:rPr>
        <w:t xml:space="preserve"> </w:t>
      </w:r>
      <w:r w:rsidRPr="00254C8A">
        <w:rPr>
          <w:rFonts w:ascii="Calibri" w:hAnsi="Calibri" w:hint="eastAsia"/>
          <w:b/>
          <w:bCs/>
          <w:rtl/>
        </w:rPr>
        <w:t>התפוסים</w:t>
      </w:r>
      <w:r w:rsidRPr="00254C8A">
        <w:rPr>
          <w:rFonts w:ascii="Calibri" w:hAnsi="Calibri"/>
          <w:b/>
          <w:bCs/>
          <w:rtl/>
        </w:rPr>
        <w:t xml:space="preserve"> </w:t>
      </w:r>
      <w:r w:rsidRPr="00254C8A">
        <w:rPr>
          <w:rFonts w:ascii="Calibri" w:hAnsi="Calibri" w:hint="eastAsia"/>
          <w:b/>
          <w:bCs/>
          <w:rtl/>
        </w:rPr>
        <w:t>המפורטים</w:t>
      </w:r>
      <w:r w:rsidRPr="00254C8A">
        <w:rPr>
          <w:rFonts w:ascii="Calibri" w:hAnsi="Calibri"/>
          <w:b/>
          <w:bCs/>
          <w:rtl/>
        </w:rPr>
        <w:t xml:space="preserve"> </w:t>
      </w:r>
      <w:r w:rsidRPr="00254C8A">
        <w:rPr>
          <w:rFonts w:ascii="Calibri" w:hAnsi="Calibri" w:hint="eastAsia"/>
          <w:b/>
          <w:bCs/>
          <w:rtl/>
        </w:rPr>
        <w:t>בכתב</w:t>
      </w:r>
      <w:r w:rsidRPr="00254C8A">
        <w:rPr>
          <w:rFonts w:ascii="Calibri" w:hAnsi="Calibri"/>
          <w:b/>
          <w:bCs/>
          <w:rtl/>
        </w:rPr>
        <w:t xml:space="preserve"> </w:t>
      </w:r>
      <w:r w:rsidRPr="00254C8A">
        <w:rPr>
          <w:rFonts w:ascii="Calibri" w:hAnsi="Calibri" w:hint="eastAsia"/>
          <w:b/>
          <w:bCs/>
          <w:rtl/>
        </w:rPr>
        <w:t>האישום</w:t>
      </w:r>
      <w:r w:rsidRPr="00254C8A">
        <w:rPr>
          <w:rFonts w:ascii="Calibri" w:hAnsi="Calibri"/>
          <w:b/>
          <w:bCs/>
          <w:rtl/>
        </w:rPr>
        <w:t xml:space="preserve"> </w:t>
      </w:r>
      <w:r w:rsidRPr="00254C8A">
        <w:rPr>
          <w:rFonts w:ascii="Calibri" w:hAnsi="Calibri" w:hint="eastAsia"/>
          <w:b/>
          <w:bCs/>
          <w:rtl/>
        </w:rPr>
        <w:t>וכן</w:t>
      </w:r>
      <w:r w:rsidRPr="00254C8A">
        <w:rPr>
          <w:rFonts w:ascii="Calibri" w:hAnsi="Calibri"/>
          <w:b/>
          <w:bCs/>
          <w:rtl/>
        </w:rPr>
        <w:t xml:space="preserve"> </w:t>
      </w:r>
      <w:r w:rsidRPr="00254C8A">
        <w:rPr>
          <w:rFonts w:ascii="Calibri" w:hAnsi="Calibri" w:hint="eastAsia"/>
          <w:b/>
          <w:bCs/>
          <w:rtl/>
        </w:rPr>
        <w:t>כסף</w:t>
      </w:r>
      <w:r w:rsidRPr="00254C8A">
        <w:rPr>
          <w:rFonts w:ascii="Calibri" w:hAnsi="Calibri"/>
          <w:b/>
          <w:bCs/>
          <w:rtl/>
        </w:rPr>
        <w:t xml:space="preserve"> </w:t>
      </w:r>
      <w:r w:rsidRPr="00254C8A">
        <w:rPr>
          <w:rFonts w:ascii="Calibri" w:hAnsi="Calibri" w:hint="eastAsia"/>
          <w:b/>
          <w:bCs/>
          <w:rtl/>
        </w:rPr>
        <w:t>מזומן</w:t>
      </w:r>
      <w:r w:rsidRPr="00254C8A">
        <w:rPr>
          <w:rFonts w:ascii="Calibri" w:hAnsi="Calibri"/>
          <w:b/>
          <w:bCs/>
          <w:rtl/>
        </w:rPr>
        <w:t xml:space="preserve"> </w:t>
      </w:r>
      <w:r w:rsidRPr="00254C8A">
        <w:rPr>
          <w:rFonts w:ascii="Calibri" w:hAnsi="Calibri" w:hint="eastAsia"/>
          <w:b/>
          <w:bCs/>
          <w:rtl/>
        </w:rPr>
        <w:t>שנתפס</w:t>
      </w:r>
      <w:r w:rsidRPr="00254C8A">
        <w:rPr>
          <w:rFonts w:ascii="Calibri" w:hAnsi="Calibri"/>
          <w:b/>
          <w:bCs/>
          <w:rtl/>
        </w:rPr>
        <w:t xml:space="preserve"> </w:t>
      </w:r>
      <w:r w:rsidRPr="00254C8A">
        <w:rPr>
          <w:rFonts w:ascii="Calibri" w:hAnsi="Calibri" w:hint="eastAsia"/>
          <w:b/>
          <w:bCs/>
          <w:rtl/>
        </w:rPr>
        <w:t>בביתו</w:t>
      </w:r>
      <w:r w:rsidRPr="00254C8A">
        <w:rPr>
          <w:rFonts w:ascii="Calibri" w:hAnsi="Calibri"/>
          <w:b/>
          <w:bCs/>
          <w:rtl/>
        </w:rPr>
        <w:t>.</w:t>
      </w:r>
    </w:p>
    <w:p w14:paraId="0A4DB841" w14:textId="77777777" w:rsidR="00254C8A" w:rsidRPr="00254C8A" w:rsidRDefault="00254C8A" w:rsidP="00254C8A">
      <w:pPr>
        <w:spacing w:after="160" w:line="360" w:lineRule="auto"/>
        <w:jc w:val="both"/>
        <w:rPr>
          <w:rFonts w:ascii="Calibri" w:hAnsi="Calibri"/>
          <w:b/>
          <w:bCs/>
          <w:rtl/>
        </w:rPr>
      </w:pPr>
      <w:r w:rsidRPr="00254C8A">
        <w:rPr>
          <w:rFonts w:ascii="Calibri" w:hAnsi="Calibri" w:hint="cs"/>
          <w:b/>
          <w:bCs/>
          <w:rtl/>
        </w:rPr>
        <w:t xml:space="preserve">סכום של 5,000 </w:t>
      </w:r>
      <w:r w:rsidRPr="00254C8A">
        <w:rPr>
          <w:rFonts w:ascii="Calibri" w:hAnsi="Calibri" w:hint="eastAsia"/>
          <w:b/>
          <w:bCs/>
          <w:rtl/>
        </w:rPr>
        <w:t>₪</w:t>
      </w:r>
      <w:r w:rsidRPr="00254C8A">
        <w:rPr>
          <w:rFonts w:ascii="Calibri" w:hAnsi="Calibri" w:hint="cs"/>
          <w:b/>
          <w:bCs/>
          <w:rtl/>
        </w:rPr>
        <w:t xml:space="preserve"> מסך ה</w:t>
      </w:r>
      <w:r w:rsidRPr="00254C8A">
        <w:rPr>
          <w:rFonts w:ascii="Calibri" w:hAnsi="Calibri" w:hint="eastAsia"/>
          <w:b/>
          <w:bCs/>
          <w:rtl/>
        </w:rPr>
        <w:t>ערבויות</w:t>
      </w:r>
      <w:r w:rsidRPr="00254C8A">
        <w:rPr>
          <w:rFonts w:ascii="Calibri" w:hAnsi="Calibri"/>
          <w:b/>
          <w:bCs/>
          <w:rtl/>
        </w:rPr>
        <w:t xml:space="preserve"> </w:t>
      </w:r>
      <w:r w:rsidRPr="00254C8A">
        <w:rPr>
          <w:rFonts w:ascii="Calibri" w:hAnsi="Calibri" w:hint="cs"/>
          <w:b/>
          <w:bCs/>
          <w:rtl/>
        </w:rPr>
        <w:t>ה</w:t>
      </w:r>
      <w:r w:rsidRPr="00254C8A">
        <w:rPr>
          <w:rFonts w:ascii="Calibri" w:hAnsi="Calibri" w:hint="eastAsia"/>
          <w:b/>
          <w:bCs/>
          <w:rtl/>
        </w:rPr>
        <w:t>כספיות</w:t>
      </w:r>
      <w:r w:rsidRPr="00254C8A">
        <w:rPr>
          <w:rFonts w:ascii="Calibri" w:hAnsi="Calibri"/>
          <w:b/>
          <w:bCs/>
          <w:rtl/>
        </w:rPr>
        <w:t xml:space="preserve"> </w:t>
      </w:r>
      <w:r w:rsidRPr="00254C8A">
        <w:rPr>
          <w:rFonts w:ascii="Calibri" w:hAnsi="Calibri" w:hint="eastAsia"/>
          <w:b/>
          <w:bCs/>
          <w:rtl/>
        </w:rPr>
        <w:t>שבתיק</w:t>
      </w:r>
      <w:r w:rsidRPr="00254C8A">
        <w:rPr>
          <w:rFonts w:ascii="Calibri" w:hAnsi="Calibri"/>
          <w:b/>
          <w:bCs/>
          <w:rtl/>
        </w:rPr>
        <w:t xml:space="preserve"> </w:t>
      </w:r>
      <w:r w:rsidRPr="00254C8A">
        <w:rPr>
          <w:rFonts w:ascii="Calibri" w:hAnsi="Calibri" w:hint="eastAsia"/>
          <w:b/>
          <w:bCs/>
          <w:rtl/>
        </w:rPr>
        <w:t>יעמדו</w:t>
      </w:r>
      <w:r w:rsidRPr="00254C8A">
        <w:rPr>
          <w:rFonts w:ascii="Calibri" w:hAnsi="Calibri"/>
          <w:b/>
          <w:bCs/>
          <w:rtl/>
        </w:rPr>
        <w:t xml:space="preserve"> </w:t>
      </w:r>
      <w:r w:rsidRPr="00254C8A">
        <w:rPr>
          <w:rFonts w:ascii="Calibri" w:hAnsi="Calibri" w:hint="eastAsia"/>
          <w:b/>
          <w:bCs/>
          <w:rtl/>
        </w:rPr>
        <w:t>בתוקפן</w:t>
      </w:r>
      <w:r w:rsidRPr="00254C8A">
        <w:rPr>
          <w:rFonts w:ascii="Calibri" w:hAnsi="Calibri"/>
          <w:b/>
          <w:bCs/>
          <w:rtl/>
        </w:rPr>
        <w:t xml:space="preserve"> </w:t>
      </w:r>
      <w:r w:rsidRPr="00254C8A">
        <w:rPr>
          <w:rFonts w:ascii="Calibri" w:hAnsi="Calibri" w:hint="eastAsia"/>
          <w:b/>
          <w:bCs/>
          <w:rtl/>
        </w:rPr>
        <w:t>עד</w:t>
      </w:r>
      <w:r w:rsidRPr="00254C8A">
        <w:rPr>
          <w:rFonts w:ascii="Calibri" w:hAnsi="Calibri"/>
          <w:b/>
          <w:bCs/>
          <w:rtl/>
        </w:rPr>
        <w:t xml:space="preserve"> </w:t>
      </w:r>
      <w:r w:rsidRPr="00254C8A">
        <w:rPr>
          <w:rFonts w:ascii="Calibri" w:hAnsi="Calibri" w:hint="eastAsia"/>
          <w:b/>
          <w:bCs/>
          <w:rtl/>
        </w:rPr>
        <w:t>לתום</w:t>
      </w:r>
      <w:r w:rsidRPr="00254C8A">
        <w:rPr>
          <w:rFonts w:ascii="Calibri" w:hAnsi="Calibri"/>
          <w:b/>
          <w:bCs/>
          <w:rtl/>
        </w:rPr>
        <w:t xml:space="preserve"> </w:t>
      </w:r>
      <w:r w:rsidRPr="00254C8A">
        <w:rPr>
          <w:rFonts w:ascii="Calibri" w:hAnsi="Calibri" w:hint="eastAsia"/>
          <w:b/>
          <w:bCs/>
          <w:rtl/>
        </w:rPr>
        <w:t>ריצוי</w:t>
      </w:r>
      <w:r w:rsidRPr="00254C8A">
        <w:rPr>
          <w:rFonts w:ascii="Calibri" w:hAnsi="Calibri"/>
          <w:b/>
          <w:bCs/>
          <w:rtl/>
        </w:rPr>
        <w:t xml:space="preserve"> </w:t>
      </w:r>
      <w:r w:rsidRPr="00254C8A">
        <w:rPr>
          <w:rFonts w:ascii="Calibri" w:hAnsi="Calibri" w:hint="eastAsia"/>
          <w:b/>
          <w:bCs/>
          <w:rtl/>
        </w:rPr>
        <w:t>העונש</w:t>
      </w:r>
      <w:r w:rsidRPr="00254C8A">
        <w:rPr>
          <w:rFonts w:ascii="Calibri" w:hAnsi="Calibri"/>
          <w:b/>
          <w:bCs/>
          <w:rtl/>
        </w:rPr>
        <w:t>.</w:t>
      </w:r>
      <w:r w:rsidRPr="00254C8A">
        <w:rPr>
          <w:rFonts w:ascii="Calibri" w:hAnsi="Calibri" w:hint="cs"/>
          <w:b/>
          <w:bCs/>
          <w:rtl/>
        </w:rPr>
        <w:t xml:space="preserve"> בהסכמת הנאשם, היתרה תושב לבא כוחו, עו"ד עידו פורת, הכל אם אין </w:t>
      </w:r>
      <w:r w:rsidRPr="00254C8A">
        <w:rPr>
          <w:rFonts w:ascii="Calibri" w:hAnsi="Calibri" w:hint="eastAsia"/>
          <w:b/>
          <w:bCs/>
          <w:rtl/>
        </w:rPr>
        <w:t>מניעה חוקית</w:t>
      </w:r>
      <w:r w:rsidRPr="00254C8A">
        <w:rPr>
          <w:rFonts w:ascii="Calibri" w:hAnsi="Calibri" w:hint="cs"/>
          <w:b/>
          <w:bCs/>
          <w:rtl/>
        </w:rPr>
        <w:t xml:space="preserve"> אחרת.</w:t>
      </w:r>
    </w:p>
    <w:p w14:paraId="62A25992" w14:textId="77777777" w:rsidR="00254C8A" w:rsidRPr="00254C8A" w:rsidRDefault="007F05EC" w:rsidP="00254C8A">
      <w:pPr>
        <w:spacing w:after="160" w:line="360" w:lineRule="auto"/>
        <w:jc w:val="both"/>
        <w:rPr>
          <w:rFonts w:ascii="Calibri" w:hAnsi="Calibri"/>
          <w:b/>
          <w:bCs/>
          <w:u w:val="single"/>
          <w:rtl/>
        </w:rPr>
      </w:pPr>
      <w:r w:rsidRPr="007F05EC">
        <w:rPr>
          <w:rFonts w:ascii="Calibri" w:hAnsi="Calibri"/>
          <w:b/>
          <w:bCs/>
          <w:color w:val="FFFFFF"/>
          <w:sz w:val="2"/>
          <w:szCs w:val="2"/>
          <w:u w:val="single"/>
          <w:rtl/>
        </w:rPr>
        <w:t>5129371</w:t>
      </w:r>
      <w:r w:rsidR="00254C8A" w:rsidRPr="00254C8A">
        <w:rPr>
          <w:rFonts w:ascii="Calibri" w:hAnsi="Calibri" w:hint="eastAsia"/>
          <w:b/>
          <w:bCs/>
          <w:u w:val="single"/>
          <w:rtl/>
        </w:rPr>
        <w:t>העתק</w:t>
      </w:r>
      <w:r w:rsidR="00254C8A" w:rsidRPr="00254C8A">
        <w:rPr>
          <w:rFonts w:ascii="Calibri" w:hAnsi="Calibri"/>
          <w:b/>
          <w:bCs/>
          <w:u w:val="single"/>
          <w:rtl/>
        </w:rPr>
        <w:t xml:space="preserve"> </w:t>
      </w:r>
      <w:r w:rsidR="00254C8A" w:rsidRPr="00254C8A">
        <w:rPr>
          <w:rFonts w:ascii="Calibri" w:hAnsi="Calibri" w:hint="cs"/>
          <w:b/>
          <w:bCs/>
          <w:u w:val="single"/>
          <w:rtl/>
        </w:rPr>
        <w:t xml:space="preserve">גזר </w:t>
      </w:r>
      <w:r w:rsidR="00254C8A" w:rsidRPr="00254C8A">
        <w:rPr>
          <w:rFonts w:ascii="Calibri" w:hAnsi="Calibri" w:hint="eastAsia"/>
          <w:b/>
          <w:bCs/>
          <w:u w:val="single"/>
          <w:rtl/>
        </w:rPr>
        <w:t>הדין</w:t>
      </w:r>
      <w:r w:rsidR="00254C8A" w:rsidRPr="00254C8A">
        <w:rPr>
          <w:rFonts w:ascii="Calibri" w:hAnsi="Calibri"/>
          <w:b/>
          <w:bCs/>
          <w:u w:val="single"/>
          <w:rtl/>
        </w:rPr>
        <w:t xml:space="preserve"> </w:t>
      </w:r>
      <w:r w:rsidR="00254C8A" w:rsidRPr="00254C8A">
        <w:rPr>
          <w:rFonts w:ascii="Calibri" w:hAnsi="Calibri" w:hint="eastAsia"/>
          <w:b/>
          <w:bCs/>
          <w:u w:val="single"/>
          <w:rtl/>
        </w:rPr>
        <w:t>לשירות</w:t>
      </w:r>
      <w:r w:rsidR="00254C8A" w:rsidRPr="00254C8A">
        <w:rPr>
          <w:rFonts w:ascii="Calibri" w:hAnsi="Calibri"/>
          <w:b/>
          <w:bCs/>
          <w:u w:val="single"/>
          <w:rtl/>
        </w:rPr>
        <w:t xml:space="preserve"> </w:t>
      </w:r>
      <w:r w:rsidR="00254C8A" w:rsidRPr="00254C8A">
        <w:rPr>
          <w:rFonts w:ascii="Calibri" w:hAnsi="Calibri" w:hint="eastAsia"/>
          <w:b/>
          <w:bCs/>
          <w:u w:val="single"/>
          <w:rtl/>
        </w:rPr>
        <w:t>המבחן</w:t>
      </w:r>
      <w:r w:rsidR="00254C8A" w:rsidRPr="00254C8A">
        <w:rPr>
          <w:rFonts w:ascii="Calibri" w:hAnsi="Calibri"/>
          <w:b/>
          <w:bCs/>
          <w:u w:val="single"/>
          <w:rtl/>
        </w:rPr>
        <w:t xml:space="preserve"> </w:t>
      </w:r>
      <w:r w:rsidR="00254C8A" w:rsidRPr="00254C8A">
        <w:rPr>
          <w:rFonts w:ascii="Calibri" w:hAnsi="Calibri" w:hint="eastAsia"/>
          <w:b/>
          <w:bCs/>
          <w:u w:val="single"/>
          <w:rtl/>
        </w:rPr>
        <w:t>ולממונה</w:t>
      </w:r>
      <w:r w:rsidR="00254C8A" w:rsidRPr="00254C8A">
        <w:rPr>
          <w:rFonts w:ascii="Calibri" w:hAnsi="Calibri"/>
          <w:b/>
          <w:bCs/>
          <w:u w:val="single"/>
          <w:rtl/>
        </w:rPr>
        <w:t xml:space="preserve"> </w:t>
      </w:r>
      <w:r w:rsidR="00254C8A" w:rsidRPr="00254C8A">
        <w:rPr>
          <w:rFonts w:ascii="Calibri" w:hAnsi="Calibri" w:hint="eastAsia"/>
          <w:b/>
          <w:bCs/>
          <w:u w:val="single"/>
          <w:rtl/>
        </w:rPr>
        <w:t>על</w:t>
      </w:r>
      <w:r w:rsidR="00254C8A" w:rsidRPr="00254C8A">
        <w:rPr>
          <w:rFonts w:ascii="Calibri" w:hAnsi="Calibri"/>
          <w:b/>
          <w:bCs/>
          <w:u w:val="single"/>
          <w:rtl/>
        </w:rPr>
        <w:t xml:space="preserve"> </w:t>
      </w:r>
      <w:r w:rsidR="00254C8A" w:rsidRPr="00254C8A">
        <w:rPr>
          <w:rFonts w:ascii="Calibri" w:hAnsi="Calibri" w:hint="eastAsia"/>
          <w:b/>
          <w:bCs/>
          <w:u w:val="single"/>
          <w:rtl/>
        </w:rPr>
        <w:t>עבודות</w:t>
      </w:r>
      <w:r w:rsidR="00254C8A" w:rsidRPr="00254C8A">
        <w:rPr>
          <w:rFonts w:ascii="Calibri" w:hAnsi="Calibri"/>
          <w:b/>
          <w:bCs/>
          <w:u w:val="single"/>
          <w:rtl/>
        </w:rPr>
        <w:t xml:space="preserve"> </w:t>
      </w:r>
      <w:r w:rsidR="00254C8A" w:rsidRPr="00254C8A">
        <w:rPr>
          <w:rFonts w:ascii="Calibri" w:hAnsi="Calibri" w:hint="eastAsia"/>
          <w:b/>
          <w:bCs/>
          <w:u w:val="single"/>
          <w:rtl/>
        </w:rPr>
        <w:t>השירות</w:t>
      </w:r>
      <w:r w:rsidR="00254C8A" w:rsidRPr="00254C8A">
        <w:rPr>
          <w:rFonts w:ascii="Calibri" w:hAnsi="Calibri"/>
          <w:b/>
          <w:bCs/>
          <w:u w:val="single"/>
          <w:rtl/>
        </w:rPr>
        <w:t>.</w:t>
      </w:r>
    </w:p>
    <w:p w14:paraId="09532C94" w14:textId="77777777" w:rsidR="00254C8A" w:rsidRPr="00254C8A" w:rsidRDefault="007F05EC" w:rsidP="00254C8A">
      <w:pPr>
        <w:spacing w:after="160" w:line="360" w:lineRule="auto"/>
        <w:jc w:val="both"/>
        <w:rPr>
          <w:rFonts w:ascii="Calibri" w:hAnsi="Calibri"/>
          <w:b/>
          <w:bCs/>
          <w:u w:val="single"/>
        </w:rPr>
      </w:pPr>
      <w:r w:rsidRPr="007F05EC">
        <w:rPr>
          <w:rFonts w:ascii="Calibri" w:hAnsi="Calibri"/>
          <w:b/>
          <w:bCs/>
          <w:color w:val="FFFFFF"/>
          <w:sz w:val="2"/>
          <w:szCs w:val="2"/>
          <w:u w:val="single"/>
          <w:rtl/>
        </w:rPr>
        <w:t>54678313</w:t>
      </w:r>
      <w:r w:rsidR="00254C8A" w:rsidRPr="00254C8A">
        <w:rPr>
          <w:rFonts w:ascii="Calibri" w:hAnsi="Calibri" w:hint="eastAsia"/>
          <w:b/>
          <w:bCs/>
          <w:u w:val="single"/>
          <w:rtl/>
        </w:rPr>
        <w:t>זכות</w:t>
      </w:r>
      <w:r w:rsidR="00254C8A" w:rsidRPr="00254C8A">
        <w:rPr>
          <w:rFonts w:ascii="Calibri" w:hAnsi="Calibri"/>
          <w:b/>
          <w:bCs/>
          <w:u w:val="single"/>
          <w:rtl/>
        </w:rPr>
        <w:t xml:space="preserve"> </w:t>
      </w:r>
      <w:r w:rsidR="00254C8A" w:rsidRPr="00254C8A">
        <w:rPr>
          <w:rFonts w:ascii="Calibri" w:hAnsi="Calibri" w:hint="eastAsia"/>
          <w:b/>
          <w:bCs/>
          <w:u w:val="single"/>
          <w:rtl/>
        </w:rPr>
        <w:t>ערעור</w:t>
      </w:r>
      <w:r w:rsidR="00254C8A" w:rsidRPr="00254C8A">
        <w:rPr>
          <w:rFonts w:ascii="Calibri" w:hAnsi="Calibri"/>
          <w:b/>
          <w:bCs/>
          <w:u w:val="single"/>
          <w:rtl/>
        </w:rPr>
        <w:t xml:space="preserve"> </w:t>
      </w:r>
      <w:r w:rsidR="00254C8A" w:rsidRPr="00254C8A">
        <w:rPr>
          <w:rFonts w:ascii="Calibri" w:hAnsi="Calibri" w:hint="eastAsia"/>
          <w:b/>
          <w:bCs/>
          <w:u w:val="single"/>
          <w:rtl/>
        </w:rPr>
        <w:t>כחוק</w:t>
      </w:r>
      <w:r w:rsidR="00254C8A" w:rsidRPr="00254C8A">
        <w:rPr>
          <w:rFonts w:ascii="Calibri" w:hAnsi="Calibri"/>
          <w:b/>
          <w:bCs/>
          <w:u w:val="single"/>
          <w:rtl/>
        </w:rPr>
        <w:t>.</w:t>
      </w:r>
    </w:p>
    <w:p w14:paraId="56E1EAE1" w14:textId="77777777" w:rsidR="00254C8A" w:rsidRPr="002B7D23" w:rsidRDefault="00254C8A" w:rsidP="00254C8A">
      <w:pPr>
        <w:rPr>
          <w:rFonts w:ascii="David" w:hAnsi="David"/>
          <w:sz w:val="26"/>
          <w:szCs w:val="26"/>
          <w:rtl/>
        </w:rPr>
      </w:pPr>
    </w:p>
    <w:p w14:paraId="33FC8DA9" w14:textId="77777777" w:rsidR="00254C8A" w:rsidRPr="002B7D23" w:rsidRDefault="007F05EC" w:rsidP="00254C8A">
      <w:pPr>
        <w:rPr>
          <w:rFonts w:ascii="David" w:hAnsi="David"/>
          <w:sz w:val="26"/>
          <w:szCs w:val="26"/>
          <w:rtl/>
        </w:rPr>
      </w:pPr>
      <w:bookmarkStart w:id="8" w:name="Nitan"/>
      <w:r>
        <w:rPr>
          <w:rFonts w:ascii="David" w:hAnsi="David"/>
          <w:b/>
          <w:bCs/>
          <w:sz w:val="26"/>
          <w:szCs w:val="26"/>
          <w:rtl/>
        </w:rPr>
        <w:t xml:space="preserve">ניתן היום,  י"א אב תשפ"א, 20 יולי 2021, במעמד הצדדים. </w:t>
      </w:r>
      <w:bookmarkEnd w:id="8"/>
    </w:p>
    <w:p w14:paraId="7AD350A7" w14:textId="77777777" w:rsidR="00254C8A" w:rsidRPr="002B7D23" w:rsidRDefault="00254C8A" w:rsidP="007F05E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7CA02B8" w14:textId="77777777" w:rsidR="00254C8A" w:rsidRPr="002B7D23" w:rsidRDefault="00254C8A" w:rsidP="00254C8A">
      <w:pPr>
        <w:jc w:val="center"/>
        <w:rPr>
          <w:rFonts w:ascii="David" w:hAnsi="David"/>
          <w:sz w:val="26"/>
          <w:szCs w:val="26"/>
          <w:rtl/>
        </w:rPr>
      </w:pPr>
    </w:p>
    <w:p w14:paraId="3BD6FD9F" w14:textId="77777777" w:rsidR="001D04E6" w:rsidRPr="007F05EC" w:rsidRDefault="001D04E6" w:rsidP="007F05EC">
      <w:pPr>
        <w:keepNext/>
        <w:rPr>
          <w:rFonts w:ascii="David" w:hAnsi="David"/>
          <w:color w:val="000000"/>
          <w:sz w:val="22"/>
          <w:szCs w:val="22"/>
          <w:rtl/>
        </w:rPr>
      </w:pPr>
    </w:p>
    <w:p w14:paraId="41CCA01E" w14:textId="77777777" w:rsidR="007F05EC" w:rsidRPr="007F05EC" w:rsidRDefault="007F05EC" w:rsidP="007F05EC">
      <w:pPr>
        <w:keepNext/>
        <w:rPr>
          <w:rFonts w:ascii="David" w:hAnsi="David"/>
          <w:color w:val="000000"/>
          <w:sz w:val="22"/>
          <w:szCs w:val="22"/>
          <w:rtl/>
        </w:rPr>
      </w:pPr>
      <w:r w:rsidRPr="007F05EC">
        <w:rPr>
          <w:rFonts w:ascii="David" w:hAnsi="David"/>
          <w:color w:val="000000"/>
          <w:sz w:val="22"/>
          <w:szCs w:val="22"/>
          <w:rtl/>
        </w:rPr>
        <w:t>ענת חולתא 54678313</w:t>
      </w:r>
    </w:p>
    <w:p w14:paraId="62277331" w14:textId="77777777" w:rsidR="007F05EC" w:rsidRDefault="007F05EC" w:rsidP="007F05EC">
      <w:r w:rsidRPr="007F05EC">
        <w:rPr>
          <w:color w:val="000000"/>
          <w:rtl/>
        </w:rPr>
        <w:t>נוסח מסמך זה כפוף לשינויי ניסוח ועריכה</w:t>
      </w:r>
    </w:p>
    <w:p w14:paraId="1E7B05E8" w14:textId="77777777" w:rsidR="007F05EC" w:rsidRDefault="007F05EC" w:rsidP="007F05EC">
      <w:pPr>
        <w:rPr>
          <w:rtl/>
        </w:rPr>
      </w:pPr>
    </w:p>
    <w:p w14:paraId="709E465B" w14:textId="77777777" w:rsidR="007F05EC" w:rsidRDefault="007F05EC" w:rsidP="007F05EC">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2FE104A" w14:textId="77777777" w:rsidR="007F05EC" w:rsidRPr="007F05EC" w:rsidRDefault="007F05EC" w:rsidP="007F05EC">
      <w:pPr>
        <w:jc w:val="center"/>
        <w:rPr>
          <w:color w:val="0000FF"/>
          <w:u w:val="single"/>
        </w:rPr>
      </w:pPr>
    </w:p>
    <w:sectPr w:rsidR="007F05EC" w:rsidRPr="007F05EC" w:rsidSect="007F05EC">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DF9B8" w14:textId="77777777" w:rsidR="00D94795" w:rsidRDefault="00D94795" w:rsidP="003B4F12">
      <w:r>
        <w:separator/>
      </w:r>
    </w:p>
  </w:endnote>
  <w:endnote w:type="continuationSeparator" w:id="0">
    <w:p w14:paraId="7B056283" w14:textId="77777777" w:rsidR="00D94795" w:rsidRDefault="00D94795" w:rsidP="003B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CE096" w14:textId="77777777" w:rsidR="007F05EC" w:rsidRDefault="007F05EC" w:rsidP="007F05E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50AFEA" w14:textId="77777777" w:rsidR="00772F29" w:rsidRPr="007F05EC" w:rsidRDefault="007F05EC" w:rsidP="007F05E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57D11" w14:textId="77777777" w:rsidR="007F05EC" w:rsidRDefault="007F05EC" w:rsidP="007F05E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129F">
      <w:rPr>
        <w:rFonts w:ascii="FrankRuehl" w:hAnsi="FrankRuehl" w:cs="FrankRuehl"/>
        <w:noProof/>
        <w:rtl/>
      </w:rPr>
      <w:t>1</w:t>
    </w:r>
    <w:r>
      <w:rPr>
        <w:rFonts w:ascii="FrankRuehl" w:hAnsi="FrankRuehl" w:cs="FrankRuehl"/>
        <w:rtl/>
      </w:rPr>
      <w:fldChar w:fldCharType="end"/>
    </w:r>
  </w:p>
  <w:p w14:paraId="5E1BAD4C" w14:textId="77777777" w:rsidR="00772F29" w:rsidRPr="007F05EC" w:rsidRDefault="007F05EC" w:rsidP="007F05E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9A6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DF0A5" w14:textId="77777777" w:rsidR="00D94795" w:rsidRDefault="00D94795" w:rsidP="003B4F12">
      <w:r>
        <w:separator/>
      </w:r>
    </w:p>
  </w:footnote>
  <w:footnote w:type="continuationSeparator" w:id="0">
    <w:p w14:paraId="1072844E" w14:textId="77777777" w:rsidR="00D94795" w:rsidRDefault="00D94795" w:rsidP="003B4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1AE8F" w14:textId="77777777" w:rsidR="007F05EC" w:rsidRPr="007F05EC" w:rsidRDefault="007F05EC" w:rsidP="007F05E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38311-03-20</w:t>
    </w:r>
    <w:r>
      <w:rPr>
        <w:rFonts w:ascii="David" w:hAnsi="David"/>
        <w:color w:val="000000"/>
        <w:sz w:val="22"/>
        <w:szCs w:val="22"/>
        <w:rtl/>
      </w:rPr>
      <w:tab/>
      <w:t xml:space="preserve"> מדינת ישראל-תביעות נגב נ' אברהים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655C" w14:textId="77777777" w:rsidR="007F05EC" w:rsidRPr="007F05EC" w:rsidRDefault="007F05EC" w:rsidP="007F05E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38311-03-20</w:t>
    </w:r>
    <w:r>
      <w:rPr>
        <w:rFonts w:ascii="David" w:hAnsi="David"/>
        <w:color w:val="000000"/>
        <w:sz w:val="22"/>
        <w:szCs w:val="22"/>
        <w:rtl/>
      </w:rPr>
      <w:tab/>
      <w:t xml:space="preserve"> מדינת ישראל-תביעות נגב נ' אברהים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9B3242C"/>
    <w:multiLevelType w:val="hybridMultilevel"/>
    <w:tmpl w:val="AE30E6E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2047AD2"/>
    <w:multiLevelType w:val="hybridMultilevel"/>
    <w:tmpl w:val="E3B2AA3A"/>
    <w:lvl w:ilvl="0" w:tplc="F400628E">
      <w:start w:val="1"/>
      <w:numFmt w:val="decimal"/>
      <w:lvlText w:val="%1."/>
      <w:lvlJc w:val="left"/>
      <w:pPr>
        <w:ind w:left="36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97146707">
    <w:abstractNumId w:val="2"/>
  </w:num>
  <w:num w:numId="2" w16cid:durableId="1328248618">
    <w:abstractNumId w:val="0"/>
  </w:num>
  <w:num w:numId="3" w16cid:durableId="1580017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4C8A"/>
    <w:rsid w:val="001B5A3B"/>
    <w:rsid w:val="001D04E6"/>
    <w:rsid w:val="00254C8A"/>
    <w:rsid w:val="003B4F12"/>
    <w:rsid w:val="0065296B"/>
    <w:rsid w:val="00772F29"/>
    <w:rsid w:val="007F05EC"/>
    <w:rsid w:val="008D129F"/>
    <w:rsid w:val="008E598F"/>
    <w:rsid w:val="008F080B"/>
    <w:rsid w:val="00934753"/>
    <w:rsid w:val="00993D34"/>
    <w:rsid w:val="00B4440E"/>
    <w:rsid w:val="00D03DD9"/>
    <w:rsid w:val="00D11A64"/>
    <w:rsid w:val="00D94795"/>
    <w:rsid w:val="00F300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1DAF8D"/>
  <w15:chartTrackingRefBased/>
  <w15:docId w15:val="{EB132BED-E233-4E08-BAD0-2D19E50E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4C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4C8A"/>
    <w:pPr>
      <w:tabs>
        <w:tab w:val="center" w:pos="4153"/>
        <w:tab w:val="right" w:pos="8306"/>
      </w:tabs>
    </w:pPr>
  </w:style>
  <w:style w:type="character" w:customStyle="1" w:styleId="a4">
    <w:name w:val="כותרת עליונה תו"/>
    <w:link w:val="a3"/>
    <w:rsid w:val="00254C8A"/>
    <w:rPr>
      <w:rFonts w:ascii="Times New Roman" w:eastAsia="Times New Roman" w:hAnsi="Times New Roman" w:cs="David"/>
      <w:sz w:val="24"/>
      <w:szCs w:val="24"/>
    </w:rPr>
  </w:style>
  <w:style w:type="paragraph" w:styleId="a5">
    <w:name w:val="footer"/>
    <w:basedOn w:val="a"/>
    <w:link w:val="a6"/>
    <w:rsid w:val="00254C8A"/>
    <w:pPr>
      <w:tabs>
        <w:tab w:val="center" w:pos="4153"/>
        <w:tab w:val="right" w:pos="8306"/>
      </w:tabs>
    </w:pPr>
  </w:style>
  <w:style w:type="character" w:customStyle="1" w:styleId="a6">
    <w:name w:val="כותרת תחתונה תו"/>
    <w:link w:val="a5"/>
    <w:rsid w:val="00254C8A"/>
    <w:rPr>
      <w:rFonts w:ascii="Times New Roman" w:eastAsia="Times New Roman" w:hAnsi="Times New Roman" w:cs="David"/>
      <w:sz w:val="24"/>
      <w:szCs w:val="24"/>
    </w:rPr>
  </w:style>
  <w:style w:type="table" w:styleId="a7">
    <w:name w:val="Table Grid"/>
    <w:basedOn w:val="a1"/>
    <w:rsid w:val="00254C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4C8A"/>
  </w:style>
  <w:style w:type="character" w:styleId="Hyperlink">
    <w:name w:val="Hyperlink"/>
    <w:rsid w:val="007F0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case/18045843" TargetMode="External"/><Relationship Id="rId26" Type="http://schemas.openxmlformats.org/officeDocument/2006/relationships/hyperlink" Target="http://www.nevo.co.il/law/70301/40d.a" TargetMode="External"/><Relationship Id="rId3" Type="http://schemas.openxmlformats.org/officeDocument/2006/relationships/settings" Target="settings.xml"/><Relationship Id="rId21" Type="http://schemas.openxmlformats.org/officeDocument/2006/relationships/hyperlink" Target="http://www.nevo.co.il/case/25231460" TargetMode="External"/><Relationship Id="rId34" Type="http://schemas.openxmlformats.org/officeDocument/2006/relationships/theme" Target="theme/theme1.xml"/><Relationship Id="rId7" Type="http://schemas.openxmlformats.org/officeDocument/2006/relationships/hyperlink" Target="http://www.nevo.co.il/case/26549634"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088108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520276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2656269"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015909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1811916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4965143"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1999</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11973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4915205</vt:i4>
      </vt:variant>
      <vt:variant>
        <vt:i4>57</vt:i4>
      </vt:variant>
      <vt:variant>
        <vt:i4>0</vt:i4>
      </vt:variant>
      <vt:variant>
        <vt:i4>5</vt:i4>
      </vt:variant>
      <vt:variant>
        <vt:lpwstr>http://www.nevo.co.il/law/70301/40d.a</vt:lpwstr>
      </vt:variant>
      <vt:variant>
        <vt:lpwstr/>
      </vt:variant>
      <vt:variant>
        <vt:i4>3342460</vt:i4>
      </vt:variant>
      <vt:variant>
        <vt:i4>54</vt:i4>
      </vt:variant>
      <vt:variant>
        <vt:i4>0</vt:i4>
      </vt:variant>
      <vt:variant>
        <vt:i4>5</vt:i4>
      </vt:variant>
      <vt:variant>
        <vt:lpwstr>http://www.nevo.co.il/case/20881083</vt:lpwstr>
      </vt:variant>
      <vt:variant>
        <vt:lpwstr/>
      </vt:variant>
      <vt:variant>
        <vt:i4>3407985</vt:i4>
      </vt:variant>
      <vt:variant>
        <vt:i4>51</vt:i4>
      </vt:variant>
      <vt:variant>
        <vt:i4>0</vt:i4>
      </vt:variant>
      <vt:variant>
        <vt:i4>5</vt:i4>
      </vt:variant>
      <vt:variant>
        <vt:lpwstr>http://www.nevo.co.il/case/22656269</vt:lpwstr>
      </vt:variant>
      <vt:variant>
        <vt:lpwstr/>
      </vt:variant>
      <vt:variant>
        <vt:i4>3342449</vt:i4>
      </vt:variant>
      <vt:variant>
        <vt:i4>48</vt:i4>
      </vt:variant>
      <vt:variant>
        <vt:i4>0</vt:i4>
      </vt:variant>
      <vt:variant>
        <vt:i4>5</vt:i4>
      </vt:variant>
      <vt:variant>
        <vt:lpwstr>http://www.nevo.co.il/case/20159091</vt:lpwstr>
      </vt:variant>
      <vt:variant>
        <vt:lpwstr/>
      </vt:variant>
      <vt:variant>
        <vt:i4>3801207</vt:i4>
      </vt:variant>
      <vt:variant>
        <vt:i4>45</vt:i4>
      </vt:variant>
      <vt:variant>
        <vt:i4>0</vt:i4>
      </vt:variant>
      <vt:variant>
        <vt:i4>5</vt:i4>
      </vt:variant>
      <vt:variant>
        <vt:lpwstr>http://www.nevo.co.il/case/24965143</vt:lpwstr>
      </vt:variant>
      <vt:variant>
        <vt:lpwstr/>
      </vt:variant>
      <vt:variant>
        <vt:i4>3604598</vt:i4>
      </vt:variant>
      <vt:variant>
        <vt:i4>42</vt:i4>
      </vt:variant>
      <vt:variant>
        <vt:i4>0</vt:i4>
      </vt:variant>
      <vt:variant>
        <vt:i4>5</vt:i4>
      </vt:variant>
      <vt:variant>
        <vt:lpwstr>http://www.nevo.co.il/case/25231460</vt:lpwstr>
      </vt:variant>
      <vt:variant>
        <vt:lpwstr/>
      </vt:variant>
      <vt:variant>
        <vt:i4>3407990</vt:i4>
      </vt:variant>
      <vt:variant>
        <vt:i4>39</vt:i4>
      </vt:variant>
      <vt:variant>
        <vt:i4>0</vt:i4>
      </vt:variant>
      <vt:variant>
        <vt:i4>5</vt:i4>
      </vt:variant>
      <vt:variant>
        <vt:lpwstr>http://www.nevo.co.il/case/25202760</vt:lpwstr>
      </vt:variant>
      <vt:variant>
        <vt:lpwstr/>
      </vt:variant>
      <vt:variant>
        <vt:i4>4128892</vt:i4>
      </vt:variant>
      <vt:variant>
        <vt:i4>36</vt:i4>
      </vt:variant>
      <vt:variant>
        <vt:i4>0</vt:i4>
      </vt:variant>
      <vt:variant>
        <vt:i4>5</vt:i4>
      </vt:variant>
      <vt:variant>
        <vt:lpwstr>http://www.nevo.co.il/case/18119161</vt:lpwstr>
      </vt:variant>
      <vt:variant>
        <vt:lpwstr/>
      </vt:variant>
      <vt:variant>
        <vt:i4>3145840</vt:i4>
      </vt:variant>
      <vt:variant>
        <vt:i4>33</vt:i4>
      </vt:variant>
      <vt:variant>
        <vt:i4>0</vt:i4>
      </vt:variant>
      <vt:variant>
        <vt:i4>5</vt:i4>
      </vt:variant>
      <vt:variant>
        <vt:lpwstr>http://www.nevo.co.il/case/18045843</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3997808</vt:i4>
      </vt:variant>
      <vt:variant>
        <vt:i4>0</vt:i4>
      </vt:variant>
      <vt:variant>
        <vt:i4>0</vt:i4>
      </vt:variant>
      <vt:variant>
        <vt:i4>5</vt:i4>
      </vt:variant>
      <vt:variant>
        <vt:lpwstr>http://www.nevo.co.il/case/26549634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38311</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אברהים אבו רקייק</vt:lpwstr>
  </property>
  <property fmtid="{D5CDD505-2E9C-101B-9397-08002B2CF9AE}" pid="10" name="LAWYER">
    <vt:lpwstr>לי גורמן;עידו פורת</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20210720</vt:lpwstr>
  </property>
  <property fmtid="{D5CDD505-2E9C-101B-9397-08002B2CF9AE}" pid="14" name="TYPE_N_DATE">
    <vt:lpwstr>38020210720</vt:lpwstr>
  </property>
  <property fmtid="{D5CDD505-2E9C-101B-9397-08002B2CF9AE}" pid="15" name="WORDNUMPAGES">
    <vt:lpwstr>7</vt:lpwstr>
  </property>
  <property fmtid="{D5CDD505-2E9C-101B-9397-08002B2CF9AE}" pid="16" name="TYPE_ABS_DATE">
    <vt:lpwstr>380020210720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26549634;18045843;18119161;25202760;25231460;24965143;20159091;22656269;20881083</vt:lpwstr>
  </property>
  <property fmtid="{D5CDD505-2E9C-101B-9397-08002B2CF9AE}" pid="36" name="LAWLISTTMP1">
    <vt:lpwstr>4216/006;007.a;007.c</vt:lpwstr>
  </property>
  <property fmtid="{D5CDD505-2E9C-101B-9397-08002B2CF9AE}" pid="37" name="LAWLISTTMP2">
    <vt:lpwstr>70301/040d.a</vt:lpwstr>
  </property>
</Properties>
</file>