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0"/>
        <w:gridCol w:w="3573"/>
      </w:tblGrid>
      <w:tr w:rsidR="00ED4311" w:rsidRPr="00C63496" w14:paraId="51DB62E0" w14:textId="77777777" w:rsidTr="00EB17B7">
        <w:trPr>
          <w:trHeight w:hRule="exact" w:val="418"/>
          <w:jc w:val="center"/>
        </w:trPr>
        <w:tc>
          <w:tcPr>
            <w:tcW w:w="8523" w:type="dxa"/>
            <w:gridSpan w:val="2"/>
          </w:tcPr>
          <w:p w14:paraId="67200136" w14:textId="77777777" w:rsidR="00ED4311" w:rsidRPr="00C63496" w:rsidRDefault="00ED4311" w:rsidP="00B5242A">
            <w:pPr>
              <w:pStyle w:val="a3"/>
              <w:jc w:val="center"/>
              <w:rPr>
                <w:rFonts w:ascii="Tahoma" w:hAnsi="Tahoma" w:cs="Tahoma"/>
                <w:color w:val="000080"/>
                <w:rtl/>
              </w:rPr>
            </w:pPr>
            <w:bookmarkStart w:id="0" w:name="LastJudge"/>
            <w:r w:rsidRPr="00C63496">
              <w:rPr>
                <w:rFonts w:ascii="Tahoma" w:hAnsi="Tahoma" w:cs="Tahoma"/>
                <w:b/>
                <w:bCs/>
                <w:color w:val="000080"/>
                <w:rtl/>
              </w:rPr>
              <w:t>בית משפט השלום בירושלים</w:t>
            </w:r>
          </w:p>
        </w:tc>
      </w:tr>
      <w:tr w:rsidR="00ED4311" w:rsidRPr="00C63496" w14:paraId="76C85631" w14:textId="77777777" w:rsidTr="00EB17B7">
        <w:trPr>
          <w:trHeight w:val="850"/>
          <w:jc w:val="center"/>
        </w:trPr>
        <w:tc>
          <w:tcPr>
            <w:tcW w:w="4950" w:type="dxa"/>
          </w:tcPr>
          <w:p w14:paraId="686CFCE5" w14:textId="77777777" w:rsidR="00ED4311" w:rsidRPr="00C63496" w:rsidRDefault="00ED4311" w:rsidP="00B5242A">
            <w:pPr>
              <w:rPr>
                <w:sz w:val="26"/>
                <w:szCs w:val="26"/>
                <w:rtl/>
              </w:rPr>
            </w:pPr>
            <w:r w:rsidRPr="00C63496">
              <w:rPr>
                <w:sz w:val="26"/>
                <w:szCs w:val="26"/>
                <w:rtl/>
              </w:rPr>
              <w:t>ת"פ</w:t>
            </w:r>
            <w:r w:rsidRPr="00C63496">
              <w:rPr>
                <w:rFonts w:hint="cs"/>
                <w:sz w:val="26"/>
                <w:szCs w:val="26"/>
                <w:rtl/>
              </w:rPr>
              <w:t xml:space="preserve"> </w:t>
            </w:r>
            <w:r w:rsidRPr="00C63496">
              <w:rPr>
                <w:sz w:val="26"/>
                <w:szCs w:val="26"/>
                <w:rtl/>
              </w:rPr>
              <w:t>48316-03-20</w:t>
            </w:r>
            <w:r w:rsidRPr="00C63496">
              <w:rPr>
                <w:rFonts w:hint="cs"/>
                <w:sz w:val="26"/>
                <w:szCs w:val="26"/>
                <w:rtl/>
              </w:rPr>
              <w:t xml:space="preserve"> </w:t>
            </w:r>
            <w:r w:rsidRPr="00C63496">
              <w:rPr>
                <w:sz w:val="26"/>
                <w:szCs w:val="26"/>
                <w:rtl/>
              </w:rPr>
              <w:t>מדינת ישראל נ' איזקוביץ</w:t>
            </w:r>
          </w:p>
        </w:tc>
        <w:tc>
          <w:tcPr>
            <w:tcW w:w="3573" w:type="dxa"/>
          </w:tcPr>
          <w:p w14:paraId="382ECF02" w14:textId="77777777" w:rsidR="00ED4311" w:rsidRPr="00C63496" w:rsidRDefault="00ED4311" w:rsidP="00B5242A">
            <w:pPr>
              <w:pStyle w:val="a3"/>
              <w:jc w:val="right"/>
              <w:rPr>
                <w:sz w:val="26"/>
                <w:szCs w:val="26"/>
                <w:rtl/>
              </w:rPr>
            </w:pPr>
          </w:p>
        </w:tc>
      </w:tr>
    </w:tbl>
    <w:p w14:paraId="7E9F872A" w14:textId="77777777" w:rsidR="00ED4311" w:rsidRPr="00C63496" w:rsidRDefault="00ED4311" w:rsidP="00ED4311">
      <w:pPr>
        <w:pStyle w:val="a3"/>
        <w:rPr>
          <w:rtl/>
        </w:rPr>
      </w:pPr>
    </w:p>
    <w:p w14:paraId="49114FB7" w14:textId="77777777" w:rsidR="00ED4311" w:rsidRPr="00C63496" w:rsidRDefault="00ED4311" w:rsidP="00ED4311">
      <w:pPr>
        <w:rPr>
          <w:rtl/>
        </w:rPr>
      </w:pPr>
    </w:p>
    <w:p w14:paraId="382C0A41" w14:textId="77777777" w:rsidR="00ED4311" w:rsidRPr="00C63496" w:rsidRDefault="00ED4311" w:rsidP="00ED431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ED4311" w:rsidRPr="00C63496" w14:paraId="09C5F808" w14:textId="77777777" w:rsidTr="00ED4311">
        <w:trPr>
          <w:trHeight w:val="295"/>
          <w:jc w:val="center"/>
        </w:trPr>
        <w:tc>
          <w:tcPr>
            <w:tcW w:w="8820" w:type="dxa"/>
            <w:gridSpan w:val="3"/>
            <w:tcBorders>
              <w:top w:val="nil"/>
              <w:left w:val="nil"/>
              <w:bottom w:val="nil"/>
              <w:right w:val="nil"/>
            </w:tcBorders>
            <w:shd w:val="clear" w:color="auto" w:fill="auto"/>
          </w:tcPr>
          <w:p w14:paraId="0C92333D" w14:textId="77777777" w:rsidR="00ED4311" w:rsidRPr="00C63496" w:rsidRDefault="00ED4311" w:rsidP="00ED4311">
            <w:pPr>
              <w:jc w:val="both"/>
              <w:rPr>
                <w:rFonts w:ascii="Arial" w:hAnsi="Arial"/>
                <w:b/>
                <w:bCs/>
                <w:sz w:val="26"/>
                <w:szCs w:val="26"/>
                <w:rtl/>
              </w:rPr>
            </w:pPr>
            <w:r w:rsidRPr="00C63496">
              <w:rPr>
                <w:rFonts w:ascii="Arial" w:hAnsi="Arial" w:hint="cs"/>
                <w:b/>
                <w:bCs/>
                <w:sz w:val="26"/>
                <w:szCs w:val="26"/>
                <w:rtl/>
              </w:rPr>
              <w:t>ל</w:t>
            </w:r>
            <w:r w:rsidRPr="00C63496">
              <w:rPr>
                <w:rFonts w:ascii="Arial" w:hAnsi="Arial"/>
                <w:b/>
                <w:bCs/>
                <w:sz w:val="26"/>
                <w:szCs w:val="26"/>
                <w:rtl/>
              </w:rPr>
              <w:t xml:space="preserve">פני </w:t>
            </w:r>
            <w:r w:rsidRPr="00C63496">
              <w:rPr>
                <w:rFonts w:ascii="Arial" w:hAnsi="Arial" w:hint="cs"/>
                <w:b/>
                <w:bCs/>
                <w:sz w:val="26"/>
                <w:szCs w:val="26"/>
                <w:rtl/>
              </w:rPr>
              <w:t>כבוד ה</w:t>
            </w:r>
            <w:r w:rsidRPr="00C63496">
              <w:rPr>
                <w:rFonts w:ascii="Arial" w:hAnsi="Arial"/>
                <w:b/>
                <w:bCs/>
                <w:sz w:val="26"/>
                <w:szCs w:val="26"/>
                <w:rtl/>
              </w:rPr>
              <w:t>שופט</w:t>
            </w:r>
            <w:r w:rsidRPr="00C63496">
              <w:rPr>
                <w:rFonts w:ascii="Arial" w:hAnsi="Arial" w:hint="cs"/>
                <w:b/>
                <w:bCs/>
                <w:sz w:val="26"/>
                <w:szCs w:val="26"/>
                <w:rtl/>
              </w:rPr>
              <w:t xml:space="preserve">  </w:t>
            </w:r>
            <w:r w:rsidRPr="00C63496">
              <w:rPr>
                <w:rFonts w:ascii="Arial" w:hAnsi="Arial"/>
                <w:b/>
                <w:bCs/>
                <w:sz w:val="26"/>
                <w:szCs w:val="26"/>
                <w:rtl/>
              </w:rPr>
              <w:t>אביחי דורון</w:t>
            </w:r>
          </w:p>
          <w:p w14:paraId="5FC4538B" w14:textId="77777777" w:rsidR="00ED4311" w:rsidRPr="00C63496" w:rsidRDefault="00ED4311" w:rsidP="00ED4311">
            <w:pPr>
              <w:jc w:val="both"/>
              <w:rPr>
                <w:rFonts w:ascii="Arial" w:hAnsi="Arial"/>
                <w:sz w:val="26"/>
                <w:szCs w:val="26"/>
              </w:rPr>
            </w:pPr>
          </w:p>
        </w:tc>
      </w:tr>
      <w:tr w:rsidR="00ED4311" w:rsidRPr="00C63496" w14:paraId="165297C2" w14:textId="77777777" w:rsidTr="00ED4311">
        <w:trPr>
          <w:trHeight w:val="355"/>
          <w:jc w:val="center"/>
        </w:trPr>
        <w:tc>
          <w:tcPr>
            <w:tcW w:w="923" w:type="dxa"/>
            <w:tcBorders>
              <w:top w:val="nil"/>
              <w:left w:val="nil"/>
              <w:bottom w:val="nil"/>
              <w:right w:val="nil"/>
            </w:tcBorders>
            <w:shd w:val="clear" w:color="auto" w:fill="auto"/>
          </w:tcPr>
          <w:p w14:paraId="0AC8FA0A" w14:textId="77777777" w:rsidR="00ED4311" w:rsidRPr="00C63496" w:rsidRDefault="00ED4311" w:rsidP="00ED4311">
            <w:pPr>
              <w:jc w:val="both"/>
              <w:rPr>
                <w:rFonts w:ascii="Arial" w:hAnsi="Arial"/>
                <w:b/>
                <w:bCs/>
                <w:sz w:val="26"/>
                <w:szCs w:val="26"/>
              </w:rPr>
            </w:pPr>
            <w:bookmarkStart w:id="1" w:name="FirstAppellant"/>
            <w:r w:rsidRPr="00C63496">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5B2D0EC6" w14:textId="77777777" w:rsidR="00ED4311" w:rsidRPr="00C63496" w:rsidRDefault="00ED4311" w:rsidP="00B5242A">
            <w:pPr>
              <w:rPr>
                <w:sz w:val="26"/>
                <w:szCs w:val="26"/>
              </w:rPr>
            </w:pPr>
            <w:r w:rsidRPr="00C63496">
              <w:rPr>
                <w:rFonts w:ascii="Arial" w:hAnsi="Arial"/>
                <w:sz w:val="26"/>
                <w:szCs w:val="26"/>
                <w:rtl/>
              </w:rPr>
              <w:t>מדינת ישראל</w:t>
            </w:r>
          </w:p>
        </w:tc>
        <w:tc>
          <w:tcPr>
            <w:tcW w:w="4820" w:type="dxa"/>
            <w:tcBorders>
              <w:top w:val="nil"/>
              <w:left w:val="nil"/>
              <w:bottom w:val="nil"/>
              <w:right w:val="nil"/>
            </w:tcBorders>
            <w:shd w:val="clear" w:color="auto" w:fill="auto"/>
          </w:tcPr>
          <w:p w14:paraId="6A9CA429" w14:textId="77777777" w:rsidR="00ED4311" w:rsidRPr="00C63496" w:rsidRDefault="00ED4311" w:rsidP="00ED4311">
            <w:pPr>
              <w:jc w:val="both"/>
              <w:rPr>
                <w:rFonts w:ascii="Arial" w:hAnsi="Arial"/>
                <w:sz w:val="26"/>
                <w:szCs w:val="26"/>
              </w:rPr>
            </w:pPr>
          </w:p>
        </w:tc>
      </w:tr>
      <w:bookmarkEnd w:id="1"/>
      <w:tr w:rsidR="00ED4311" w:rsidRPr="00C63496" w14:paraId="24601BE8" w14:textId="77777777" w:rsidTr="00ED4311">
        <w:trPr>
          <w:trHeight w:val="355"/>
          <w:jc w:val="center"/>
        </w:trPr>
        <w:tc>
          <w:tcPr>
            <w:tcW w:w="923" w:type="dxa"/>
            <w:tcBorders>
              <w:top w:val="nil"/>
              <w:left w:val="nil"/>
              <w:bottom w:val="nil"/>
              <w:right w:val="nil"/>
            </w:tcBorders>
            <w:shd w:val="clear" w:color="auto" w:fill="auto"/>
          </w:tcPr>
          <w:p w14:paraId="79949F4D" w14:textId="77777777" w:rsidR="00ED4311" w:rsidRPr="00C63496" w:rsidRDefault="00ED4311" w:rsidP="00ED4311">
            <w:pPr>
              <w:jc w:val="both"/>
              <w:rPr>
                <w:rFonts w:ascii="Arial" w:hAnsi="Arial"/>
                <w:sz w:val="26"/>
                <w:szCs w:val="26"/>
                <w:rtl/>
              </w:rPr>
            </w:pPr>
          </w:p>
        </w:tc>
        <w:tc>
          <w:tcPr>
            <w:tcW w:w="3077" w:type="dxa"/>
            <w:tcBorders>
              <w:top w:val="nil"/>
              <w:left w:val="nil"/>
              <w:bottom w:val="nil"/>
              <w:right w:val="nil"/>
            </w:tcBorders>
            <w:shd w:val="clear" w:color="auto" w:fill="auto"/>
          </w:tcPr>
          <w:p w14:paraId="55B04528" w14:textId="77777777" w:rsidR="00ED4311" w:rsidRPr="00C63496" w:rsidRDefault="00ED4311" w:rsidP="00ED4311">
            <w:pPr>
              <w:jc w:val="both"/>
              <w:rPr>
                <w:sz w:val="26"/>
                <w:szCs w:val="26"/>
                <w:rtl/>
              </w:rPr>
            </w:pPr>
          </w:p>
        </w:tc>
        <w:tc>
          <w:tcPr>
            <w:tcW w:w="4820" w:type="dxa"/>
            <w:tcBorders>
              <w:top w:val="nil"/>
              <w:left w:val="nil"/>
              <w:bottom w:val="nil"/>
              <w:right w:val="nil"/>
            </w:tcBorders>
            <w:shd w:val="clear" w:color="auto" w:fill="auto"/>
          </w:tcPr>
          <w:p w14:paraId="6659F6DB" w14:textId="77777777" w:rsidR="00ED4311" w:rsidRPr="00C63496" w:rsidRDefault="00ED4311" w:rsidP="00ED4311">
            <w:pPr>
              <w:jc w:val="right"/>
              <w:rPr>
                <w:rFonts w:ascii="Arial" w:hAnsi="Arial"/>
                <w:sz w:val="26"/>
                <w:szCs w:val="26"/>
                <w:rtl/>
              </w:rPr>
            </w:pPr>
            <w:r w:rsidRPr="00C63496">
              <w:rPr>
                <w:rFonts w:ascii="Arial" w:hAnsi="Arial" w:hint="cs"/>
                <w:sz w:val="26"/>
                <w:szCs w:val="26"/>
                <w:rtl/>
              </w:rPr>
              <w:t>ה</w:t>
            </w:r>
            <w:r w:rsidRPr="00C63496">
              <w:rPr>
                <w:rFonts w:ascii="Arial" w:hAnsi="Arial"/>
                <w:sz w:val="26"/>
                <w:szCs w:val="26"/>
                <w:rtl/>
              </w:rPr>
              <w:t>מאשימה</w:t>
            </w:r>
          </w:p>
        </w:tc>
      </w:tr>
      <w:tr w:rsidR="00ED4311" w:rsidRPr="00C63496" w14:paraId="352A1E53" w14:textId="77777777" w:rsidTr="00ED4311">
        <w:trPr>
          <w:trHeight w:val="355"/>
          <w:jc w:val="center"/>
        </w:trPr>
        <w:tc>
          <w:tcPr>
            <w:tcW w:w="923" w:type="dxa"/>
            <w:tcBorders>
              <w:top w:val="nil"/>
              <w:left w:val="nil"/>
              <w:bottom w:val="nil"/>
              <w:right w:val="nil"/>
            </w:tcBorders>
            <w:shd w:val="clear" w:color="auto" w:fill="auto"/>
          </w:tcPr>
          <w:p w14:paraId="161B5FC9" w14:textId="77777777" w:rsidR="00ED4311" w:rsidRPr="00C63496" w:rsidRDefault="00ED4311" w:rsidP="00ED4311">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333666F4" w14:textId="77777777" w:rsidR="00ED4311" w:rsidRPr="00C63496" w:rsidRDefault="00ED4311" w:rsidP="00ED4311">
            <w:pPr>
              <w:jc w:val="center"/>
              <w:rPr>
                <w:rFonts w:ascii="Arial" w:hAnsi="Arial"/>
                <w:b/>
                <w:bCs/>
                <w:sz w:val="26"/>
                <w:szCs w:val="26"/>
                <w:rtl/>
              </w:rPr>
            </w:pPr>
          </w:p>
          <w:p w14:paraId="49187CAD" w14:textId="77777777" w:rsidR="00ED4311" w:rsidRPr="00C63496" w:rsidRDefault="00ED4311" w:rsidP="00ED4311">
            <w:pPr>
              <w:jc w:val="center"/>
              <w:rPr>
                <w:rFonts w:ascii="Arial" w:hAnsi="Arial"/>
                <w:b/>
                <w:bCs/>
                <w:sz w:val="26"/>
                <w:szCs w:val="26"/>
                <w:rtl/>
              </w:rPr>
            </w:pPr>
            <w:r w:rsidRPr="00C63496">
              <w:rPr>
                <w:rFonts w:ascii="Arial" w:hAnsi="Arial"/>
                <w:b/>
                <w:bCs/>
                <w:sz w:val="26"/>
                <w:szCs w:val="26"/>
                <w:rtl/>
              </w:rPr>
              <w:t>נגד</w:t>
            </w:r>
          </w:p>
          <w:p w14:paraId="4B73D11D" w14:textId="77777777" w:rsidR="00ED4311" w:rsidRPr="00C63496" w:rsidRDefault="00ED4311" w:rsidP="00ED4311">
            <w:pPr>
              <w:jc w:val="both"/>
              <w:rPr>
                <w:rFonts w:ascii="Arial" w:hAnsi="Arial"/>
                <w:sz w:val="26"/>
                <w:szCs w:val="26"/>
              </w:rPr>
            </w:pPr>
          </w:p>
        </w:tc>
      </w:tr>
      <w:tr w:rsidR="00ED4311" w:rsidRPr="00C63496" w14:paraId="398BC50F" w14:textId="77777777" w:rsidTr="00ED4311">
        <w:trPr>
          <w:trHeight w:val="355"/>
          <w:jc w:val="center"/>
        </w:trPr>
        <w:tc>
          <w:tcPr>
            <w:tcW w:w="923" w:type="dxa"/>
            <w:tcBorders>
              <w:top w:val="nil"/>
              <w:left w:val="nil"/>
              <w:bottom w:val="nil"/>
              <w:right w:val="nil"/>
            </w:tcBorders>
            <w:shd w:val="clear" w:color="auto" w:fill="auto"/>
          </w:tcPr>
          <w:p w14:paraId="2BDA395C" w14:textId="77777777" w:rsidR="00ED4311" w:rsidRPr="00C63496" w:rsidRDefault="00ED4311" w:rsidP="00B5242A">
            <w:pPr>
              <w:rPr>
                <w:rFonts w:ascii="Arial" w:hAnsi="Arial"/>
                <w:sz w:val="26"/>
                <w:szCs w:val="26"/>
                <w:rtl/>
              </w:rPr>
            </w:pPr>
          </w:p>
        </w:tc>
        <w:tc>
          <w:tcPr>
            <w:tcW w:w="3077" w:type="dxa"/>
            <w:tcBorders>
              <w:top w:val="nil"/>
              <w:left w:val="nil"/>
              <w:bottom w:val="nil"/>
              <w:right w:val="nil"/>
            </w:tcBorders>
            <w:shd w:val="clear" w:color="auto" w:fill="auto"/>
          </w:tcPr>
          <w:p w14:paraId="6DD744C7" w14:textId="77777777" w:rsidR="00ED4311" w:rsidRPr="00C63496" w:rsidRDefault="00ED4311" w:rsidP="00B5242A">
            <w:pPr>
              <w:rPr>
                <w:sz w:val="26"/>
                <w:szCs w:val="26"/>
                <w:rtl/>
              </w:rPr>
            </w:pPr>
            <w:r w:rsidRPr="00C63496">
              <w:rPr>
                <w:rFonts w:ascii="Arial" w:hAnsi="Arial"/>
                <w:sz w:val="26"/>
                <w:szCs w:val="26"/>
                <w:rtl/>
              </w:rPr>
              <w:t>ברק איזקוביץ</w:t>
            </w:r>
          </w:p>
        </w:tc>
        <w:tc>
          <w:tcPr>
            <w:tcW w:w="4820" w:type="dxa"/>
            <w:tcBorders>
              <w:top w:val="nil"/>
              <w:left w:val="nil"/>
              <w:bottom w:val="nil"/>
              <w:right w:val="nil"/>
            </w:tcBorders>
            <w:shd w:val="clear" w:color="auto" w:fill="auto"/>
          </w:tcPr>
          <w:p w14:paraId="767675A2" w14:textId="77777777" w:rsidR="00ED4311" w:rsidRPr="00C63496" w:rsidRDefault="00ED4311" w:rsidP="00ED4311">
            <w:pPr>
              <w:jc w:val="right"/>
              <w:rPr>
                <w:rFonts w:ascii="Arial" w:hAnsi="Arial"/>
                <w:sz w:val="26"/>
                <w:szCs w:val="26"/>
              </w:rPr>
            </w:pPr>
          </w:p>
        </w:tc>
      </w:tr>
      <w:tr w:rsidR="00ED4311" w:rsidRPr="00C63496" w14:paraId="2BDAED92" w14:textId="77777777" w:rsidTr="00ED4311">
        <w:trPr>
          <w:trHeight w:val="355"/>
          <w:jc w:val="center"/>
        </w:trPr>
        <w:tc>
          <w:tcPr>
            <w:tcW w:w="923" w:type="dxa"/>
            <w:tcBorders>
              <w:top w:val="nil"/>
              <w:left w:val="nil"/>
              <w:bottom w:val="nil"/>
              <w:right w:val="nil"/>
            </w:tcBorders>
            <w:shd w:val="clear" w:color="auto" w:fill="auto"/>
          </w:tcPr>
          <w:p w14:paraId="42139802" w14:textId="77777777" w:rsidR="00ED4311" w:rsidRPr="00C63496" w:rsidRDefault="00ED4311" w:rsidP="00ED4311">
            <w:pPr>
              <w:jc w:val="both"/>
              <w:rPr>
                <w:rFonts w:ascii="Arial" w:hAnsi="Arial"/>
                <w:sz w:val="26"/>
                <w:szCs w:val="26"/>
                <w:rtl/>
              </w:rPr>
            </w:pPr>
          </w:p>
        </w:tc>
        <w:tc>
          <w:tcPr>
            <w:tcW w:w="3077" w:type="dxa"/>
            <w:tcBorders>
              <w:top w:val="nil"/>
              <w:left w:val="nil"/>
              <w:bottom w:val="nil"/>
              <w:right w:val="nil"/>
            </w:tcBorders>
            <w:shd w:val="clear" w:color="auto" w:fill="auto"/>
          </w:tcPr>
          <w:p w14:paraId="04BB4A1D" w14:textId="77777777" w:rsidR="00ED4311" w:rsidRPr="00C63496" w:rsidRDefault="00ED4311" w:rsidP="00ED4311">
            <w:pPr>
              <w:jc w:val="both"/>
              <w:rPr>
                <w:sz w:val="26"/>
                <w:szCs w:val="26"/>
                <w:rtl/>
              </w:rPr>
            </w:pPr>
          </w:p>
        </w:tc>
        <w:tc>
          <w:tcPr>
            <w:tcW w:w="4820" w:type="dxa"/>
            <w:tcBorders>
              <w:top w:val="nil"/>
              <w:left w:val="nil"/>
              <w:bottom w:val="nil"/>
              <w:right w:val="nil"/>
            </w:tcBorders>
            <w:shd w:val="clear" w:color="auto" w:fill="auto"/>
          </w:tcPr>
          <w:p w14:paraId="2016F5A8" w14:textId="77777777" w:rsidR="00ED4311" w:rsidRPr="00C63496" w:rsidRDefault="00ED4311" w:rsidP="00ED4311">
            <w:pPr>
              <w:jc w:val="right"/>
              <w:rPr>
                <w:rFonts w:ascii="Arial" w:hAnsi="Arial"/>
                <w:sz w:val="26"/>
                <w:szCs w:val="26"/>
              </w:rPr>
            </w:pPr>
            <w:r w:rsidRPr="00C63496">
              <w:rPr>
                <w:rFonts w:ascii="Arial" w:hAnsi="Arial" w:hint="cs"/>
                <w:sz w:val="26"/>
                <w:szCs w:val="26"/>
                <w:rtl/>
              </w:rPr>
              <w:t>ה</w:t>
            </w:r>
            <w:r w:rsidRPr="00C63496">
              <w:rPr>
                <w:rFonts w:ascii="Arial" w:hAnsi="Arial"/>
                <w:sz w:val="26"/>
                <w:szCs w:val="26"/>
                <w:rtl/>
              </w:rPr>
              <w:t>נאשמים</w:t>
            </w:r>
          </w:p>
        </w:tc>
      </w:tr>
    </w:tbl>
    <w:p w14:paraId="08D8D515" w14:textId="77777777" w:rsidR="00C63496" w:rsidRDefault="00C63496" w:rsidP="00C63496">
      <w:pPr>
        <w:rPr>
          <w:rtl/>
        </w:rPr>
      </w:pPr>
    </w:p>
    <w:p w14:paraId="01732E58" w14:textId="77777777" w:rsidR="00296301" w:rsidRPr="00296301" w:rsidRDefault="00296301" w:rsidP="00296301">
      <w:pPr>
        <w:spacing w:before="120" w:after="120" w:line="240" w:lineRule="exact"/>
        <w:ind w:left="283" w:hanging="283"/>
        <w:jc w:val="both"/>
        <w:rPr>
          <w:rFonts w:ascii="FrankRuehl" w:hAnsi="FrankRuehl" w:cs="FrankRuehl"/>
          <w:rtl/>
        </w:rPr>
      </w:pPr>
    </w:p>
    <w:p w14:paraId="3AC5A3C9" w14:textId="77777777" w:rsidR="00650526" w:rsidRDefault="00650526" w:rsidP="00650526">
      <w:pPr>
        <w:rPr>
          <w:rtl/>
        </w:rPr>
      </w:pPr>
      <w:bookmarkStart w:id="2" w:name="LawTable"/>
      <w:bookmarkEnd w:id="2"/>
    </w:p>
    <w:p w14:paraId="4B292A3D" w14:textId="77777777" w:rsidR="00650526" w:rsidRPr="00650526" w:rsidRDefault="00650526" w:rsidP="00650526">
      <w:pPr>
        <w:spacing w:before="120" w:after="120" w:line="240" w:lineRule="exact"/>
        <w:ind w:left="283" w:hanging="283"/>
        <w:jc w:val="both"/>
        <w:rPr>
          <w:rFonts w:ascii="FrankRuehl" w:hAnsi="FrankRuehl" w:cs="FrankRuehl"/>
          <w:rtl/>
        </w:rPr>
      </w:pPr>
    </w:p>
    <w:p w14:paraId="054651C3" w14:textId="77777777" w:rsidR="00650526" w:rsidRPr="00650526" w:rsidRDefault="00650526" w:rsidP="00650526">
      <w:pPr>
        <w:spacing w:before="120" w:after="120" w:line="240" w:lineRule="exact"/>
        <w:ind w:left="283" w:hanging="283"/>
        <w:jc w:val="both"/>
        <w:rPr>
          <w:rFonts w:ascii="FrankRuehl" w:hAnsi="FrankRuehl" w:cs="FrankRuehl"/>
          <w:rtl/>
        </w:rPr>
      </w:pPr>
    </w:p>
    <w:p w14:paraId="75BB5305" w14:textId="77777777" w:rsidR="00650526" w:rsidRPr="00650526" w:rsidRDefault="00650526" w:rsidP="00650526">
      <w:pPr>
        <w:spacing w:before="120" w:after="120" w:line="240" w:lineRule="exact"/>
        <w:ind w:left="283" w:hanging="283"/>
        <w:jc w:val="both"/>
        <w:rPr>
          <w:rFonts w:ascii="FrankRuehl" w:hAnsi="FrankRuehl" w:cs="FrankRuehl"/>
          <w:rtl/>
        </w:rPr>
      </w:pPr>
      <w:r w:rsidRPr="00650526">
        <w:rPr>
          <w:rFonts w:ascii="FrankRuehl" w:hAnsi="FrankRuehl" w:cs="FrankRuehl"/>
          <w:rtl/>
        </w:rPr>
        <w:t xml:space="preserve">חקיקה שאוזכרה: </w:t>
      </w:r>
    </w:p>
    <w:p w14:paraId="2E6CD4F6" w14:textId="77777777" w:rsidR="00650526" w:rsidRPr="00650526" w:rsidRDefault="00650526" w:rsidP="00650526">
      <w:pPr>
        <w:spacing w:before="120" w:after="120" w:line="240" w:lineRule="exact"/>
        <w:ind w:left="283" w:hanging="283"/>
        <w:jc w:val="both"/>
        <w:rPr>
          <w:rFonts w:ascii="FrankRuehl" w:hAnsi="FrankRuehl" w:cs="FrankRuehl"/>
          <w:rtl/>
        </w:rPr>
      </w:pPr>
      <w:hyperlink r:id="rId7" w:history="1">
        <w:r w:rsidRPr="00650526">
          <w:rPr>
            <w:rFonts w:ascii="FrankRuehl" w:hAnsi="FrankRuehl" w:cs="FrankRuehl"/>
            <w:color w:val="0000FF"/>
            <w:rtl/>
          </w:rPr>
          <w:t>פקודת הסמים המסוכנים [נוסח חדש], תשל"ג-1973</w:t>
        </w:r>
      </w:hyperlink>
    </w:p>
    <w:p w14:paraId="2032BBCF" w14:textId="77777777" w:rsidR="00650526" w:rsidRPr="00650526" w:rsidRDefault="00650526" w:rsidP="00650526">
      <w:pPr>
        <w:rPr>
          <w:rtl/>
        </w:rPr>
      </w:pPr>
      <w:bookmarkStart w:id="3" w:name="LawTable_End"/>
      <w:bookmarkEnd w:id="3"/>
    </w:p>
    <w:p w14:paraId="555BB0E4" w14:textId="77777777" w:rsidR="00ED4311" w:rsidRPr="00296301" w:rsidRDefault="00ED4311" w:rsidP="0029630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4311" w14:paraId="013832EC" w14:textId="77777777" w:rsidTr="00ED4311">
        <w:trPr>
          <w:trHeight w:val="355"/>
          <w:jc w:val="center"/>
        </w:trPr>
        <w:tc>
          <w:tcPr>
            <w:tcW w:w="8820" w:type="dxa"/>
            <w:tcBorders>
              <w:top w:val="nil"/>
              <w:left w:val="nil"/>
              <w:bottom w:val="nil"/>
              <w:right w:val="nil"/>
            </w:tcBorders>
            <w:shd w:val="clear" w:color="auto" w:fill="auto"/>
          </w:tcPr>
          <w:p w14:paraId="399DF99D" w14:textId="77777777" w:rsidR="00C63496" w:rsidRPr="00C63496" w:rsidRDefault="00C63496" w:rsidP="00C63496">
            <w:pPr>
              <w:jc w:val="center"/>
              <w:rPr>
                <w:rFonts w:ascii="Arial" w:hAnsi="Arial"/>
                <w:b/>
                <w:bCs/>
                <w:sz w:val="28"/>
                <w:szCs w:val="28"/>
                <w:u w:val="single"/>
                <w:rtl/>
              </w:rPr>
            </w:pPr>
            <w:bookmarkStart w:id="4" w:name="PsakDin" w:colFirst="0" w:colLast="0"/>
            <w:bookmarkEnd w:id="0"/>
            <w:r w:rsidRPr="00C63496">
              <w:rPr>
                <w:rFonts w:ascii="Arial" w:hAnsi="Arial"/>
                <w:b/>
                <w:bCs/>
                <w:sz w:val="28"/>
                <w:szCs w:val="28"/>
                <w:u w:val="single"/>
                <w:rtl/>
              </w:rPr>
              <w:t>גזר דין</w:t>
            </w:r>
          </w:p>
          <w:p w14:paraId="7C7DCD41" w14:textId="77777777" w:rsidR="00ED4311" w:rsidRPr="00C63496" w:rsidRDefault="00ED4311" w:rsidP="00C63496">
            <w:pPr>
              <w:jc w:val="center"/>
              <w:rPr>
                <w:rFonts w:ascii="Arial" w:hAnsi="Arial"/>
                <w:bCs/>
                <w:sz w:val="28"/>
                <w:szCs w:val="28"/>
                <w:u w:val="single"/>
                <w:rtl/>
              </w:rPr>
            </w:pPr>
          </w:p>
        </w:tc>
      </w:tr>
      <w:bookmarkEnd w:id="4"/>
    </w:tbl>
    <w:p w14:paraId="64064865" w14:textId="77777777" w:rsidR="00ED4311" w:rsidRPr="00B05847" w:rsidRDefault="00ED4311" w:rsidP="00ED4311">
      <w:pPr>
        <w:rPr>
          <w:rFonts w:ascii="Arial" w:hAnsi="Arial"/>
          <w:rtl/>
        </w:rPr>
      </w:pPr>
    </w:p>
    <w:p w14:paraId="60144187" w14:textId="77777777" w:rsidR="00ED4311" w:rsidRPr="00B05847" w:rsidRDefault="00ED4311" w:rsidP="00ED4311">
      <w:pPr>
        <w:rPr>
          <w:rFonts w:ascii="Arial" w:hAnsi="Arial"/>
          <w:rtl/>
        </w:rPr>
      </w:pPr>
    </w:p>
    <w:p w14:paraId="0422C07F" w14:textId="77777777" w:rsidR="00ED4311" w:rsidRPr="00B05847" w:rsidRDefault="00ED4311" w:rsidP="00ED4311">
      <w:pPr>
        <w:rPr>
          <w:rtl/>
        </w:rPr>
      </w:pPr>
    </w:p>
    <w:p w14:paraId="443F838E" w14:textId="77777777" w:rsidR="00ED4311" w:rsidRDefault="00ED4311" w:rsidP="00ED4311">
      <w:pPr>
        <w:rPr>
          <w:rFonts w:cs="Calibri"/>
          <w:color w:val="1F497D"/>
          <w:sz w:val="22"/>
          <w:szCs w:val="22"/>
        </w:rPr>
      </w:pPr>
      <w:bookmarkStart w:id="5" w:name="ABSTRACT_START"/>
      <w:bookmarkEnd w:id="5"/>
      <w:r>
        <w:rPr>
          <w:rFonts w:ascii="Arial" w:hAnsi="Arial" w:cs="Arial"/>
          <w:color w:val="1F497D"/>
          <w:rtl/>
        </w:rPr>
        <w:t xml:space="preserve">הנאשם הודה והורשע בכתב אישום מתוקן במסגרת הסדר טיעון שלא </w:t>
      </w:r>
      <w:bookmarkStart w:id="6" w:name="Seif2"/>
      <w:r>
        <w:rPr>
          <w:rFonts w:ascii="Arial" w:hAnsi="Arial" w:cs="Arial"/>
          <w:color w:val="1F497D"/>
          <w:rtl/>
        </w:rPr>
        <w:t xml:space="preserve">כלל הסכמה </w:t>
      </w:r>
      <w:bookmarkEnd w:id="6"/>
      <w:r>
        <w:rPr>
          <w:rFonts w:ascii="Arial" w:hAnsi="Arial" w:cs="Arial"/>
          <w:color w:val="1F497D"/>
          <w:rtl/>
        </w:rPr>
        <w:t xml:space="preserve">עונשית, בכך שביום 02.03.20 החזיק בסם מסוכן שלא לצריכתו העצמית בלבד. מדובר ב-14 גרם של סם מסוג קוקאין וכן שמונה טבליות של סם מסוג </w:t>
      </w:r>
      <w:r>
        <w:rPr>
          <w:color w:val="1F497D"/>
        </w:rPr>
        <w:t>MDMA</w:t>
      </w:r>
      <w:r>
        <w:rPr>
          <w:rFonts w:ascii="Arial" w:hAnsi="Arial" w:cs="Arial"/>
          <w:color w:val="1F497D"/>
          <w:rtl/>
        </w:rPr>
        <w:t xml:space="preserve"> וכן </w:t>
      </w:r>
      <w:r>
        <w:rPr>
          <w:color w:val="1F497D"/>
        </w:rPr>
        <w:t>MDMA</w:t>
      </w:r>
      <w:r>
        <w:rPr>
          <w:rFonts w:ascii="Arial" w:hAnsi="Arial" w:cs="Arial"/>
          <w:color w:val="1F497D"/>
          <w:rtl/>
        </w:rPr>
        <w:t xml:space="preserve"> בתפזורת במשקל של 1.6762 גרם.</w:t>
      </w:r>
    </w:p>
    <w:p w14:paraId="53A6B9FF" w14:textId="77777777" w:rsidR="00ED4311" w:rsidRDefault="00ED4311" w:rsidP="00ED4311">
      <w:pPr>
        <w:rPr>
          <w:rFonts w:ascii="Arial" w:hAnsi="Arial" w:cs="Arial"/>
          <w:color w:val="1F497D"/>
        </w:rPr>
      </w:pPr>
      <w:bookmarkStart w:id="7" w:name="ABSTRACT_END"/>
      <w:bookmarkEnd w:id="7"/>
    </w:p>
    <w:p w14:paraId="3E3A5C8E" w14:textId="77777777" w:rsidR="00ED4311" w:rsidRDefault="00ED4311" w:rsidP="00ED4311">
      <w:pPr>
        <w:rPr>
          <w:rFonts w:ascii="Arial" w:hAnsi="Arial" w:cs="Arial"/>
          <w:color w:val="1F497D"/>
        </w:rPr>
      </w:pPr>
      <w:r>
        <w:rPr>
          <w:rFonts w:ascii="Arial" w:hAnsi="Arial" w:cs="Arial"/>
          <w:color w:val="1F497D"/>
          <w:rtl/>
        </w:rPr>
        <w:t>הנאשם נשלח, במסגרת הסדר הטיעון,</w:t>
      </w:r>
      <w:r w:rsidR="00C63496">
        <w:rPr>
          <w:rFonts w:ascii="Arial" w:hAnsi="Arial" w:cs="Arial"/>
          <w:color w:val="1F497D"/>
          <w:rtl/>
        </w:rPr>
        <w:t xml:space="preserve"> </w:t>
      </w:r>
      <w:r>
        <w:rPr>
          <w:rFonts w:ascii="Arial" w:hAnsi="Arial" w:cs="Arial"/>
          <w:color w:val="1F497D"/>
          <w:rtl/>
        </w:rPr>
        <w:t xml:space="preserve"> לתסקיר של שירות המבחן וכן לחוות דעת הממונה על עבודות השירות,</w:t>
      </w:r>
      <w:r w:rsidR="00C63496">
        <w:rPr>
          <w:rFonts w:ascii="Arial" w:hAnsi="Arial" w:cs="Arial"/>
          <w:color w:val="1F497D"/>
          <w:rtl/>
        </w:rPr>
        <w:t xml:space="preserve"> </w:t>
      </w:r>
      <w:r>
        <w:rPr>
          <w:rFonts w:ascii="Arial" w:hAnsi="Arial" w:cs="Arial"/>
          <w:color w:val="1F497D"/>
          <w:rtl/>
        </w:rPr>
        <w:t xml:space="preserve"> שכן על פי ההסכמות, הודיעו הצדדים לבית המשפט כי "</w:t>
      </w:r>
      <w:r>
        <w:rPr>
          <w:rFonts w:ascii="Arial" w:hAnsi="Arial" w:cs="Arial"/>
          <w:b/>
          <w:bCs/>
          <w:color w:val="1F497D"/>
          <w:rtl/>
        </w:rPr>
        <w:t>הגענו להסדר טיעון לפיו הנאשם יודה בעובדות כתב האישום המתוקן ויורשע, ואנו נעתור במשותף לשליחתו לשירות המבחן וכן לממונה על עבודות השירות. ככל ויתקבל תסקיר חיובי המאשימה תגביל עצמה לעבודות שירות מאסר על תנאי וקנס והסנגור חופשי בטיעונ</w:t>
      </w:r>
      <w:r>
        <w:rPr>
          <w:rFonts w:ascii="Arial" w:hAnsi="Arial" w:cs="Arial"/>
          <w:color w:val="1F497D"/>
          <w:rtl/>
        </w:rPr>
        <w:t>יו".</w:t>
      </w:r>
    </w:p>
    <w:p w14:paraId="5FFD8328" w14:textId="77777777" w:rsidR="00ED4311" w:rsidRDefault="00ED4311" w:rsidP="00ED4311">
      <w:pPr>
        <w:rPr>
          <w:rFonts w:ascii="Arial" w:hAnsi="Arial" w:cs="Arial"/>
          <w:color w:val="1F497D"/>
          <w:rtl/>
        </w:rPr>
      </w:pPr>
    </w:p>
    <w:p w14:paraId="1B9D91FD" w14:textId="77777777" w:rsidR="00ED4311" w:rsidRDefault="00ED4311" w:rsidP="00ED4311">
      <w:pPr>
        <w:rPr>
          <w:rFonts w:ascii="Arial" w:hAnsi="Arial" w:cs="Arial"/>
          <w:color w:val="1F497D"/>
          <w:rtl/>
        </w:rPr>
      </w:pPr>
    </w:p>
    <w:p w14:paraId="06F66570" w14:textId="77777777" w:rsidR="00ED4311" w:rsidRDefault="00ED4311" w:rsidP="00ED4311">
      <w:pPr>
        <w:rPr>
          <w:rFonts w:ascii="Arial" w:hAnsi="Arial" w:cs="Arial"/>
          <w:color w:val="1F497D"/>
          <w:rtl/>
        </w:rPr>
      </w:pPr>
      <w:r>
        <w:rPr>
          <w:rFonts w:ascii="Arial" w:hAnsi="Arial" w:cs="Arial"/>
          <w:b/>
          <w:bCs/>
          <w:color w:val="1F497D"/>
          <w:rtl/>
        </w:rPr>
        <w:t>מהתסקיר</w:t>
      </w:r>
      <w:r>
        <w:rPr>
          <w:rFonts w:ascii="Arial" w:hAnsi="Arial" w:cs="Arial"/>
          <w:color w:val="1F497D"/>
          <w:rtl/>
        </w:rPr>
        <w:t xml:space="preserve"> הראשון עלה כי כבר בתחילה לקח הנאשם אחריות על המעשים, כאשר ההליך הפלילי שהתנהל נגדו היווה עבורו גורם מטלטל ומציב גבול ברור בין המותר והאסור. עם זאת, לאור הצורך בהעמקת ההיכרות עם הנאשם ביקש שירות המבחן דחייה בת חודשיים.</w:t>
      </w:r>
    </w:p>
    <w:p w14:paraId="359E3AF3" w14:textId="77777777" w:rsidR="00ED4311" w:rsidRDefault="00ED4311" w:rsidP="00ED4311">
      <w:pPr>
        <w:rPr>
          <w:rFonts w:ascii="Arial" w:hAnsi="Arial" w:cs="Arial"/>
          <w:color w:val="1F497D"/>
          <w:rtl/>
        </w:rPr>
      </w:pPr>
    </w:p>
    <w:p w14:paraId="12485E23" w14:textId="77777777" w:rsidR="00ED4311" w:rsidRDefault="00ED4311" w:rsidP="00ED4311">
      <w:pPr>
        <w:rPr>
          <w:rFonts w:ascii="Arial" w:hAnsi="Arial" w:cs="Arial"/>
          <w:color w:val="1F497D"/>
          <w:rtl/>
        </w:rPr>
      </w:pPr>
    </w:p>
    <w:p w14:paraId="7D5020BB" w14:textId="77777777" w:rsidR="00ED4311" w:rsidRDefault="00ED4311" w:rsidP="00ED4311">
      <w:pPr>
        <w:rPr>
          <w:rFonts w:ascii="Arial" w:hAnsi="Arial" w:cs="Arial"/>
          <w:color w:val="1F497D"/>
          <w:rtl/>
        </w:rPr>
      </w:pPr>
      <w:r>
        <w:rPr>
          <w:rFonts w:ascii="Arial" w:hAnsi="Arial" w:cs="Arial"/>
          <w:color w:val="1F497D"/>
          <w:rtl/>
        </w:rPr>
        <w:t>בתסקיר השני, עדכן שירות המבחן שניסיונות להשיג את הנאשם עלו בתוהו, ונמנע מהמלצה בעניינו.</w:t>
      </w:r>
    </w:p>
    <w:p w14:paraId="060492BC" w14:textId="77777777" w:rsidR="00ED4311" w:rsidRDefault="00ED4311" w:rsidP="00ED4311">
      <w:pPr>
        <w:rPr>
          <w:rFonts w:ascii="Arial" w:hAnsi="Arial" w:cs="Arial"/>
          <w:color w:val="1F497D"/>
          <w:rtl/>
        </w:rPr>
      </w:pPr>
    </w:p>
    <w:p w14:paraId="787DDFE1" w14:textId="77777777" w:rsidR="00ED4311" w:rsidRDefault="00ED4311" w:rsidP="00ED4311">
      <w:pPr>
        <w:rPr>
          <w:rFonts w:ascii="Arial" w:hAnsi="Arial" w:cs="Arial"/>
          <w:color w:val="1F497D"/>
          <w:rtl/>
        </w:rPr>
      </w:pPr>
    </w:p>
    <w:p w14:paraId="1002B3AD" w14:textId="77777777" w:rsidR="00ED4311" w:rsidRDefault="00ED4311" w:rsidP="00ED4311">
      <w:pPr>
        <w:rPr>
          <w:rFonts w:ascii="Arial" w:hAnsi="Arial" w:cs="Arial"/>
          <w:color w:val="1F497D"/>
          <w:rtl/>
        </w:rPr>
      </w:pPr>
      <w:r>
        <w:rPr>
          <w:rFonts w:ascii="Arial" w:hAnsi="Arial" w:cs="Arial"/>
          <w:color w:val="1F497D"/>
          <w:rtl/>
        </w:rPr>
        <w:t>בתגובה להודעת שירות המבחן, ביקש הנאשם הפנייה מחודשת לשירות המבחן, בית המשפט נעתר לבקשה ובתסקיר שלישי שב הנאשם ולקח אחריות על המעשים המיוחסים לו בכתב האישום אולם שלל נזקקות טיפולית והתקשה להעמיק את השיח על השימוש בסמים ובעבירה ואף לא ביטא כאמור רצון או צורך בשילוב בהליך טיפולי.</w:t>
      </w:r>
    </w:p>
    <w:p w14:paraId="52B3ADEB" w14:textId="77777777" w:rsidR="00ED4311" w:rsidRDefault="00ED4311" w:rsidP="00ED4311">
      <w:pPr>
        <w:rPr>
          <w:rFonts w:ascii="Arial" w:hAnsi="Arial" w:cs="Arial"/>
          <w:color w:val="1F497D"/>
          <w:rtl/>
        </w:rPr>
      </w:pPr>
    </w:p>
    <w:p w14:paraId="5223E171" w14:textId="77777777" w:rsidR="00ED4311" w:rsidRDefault="00ED4311" w:rsidP="00ED4311">
      <w:pPr>
        <w:rPr>
          <w:rFonts w:ascii="Arial" w:hAnsi="Arial" w:cs="Arial"/>
          <w:color w:val="1F497D"/>
          <w:rtl/>
        </w:rPr>
      </w:pPr>
      <w:r>
        <w:rPr>
          <w:rFonts w:ascii="Arial" w:hAnsi="Arial" w:cs="Arial"/>
          <w:color w:val="1F497D"/>
          <w:rtl/>
        </w:rPr>
        <w:t xml:space="preserve">נוכח האמור, המליץ שירות המבחן על הטלת עונש קצר של מאסר בעבודות שירות וכן מאסר על תנאי. </w:t>
      </w:r>
    </w:p>
    <w:p w14:paraId="458C9A6C" w14:textId="77777777" w:rsidR="00ED4311" w:rsidRDefault="00ED4311" w:rsidP="00ED4311">
      <w:pPr>
        <w:rPr>
          <w:rFonts w:ascii="Arial" w:hAnsi="Arial" w:cs="Arial"/>
          <w:color w:val="1F497D"/>
          <w:rtl/>
        </w:rPr>
      </w:pPr>
    </w:p>
    <w:p w14:paraId="3E0CEA11" w14:textId="77777777" w:rsidR="00ED4311" w:rsidRDefault="00ED4311" w:rsidP="00ED4311">
      <w:pPr>
        <w:rPr>
          <w:rFonts w:ascii="Arial" w:hAnsi="Arial" w:cs="Arial"/>
          <w:color w:val="1F497D"/>
          <w:rtl/>
        </w:rPr>
      </w:pPr>
    </w:p>
    <w:p w14:paraId="107C56EF" w14:textId="77777777" w:rsidR="00ED4311" w:rsidRDefault="00ED4311" w:rsidP="00ED4311">
      <w:pPr>
        <w:rPr>
          <w:rFonts w:ascii="Arial" w:hAnsi="Arial" w:cs="Arial"/>
          <w:color w:val="1F497D"/>
          <w:rtl/>
        </w:rPr>
      </w:pPr>
      <w:r>
        <w:rPr>
          <w:rFonts w:ascii="Arial" w:hAnsi="Arial" w:cs="Arial"/>
          <w:color w:val="1F497D"/>
          <w:rtl/>
        </w:rPr>
        <w:t xml:space="preserve">מכוח הסדר הטיעון נשלח הנאשם גם </w:t>
      </w:r>
      <w:r>
        <w:rPr>
          <w:rFonts w:ascii="Arial" w:hAnsi="Arial" w:cs="Arial"/>
          <w:b/>
          <w:bCs/>
          <w:color w:val="1F497D"/>
          <w:rtl/>
        </w:rPr>
        <w:t xml:space="preserve">לממונה על עבודות השירות </w:t>
      </w:r>
      <w:r>
        <w:rPr>
          <w:rFonts w:ascii="Arial" w:hAnsi="Arial" w:cs="Arial"/>
          <w:color w:val="1F497D"/>
          <w:rtl/>
        </w:rPr>
        <w:t>ובחוות דעתו מצא אותו הממונה כשיר לרצות מאסר בעבודות שירות.</w:t>
      </w:r>
    </w:p>
    <w:p w14:paraId="0D1FD09D" w14:textId="77777777" w:rsidR="00ED4311" w:rsidRDefault="00ED4311" w:rsidP="00ED4311">
      <w:pPr>
        <w:rPr>
          <w:rFonts w:ascii="Arial" w:hAnsi="Arial" w:cs="Arial"/>
          <w:color w:val="1F497D"/>
          <w:rtl/>
        </w:rPr>
      </w:pPr>
    </w:p>
    <w:p w14:paraId="1892DCF2" w14:textId="77777777" w:rsidR="00ED4311" w:rsidRDefault="00ED4311" w:rsidP="00ED4311">
      <w:pPr>
        <w:rPr>
          <w:rFonts w:ascii="Arial" w:hAnsi="Arial" w:cs="Arial"/>
          <w:color w:val="1F497D"/>
          <w:rtl/>
        </w:rPr>
      </w:pPr>
    </w:p>
    <w:p w14:paraId="5532F572" w14:textId="77777777" w:rsidR="00ED4311" w:rsidRDefault="00ED4311" w:rsidP="00ED4311">
      <w:pPr>
        <w:rPr>
          <w:rFonts w:ascii="Arial" w:hAnsi="Arial" w:cs="Arial"/>
          <w:b/>
          <w:bCs/>
          <w:color w:val="1F497D"/>
          <w:rtl/>
        </w:rPr>
      </w:pPr>
      <w:r>
        <w:rPr>
          <w:rFonts w:ascii="Arial" w:hAnsi="Arial" w:cs="Arial"/>
          <w:b/>
          <w:bCs/>
          <w:color w:val="1F497D"/>
          <w:rtl/>
        </w:rPr>
        <w:t>טיעוני הצדדים:</w:t>
      </w:r>
    </w:p>
    <w:p w14:paraId="1EFF05D6" w14:textId="77777777" w:rsidR="00ED4311" w:rsidRDefault="00ED4311" w:rsidP="00ED4311">
      <w:pPr>
        <w:rPr>
          <w:rFonts w:ascii="Arial" w:hAnsi="Arial" w:cs="Arial"/>
          <w:color w:val="1F497D"/>
          <w:rtl/>
        </w:rPr>
      </w:pPr>
    </w:p>
    <w:p w14:paraId="388F9A0A" w14:textId="77777777" w:rsidR="00ED4311" w:rsidRDefault="00ED4311" w:rsidP="00ED4311">
      <w:pPr>
        <w:rPr>
          <w:rFonts w:ascii="Arial" w:hAnsi="Arial" w:cs="Arial"/>
          <w:color w:val="1F497D"/>
          <w:rtl/>
        </w:rPr>
      </w:pPr>
      <w:r>
        <w:rPr>
          <w:rFonts w:ascii="Arial" w:hAnsi="Arial" w:cs="Arial"/>
          <w:color w:val="1F497D"/>
          <w:rtl/>
        </w:rPr>
        <w:t>על רקע העבירה בה הורשע הנאשם</w:t>
      </w:r>
      <w:r w:rsidR="00C63496">
        <w:rPr>
          <w:rFonts w:ascii="Arial" w:hAnsi="Arial" w:cs="Arial"/>
          <w:color w:val="1F497D"/>
          <w:rtl/>
        </w:rPr>
        <w:t xml:space="preserve"> </w:t>
      </w:r>
      <w:r>
        <w:rPr>
          <w:rFonts w:ascii="Arial" w:hAnsi="Arial" w:cs="Arial"/>
          <w:color w:val="1F497D"/>
          <w:rtl/>
        </w:rPr>
        <w:t xml:space="preserve"> ביקשה </w:t>
      </w:r>
      <w:r>
        <w:rPr>
          <w:rFonts w:ascii="Arial" w:hAnsi="Arial" w:cs="Arial"/>
          <w:b/>
          <w:bCs/>
          <w:color w:val="1F497D"/>
          <w:rtl/>
        </w:rPr>
        <w:t>המאשימה</w:t>
      </w:r>
      <w:r>
        <w:rPr>
          <w:rFonts w:ascii="Arial" w:hAnsi="Arial" w:cs="Arial"/>
          <w:color w:val="1F497D"/>
          <w:rtl/>
        </w:rPr>
        <w:t xml:space="preserve"> לזהות את הערכים המוגנים כהגנה על שלום הציבור, שכן לדבריה מדובר בעבירות הרסניות עבור החברה.</w:t>
      </w:r>
    </w:p>
    <w:p w14:paraId="78154D6B" w14:textId="77777777" w:rsidR="00ED4311" w:rsidRDefault="00ED4311" w:rsidP="00ED4311">
      <w:pPr>
        <w:rPr>
          <w:rFonts w:ascii="Arial" w:hAnsi="Arial" w:cs="Arial"/>
          <w:color w:val="1F497D"/>
          <w:rtl/>
        </w:rPr>
      </w:pPr>
    </w:p>
    <w:p w14:paraId="6447EF44" w14:textId="77777777" w:rsidR="00ED4311" w:rsidRDefault="00ED4311" w:rsidP="00ED4311">
      <w:pPr>
        <w:rPr>
          <w:rFonts w:ascii="Arial" w:hAnsi="Arial" w:cs="Arial"/>
          <w:color w:val="1F497D"/>
          <w:rtl/>
        </w:rPr>
      </w:pPr>
      <w:r>
        <w:rPr>
          <w:rFonts w:ascii="Arial" w:hAnsi="Arial" w:cs="Arial"/>
          <w:color w:val="1F497D"/>
          <w:rtl/>
        </w:rPr>
        <w:t>המאשימה ציינה כי מתחם העונש ההולם בעבירה המיוחסת לנאשם ובעיקר בדגש על טיב הסמים שהחזיק הנאשם עומד על</w:t>
      </w:r>
      <w:r w:rsidR="00C63496">
        <w:rPr>
          <w:rFonts w:ascii="Arial" w:hAnsi="Arial" w:cs="Arial"/>
          <w:color w:val="1F497D"/>
          <w:rtl/>
        </w:rPr>
        <w:t xml:space="preserve"> </w:t>
      </w:r>
      <w:r>
        <w:rPr>
          <w:rFonts w:ascii="Arial" w:hAnsi="Arial" w:cs="Arial"/>
          <w:color w:val="1F497D"/>
          <w:rtl/>
        </w:rPr>
        <w:t xml:space="preserve"> 18-36 חודשים. לצד זה ציינה את הקשיים הראייתיים שהובילו להגבלת עתירתה לעונש של עבודות שירות.</w:t>
      </w:r>
    </w:p>
    <w:p w14:paraId="36B2E509" w14:textId="77777777" w:rsidR="00ED4311" w:rsidRDefault="00ED4311" w:rsidP="00ED4311">
      <w:pPr>
        <w:rPr>
          <w:rFonts w:ascii="Arial" w:hAnsi="Arial" w:cs="Arial"/>
          <w:color w:val="1F497D"/>
          <w:rtl/>
        </w:rPr>
      </w:pPr>
    </w:p>
    <w:p w14:paraId="0809623D" w14:textId="77777777" w:rsidR="00ED4311" w:rsidRDefault="00ED4311" w:rsidP="00ED4311">
      <w:pPr>
        <w:rPr>
          <w:rFonts w:ascii="Arial" w:hAnsi="Arial" w:cs="Arial"/>
          <w:color w:val="1F497D"/>
          <w:rtl/>
        </w:rPr>
      </w:pPr>
      <w:r>
        <w:rPr>
          <w:rFonts w:ascii="Arial" w:hAnsi="Arial" w:cs="Arial"/>
          <w:color w:val="1F497D"/>
          <w:rtl/>
        </w:rPr>
        <w:t>עוד ציינה כי במועד העתירה, עתרה לרף המקסימלי שניתן היה באותו זמן להטיל על נאשמים בעבודות שירות-</w:t>
      </w:r>
      <w:r w:rsidR="00C63496">
        <w:rPr>
          <w:rFonts w:ascii="Arial" w:hAnsi="Arial" w:cs="Arial"/>
          <w:color w:val="1F497D"/>
          <w:rtl/>
        </w:rPr>
        <w:t xml:space="preserve"> </w:t>
      </w:r>
      <w:r>
        <w:rPr>
          <w:rFonts w:ascii="Arial" w:hAnsi="Arial" w:cs="Arial"/>
          <w:color w:val="1F497D"/>
          <w:rtl/>
        </w:rPr>
        <w:t xml:space="preserve"> 6 חודשים ועל כן שבה על עמדתה. הפנתה את בית המשפט לתסקיר האחרון וביקשה בנוסף הטלת מאסר על תנאי, חילוט הכספים בסך של 11,830, קנס ושלילת רישיון. </w:t>
      </w:r>
    </w:p>
    <w:p w14:paraId="6B0A7B13" w14:textId="77777777" w:rsidR="00ED4311" w:rsidRDefault="00ED4311" w:rsidP="00ED4311">
      <w:pPr>
        <w:rPr>
          <w:rFonts w:ascii="Arial" w:hAnsi="Arial" w:cs="Arial"/>
          <w:color w:val="1F497D"/>
          <w:rtl/>
        </w:rPr>
      </w:pPr>
    </w:p>
    <w:p w14:paraId="0C207B98" w14:textId="77777777" w:rsidR="00ED4311" w:rsidRDefault="00ED4311" w:rsidP="00ED4311">
      <w:pPr>
        <w:rPr>
          <w:rFonts w:ascii="Arial" w:hAnsi="Arial" w:cs="Arial"/>
          <w:color w:val="1F497D"/>
          <w:rtl/>
        </w:rPr>
      </w:pPr>
      <w:r>
        <w:rPr>
          <w:rFonts w:ascii="Arial" w:hAnsi="Arial" w:cs="Arial"/>
          <w:color w:val="1F497D"/>
          <w:rtl/>
        </w:rPr>
        <w:t>בטיעוניה הפנתה המאשימה לפסיקה תומכת.</w:t>
      </w:r>
    </w:p>
    <w:p w14:paraId="55323B14" w14:textId="77777777" w:rsidR="00ED4311" w:rsidRDefault="00ED4311" w:rsidP="00ED4311">
      <w:pPr>
        <w:rPr>
          <w:rFonts w:ascii="Arial" w:hAnsi="Arial" w:cs="Arial"/>
          <w:color w:val="1F497D"/>
          <w:rtl/>
        </w:rPr>
      </w:pPr>
    </w:p>
    <w:p w14:paraId="03114556" w14:textId="77777777" w:rsidR="00ED4311" w:rsidRDefault="00ED4311" w:rsidP="00ED4311">
      <w:pPr>
        <w:rPr>
          <w:rFonts w:ascii="Arial" w:hAnsi="Arial" w:cs="Arial"/>
          <w:color w:val="1F497D"/>
          <w:rtl/>
        </w:rPr>
      </w:pPr>
    </w:p>
    <w:p w14:paraId="489DAA44" w14:textId="77777777" w:rsidR="00ED4311" w:rsidRDefault="00ED4311" w:rsidP="00ED4311">
      <w:pPr>
        <w:rPr>
          <w:rFonts w:ascii="Arial" w:hAnsi="Arial" w:cs="Arial"/>
          <w:b/>
          <w:bCs/>
          <w:color w:val="1F497D"/>
          <w:rtl/>
        </w:rPr>
      </w:pPr>
    </w:p>
    <w:p w14:paraId="6399CB1E" w14:textId="77777777" w:rsidR="00ED4311" w:rsidRDefault="00ED4311" w:rsidP="00ED4311">
      <w:pPr>
        <w:rPr>
          <w:rFonts w:ascii="Arial" w:hAnsi="Arial" w:cs="Arial"/>
          <w:b/>
          <w:bCs/>
          <w:color w:val="1F497D"/>
          <w:rtl/>
        </w:rPr>
      </w:pPr>
    </w:p>
    <w:p w14:paraId="1E123BA1" w14:textId="77777777" w:rsidR="00ED4311" w:rsidRDefault="00ED4311" w:rsidP="00ED4311">
      <w:pPr>
        <w:rPr>
          <w:rFonts w:ascii="Arial" w:hAnsi="Arial" w:cs="Arial"/>
          <w:b/>
          <w:bCs/>
          <w:color w:val="1F497D"/>
          <w:rtl/>
        </w:rPr>
      </w:pPr>
    </w:p>
    <w:p w14:paraId="3C866163" w14:textId="77777777" w:rsidR="00ED4311" w:rsidRDefault="00ED4311" w:rsidP="00ED4311">
      <w:pPr>
        <w:rPr>
          <w:rFonts w:ascii="Arial" w:hAnsi="Arial" w:cs="Arial"/>
          <w:b/>
          <w:bCs/>
          <w:color w:val="1F497D"/>
          <w:rtl/>
        </w:rPr>
      </w:pPr>
    </w:p>
    <w:p w14:paraId="0A52DAE6" w14:textId="77777777" w:rsidR="00ED4311" w:rsidRDefault="00ED4311" w:rsidP="00ED4311">
      <w:pPr>
        <w:rPr>
          <w:rFonts w:ascii="Arial" w:hAnsi="Arial" w:cs="Arial"/>
          <w:color w:val="1F497D"/>
          <w:rtl/>
        </w:rPr>
      </w:pPr>
      <w:r>
        <w:rPr>
          <w:rFonts w:ascii="Arial" w:hAnsi="Arial" w:cs="Arial"/>
          <w:b/>
          <w:bCs/>
          <w:color w:val="1F497D"/>
          <w:rtl/>
        </w:rPr>
        <w:t>הסניגור</w:t>
      </w:r>
      <w:r>
        <w:rPr>
          <w:rFonts w:ascii="Arial" w:hAnsi="Arial" w:cs="Arial"/>
          <w:color w:val="1F497D"/>
          <w:rtl/>
        </w:rPr>
        <w:t xml:space="preserve"> ביקש לעמוד על חריגות המעשים המיוחסים לנאשם ותמך את דבריו בתסקירי שירות המבחן, ציין את העובדה שמדובר באדם בן 35 נעדר עבר פלילי שהגיע מרקע נורמטיבי. לדבריו, ומבלי שיקל ראש בעבירה המיוחסת לנאשם נסיבות ביצוע העבירה הינן נסיבות המתאימות לעבירה של שימוש עצמי בסם.</w:t>
      </w:r>
    </w:p>
    <w:p w14:paraId="27A46B6B" w14:textId="77777777" w:rsidR="00ED4311" w:rsidRDefault="00ED4311" w:rsidP="00ED4311">
      <w:pPr>
        <w:rPr>
          <w:rFonts w:ascii="Arial" w:hAnsi="Arial" w:cs="Arial"/>
          <w:color w:val="1F497D"/>
          <w:rtl/>
        </w:rPr>
      </w:pPr>
    </w:p>
    <w:p w14:paraId="69B9B4BF" w14:textId="77777777" w:rsidR="00ED4311" w:rsidRDefault="00ED4311" w:rsidP="00ED4311">
      <w:pPr>
        <w:rPr>
          <w:rFonts w:ascii="Arial" w:hAnsi="Arial" w:cs="Arial"/>
          <w:color w:val="1F497D"/>
          <w:rtl/>
        </w:rPr>
      </w:pPr>
      <w:r>
        <w:rPr>
          <w:rFonts w:ascii="Arial" w:hAnsi="Arial" w:cs="Arial"/>
          <w:color w:val="1F497D"/>
          <w:rtl/>
        </w:rPr>
        <w:t xml:space="preserve">לדבריו, הנאשם לא היה מעולם מכור לסמים, וההחזקה נעשתה בנסיבות חברתיות כפי שעלה גם מבדיקות השתן הנקיות אותן מסר במסגרת שירות המבחן. </w:t>
      </w:r>
    </w:p>
    <w:p w14:paraId="1457EB2A" w14:textId="77777777" w:rsidR="00ED4311" w:rsidRDefault="00ED4311" w:rsidP="00ED4311">
      <w:pPr>
        <w:rPr>
          <w:rFonts w:ascii="Arial" w:hAnsi="Arial" w:cs="Arial"/>
          <w:color w:val="1F497D"/>
          <w:rtl/>
        </w:rPr>
      </w:pPr>
    </w:p>
    <w:p w14:paraId="0BE573B1" w14:textId="77777777" w:rsidR="00ED4311" w:rsidRDefault="00ED4311" w:rsidP="00ED4311">
      <w:pPr>
        <w:rPr>
          <w:rFonts w:ascii="Arial" w:hAnsi="Arial" w:cs="Arial"/>
          <w:color w:val="1F497D"/>
          <w:rtl/>
        </w:rPr>
      </w:pPr>
      <w:r>
        <w:rPr>
          <w:rFonts w:ascii="Arial" w:hAnsi="Arial" w:cs="Arial"/>
          <w:color w:val="1F497D"/>
          <w:rtl/>
        </w:rPr>
        <w:t>לדבריו, פרטי ההסדר לא כללו את שלילת רישיונו של הנאשם ואף קנס.</w:t>
      </w:r>
    </w:p>
    <w:p w14:paraId="7C940113" w14:textId="77777777" w:rsidR="00ED4311" w:rsidRDefault="00ED4311" w:rsidP="00ED4311">
      <w:pPr>
        <w:rPr>
          <w:rFonts w:ascii="Arial" w:hAnsi="Arial" w:cs="Arial"/>
          <w:color w:val="1F497D"/>
          <w:rtl/>
        </w:rPr>
      </w:pPr>
    </w:p>
    <w:p w14:paraId="54FA2372" w14:textId="77777777" w:rsidR="00ED4311" w:rsidRDefault="00ED4311" w:rsidP="00ED4311">
      <w:pPr>
        <w:rPr>
          <w:rFonts w:ascii="Arial" w:hAnsi="Arial" w:cs="Arial"/>
          <w:color w:val="1F497D"/>
          <w:rtl/>
        </w:rPr>
      </w:pPr>
      <w:r>
        <w:rPr>
          <w:rFonts w:ascii="Arial" w:hAnsi="Arial" w:cs="Arial"/>
          <w:color w:val="1F497D"/>
          <w:rtl/>
        </w:rPr>
        <w:lastRenderedPageBreak/>
        <w:t>הסנגור עתר להטלת עונש של של"צ בהיקף על פי שיקול דעתו של בית המשפט, וכן מאסר מותנה.</w:t>
      </w:r>
    </w:p>
    <w:p w14:paraId="1B2EBBD6" w14:textId="77777777" w:rsidR="00ED4311" w:rsidRDefault="00ED4311" w:rsidP="00ED4311">
      <w:pPr>
        <w:rPr>
          <w:rFonts w:ascii="Arial" w:hAnsi="Arial" w:cs="Arial"/>
          <w:color w:val="1F497D"/>
          <w:rtl/>
        </w:rPr>
      </w:pPr>
      <w:r>
        <w:rPr>
          <w:rFonts w:ascii="Arial" w:hAnsi="Arial" w:cs="Arial"/>
          <w:color w:val="1F497D"/>
          <w:rtl/>
        </w:rPr>
        <w:t>הסנגור הגיש לבית המשפט מכתבים ממעסיקיו של הנאשם.</w:t>
      </w:r>
    </w:p>
    <w:p w14:paraId="6AE8B809" w14:textId="77777777" w:rsidR="00ED4311" w:rsidRDefault="00ED4311" w:rsidP="00ED4311">
      <w:pPr>
        <w:rPr>
          <w:rFonts w:ascii="Arial" w:hAnsi="Arial" w:cs="Arial"/>
          <w:color w:val="1F497D"/>
          <w:rtl/>
        </w:rPr>
      </w:pPr>
    </w:p>
    <w:p w14:paraId="7CE9336B" w14:textId="77777777" w:rsidR="00ED4311" w:rsidRDefault="00ED4311" w:rsidP="00ED4311">
      <w:pPr>
        <w:rPr>
          <w:rFonts w:ascii="Arial" w:hAnsi="Arial" w:cs="Arial"/>
          <w:color w:val="1F497D"/>
          <w:rtl/>
        </w:rPr>
      </w:pPr>
      <w:r>
        <w:rPr>
          <w:rFonts w:ascii="Arial" w:hAnsi="Arial" w:cs="Arial"/>
          <w:color w:val="1F497D"/>
          <w:rtl/>
        </w:rPr>
        <w:t>בית המשפט ששמע את טיעוני הצדדים הציע לצדדים הטלת עונש קצר בעבודות שירות, ב"כ הנאשם ביקש לאמץ את המלצתו.</w:t>
      </w:r>
    </w:p>
    <w:p w14:paraId="19667D58" w14:textId="77777777" w:rsidR="00ED4311" w:rsidRDefault="00ED4311" w:rsidP="00ED4311">
      <w:pPr>
        <w:rPr>
          <w:rFonts w:ascii="Arial" w:hAnsi="Arial" w:cs="Arial"/>
          <w:color w:val="1F497D"/>
          <w:rtl/>
        </w:rPr>
      </w:pPr>
    </w:p>
    <w:p w14:paraId="0BE35AFC" w14:textId="77777777" w:rsidR="00ED4311" w:rsidRDefault="00ED4311" w:rsidP="00ED4311">
      <w:pPr>
        <w:rPr>
          <w:rFonts w:ascii="Arial" w:hAnsi="Arial" w:cs="Arial"/>
          <w:color w:val="1F497D"/>
          <w:rtl/>
        </w:rPr>
      </w:pPr>
    </w:p>
    <w:p w14:paraId="2C262A00" w14:textId="77777777" w:rsidR="00ED4311" w:rsidRDefault="00ED4311" w:rsidP="00ED4311">
      <w:pPr>
        <w:rPr>
          <w:rFonts w:ascii="Arial" w:hAnsi="Arial" w:cs="Arial"/>
          <w:color w:val="1F497D"/>
          <w:rtl/>
        </w:rPr>
      </w:pPr>
      <w:r>
        <w:rPr>
          <w:rFonts w:ascii="Arial" w:hAnsi="Arial" w:cs="Arial"/>
          <w:b/>
          <w:bCs/>
          <w:color w:val="1F497D"/>
          <w:rtl/>
        </w:rPr>
        <w:t>דיון והכרעה</w:t>
      </w:r>
      <w:r>
        <w:rPr>
          <w:rFonts w:ascii="Arial" w:hAnsi="Arial" w:cs="Arial"/>
          <w:color w:val="1F497D"/>
          <w:rtl/>
        </w:rPr>
        <w:t>:</w:t>
      </w:r>
    </w:p>
    <w:p w14:paraId="4F25FB2B" w14:textId="77777777" w:rsidR="00ED4311" w:rsidRDefault="00ED4311" w:rsidP="00ED4311">
      <w:pPr>
        <w:rPr>
          <w:rFonts w:ascii="Arial" w:hAnsi="Arial" w:cs="Arial"/>
          <w:color w:val="1F497D"/>
          <w:rtl/>
        </w:rPr>
      </w:pPr>
    </w:p>
    <w:p w14:paraId="7F219129" w14:textId="77777777" w:rsidR="00ED4311" w:rsidRDefault="00ED4311" w:rsidP="00ED4311">
      <w:pPr>
        <w:rPr>
          <w:rFonts w:ascii="Arial" w:hAnsi="Arial" w:cs="Arial"/>
          <w:color w:val="1F497D"/>
          <w:rtl/>
        </w:rPr>
      </w:pPr>
      <w:r>
        <w:rPr>
          <w:rFonts w:ascii="Arial" w:hAnsi="Arial" w:cs="Arial"/>
          <w:color w:val="1F497D"/>
          <w:rtl/>
        </w:rPr>
        <w:t xml:space="preserve">אני מקבל את הערכים המוגנים שזיהתה המאשימה, והסנגור לא </w:t>
      </w:r>
      <w:bookmarkStart w:id="8" w:name="Seif1"/>
      <w:r>
        <w:rPr>
          <w:rFonts w:ascii="Arial" w:hAnsi="Arial" w:cs="Arial"/>
          <w:color w:val="1F497D"/>
          <w:rtl/>
        </w:rPr>
        <w:t>חלק עליהם</w:t>
      </w:r>
      <w:bookmarkEnd w:id="8"/>
      <w:r>
        <w:rPr>
          <w:rFonts w:ascii="Arial" w:hAnsi="Arial" w:cs="Arial"/>
          <w:color w:val="1F497D"/>
          <w:rtl/>
        </w:rPr>
        <w:t>.</w:t>
      </w:r>
    </w:p>
    <w:p w14:paraId="45CACB5A" w14:textId="77777777" w:rsidR="00ED4311" w:rsidRDefault="00ED4311" w:rsidP="00ED4311">
      <w:pPr>
        <w:rPr>
          <w:rFonts w:ascii="Arial" w:hAnsi="Arial" w:cs="Arial"/>
          <w:color w:val="1F497D"/>
          <w:rtl/>
        </w:rPr>
      </w:pPr>
    </w:p>
    <w:p w14:paraId="0FE82679" w14:textId="77777777" w:rsidR="00ED4311" w:rsidRDefault="00ED4311" w:rsidP="00ED4311">
      <w:pPr>
        <w:rPr>
          <w:rFonts w:ascii="Arial" w:hAnsi="Arial" w:cs="Arial"/>
          <w:color w:val="1F497D"/>
          <w:rtl/>
        </w:rPr>
      </w:pPr>
      <w:r>
        <w:rPr>
          <w:rFonts w:ascii="Arial" w:hAnsi="Arial" w:cs="Arial"/>
          <w:color w:val="1F497D"/>
          <w:rtl/>
        </w:rPr>
        <w:t>אני גם מקבל את עמדת המאשימה לפיה מתחם הענישה בעבירות המיוחסות לנאשם, ובעיקר בהתייחס לסוג הסמים עומד על המתחם אותו הציעה, עם זאת מאחר ומדובר בהסדר שגובש בין הצדדים שקשור בקשיים ראייתים, הגבילה עצמה המאשימה לששה חודשי מאסר שירוצו בעבודות שירות</w:t>
      </w:r>
      <w:r>
        <w:rPr>
          <w:rFonts w:ascii="Arial" w:hAnsi="Arial" w:cs="Arial" w:hint="cs"/>
          <w:color w:val="1F497D"/>
          <w:rtl/>
        </w:rPr>
        <w:t>, כפי שפסק בית המשפט ב</w:t>
      </w:r>
      <w:hyperlink r:id="rId8" w:history="1">
        <w:r w:rsidR="00C63496" w:rsidRPr="00C63496">
          <w:rPr>
            <w:rFonts w:ascii="Arial" w:hAnsi="Arial" w:cs="Arial"/>
            <w:color w:val="0000FF"/>
            <w:u w:val="single"/>
            <w:rtl/>
          </w:rPr>
          <w:t>ת"פ 54826-08-16</w:t>
        </w:r>
      </w:hyperlink>
      <w:r w:rsidRPr="00CE23EF">
        <w:rPr>
          <w:rFonts w:ascii="Arial" w:hAnsi="Arial" w:cs="Arial" w:hint="cs"/>
          <w:b/>
          <w:bCs/>
          <w:color w:val="1F497D"/>
          <w:rtl/>
        </w:rPr>
        <w:t xml:space="preserve"> מ"י נ' אל כשקר</w:t>
      </w:r>
      <w:r>
        <w:rPr>
          <w:rFonts w:ascii="Arial" w:hAnsi="Arial" w:cs="Arial" w:hint="cs"/>
          <w:color w:val="1F497D"/>
          <w:rtl/>
        </w:rPr>
        <w:t xml:space="preserve"> ( בית משפט השלום באילת):</w:t>
      </w:r>
      <w:r>
        <w:rPr>
          <w:rFonts w:ascii="Arial" w:hAnsi="Arial" w:cs="Arial"/>
          <w:color w:val="1F497D"/>
          <w:rtl/>
        </w:rPr>
        <w:t>.</w:t>
      </w:r>
    </w:p>
    <w:p w14:paraId="58189D36" w14:textId="77777777" w:rsidR="00ED4311" w:rsidRDefault="00ED4311" w:rsidP="00ED4311">
      <w:pPr>
        <w:rPr>
          <w:rFonts w:ascii="Arial" w:hAnsi="Arial" w:cs="Arial"/>
          <w:color w:val="1F497D"/>
          <w:rtl/>
        </w:rPr>
      </w:pPr>
    </w:p>
    <w:p w14:paraId="435415BB" w14:textId="77777777" w:rsidR="00ED4311" w:rsidRDefault="00ED4311" w:rsidP="00ED4311">
      <w:pPr>
        <w:rPr>
          <w:rFonts w:ascii="Arial" w:hAnsi="Arial" w:cs="Arial"/>
          <w:color w:val="1F497D"/>
          <w:rtl/>
        </w:rPr>
      </w:pPr>
    </w:p>
    <w:p w14:paraId="0BD27D1B" w14:textId="77777777" w:rsidR="00ED4311" w:rsidRDefault="00ED4311" w:rsidP="00ED4311">
      <w:pPr>
        <w:rPr>
          <w:rFonts w:ascii="Arial" w:hAnsi="Arial" w:cs="Arial"/>
          <w:color w:val="1F497D"/>
          <w:rtl/>
        </w:rPr>
      </w:pPr>
      <w:r>
        <w:rPr>
          <w:rFonts w:ascii="Arial" w:hAnsi="Arial" w:cs="Arial"/>
          <w:b/>
          <w:bCs/>
          <w:color w:val="1F497D"/>
          <w:rtl/>
        </w:rPr>
        <w:t>"</w:t>
      </w:r>
      <w:r>
        <w:rPr>
          <w:rFonts w:ascii="Arial" w:hAnsi="Arial" w:cs="Arial"/>
          <w:b/>
          <w:bCs/>
          <w:color w:val="1F497D"/>
          <w:u w:val="single"/>
          <w:rtl/>
        </w:rPr>
        <w:t>הערכים החברתיים המוגנים</w:t>
      </w:r>
      <w:r>
        <w:rPr>
          <w:rFonts w:ascii="Arial" w:hAnsi="Arial" w:cs="Arial"/>
          <w:color w:val="1F497D"/>
          <w:rtl/>
        </w:rPr>
        <w:t xml:space="preserve"> </w:t>
      </w:r>
      <w:r>
        <w:rPr>
          <w:rFonts w:ascii="Arial" w:hAnsi="Arial" w:cs="Arial"/>
          <w:b/>
          <w:bCs/>
          <w:color w:val="1F497D"/>
          <w:rtl/>
        </w:rPr>
        <w:t>אשר נפגעו כתוצאה ממעשיו של הנאשם, הינם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הרי שנגע ההתמכרות מביא בעקבותיו גם את הרחבת מעגל הפשיעה, כאשר המכור לסם מתפתה לבצע עבירות נוספות וזאת על מנת לממן לעצמו את מנת הסם הבאה. מי שמחזיק בסמים שלא לצריכתו העצמית, נמצא בתוך שרשרת הפצת הסם אותה יש לגדוע."</w:t>
      </w:r>
    </w:p>
    <w:p w14:paraId="251623F1" w14:textId="77777777" w:rsidR="00ED4311" w:rsidRDefault="00ED4311" w:rsidP="00ED4311">
      <w:pPr>
        <w:rPr>
          <w:rFonts w:ascii="Arial" w:hAnsi="Arial" w:cs="Arial"/>
          <w:color w:val="1F497D"/>
          <w:rtl/>
        </w:rPr>
      </w:pPr>
    </w:p>
    <w:p w14:paraId="5D6D91B1" w14:textId="77777777" w:rsidR="00ED4311" w:rsidRDefault="00ED4311" w:rsidP="00ED4311">
      <w:pPr>
        <w:rPr>
          <w:rFonts w:ascii="Arial" w:hAnsi="Arial" w:cs="Arial"/>
          <w:color w:val="1F497D"/>
          <w:rtl/>
        </w:rPr>
      </w:pPr>
      <w:r>
        <w:rPr>
          <w:rFonts w:ascii="Arial" w:hAnsi="Arial" w:cs="Arial"/>
          <w:color w:val="1F497D"/>
          <w:rtl/>
        </w:rPr>
        <w:t>כך גם למסקנת בית המשפט באותו פסק דין באשר למתחם הענישה אף שהיה מדובר בסם מסוג קנביס.</w:t>
      </w:r>
    </w:p>
    <w:p w14:paraId="4F7B1588" w14:textId="77777777" w:rsidR="00ED4311" w:rsidRDefault="00ED4311" w:rsidP="00ED4311">
      <w:pPr>
        <w:rPr>
          <w:rFonts w:ascii="Arial" w:hAnsi="Arial" w:cs="Arial"/>
          <w:color w:val="1F497D"/>
          <w:rtl/>
        </w:rPr>
      </w:pPr>
    </w:p>
    <w:p w14:paraId="3FF5E144" w14:textId="77777777" w:rsidR="00ED4311" w:rsidRDefault="00ED4311" w:rsidP="00ED4311">
      <w:pPr>
        <w:rPr>
          <w:rFonts w:ascii="Arial" w:hAnsi="Arial" w:cs="Arial"/>
          <w:color w:val="1F497D"/>
          <w:rtl/>
        </w:rPr>
      </w:pPr>
      <w:r>
        <w:rPr>
          <w:rFonts w:ascii="Arial" w:hAnsi="Arial" w:cs="Arial"/>
          <w:color w:val="1F497D"/>
          <w:rtl/>
        </w:rPr>
        <w:t>המבחן הראשי, לענ"ד, לקביעת מתחם הענישה, נעוץ במידת הפגיעה בערכים המוגנים.</w:t>
      </w:r>
    </w:p>
    <w:p w14:paraId="56CFC5E5" w14:textId="77777777" w:rsidR="00ED4311" w:rsidRDefault="00ED4311" w:rsidP="00ED4311">
      <w:pPr>
        <w:rPr>
          <w:rFonts w:ascii="Arial" w:hAnsi="Arial" w:cs="Arial"/>
          <w:color w:val="1F497D"/>
          <w:rtl/>
        </w:rPr>
      </w:pPr>
    </w:p>
    <w:p w14:paraId="7BE7B403" w14:textId="77777777" w:rsidR="00ED4311" w:rsidRDefault="00ED4311" w:rsidP="00ED4311">
      <w:pPr>
        <w:rPr>
          <w:rFonts w:ascii="Arial" w:hAnsi="Arial" w:cs="Arial"/>
          <w:color w:val="1F497D"/>
          <w:rtl/>
        </w:rPr>
      </w:pPr>
      <w:r>
        <w:rPr>
          <w:rFonts w:ascii="Arial" w:hAnsi="Arial" w:cs="Arial"/>
          <w:color w:val="1F497D"/>
          <w:rtl/>
        </w:rPr>
        <w:t xml:space="preserve">מחד, מדובר בסמים "קשים", ובכמות לא מבוטלת, </w:t>
      </w:r>
      <w:r>
        <w:rPr>
          <w:rFonts w:ascii="Arial" w:hAnsi="Arial" w:cs="Arial" w:hint="cs"/>
          <w:color w:val="1F497D"/>
          <w:rtl/>
        </w:rPr>
        <w:t>יותר מן</w:t>
      </w:r>
      <w:r>
        <w:rPr>
          <w:rFonts w:ascii="Arial" w:hAnsi="Arial" w:cs="Arial"/>
          <w:color w:val="1F497D"/>
          <w:rtl/>
        </w:rPr>
        <w:t xml:space="preserve"> מהקבוע בחוק כ"חזקה לשימוש עצמי".</w:t>
      </w:r>
    </w:p>
    <w:p w14:paraId="02F1BE6C" w14:textId="77777777" w:rsidR="00ED4311" w:rsidRDefault="00ED4311" w:rsidP="00ED4311">
      <w:pPr>
        <w:rPr>
          <w:rFonts w:ascii="Arial" w:hAnsi="Arial" w:cs="Arial"/>
          <w:color w:val="1F497D"/>
          <w:rtl/>
        </w:rPr>
      </w:pPr>
      <w:r>
        <w:rPr>
          <w:rFonts w:ascii="Arial" w:hAnsi="Arial" w:cs="Arial"/>
          <w:color w:val="1F497D"/>
          <w:rtl/>
        </w:rPr>
        <w:t>במובן זה, הפגיעה בערכים המוגנים הינה גבוהה.</w:t>
      </w:r>
    </w:p>
    <w:p w14:paraId="0F22D4EF" w14:textId="77777777" w:rsidR="00ED4311" w:rsidRDefault="00ED4311" w:rsidP="00ED4311">
      <w:pPr>
        <w:rPr>
          <w:rFonts w:ascii="Arial" w:hAnsi="Arial" w:cs="Arial"/>
          <w:color w:val="1F497D"/>
          <w:rtl/>
        </w:rPr>
      </w:pPr>
    </w:p>
    <w:p w14:paraId="464F81EF" w14:textId="77777777" w:rsidR="00ED4311" w:rsidRDefault="00ED4311" w:rsidP="00ED4311">
      <w:pPr>
        <w:rPr>
          <w:rFonts w:ascii="Arial" w:hAnsi="Arial" w:cs="Arial"/>
          <w:color w:val="1F497D"/>
          <w:rtl/>
        </w:rPr>
      </w:pPr>
      <w:r>
        <w:rPr>
          <w:rFonts w:ascii="Arial" w:hAnsi="Arial" w:cs="Arial"/>
          <w:color w:val="1F497D"/>
          <w:rtl/>
        </w:rPr>
        <w:t>מאידך, מדובר – כאמור – בהחזקה שמכוח החזקה בחוק אינה לשימוש עצמי, אך לא קיימות ראיות נוספות, כלשהן, לכך שהנאשם נטל חלק, אף שולי, בהפצת הסמים, אף שאין לדעת מה היה קורה לולא נתפס והסמים ברשותו.</w:t>
      </w:r>
    </w:p>
    <w:p w14:paraId="733885A3" w14:textId="77777777" w:rsidR="00ED4311" w:rsidRDefault="00ED4311" w:rsidP="00ED4311">
      <w:pPr>
        <w:rPr>
          <w:rFonts w:ascii="Arial" w:hAnsi="Arial" w:cs="Arial"/>
          <w:color w:val="1F497D"/>
          <w:rtl/>
        </w:rPr>
      </w:pPr>
    </w:p>
    <w:p w14:paraId="5A6BB9EC" w14:textId="77777777" w:rsidR="00ED4311" w:rsidRDefault="00ED4311" w:rsidP="00ED4311">
      <w:pPr>
        <w:rPr>
          <w:rFonts w:ascii="Arial" w:hAnsi="Arial" w:cs="Arial"/>
          <w:color w:val="1F497D"/>
          <w:rtl/>
        </w:rPr>
      </w:pPr>
      <w:r>
        <w:rPr>
          <w:rFonts w:ascii="Arial" w:hAnsi="Arial" w:cs="Arial"/>
          <w:color w:val="1F497D"/>
          <w:rtl/>
        </w:rPr>
        <w:t>יש בכך כדי להפחית משמעותית ממידת הפגיעה בערכים המוגנים ולציינה כ"בינונית נמוכה".</w:t>
      </w:r>
    </w:p>
    <w:p w14:paraId="71C86860" w14:textId="77777777" w:rsidR="00ED4311" w:rsidRDefault="00ED4311" w:rsidP="00ED4311">
      <w:pPr>
        <w:rPr>
          <w:rFonts w:ascii="Arial" w:hAnsi="Arial" w:cs="Arial"/>
          <w:color w:val="1F497D"/>
          <w:rtl/>
        </w:rPr>
      </w:pPr>
    </w:p>
    <w:p w14:paraId="30591C51" w14:textId="77777777" w:rsidR="00ED4311" w:rsidRDefault="00ED4311" w:rsidP="00ED4311">
      <w:pPr>
        <w:rPr>
          <w:rFonts w:ascii="Arial" w:hAnsi="Arial" w:cs="Arial"/>
          <w:color w:val="1F497D"/>
          <w:rtl/>
        </w:rPr>
      </w:pPr>
      <w:r>
        <w:rPr>
          <w:rFonts w:ascii="Arial" w:hAnsi="Arial" w:cs="Arial"/>
          <w:color w:val="1F497D"/>
          <w:rtl/>
        </w:rPr>
        <w:t>באשר לתסקירי שירות המבחן, בכללותם – ניתן לראותם כ"חיוביים", וודאי שאין לזקוף לחובתו של הנאשם את מיאונו לעבור טיפול הקשור בהתמכרות לסמים, היות שהוא ככל הנראה אינו סובל ממנה.</w:t>
      </w:r>
    </w:p>
    <w:p w14:paraId="65A02990" w14:textId="77777777" w:rsidR="00ED4311" w:rsidRDefault="00ED4311" w:rsidP="00ED4311">
      <w:pPr>
        <w:rPr>
          <w:rFonts w:ascii="Arial" w:hAnsi="Arial" w:cs="Arial"/>
          <w:color w:val="1F497D"/>
          <w:rtl/>
        </w:rPr>
      </w:pPr>
    </w:p>
    <w:p w14:paraId="4C6766DB" w14:textId="77777777" w:rsidR="00ED4311" w:rsidRDefault="00ED4311" w:rsidP="00ED4311">
      <w:pPr>
        <w:rPr>
          <w:rFonts w:ascii="Arial" w:hAnsi="Arial" w:cs="Arial"/>
          <w:color w:val="1F497D"/>
          <w:rtl/>
        </w:rPr>
      </w:pPr>
    </w:p>
    <w:p w14:paraId="35E1CED4" w14:textId="77777777" w:rsidR="00ED4311" w:rsidRDefault="00ED4311" w:rsidP="00ED4311">
      <w:pPr>
        <w:rPr>
          <w:rFonts w:ascii="Arial" w:hAnsi="Arial" w:cs="Arial"/>
          <w:color w:val="1F497D"/>
          <w:rtl/>
        </w:rPr>
      </w:pPr>
      <w:r>
        <w:rPr>
          <w:rFonts w:ascii="Arial" w:hAnsi="Arial" w:cs="Arial"/>
          <w:color w:val="1F497D"/>
          <w:rtl/>
        </w:rPr>
        <w:t>עם זאת, יש לזקוף לחובת הנאשם את אי רצונו לנסות לזהות את המניעים שהביאו אותו לעבור את העבירה, גם אם אלו אינם כרוכים בשימוש עצמו, ויש בכך כדי להעלות את הצורך בהרתעה אישית.</w:t>
      </w:r>
    </w:p>
    <w:p w14:paraId="32C86ABE" w14:textId="77777777" w:rsidR="00ED4311" w:rsidRDefault="00ED4311" w:rsidP="00ED4311">
      <w:pPr>
        <w:rPr>
          <w:rFonts w:ascii="Arial" w:hAnsi="Arial" w:cs="Arial"/>
          <w:color w:val="1F497D"/>
          <w:rtl/>
        </w:rPr>
      </w:pPr>
    </w:p>
    <w:p w14:paraId="4DB3B8B0" w14:textId="77777777" w:rsidR="00ED4311" w:rsidRDefault="00ED4311" w:rsidP="00ED4311">
      <w:pPr>
        <w:rPr>
          <w:rFonts w:ascii="Arial" w:hAnsi="Arial" w:cs="Arial"/>
          <w:color w:val="1F497D"/>
          <w:rtl/>
        </w:rPr>
      </w:pPr>
      <w:r>
        <w:rPr>
          <w:rFonts w:ascii="Arial" w:hAnsi="Arial" w:cs="Arial"/>
          <w:color w:val="1F497D"/>
          <w:rtl/>
        </w:rPr>
        <w:t>בהתחשב בנסיבות הקשורות בביצוע העבירה ובמדיניות הענישה הנוהגת</w:t>
      </w:r>
      <w:r>
        <w:rPr>
          <w:rFonts w:ascii="Arial" w:hAnsi="Arial" w:cs="Arial" w:hint="cs"/>
          <w:color w:val="1F497D"/>
          <w:rtl/>
        </w:rPr>
        <w:t xml:space="preserve"> ואולם גם בהתחשב בקשיים הראייתיים שהובילו את המאשימה להגביל את עצמה לעתירה של ששה חודשי מאסר שאפשר שירוצו בעבודות שירות,</w:t>
      </w:r>
      <w:r>
        <w:rPr>
          <w:rFonts w:ascii="Arial" w:hAnsi="Arial" w:cs="Arial"/>
          <w:color w:val="1F497D"/>
          <w:rtl/>
        </w:rPr>
        <w:t xml:space="preserve"> אני סבור כי מתחם הענישה ההולם במקרה דנן נע בין תקופת מאסר בת </w:t>
      </w:r>
      <w:r>
        <w:rPr>
          <w:rFonts w:ascii="Arial" w:hAnsi="Arial" w:cs="Arial" w:hint="cs"/>
          <w:color w:val="1F497D"/>
          <w:rtl/>
        </w:rPr>
        <w:t>חודש</w:t>
      </w:r>
      <w:r>
        <w:rPr>
          <w:rFonts w:ascii="Arial" w:hAnsi="Arial" w:cs="Arial"/>
          <w:color w:val="1F497D"/>
          <w:rtl/>
        </w:rPr>
        <w:t xml:space="preserve"> שיכול ותרוצה בדרך של עבודות שירות ועד 12 חודשי מאסר וזאת לצד עונשים נלווים, לרבות עיצום כספי משמעותי בשים לב לטיב העבירה ולרווח הכספי הפוטנציאלי שהמופק ממנה. </w:t>
      </w:r>
    </w:p>
    <w:p w14:paraId="02C12496" w14:textId="77777777" w:rsidR="00ED4311" w:rsidRDefault="00ED4311" w:rsidP="00ED4311">
      <w:pPr>
        <w:rPr>
          <w:rFonts w:ascii="Arial" w:hAnsi="Arial" w:cs="Arial"/>
          <w:color w:val="1F497D"/>
          <w:rtl/>
        </w:rPr>
      </w:pPr>
    </w:p>
    <w:p w14:paraId="46A55081" w14:textId="77777777" w:rsidR="00ED4311" w:rsidRDefault="00ED4311" w:rsidP="00ED4311">
      <w:pPr>
        <w:rPr>
          <w:rFonts w:ascii="Arial" w:hAnsi="Arial" w:cs="Arial"/>
          <w:color w:val="1F497D"/>
          <w:rtl/>
        </w:rPr>
      </w:pPr>
      <w:r>
        <w:rPr>
          <w:rFonts w:ascii="Arial" w:hAnsi="Arial" w:cs="Arial"/>
          <w:color w:val="1F497D"/>
          <w:rtl/>
        </w:rPr>
        <w:t>קראתי בעיון את המכתבים שהגיש הסניגור, מהם עולה שמדובר באדם מסור המתפקד בעבודתו באופן גבוה. עיון במכתבים ובתסקירי שירות המבחן, מעלה אכן כי מדובר באדם חיובי, נעדר עבר פלילי שהעבירה חריגה לאורחות חייו. קראתי במיוחד את המכתב הנרגש של הורי הנאשם.</w:t>
      </w:r>
    </w:p>
    <w:p w14:paraId="4F0E3FAE" w14:textId="77777777" w:rsidR="00ED4311" w:rsidRDefault="00ED4311" w:rsidP="00ED4311">
      <w:pPr>
        <w:rPr>
          <w:rFonts w:ascii="Arial" w:hAnsi="Arial" w:cs="Arial"/>
          <w:color w:val="1F497D"/>
          <w:rtl/>
        </w:rPr>
      </w:pPr>
    </w:p>
    <w:p w14:paraId="70ADC662" w14:textId="77777777" w:rsidR="00ED4311" w:rsidRDefault="00ED4311" w:rsidP="00ED4311">
      <w:pPr>
        <w:rPr>
          <w:rFonts w:ascii="Arial" w:hAnsi="Arial" w:cs="Arial"/>
          <w:color w:val="1F497D"/>
          <w:rtl/>
        </w:rPr>
      </w:pPr>
      <w:r>
        <w:rPr>
          <w:rFonts w:ascii="Arial" w:hAnsi="Arial" w:cs="Arial"/>
          <w:color w:val="1F497D"/>
          <w:rtl/>
        </w:rPr>
        <w:t>שקלול של כל אלה הביא אותי לאמץ את המלצתו של שירות המבחן ולהטיל על הנאשם עונש קצר בעבודות שירות.</w:t>
      </w:r>
    </w:p>
    <w:p w14:paraId="55A08514" w14:textId="77777777" w:rsidR="00ED4311" w:rsidRDefault="00ED4311" w:rsidP="00ED4311">
      <w:pPr>
        <w:rPr>
          <w:rFonts w:ascii="Arial" w:hAnsi="Arial" w:cs="Arial"/>
          <w:color w:val="1F497D"/>
          <w:rtl/>
        </w:rPr>
      </w:pPr>
    </w:p>
    <w:p w14:paraId="0A1E2444" w14:textId="77777777" w:rsidR="00ED4311" w:rsidRDefault="00ED4311" w:rsidP="00ED4311">
      <w:pPr>
        <w:rPr>
          <w:rFonts w:ascii="Arial" w:hAnsi="Arial" w:cs="Arial"/>
          <w:color w:val="1F497D"/>
          <w:rtl/>
        </w:rPr>
      </w:pPr>
      <w:r>
        <w:rPr>
          <w:rFonts w:ascii="Arial" w:hAnsi="Arial" w:cs="Arial"/>
          <w:b/>
          <w:bCs/>
          <w:color w:val="1F497D"/>
          <w:rtl/>
        </w:rPr>
        <w:t xml:space="preserve">בהתחשב בשיקולים שמניתי לעיל, אני סבור כי יש למקם את הנאשם בסמוך לתחתית מתחם הענישה, אך לא בתחתיתו ממש </w:t>
      </w:r>
      <w:r>
        <w:rPr>
          <w:rFonts w:ascii="Arial" w:hAnsi="Arial" w:cs="Arial"/>
          <w:color w:val="1F497D"/>
          <w:rtl/>
        </w:rPr>
        <w:t>ובהינתן דברים אלה, אני</w:t>
      </w:r>
      <w:r w:rsidR="00C63496">
        <w:rPr>
          <w:rFonts w:ascii="Arial" w:hAnsi="Arial" w:cs="Arial"/>
          <w:color w:val="1F497D"/>
          <w:rtl/>
        </w:rPr>
        <w:t xml:space="preserve"> </w:t>
      </w:r>
      <w:r>
        <w:rPr>
          <w:rFonts w:ascii="Arial" w:hAnsi="Arial" w:cs="Arial"/>
          <w:color w:val="1F497D"/>
          <w:rtl/>
        </w:rPr>
        <w:t xml:space="preserve"> גוזר על הנאשם את העונשים הבאים:</w:t>
      </w:r>
    </w:p>
    <w:p w14:paraId="4161E991" w14:textId="77777777" w:rsidR="00ED4311" w:rsidRDefault="00ED4311" w:rsidP="00ED4311">
      <w:pPr>
        <w:rPr>
          <w:rFonts w:ascii="Arial" w:hAnsi="Arial" w:cs="Arial"/>
          <w:color w:val="1F497D"/>
          <w:rtl/>
        </w:rPr>
      </w:pPr>
    </w:p>
    <w:p w14:paraId="644A4799" w14:textId="77777777" w:rsidR="00ED4311" w:rsidRDefault="00ED4311" w:rsidP="00ED4311">
      <w:pPr>
        <w:numPr>
          <w:ilvl w:val="0"/>
          <w:numId w:val="1"/>
        </w:numPr>
        <w:rPr>
          <w:rFonts w:ascii="Arial" w:hAnsi="Arial" w:cs="Arial"/>
          <w:color w:val="1F497D"/>
          <w:rtl/>
        </w:rPr>
      </w:pPr>
      <w:r>
        <w:rPr>
          <w:rFonts w:ascii="Arial" w:hAnsi="Arial" w:cs="Arial"/>
          <w:color w:val="1F497D"/>
          <w:rtl/>
        </w:rPr>
        <w:t xml:space="preserve">מאסר למשך </w:t>
      </w:r>
      <w:r>
        <w:rPr>
          <w:rFonts w:ascii="Arial" w:hAnsi="Arial" w:cs="Arial" w:hint="cs"/>
          <w:color w:val="1F497D"/>
          <w:rtl/>
        </w:rPr>
        <w:t>חודשיים ימים</w:t>
      </w:r>
      <w:r>
        <w:rPr>
          <w:rFonts w:ascii="Arial" w:hAnsi="Arial" w:cs="Arial"/>
          <w:color w:val="1F497D"/>
          <w:rtl/>
        </w:rPr>
        <w:t xml:space="preserve"> בניכוי 10 ימי מעצרו של הנאשם, המאסר ירוצה בדרך של עבודות שירות וזאת על פי חוות דעת הממונה מיום 11.09.22.</w:t>
      </w:r>
      <w:r w:rsidR="00C63496">
        <w:rPr>
          <w:rFonts w:ascii="Arial" w:hAnsi="Arial" w:cs="Arial"/>
          <w:color w:val="1F497D"/>
          <w:rtl/>
        </w:rPr>
        <w:t xml:space="preserve"> </w:t>
      </w:r>
      <w:r>
        <w:rPr>
          <w:rFonts w:ascii="Arial" w:hAnsi="Arial" w:cs="Arial"/>
          <w:color w:val="1F497D"/>
          <w:rtl/>
        </w:rPr>
        <w:t xml:space="preserve"> הנאשם יתייצב לריצוי מאסרו ביום</w:t>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color w:val="1F497D"/>
          <w:rtl/>
        </w:rPr>
        <w:softHyphen/>
      </w:r>
      <w:r>
        <w:rPr>
          <w:rFonts w:ascii="Arial" w:hAnsi="Arial" w:cs="Arial" w:hint="cs"/>
          <w:color w:val="1F497D"/>
          <w:rtl/>
        </w:rPr>
        <w:t xml:space="preserve"> 01.02.23.</w:t>
      </w:r>
    </w:p>
    <w:p w14:paraId="10A9B651" w14:textId="77777777" w:rsidR="00ED4311" w:rsidRPr="00ED4311" w:rsidRDefault="00ED4311" w:rsidP="00ED4311">
      <w:pPr>
        <w:rPr>
          <w:rFonts w:ascii="Calibri" w:eastAsia="Calibri" w:hAnsi="Calibri" w:cs="Calibri"/>
          <w:color w:val="1F497D"/>
          <w:rtl/>
        </w:rPr>
      </w:pPr>
    </w:p>
    <w:p w14:paraId="59C3ECF5" w14:textId="77777777" w:rsidR="00ED4311" w:rsidRDefault="00ED4311" w:rsidP="00ED4311">
      <w:pPr>
        <w:numPr>
          <w:ilvl w:val="0"/>
          <w:numId w:val="1"/>
        </w:numPr>
        <w:rPr>
          <w:color w:val="1F497D"/>
          <w:rtl/>
        </w:rPr>
      </w:pPr>
      <w:r>
        <w:rPr>
          <w:rFonts w:ascii="Arial" w:hAnsi="Arial" w:cs="Arial"/>
          <w:color w:val="1F497D"/>
          <w:rtl/>
        </w:rPr>
        <w:t>מאסר למשך 3 חודשים, ואולם הנאשם לא ירצה עונש זה אלא אם יעבור בתוך 3 שנים מיום סיום ריצוי עבודות השירות כל עבירה על פקודת הסמים מסוג עוון.</w:t>
      </w:r>
    </w:p>
    <w:p w14:paraId="4C66614C" w14:textId="77777777" w:rsidR="00ED4311" w:rsidRPr="00ED4311" w:rsidRDefault="00ED4311" w:rsidP="00ED4311">
      <w:pPr>
        <w:rPr>
          <w:rFonts w:eastAsia="Calibri"/>
          <w:color w:val="1F497D"/>
        </w:rPr>
      </w:pPr>
    </w:p>
    <w:p w14:paraId="0EAF88D7" w14:textId="77777777" w:rsidR="00ED4311" w:rsidRDefault="00ED4311" w:rsidP="00ED4311">
      <w:pPr>
        <w:numPr>
          <w:ilvl w:val="0"/>
          <w:numId w:val="1"/>
        </w:numPr>
        <w:rPr>
          <w:rFonts w:ascii="Arial" w:hAnsi="Arial" w:cs="Arial"/>
          <w:color w:val="1F497D"/>
        </w:rPr>
      </w:pPr>
      <w:r>
        <w:rPr>
          <w:rFonts w:ascii="Arial" w:hAnsi="Arial" w:cs="Arial"/>
          <w:color w:val="1F497D"/>
          <w:rtl/>
        </w:rPr>
        <w:t xml:space="preserve">מאסר למשך 7 חודשים ואולם הנאשם לא ירצה עונש זה אלא אם יעבור בתוך 3 שנים מיום סיום ריצוי עבודות השירות כל עבירה על </w:t>
      </w:r>
      <w:hyperlink r:id="rId9" w:history="1">
        <w:r w:rsidR="00C63496" w:rsidRPr="00C63496">
          <w:rPr>
            <w:rFonts w:ascii="Arial" w:hAnsi="Arial" w:cs="Arial"/>
            <w:color w:val="0000FF"/>
            <w:u w:val="single"/>
            <w:rtl/>
          </w:rPr>
          <w:t>פקודת הסמים המסוכנים</w:t>
        </w:r>
      </w:hyperlink>
      <w:r>
        <w:rPr>
          <w:rFonts w:ascii="Arial" w:hAnsi="Arial" w:cs="Arial"/>
          <w:color w:val="1F497D"/>
          <w:rtl/>
        </w:rPr>
        <w:t xml:space="preserve"> מסוג פשע.</w:t>
      </w:r>
    </w:p>
    <w:p w14:paraId="7F21469D" w14:textId="77777777" w:rsidR="00ED4311" w:rsidRPr="00ED4311" w:rsidRDefault="00ED4311" w:rsidP="00ED4311">
      <w:pPr>
        <w:rPr>
          <w:rFonts w:ascii="Calibri" w:eastAsia="Calibri" w:hAnsi="Calibri" w:cs="Calibri"/>
          <w:color w:val="1F497D"/>
        </w:rPr>
      </w:pPr>
    </w:p>
    <w:p w14:paraId="3A9F032D" w14:textId="77777777" w:rsidR="00ED4311" w:rsidRDefault="00ED4311" w:rsidP="00ED4311">
      <w:pPr>
        <w:numPr>
          <w:ilvl w:val="0"/>
          <w:numId w:val="1"/>
        </w:numPr>
        <w:rPr>
          <w:rFonts w:ascii="Arial" w:hAnsi="Arial" w:cs="Arial"/>
          <w:color w:val="1F497D"/>
        </w:rPr>
      </w:pPr>
      <w:r>
        <w:rPr>
          <w:rFonts w:ascii="Arial" w:hAnsi="Arial" w:cs="Arial"/>
          <w:color w:val="1F497D"/>
          <w:rtl/>
        </w:rPr>
        <w:t>מאחר ובעת הצגת ההסדר לא עתרה המאשימה לעונש</w:t>
      </w:r>
      <w:r>
        <w:rPr>
          <w:rFonts w:ascii="Arial" w:hAnsi="Arial" w:cs="Arial" w:hint="cs"/>
          <w:color w:val="1F497D"/>
          <w:rtl/>
        </w:rPr>
        <w:t xml:space="preserve"> של</w:t>
      </w:r>
      <w:r>
        <w:rPr>
          <w:rFonts w:ascii="Arial" w:hAnsi="Arial" w:cs="Arial"/>
          <w:color w:val="1F497D"/>
          <w:rtl/>
        </w:rPr>
        <w:t xml:space="preserve"> פסילה, אני מקבל את עמדת הסניגור ונמנע מהטלת</w:t>
      </w:r>
      <w:r>
        <w:rPr>
          <w:rFonts w:ascii="Arial" w:hAnsi="Arial" w:cs="Arial" w:hint="cs"/>
          <w:color w:val="1F497D"/>
          <w:rtl/>
        </w:rPr>
        <w:t xml:space="preserve"> עונש זה.</w:t>
      </w:r>
      <w:r>
        <w:rPr>
          <w:rFonts w:ascii="Arial" w:hAnsi="Arial" w:cs="Arial"/>
          <w:color w:val="1F497D"/>
          <w:rtl/>
        </w:rPr>
        <w:t xml:space="preserve"> לצד זאת אני נעתר לבקשה לחילוט הכספים הקיימים בתיק. חילוט הכספים משקלל ומאזן בין עתירות הצדדים</w:t>
      </w:r>
      <w:r>
        <w:rPr>
          <w:rFonts w:ascii="Arial" w:hAnsi="Arial" w:cs="Arial" w:hint="cs"/>
          <w:color w:val="1F497D"/>
          <w:rtl/>
        </w:rPr>
        <w:t xml:space="preserve">, </w:t>
      </w:r>
      <w:r w:rsidRPr="0038535C">
        <w:rPr>
          <w:rFonts w:ascii="Arial" w:hAnsi="Arial" w:cs="Arial" w:hint="cs"/>
          <w:color w:val="1F497D"/>
          <w:rtl/>
        </w:rPr>
        <w:t>חילוט הכספים הינו בכפוף לכך שלא הוחזרו לנאשם בטרם העתירה</w:t>
      </w:r>
      <w:r w:rsidRPr="0038535C">
        <w:rPr>
          <w:rFonts w:ascii="Arial" w:hAnsi="Arial" w:cs="Arial"/>
          <w:color w:val="1F497D"/>
          <w:rtl/>
        </w:rPr>
        <w:t>.</w:t>
      </w:r>
      <w:r>
        <w:rPr>
          <w:rFonts w:ascii="Arial" w:hAnsi="Arial" w:cs="Arial"/>
          <w:color w:val="1F497D"/>
          <w:rtl/>
        </w:rPr>
        <w:t xml:space="preserve"> כמו כן, אני פוסל את הנאשם מהחזקת רישיון נהיגה למשך 7 חודשים, ואולם הנאשם לא ירצה עונש זה אלא אם יעבור בתוך 3 שנים מיום סיום ריצוי עבודות השירות אחת מעבירות התנאי.</w:t>
      </w:r>
    </w:p>
    <w:p w14:paraId="01499EDB" w14:textId="77777777" w:rsidR="00ED4311" w:rsidRDefault="00ED4311" w:rsidP="00ED4311">
      <w:pPr>
        <w:pStyle w:val="a9"/>
        <w:rPr>
          <w:rFonts w:ascii="Arial" w:hAnsi="Arial" w:cs="Arial"/>
          <w:color w:val="1F497D"/>
          <w:rtl/>
        </w:rPr>
      </w:pPr>
    </w:p>
    <w:p w14:paraId="005FF24E" w14:textId="77777777" w:rsidR="00ED4311" w:rsidRDefault="00ED4311" w:rsidP="00ED4311">
      <w:pPr>
        <w:numPr>
          <w:ilvl w:val="0"/>
          <w:numId w:val="1"/>
        </w:numPr>
        <w:rPr>
          <w:rFonts w:ascii="Arial" w:hAnsi="Arial" w:cs="Arial"/>
          <w:color w:val="1F497D"/>
          <w:rtl/>
        </w:rPr>
      </w:pPr>
      <w:r>
        <w:rPr>
          <w:rFonts w:ascii="Arial" w:hAnsi="Arial" w:cs="Arial" w:hint="cs"/>
          <w:color w:val="1F497D"/>
          <w:rtl/>
        </w:rPr>
        <w:t>קנס בסך 3,000 ₪ אשר יקוזז מהפקדה הקיימת בתיק, ויתרתה תושב לנאשם.</w:t>
      </w:r>
    </w:p>
    <w:p w14:paraId="7BDF5D65" w14:textId="77777777" w:rsidR="00ED4311" w:rsidRPr="00ED4311" w:rsidRDefault="00ED4311" w:rsidP="00ED4311">
      <w:pPr>
        <w:rPr>
          <w:rFonts w:ascii="Calibri" w:eastAsia="Calibri" w:hAnsi="Calibri" w:cs="Calibri"/>
          <w:color w:val="1F497D"/>
        </w:rPr>
      </w:pPr>
    </w:p>
    <w:p w14:paraId="430EE6D6" w14:textId="77777777" w:rsidR="00ED4311" w:rsidRDefault="00ED4311" w:rsidP="00ED4311">
      <w:pPr>
        <w:numPr>
          <w:ilvl w:val="0"/>
          <w:numId w:val="1"/>
        </w:numPr>
        <w:rPr>
          <w:rFonts w:ascii="Arial" w:hAnsi="Arial" w:cs="Arial"/>
          <w:color w:val="1F497D"/>
          <w:rtl/>
        </w:rPr>
      </w:pPr>
      <w:r>
        <w:rPr>
          <w:rFonts w:ascii="Arial" w:hAnsi="Arial" w:cs="Arial"/>
          <w:color w:val="1F497D"/>
          <w:rtl/>
        </w:rPr>
        <w:t xml:space="preserve">אני מחייב את הנאשם להצהיר כי אם יעבור בתוך שנה מיום סיום ריצוי עבודות השירות אחת מעבירות התנאי, ישלם סך של 10,000 ₪. יסרב להצהיר – יאסר למשך 10 ימים. הצהרת הנאשם נרשמה לפניי. </w:t>
      </w:r>
    </w:p>
    <w:p w14:paraId="2DBA668D" w14:textId="77777777" w:rsidR="00ED4311" w:rsidRPr="00ED4311" w:rsidRDefault="00ED4311" w:rsidP="00ED4311">
      <w:pPr>
        <w:rPr>
          <w:rFonts w:ascii="Calibri" w:eastAsia="Calibri" w:hAnsi="Calibri" w:cs="Calibri"/>
          <w:color w:val="1F497D"/>
        </w:rPr>
      </w:pPr>
    </w:p>
    <w:p w14:paraId="62FCFBA6" w14:textId="77777777" w:rsidR="00ED4311" w:rsidRDefault="00ED4311" w:rsidP="00ED4311">
      <w:pPr>
        <w:rPr>
          <w:rFonts w:ascii="Arial" w:hAnsi="Arial" w:cs="Arial"/>
          <w:color w:val="1F497D"/>
          <w:rtl/>
        </w:rPr>
      </w:pPr>
      <w:r>
        <w:rPr>
          <w:rFonts w:ascii="Arial" w:hAnsi="Arial" w:cs="Arial"/>
          <w:color w:val="1F497D"/>
          <w:rtl/>
        </w:rPr>
        <w:t>ניתן בזאת צו כללי למוצגים</w:t>
      </w:r>
    </w:p>
    <w:p w14:paraId="1E4EF3A3" w14:textId="77777777" w:rsidR="00ED4311" w:rsidRDefault="00ED4311" w:rsidP="00ED4311">
      <w:pPr>
        <w:rPr>
          <w:rFonts w:ascii="Arial" w:hAnsi="Arial" w:cs="Arial"/>
          <w:color w:val="1F497D"/>
        </w:rPr>
      </w:pPr>
    </w:p>
    <w:p w14:paraId="55E57002" w14:textId="77777777" w:rsidR="00ED4311" w:rsidRDefault="00ED4311" w:rsidP="00ED4311">
      <w:pPr>
        <w:rPr>
          <w:rFonts w:ascii="Arial" w:hAnsi="Arial" w:cs="Arial"/>
          <w:color w:val="1F497D"/>
          <w:rtl/>
        </w:rPr>
      </w:pPr>
      <w:r>
        <w:rPr>
          <w:rFonts w:ascii="Arial" w:hAnsi="Arial" w:cs="Arial"/>
          <w:color w:val="1F497D"/>
          <w:rtl/>
        </w:rPr>
        <w:t>המזכירות תעביר העתק גזר הדין לשירות המבחן ולממונה על עבודות השירות.</w:t>
      </w:r>
    </w:p>
    <w:p w14:paraId="5E06D49E" w14:textId="77777777" w:rsidR="00ED4311" w:rsidRDefault="00ED4311" w:rsidP="00ED4311">
      <w:pPr>
        <w:rPr>
          <w:rFonts w:ascii="Arial" w:hAnsi="Arial" w:cs="Arial"/>
          <w:color w:val="1F497D"/>
          <w:rtl/>
        </w:rPr>
      </w:pPr>
    </w:p>
    <w:p w14:paraId="47178DB6" w14:textId="77777777" w:rsidR="00ED4311" w:rsidRDefault="00ED4311" w:rsidP="00ED4311">
      <w:pPr>
        <w:rPr>
          <w:rFonts w:ascii="Arial" w:hAnsi="Arial" w:cs="Arial"/>
          <w:color w:val="1F497D"/>
          <w:rtl/>
        </w:rPr>
      </w:pPr>
      <w:r>
        <w:rPr>
          <w:rFonts w:ascii="Arial" w:hAnsi="Arial" w:cs="Arial"/>
          <w:color w:val="1F497D"/>
          <w:rtl/>
        </w:rPr>
        <w:t>זכות ערעור בתוך 45 ימים מהיום לבית המשפט המחוזי.</w:t>
      </w:r>
    </w:p>
    <w:p w14:paraId="6DA45090" w14:textId="77777777" w:rsidR="00ED4311" w:rsidRDefault="00ED4311" w:rsidP="00ED4311">
      <w:pPr>
        <w:rPr>
          <w:rFonts w:ascii="Arial" w:hAnsi="Arial" w:cs="Arial"/>
          <w:color w:val="1F497D"/>
          <w:rtl/>
        </w:rPr>
      </w:pPr>
    </w:p>
    <w:p w14:paraId="53B38F29" w14:textId="77777777" w:rsidR="00ED4311" w:rsidRPr="00B05847" w:rsidRDefault="00ED4311" w:rsidP="00ED4311">
      <w:pPr>
        <w:rPr>
          <w:rtl/>
        </w:rPr>
      </w:pPr>
    </w:p>
    <w:p w14:paraId="2A87F2A2" w14:textId="77777777" w:rsidR="00ED4311" w:rsidRPr="00B05847" w:rsidRDefault="00ED4311" w:rsidP="00ED4311">
      <w:pPr>
        <w:rPr>
          <w:rtl/>
        </w:rPr>
      </w:pPr>
    </w:p>
    <w:p w14:paraId="3C74096B" w14:textId="77777777" w:rsidR="00ED4311" w:rsidRPr="00B05847" w:rsidRDefault="00ED4311" w:rsidP="00ED4311">
      <w:pPr>
        <w:rPr>
          <w:rtl/>
        </w:rPr>
      </w:pPr>
    </w:p>
    <w:p w14:paraId="4A9A1C2C" w14:textId="77777777" w:rsidR="00ED4311" w:rsidRPr="00B05847" w:rsidRDefault="00ED4311" w:rsidP="00ED4311">
      <w:pPr>
        <w:rPr>
          <w:rtl/>
        </w:rPr>
      </w:pPr>
    </w:p>
    <w:p w14:paraId="153796B5" w14:textId="77777777" w:rsidR="00ED4311" w:rsidRPr="00B05847" w:rsidRDefault="00ED4311" w:rsidP="00ED4311">
      <w:pPr>
        <w:rPr>
          <w:rtl/>
        </w:rPr>
      </w:pPr>
    </w:p>
    <w:p w14:paraId="109D659D" w14:textId="77777777" w:rsidR="00ED4311" w:rsidRPr="00B05847" w:rsidRDefault="00ED4311" w:rsidP="00ED4311">
      <w:pPr>
        <w:rPr>
          <w:rtl/>
        </w:rPr>
      </w:pPr>
    </w:p>
    <w:p w14:paraId="014FF2EF" w14:textId="77777777" w:rsidR="00ED4311" w:rsidRPr="00C63496" w:rsidRDefault="00C63496" w:rsidP="00ED4311">
      <w:pPr>
        <w:rPr>
          <w:color w:val="FFFFFF"/>
          <w:sz w:val="2"/>
          <w:szCs w:val="2"/>
          <w:rtl/>
        </w:rPr>
      </w:pPr>
      <w:r w:rsidRPr="00C63496">
        <w:rPr>
          <w:color w:val="FFFFFF"/>
          <w:sz w:val="2"/>
          <w:szCs w:val="2"/>
          <w:rtl/>
        </w:rPr>
        <w:t>5129371</w:t>
      </w:r>
    </w:p>
    <w:p w14:paraId="73276575" w14:textId="77777777" w:rsidR="00ED4311" w:rsidRDefault="00C63496" w:rsidP="00ED4311">
      <w:pPr>
        <w:rPr>
          <w:rFonts w:cs="FrankRuehl"/>
          <w:sz w:val="28"/>
          <w:szCs w:val="28"/>
          <w:rtl/>
        </w:rPr>
      </w:pPr>
      <w:bookmarkStart w:id="9" w:name="Nitan"/>
      <w:r w:rsidRPr="00C63496">
        <w:rPr>
          <w:rFonts w:ascii="Arial" w:hAnsi="Arial"/>
          <w:color w:val="FFFFFF"/>
          <w:sz w:val="2"/>
          <w:szCs w:val="2"/>
          <w:rtl/>
        </w:rPr>
        <w:t>54678313</w:t>
      </w:r>
      <w:r>
        <w:rPr>
          <w:rFonts w:ascii="Arial" w:hAnsi="Arial"/>
          <w:rtl/>
        </w:rPr>
        <w:t xml:space="preserve">ניתן היום,  כ"ו טבת תשפ"ג, 19 ינואר 2023, בהעדר הצדדים. </w:t>
      </w:r>
      <w:bookmarkEnd w:id="9"/>
    </w:p>
    <w:p w14:paraId="496C20E8" w14:textId="77777777" w:rsidR="00ED4311" w:rsidRDefault="00ED4311" w:rsidP="00C6349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373CC5" w14:textId="77777777" w:rsidR="00ED4311" w:rsidRDefault="00ED4311" w:rsidP="00ED4311">
      <w:pPr>
        <w:jc w:val="center"/>
        <w:rPr>
          <w:rFonts w:ascii="Arial" w:hAnsi="Arial" w:cs="FrankRuehl"/>
          <w:sz w:val="28"/>
          <w:szCs w:val="28"/>
          <w:rtl/>
        </w:rPr>
      </w:pPr>
    </w:p>
    <w:p w14:paraId="66233F42" w14:textId="77777777" w:rsidR="00ED4311" w:rsidRDefault="00ED4311" w:rsidP="00ED4311">
      <w:pPr>
        <w:rPr>
          <w:rFonts w:cs="FrankRuehl"/>
          <w:sz w:val="28"/>
          <w:szCs w:val="28"/>
          <w:rtl/>
        </w:rPr>
      </w:pPr>
    </w:p>
    <w:p w14:paraId="713EC42E" w14:textId="77777777" w:rsidR="00ED4311" w:rsidRDefault="00ED4311" w:rsidP="00ED4311">
      <w:pPr>
        <w:pStyle w:val="a3"/>
        <w:jc w:val="center"/>
        <w:rPr>
          <w:rtl/>
        </w:rPr>
      </w:pPr>
    </w:p>
    <w:p w14:paraId="0FF9068F" w14:textId="77777777" w:rsidR="004A13B8" w:rsidRPr="00C63496" w:rsidRDefault="004A13B8" w:rsidP="00C63496">
      <w:pPr>
        <w:keepNext/>
        <w:rPr>
          <w:rFonts w:ascii="David" w:hAnsi="David"/>
          <w:color w:val="000000"/>
          <w:sz w:val="22"/>
          <w:szCs w:val="22"/>
          <w:rtl/>
        </w:rPr>
      </w:pPr>
    </w:p>
    <w:p w14:paraId="5F7D5A83" w14:textId="77777777" w:rsidR="00C63496" w:rsidRPr="00C63496" w:rsidRDefault="00C63496" w:rsidP="00C63496">
      <w:pPr>
        <w:keepNext/>
        <w:rPr>
          <w:rFonts w:ascii="David" w:hAnsi="David"/>
          <w:color w:val="000000"/>
          <w:sz w:val="22"/>
          <w:szCs w:val="22"/>
          <w:rtl/>
        </w:rPr>
      </w:pPr>
      <w:r w:rsidRPr="00C63496">
        <w:rPr>
          <w:rFonts w:ascii="David" w:hAnsi="David"/>
          <w:color w:val="000000"/>
          <w:sz w:val="22"/>
          <w:szCs w:val="22"/>
          <w:rtl/>
        </w:rPr>
        <w:t>אביחי דורון 54678313</w:t>
      </w:r>
    </w:p>
    <w:p w14:paraId="67064721" w14:textId="77777777" w:rsidR="00C63496" w:rsidRDefault="00C63496" w:rsidP="00C63496">
      <w:r w:rsidRPr="00C63496">
        <w:rPr>
          <w:color w:val="000000"/>
          <w:rtl/>
        </w:rPr>
        <w:t>נוסח מסמך זה כפוף לשינויי ניסוח ועריכה</w:t>
      </w:r>
    </w:p>
    <w:p w14:paraId="76E39A45" w14:textId="77777777" w:rsidR="00C63496" w:rsidRDefault="00C63496" w:rsidP="00C63496">
      <w:pPr>
        <w:rPr>
          <w:rtl/>
        </w:rPr>
      </w:pPr>
    </w:p>
    <w:p w14:paraId="14A24EBE" w14:textId="77777777" w:rsidR="00C63496" w:rsidRDefault="00C63496" w:rsidP="00C63496">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1B3844C" w14:textId="77777777" w:rsidR="00C63496" w:rsidRPr="00C63496" w:rsidRDefault="00C63496" w:rsidP="00C63496">
      <w:pPr>
        <w:jc w:val="center"/>
        <w:rPr>
          <w:color w:val="0000FF"/>
          <w:u w:val="single"/>
        </w:rPr>
      </w:pPr>
    </w:p>
    <w:sectPr w:rsidR="00C63496" w:rsidRPr="00C63496" w:rsidSect="00C63496">
      <w:headerReference w:type="even" r:id="rId11"/>
      <w:headerReference w:type="default" r:id="rId12"/>
      <w:footerReference w:type="even" r:id="rId13"/>
      <w:footerReference w:type="default" r:id="rId1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7AA53" w14:textId="77777777" w:rsidR="00E06B6B" w:rsidRDefault="00E06B6B" w:rsidP="005122D5">
      <w:r>
        <w:separator/>
      </w:r>
    </w:p>
  </w:endnote>
  <w:endnote w:type="continuationSeparator" w:id="0">
    <w:p w14:paraId="508DB246" w14:textId="77777777" w:rsidR="00E06B6B" w:rsidRDefault="00E06B6B" w:rsidP="0051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6078C" w14:textId="77777777" w:rsidR="00C63496" w:rsidRDefault="00C63496" w:rsidP="00C634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4C5642" w14:textId="77777777" w:rsidR="00B5242A" w:rsidRPr="00C63496" w:rsidRDefault="00C63496" w:rsidP="00C6349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B932" w14:textId="77777777" w:rsidR="00C63496" w:rsidRDefault="00C63496" w:rsidP="00C634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1915">
      <w:rPr>
        <w:rFonts w:ascii="FrankRuehl" w:hAnsi="FrankRuehl" w:cs="FrankRuehl"/>
        <w:noProof/>
        <w:rtl/>
      </w:rPr>
      <w:t>1</w:t>
    </w:r>
    <w:r>
      <w:rPr>
        <w:rFonts w:ascii="FrankRuehl" w:hAnsi="FrankRuehl" w:cs="FrankRuehl"/>
        <w:rtl/>
      </w:rPr>
      <w:fldChar w:fldCharType="end"/>
    </w:r>
  </w:p>
  <w:p w14:paraId="0368788D" w14:textId="77777777" w:rsidR="00B5242A" w:rsidRPr="00C63496" w:rsidRDefault="00C63496" w:rsidP="00C6349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4D23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870C1" w14:textId="77777777" w:rsidR="00E06B6B" w:rsidRDefault="00E06B6B" w:rsidP="005122D5">
      <w:r>
        <w:separator/>
      </w:r>
    </w:p>
  </w:footnote>
  <w:footnote w:type="continuationSeparator" w:id="0">
    <w:p w14:paraId="1C778A0E" w14:textId="77777777" w:rsidR="00E06B6B" w:rsidRDefault="00E06B6B" w:rsidP="00512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9EC65" w14:textId="77777777" w:rsidR="00C63496" w:rsidRPr="00C63496" w:rsidRDefault="00C63496" w:rsidP="00C6349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48316-03-20</w:t>
    </w:r>
    <w:r>
      <w:rPr>
        <w:rFonts w:ascii="David" w:hAnsi="David"/>
        <w:color w:val="000000"/>
        <w:sz w:val="22"/>
        <w:szCs w:val="22"/>
        <w:rtl/>
      </w:rPr>
      <w:tab/>
      <w:t xml:space="preserve"> מדינת ישראל נ' ברק איזקוביץ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891B0" w14:textId="77777777" w:rsidR="00C63496" w:rsidRPr="00C63496" w:rsidRDefault="00C63496" w:rsidP="00C6349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48316-03-20</w:t>
    </w:r>
    <w:r>
      <w:rPr>
        <w:rFonts w:ascii="David" w:hAnsi="David"/>
        <w:color w:val="000000"/>
        <w:sz w:val="22"/>
        <w:szCs w:val="22"/>
        <w:rtl/>
      </w:rPr>
      <w:tab/>
      <w:t xml:space="preserve"> מדינת ישראל נ' ברק איזקוביץ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E0CA9"/>
    <w:multiLevelType w:val="hybridMultilevel"/>
    <w:tmpl w:val="667AB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78893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4311"/>
    <w:rsid w:val="00296301"/>
    <w:rsid w:val="004A13B8"/>
    <w:rsid w:val="004F7B33"/>
    <w:rsid w:val="005122D5"/>
    <w:rsid w:val="00650526"/>
    <w:rsid w:val="0069418C"/>
    <w:rsid w:val="0070579D"/>
    <w:rsid w:val="009A4E4C"/>
    <w:rsid w:val="00B5242A"/>
    <w:rsid w:val="00C63496"/>
    <w:rsid w:val="00D21946"/>
    <w:rsid w:val="00E00132"/>
    <w:rsid w:val="00E06B6B"/>
    <w:rsid w:val="00EB17B7"/>
    <w:rsid w:val="00ED4311"/>
    <w:rsid w:val="00F15213"/>
    <w:rsid w:val="00FE1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53E179"/>
  <w15:chartTrackingRefBased/>
  <w15:docId w15:val="{48D5E033-2F92-4E55-9A99-0017FE09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3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4311"/>
    <w:pPr>
      <w:tabs>
        <w:tab w:val="center" w:pos="4153"/>
        <w:tab w:val="right" w:pos="8306"/>
      </w:tabs>
    </w:pPr>
  </w:style>
  <w:style w:type="character" w:customStyle="1" w:styleId="a4">
    <w:name w:val="כותרת עליונה תו"/>
    <w:link w:val="a3"/>
    <w:rsid w:val="00ED4311"/>
    <w:rPr>
      <w:rFonts w:ascii="Times New Roman" w:eastAsia="Times New Roman" w:hAnsi="Times New Roman" w:cs="David"/>
      <w:sz w:val="24"/>
      <w:szCs w:val="24"/>
    </w:rPr>
  </w:style>
  <w:style w:type="paragraph" w:styleId="a5">
    <w:name w:val="footer"/>
    <w:basedOn w:val="a"/>
    <w:link w:val="a6"/>
    <w:rsid w:val="00ED4311"/>
    <w:pPr>
      <w:tabs>
        <w:tab w:val="center" w:pos="4153"/>
        <w:tab w:val="right" w:pos="8306"/>
      </w:tabs>
    </w:pPr>
  </w:style>
  <w:style w:type="character" w:customStyle="1" w:styleId="a6">
    <w:name w:val="כותרת תחתונה תו"/>
    <w:link w:val="a5"/>
    <w:rsid w:val="00ED4311"/>
    <w:rPr>
      <w:rFonts w:ascii="Times New Roman" w:eastAsia="Times New Roman" w:hAnsi="Times New Roman" w:cs="David"/>
      <w:sz w:val="24"/>
      <w:szCs w:val="24"/>
    </w:rPr>
  </w:style>
  <w:style w:type="table" w:styleId="a7">
    <w:name w:val="Table Grid"/>
    <w:basedOn w:val="a1"/>
    <w:rsid w:val="00ED43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4311"/>
  </w:style>
  <w:style w:type="paragraph" w:styleId="a9">
    <w:name w:val="List Paragraph"/>
    <w:basedOn w:val="a"/>
    <w:qFormat/>
    <w:rsid w:val="00ED4311"/>
    <w:pPr>
      <w:ind w:left="720"/>
      <w:contextualSpacing/>
    </w:pPr>
  </w:style>
  <w:style w:type="character" w:styleId="Hyperlink">
    <w:name w:val="Hyperlink"/>
    <w:rsid w:val="00C63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188514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1240</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7427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3866748</vt:i4>
      </vt:variant>
      <vt:variant>
        <vt:i4>3</vt:i4>
      </vt:variant>
      <vt:variant>
        <vt:i4>0</vt:i4>
      </vt:variant>
      <vt:variant>
        <vt:i4>5</vt:i4>
      </vt:variant>
      <vt:variant>
        <vt:lpwstr>http://www.nevo.co.il/case/21885147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48316</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ברק איזקוביץ</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20230119</vt:lpwstr>
  </property>
  <property fmtid="{D5CDD505-2E9C-101B-9397-08002B2CF9AE}" pid="13" name="TYPE_N_DATE">
    <vt:lpwstr>38020230119</vt:lpwstr>
  </property>
  <property fmtid="{D5CDD505-2E9C-101B-9397-08002B2CF9AE}" pid="14" name="WORDNUMPAGES">
    <vt:lpwstr>5</vt:lpwstr>
  </property>
  <property fmtid="{D5CDD505-2E9C-101B-9397-08002B2CF9AE}" pid="15" name="TYPE_ABS_DATE">
    <vt:lpwstr>380020230119</vt:lpwstr>
  </property>
  <property fmtid="{D5CDD505-2E9C-101B-9397-08002B2CF9AE}" pid="16" name="ISABSTRACT">
    <vt:lpwstr>Y</vt:lpwstr>
  </property>
  <property fmtid="{D5CDD505-2E9C-101B-9397-08002B2CF9AE}" pid="17" name="CASESLISTTMP1">
    <vt:lpwstr>21885147</vt:lpwstr>
  </property>
  <property fmtid="{D5CDD505-2E9C-101B-9397-08002B2CF9AE}" pid="18" name="LAWLISTTMP1">
    <vt:lpwstr>4216</vt:lpwstr>
  </property>
</Properties>
</file>