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105B89" w:rsidRPr="00DD6ACF" w14:paraId="6C84FCF2" w14:textId="77777777" w:rsidTr="00F0419D">
        <w:trPr>
          <w:trHeight w:hRule="exact" w:val="418"/>
          <w:jc w:val="center"/>
        </w:trPr>
        <w:tc>
          <w:tcPr>
            <w:tcW w:w="8523" w:type="dxa"/>
            <w:gridSpan w:val="2"/>
          </w:tcPr>
          <w:p w14:paraId="3084AA46" w14:textId="77777777" w:rsidR="00105B89" w:rsidRPr="00DD6ACF" w:rsidRDefault="00105B89" w:rsidP="003A77A9">
            <w:pPr>
              <w:pStyle w:val="a3"/>
              <w:jc w:val="center"/>
              <w:rPr>
                <w:rFonts w:ascii="Tahoma" w:hAnsi="Tahoma"/>
                <w:color w:val="000080"/>
                <w:sz w:val="32"/>
                <w:szCs w:val="32"/>
                <w:rtl/>
              </w:rPr>
            </w:pPr>
            <w:bookmarkStart w:id="0" w:name="LastJudge"/>
            <w:r w:rsidRPr="00DD6ACF">
              <w:rPr>
                <w:rFonts w:ascii="Tahoma" w:hAnsi="Tahoma"/>
                <w:b/>
                <w:bCs/>
                <w:color w:val="000080"/>
                <w:sz w:val="32"/>
                <w:szCs w:val="32"/>
                <w:rtl/>
              </w:rPr>
              <w:t>בית משפט השלום בתל אביב - יפו</w:t>
            </w:r>
          </w:p>
        </w:tc>
      </w:tr>
      <w:tr w:rsidR="00105B89" w:rsidRPr="00DD6ACF" w14:paraId="21B5354E" w14:textId="77777777" w:rsidTr="00F0419D">
        <w:trPr>
          <w:trHeight w:val="337"/>
          <w:jc w:val="center"/>
        </w:trPr>
        <w:tc>
          <w:tcPr>
            <w:tcW w:w="4947" w:type="dxa"/>
          </w:tcPr>
          <w:p w14:paraId="44E8AEA0" w14:textId="77777777" w:rsidR="00105B89" w:rsidRPr="00DD6ACF" w:rsidRDefault="00105B89" w:rsidP="003A77A9">
            <w:pPr>
              <w:rPr>
                <w:sz w:val="26"/>
                <w:szCs w:val="26"/>
                <w:rtl/>
              </w:rPr>
            </w:pPr>
            <w:r w:rsidRPr="00DD6ACF">
              <w:rPr>
                <w:sz w:val="26"/>
                <w:szCs w:val="26"/>
                <w:rtl/>
              </w:rPr>
              <w:t>ת"פ</w:t>
            </w:r>
            <w:r w:rsidRPr="00DD6ACF">
              <w:rPr>
                <w:rFonts w:hint="cs"/>
                <w:sz w:val="26"/>
                <w:szCs w:val="26"/>
                <w:rtl/>
              </w:rPr>
              <w:t xml:space="preserve"> </w:t>
            </w:r>
            <w:r w:rsidRPr="00DD6ACF">
              <w:rPr>
                <w:sz w:val="26"/>
                <w:szCs w:val="26"/>
                <w:rtl/>
              </w:rPr>
              <w:t>516-03-20</w:t>
            </w:r>
            <w:r w:rsidRPr="00DD6ACF">
              <w:rPr>
                <w:rFonts w:hint="cs"/>
                <w:sz w:val="26"/>
                <w:szCs w:val="26"/>
                <w:rtl/>
              </w:rPr>
              <w:t xml:space="preserve"> </w:t>
            </w:r>
            <w:r w:rsidRPr="00DD6ACF">
              <w:rPr>
                <w:sz w:val="26"/>
                <w:szCs w:val="26"/>
                <w:rtl/>
              </w:rPr>
              <w:t>מדינת ישראל נ' אנגלנדר</w:t>
            </w:r>
          </w:p>
        </w:tc>
        <w:tc>
          <w:tcPr>
            <w:tcW w:w="3576" w:type="dxa"/>
          </w:tcPr>
          <w:p w14:paraId="2D7FFA61" w14:textId="77777777" w:rsidR="00105B89" w:rsidRPr="00DD6ACF" w:rsidRDefault="00105B89" w:rsidP="003A77A9">
            <w:pPr>
              <w:pStyle w:val="a3"/>
              <w:jc w:val="right"/>
              <w:rPr>
                <w:rFonts w:cs="FrankRuehl"/>
                <w:sz w:val="28"/>
                <w:szCs w:val="28"/>
                <w:rtl/>
              </w:rPr>
            </w:pPr>
          </w:p>
        </w:tc>
      </w:tr>
    </w:tbl>
    <w:p w14:paraId="3FCAB18D" w14:textId="77777777" w:rsidR="00105B89" w:rsidRPr="00DD6ACF" w:rsidRDefault="00105B89" w:rsidP="00105B89">
      <w:pPr>
        <w:pStyle w:val="a3"/>
        <w:rPr>
          <w:rtl/>
        </w:rPr>
      </w:pPr>
      <w:r w:rsidRPr="00DD6ACF">
        <w:rPr>
          <w:rFonts w:hint="cs"/>
          <w:rtl/>
        </w:rPr>
        <w:t xml:space="preserve"> </w:t>
      </w:r>
    </w:p>
    <w:p w14:paraId="5E0A3B3F" w14:textId="77777777" w:rsidR="00105B89" w:rsidRPr="00DD6ACF" w:rsidRDefault="00105B89" w:rsidP="00105B89">
      <w:pPr>
        <w:rPr>
          <w:rtl/>
        </w:rPr>
      </w:pPr>
    </w:p>
    <w:p w14:paraId="498FD599" w14:textId="77777777" w:rsidR="00105B89" w:rsidRPr="00DD6ACF" w:rsidRDefault="00105B89" w:rsidP="00105B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7"/>
        <w:gridCol w:w="3398"/>
      </w:tblGrid>
      <w:tr w:rsidR="00105B89" w:rsidRPr="00DD6ACF" w14:paraId="25E3913E" w14:textId="77777777" w:rsidTr="00105B89">
        <w:trPr>
          <w:trHeight w:val="295"/>
          <w:jc w:val="center"/>
        </w:trPr>
        <w:tc>
          <w:tcPr>
            <w:tcW w:w="8820" w:type="dxa"/>
            <w:gridSpan w:val="3"/>
            <w:tcBorders>
              <w:top w:val="nil"/>
              <w:left w:val="nil"/>
              <w:bottom w:val="nil"/>
              <w:right w:val="nil"/>
            </w:tcBorders>
            <w:shd w:val="clear" w:color="auto" w:fill="auto"/>
          </w:tcPr>
          <w:p w14:paraId="2E023622" w14:textId="77777777" w:rsidR="00105B89" w:rsidRPr="00DD6ACF" w:rsidRDefault="00105B89" w:rsidP="00105B89">
            <w:pPr>
              <w:jc w:val="both"/>
              <w:rPr>
                <w:rFonts w:ascii="Arial" w:hAnsi="Arial"/>
                <w:b/>
                <w:bCs/>
                <w:sz w:val="26"/>
                <w:szCs w:val="26"/>
              </w:rPr>
            </w:pPr>
            <w:r w:rsidRPr="00DD6ACF">
              <w:rPr>
                <w:rFonts w:ascii="Arial" w:hAnsi="Arial" w:hint="cs"/>
                <w:b/>
                <w:bCs/>
                <w:sz w:val="26"/>
                <w:szCs w:val="26"/>
                <w:rtl/>
              </w:rPr>
              <w:t>ל</w:t>
            </w:r>
            <w:r w:rsidRPr="00DD6ACF">
              <w:rPr>
                <w:rFonts w:ascii="Arial" w:hAnsi="Arial"/>
                <w:b/>
                <w:bCs/>
                <w:sz w:val="26"/>
                <w:szCs w:val="26"/>
                <w:rtl/>
              </w:rPr>
              <w:t xml:space="preserve">פני </w:t>
            </w:r>
            <w:r w:rsidRPr="00DD6ACF">
              <w:rPr>
                <w:rFonts w:ascii="Arial" w:hAnsi="Arial" w:hint="cs"/>
                <w:b/>
                <w:bCs/>
                <w:sz w:val="26"/>
                <w:szCs w:val="26"/>
                <w:rtl/>
              </w:rPr>
              <w:t>כבוד ה</w:t>
            </w:r>
            <w:r w:rsidRPr="00DD6ACF">
              <w:rPr>
                <w:rFonts w:ascii="Arial" w:hAnsi="Arial"/>
                <w:b/>
                <w:bCs/>
                <w:sz w:val="26"/>
                <w:szCs w:val="26"/>
                <w:rtl/>
              </w:rPr>
              <w:t>שופט</w:t>
            </w:r>
            <w:r w:rsidRPr="00DD6ACF">
              <w:rPr>
                <w:rFonts w:ascii="Arial" w:hAnsi="Arial" w:hint="cs"/>
                <w:b/>
                <w:bCs/>
                <w:sz w:val="26"/>
                <w:szCs w:val="26"/>
                <w:rtl/>
              </w:rPr>
              <w:t xml:space="preserve">  </w:t>
            </w:r>
            <w:r w:rsidRPr="00DD6ACF">
              <w:rPr>
                <w:rFonts w:ascii="Arial" w:hAnsi="Arial"/>
                <w:b/>
                <w:bCs/>
                <w:sz w:val="26"/>
                <w:szCs w:val="26"/>
                <w:rtl/>
              </w:rPr>
              <w:t>איתן קורנהאוזר</w:t>
            </w:r>
          </w:p>
        </w:tc>
      </w:tr>
      <w:tr w:rsidR="00105B89" w:rsidRPr="00DD6ACF" w14:paraId="74CB6F31" w14:textId="77777777" w:rsidTr="00105B89">
        <w:trPr>
          <w:trHeight w:val="355"/>
          <w:jc w:val="center"/>
        </w:trPr>
        <w:tc>
          <w:tcPr>
            <w:tcW w:w="1195" w:type="dxa"/>
            <w:tcBorders>
              <w:top w:val="nil"/>
              <w:left w:val="nil"/>
              <w:bottom w:val="nil"/>
              <w:right w:val="nil"/>
            </w:tcBorders>
            <w:shd w:val="clear" w:color="auto" w:fill="auto"/>
          </w:tcPr>
          <w:p w14:paraId="2647B7AA" w14:textId="77777777" w:rsidR="00105B89" w:rsidRPr="00DD6ACF" w:rsidRDefault="00105B89" w:rsidP="00105B89">
            <w:pPr>
              <w:jc w:val="both"/>
              <w:rPr>
                <w:rFonts w:ascii="Arial" w:hAnsi="Arial"/>
                <w:sz w:val="26"/>
                <w:szCs w:val="26"/>
                <w:rtl/>
              </w:rPr>
            </w:pPr>
            <w:bookmarkStart w:id="1" w:name="FirstAppellant"/>
            <w:bookmarkStart w:id="2" w:name="FirstLawyer"/>
          </w:p>
          <w:p w14:paraId="285DBAD1" w14:textId="77777777" w:rsidR="00105B89" w:rsidRPr="00DD6ACF" w:rsidRDefault="00105B89" w:rsidP="00105B89">
            <w:pPr>
              <w:jc w:val="both"/>
              <w:rPr>
                <w:rFonts w:ascii="Arial" w:hAnsi="Arial"/>
                <w:b/>
                <w:bCs/>
                <w:sz w:val="26"/>
                <w:szCs w:val="26"/>
              </w:rPr>
            </w:pPr>
            <w:r w:rsidRPr="00DD6ACF">
              <w:rPr>
                <w:rFonts w:ascii="Arial" w:hAnsi="Arial" w:hint="cs"/>
                <w:sz w:val="26"/>
                <w:szCs w:val="26"/>
                <w:rtl/>
              </w:rPr>
              <w:t>ה</w:t>
            </w:r>
            <w:r w:rsidRPr="00DD6ACF">
              <w:rPr>
                <w:rFonts w:ascii="Arial" w:hAnsi="Arial"/>
                <w:sz w:val="26"/>
                <w:szCs w:val="26"/>
                <w:rtl/>
              </w:rPr>
              <w:t>מאשימה</w:t>
            </w:r>
          </w:p>
        </w:tc>
        <w:tc>
          <w:tcPr>
            <w:tcW w:w="4227" w:type="dxa"/>
            <w:tcBorders>
              <w:top w:val="nil"/>
              <w:left w:val="nil"/>
              <w:bottom w:val="nil"/>
              <w:right w:val="nil"/>
            </w:tcBorders>
            <w:shd w:val="clear" w:color="auto" w:fill="auto"/>
          </w:tcPr>
          <w:p w14:paraId="2ED4B766" w14:textId="77777777" w:rsidR="00105B89" w:rsidRPr="00DD6ACF" w:rsidRDefault="00105B89" w:rsidP="003A77A9">
            <w:pPr>
              <w:rPr>
                <w:sz w:val="26"/>
                <w:szCs w:val="26"/>
                <w:rtl/>
              </w:rPr>
            </w:pPr>
            <w:r w:rsidRPr="00DD6ACF">
              <w:rPr>
                <w:rFonts w:ascii="Arial" w:hAnsi="Arial"/>
                <w:sz w:val="26"/>
                <w:szCs w:val="26"/>
                <w:rtl/>
              </w:rPr>
              <w:br/>
              <w:t>מדינת ישראל</w:t>
            </w:r>
          </w:p>
          <w:p w14:paraId="318C84DE" w14:textId="77777777" w:rsidR="00105B89" w:rsidRPr="00DD6ACF" w:rsidRDefault="00105B89" w:rsidP="003A77A9">
            <w:pPr>
              <w:rPr>
                <w:sz w:val="26"/>
                <w:szCs w:val="26"/>
              </w:rPr>
            </w:pPr>
            <w:r w:rsidRPr="00DD6ACF">
              <w:rPr>
                <w:rFonts w:hint="cs"/>
                <w:sz w:val="26"/>
                <w:szCs w:val="26"/>
                <w:rtl/>
              </w:rPr>
              <w:t>ע"י ב"כ עו"ד ענבר סיימונס</w:t>
            </w:r>
          </w:p>
        </w:tc>
        <w:tc>
          <w:tcPr>
            <w:tcW w:w="3398" w:type="dxa"/>
            <w:tcBorders>
              <w:top w:val="nil"/>
              <w:left w:val="nil"/>
              <w:bottom w:val="nil"/>
              <w:right w:val="nil"/>
            </w:tcBorders>
            <w:shd w:val="clear" w:color="auto" w:fill="auto"/>
          </w:tcPr>
          <w:p w14:paraId="76D2170E" w14:textId="77777777" w:rsidR="00105B89" w:rsidRPr="00DD6ACF" w:rsidRDefault="00105B89" w:rsidP="00105B89">
            <w:pPr>
              <w:jc w:val="both"/>
              <w:rPr>
                <w:rFonts w:ascii="Arial" w:hAnsi="Arial"/>
                <w:sz w:val="26"/>
                <w:szCs w:val="26"/>
              </w:rPr>
            </w:pPr>
          </w:p>
        </w:tc>
      </w:tr>
      <w:bookmarkEnd w:id="1"/>
      <w:bookmarkEnd w:id="2"/>
      <w:tr w:rsidR="00105B89" w:rsidRPr="00DD6ACF" w14:paraId="0A2C5786" w14:textId="77777777" w:rsidTr="00105B89">
        <w:trPr>
          <w:trHeight w:val="373"/>
          <w:jc w:val="center"/>
        </w:trPr>
        <w:tc>
          <w:tcPr>
            <w:tcW w:w="1195" w:type="dxa"/>
            <w:tcBorders>
              <w:top w:val="nil"/>
              <w:left w:val="nil"/>
              <w:bottom w:val="nil"/>
              <w:right w:val="nil"/>
            </w:tcBorders>
            <w:shd w:val="clear" w:color="auto" w:fill="auto"/>
          </w:tcPr>
          <w:p w14:paraId="3B75956D" w14:textId="77777777" w:rsidR="00105B89" w:rsidRPr="00DD6ACF" w:rsidRDefault="00105B89" w:rsidP="00105B89">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28F23C5C" w14:textId="77777777" w:rsidR="00105B89" w:rsidRPr="00DD6ACF" w:rsidRDefault="00105B89" w:rsidP="00105B89">
            <w:pPr>
              <w:jc w:val="center"/>
              <w:rPr>
                <w:rFonts w:ascii="Arial" w:hAnsi="Arial"/>
                <w:b/>
                <w:bCs/>
                <w:sz w:val="26"/>
                <w:szCs w:val="26"/>
                <w:rtl/>
              </w:rPr>
            </w:pPr>
          </w:p>
          <w:p w14:paraId="70024D04" w14:textId="77777777" w:rsidR="00105B89" w:rsidRPr="00DD6ACF" w:rsidRDefault="00105B89" w:rsidP="00105B89">
            <w:pPr>
              <w:jc w:val="center"/>
              <w:rPr>
                <w:rFonts w:ascii="Arial" w:hAnsi="Arial"/>
                <w:b/>
                <w:bCs/>
                <w:sz w:val="26"/>
                <w:szCs w:val="26"/>
                <w:rtl/>
              </w:rPr>
            </w:pPr>
            <w:r w:rsidRPr="00DD6ACF">
              <w:rPr>
                <w:rFonts w:ascii="Arial" w:hAnsi="Arial"/>
                <w:b/>
                <w:bCs/>
                <w:sz w:val="26"/>
                <w:szCs w:val="26"/>
                <w:rtl/>
              </w:rPr>
              <w:t>נגד</w:t>
            </w:r>
          </w:p>
          <w:p w14:paraId="23518A1E" w14:textId="77777777" w:rsidR="00105B89" w:rsidRPr="00DD6ACF" w:rsidRDefault="00105B89" w:rsidP="00105B89">
            <w:pPr>
              <w:jc w:val="both"/>
              <w:rPr>
                <w:rFonts w:ascii="Arial" w:hAnsi="Arial"/>
                <w:sz w:val="26"/>
                <w:szCs w:val="26"/>
              </w:rPr>
            </w:pPr>
          </w:p>
        </w:tc>
      </w:tr>
      <w:tr w:rsidR="00105B89" w:rsidRPr="00DD6ACF" w14:paraId="70694BB0" w14:textId="77777777" w:rsidTr="00105B89">
        <w:trPr>
          <w:trHeight w:val="355"/>
          <w:jc w:val="center"/>
        </w:trPr>
        <w:tc>
          <w:tcPr>
            <w:tcW w:w="1195" w:type="dxa"/>
            <w:tcBorders>
              <w:top w:val="nil"/>
              <w:left w:val="nil"/>
              <w:bottom w:val="nil"/>
              <w:right w:val="nil"/>
            </w:tcBorders>
            <w:shd w:val="clear" w:color="auto" w:fill="auto"/>
          </w:tcPr>
          <w:p w14:paraId="6226731D" w14:textId="77777777" w:rsidR="00105B89" w:rsidRPr="00DD6ACF" w:rsidRDefault="00105B89" w:rsidP="003A77A9">
            <w:pPr>
              <w:rPr>
                <w:rFonts w:ascii="Arial" w:hAnsi="Arial"/>
                <w:sz w:val="26"/>
                <w:szCs w:val="26"/>
                <w:rtl/>
              </w:rPr>
            </w:pPr>
            <w:r w:rsidRPr="00DD6ACF">
              <w:rPr>
                <w:rFonts w:ascii="Arial" w:hAnsi="Arial" w:hint="cs"/>
                <w:sz w:val="26"/>
                <w:szCs w:val="26"/>
                <w:rtl/>
              </w:rPr>
              <w:t>ה</w:t>
            </w:r>
            <w:r w:rsidRPr="00DD6ACF">
              <w:rPr>
                <w:rFonts w:ascii="Arial" w:hAnsi="Arial"/>
                <w:sz w:val="26"/>
                <w:szCs w:val="26"/>
                <w:rtl/>
              </w:rPr>
              <w:t>נאשם</w:t>
            </w:r>
          </w:p>
        </w:tc>
        <w:tc>
          <w:tcPr>
            <w:tcW w:w="4227" w:type="dxa"/>
            <w:tcBorders>
              <w:top w:val="nil"/>
              <w:left w:val="nil"/>
              <w:bottom w:val="nil"/>
              <w:right w:val="nil"/>
            </w:tcBorders>
            <w:shd w:val="clear" w:color="auto" w:fill="auto"/>
          </w:tcPr>
          <w:p w14:paraId="781B0BA7" w14:textId="77777777" w:rsidR="00105B89" w:rsidRPr="00DD6ACF" w:rsidRDefault="00105B89" w:rsidP="003A77A9">
            <w:pPr>
              <w:rPr>
                <w:sz w:val="26"/>
                <w:szCs w:val="26"/>
                <w:rtl/>
              </w:rPr>
            </w:pPr>
            <w:r w:rsidRPr="00DD6ACF">
              <w:rPr>
                <w:rFonts w:ascii="Arial" w:hAnsi="Arial"/>
                <w:sz w:val="26"/>
                <w:szCs w:val="26"/>
                <w:rtl/>
              </w:rPr>
              <w:t>אריק אנגלנדר</w:t>
            </w:r>
          </w:p>
          <w:p w14:paraId="409B09FE" w14:textId="77777777" w:rsidR="00105B89" w:rsidRPr="00DD6ACF" w:rsidRDefault="00105B89" w:rsidP="003A77A9">
            <w:pPr>
              <w:rPr>
                <w:sz w:val="26"/>
                <w:szCs w:val="26"/>
                <w:rtl/>
              </w:rPr>
            </w:pPr>
            <w:r w:rsidRPr="00DD6ACF">
              <w:rPr>
                <w:rFonts w:hint="cs"/>
                <w:sz w:val="26"/>
                <w:szCs w:val="26"/>
                <w:rtl/>
              </w:rPr>
              <w:t>ע"י ב"כ עו"ד דני גרינברג</w:t>
            </w:r>
          </w:p>
        </w:tc>
        <w:tc>
          <w:tcPr>
            <w:tcW w:w="3398" w:type="dxa"/>
            <w:tcBorders>
              <w:top w:val="nil"/>
              <w:left w:val="nil"/>
              <w:bottom w:val="nil"/>
              <w:right w:val="nil"/>
            </w:tcBorders>
            <w:shd w:val="clear" w:color="auto" w:fill="auto"/>
          </w:tcPr>
          <w:p w14:paraId="16DB26B9" w14:textId="77777777" w:rsidR="00105B89" w:rsidRPr="00DD6ACF" w:rsidRDefault="00105B89" w:rsidP="00105B89">
            <w:pPr>
              <w:jc w:val="right"/>
              <w:rPr>
                <w:rFonts w:ascii="Arial" w:hAnsi="Arial"/>
                <w:sz w:val="26"/>
                <w:szCs w:val="26"/>
              </w:rPr>
            </w:pPr>
          </w:p>
        </w:tc>
      </w:tr>
    </w:tbl>
    <w:p w14:paraId="12899FE4" w14:textId="77777777" w:rsidR="00105B89" w:rsidRPr="00DD6ACF" w:rsidRDefault="00105B89" w:rsidP="00105B89"/>
    <w:p w14:paraId="44C7B888" w14:textId="77777777" w:rsidR="002F0CD5" w:rsidRPr="002F0CD5" w:rsidRDefault="002F0CD5" w:rsidP="002F0CD5">
      <w:pPr>
        <w:spacing w:before="120" w:after="120" w:line="240" w:lineRule="exact"/>
        <w:ind w:left="283" w:hanging="283"/>
        <w:jc w:val="both"/>
        <w:rPr>
          <w:rFonts w:ascii="FrankRuehl" w:hAnsi="FrankRuehl" w:cs="FrankRuehl"/>
          <w:rtl/>
        </w:rPr>
      </w:pPr>
    </w:p>
    <w:p w14:paraId="3CFF16EB" w14:textId="77777777" w:rsidR="0078306A" w:rsidRDefault="0078306A" w:rsidP="0078306A">
      <w:pPr>
        <w:rPr>
          <w:rFonts w:ascii="Arial" w:hAnsi="Arial"/>
          <w:rtl/>
        </w:rPr>
      </w:pPr>
      <w:bookmarkStart w:id="3" w:name="LawTable"/>
      <w:bookmarkEnd w:id="3"/>
    </w:p>
    <w:p w14:paraId="211F0339" w14:textId="77777777" w:rsidR="0078306A" w:rsidRPr="0078306A" w:rsidRDefault="0078306A" w:rsidP="0078306A">
      <w:pPr>
        <w:spacing w:before="120" w:after="120" w:line="240" w:lineRule="exact"/>
        <w:ind w:left="283" w:hanging="283"/>
        <w:jc w:val="both"/>
        <w:rPr>
          <w:rFonts w:ascii="FrankRuehl" w:hAnsi="FrankRuehl" w:cs="FrankRuehl"/>
          <w:rtl/>
        </w:rPr>
      </w:pPr>
    </w:p>
    <w:p w14:paraId="3DCB70FB" w14:textId="77777777" w:rsidR="0078306A" w:rsidRPr="0078306A" w:rsidRDefault="0078306A" w:rsidP="0078306A">
      <w:pPr>
        <w:spacing w:before="120" w:after="120" w:line="240" w:lineRule="exact"/>
        <w:ind w:left="283" w:hanging="283"/>
        <w:jc w:val="both"/>
        <w:rPr>
          <w:rFonts w:ascii="FrankRuehl" w:hAnsi="FrankRuehl" w:cs="FrankRuehl"/>
          <w:rtl/>
        </w:rPr>
      </w:pPr>
    </w:p>
    <w:p w14:paraId="40BA2DC4" w14:textId="77777777" w:rsidR="0078306A" w:rsidRPr="0078306A" w:rsidRDefault="0078306A" w:rsidP="0078306A">
      <w:pPr>
        <w:spacing w:before="120" w:after="120" w:line="240" w:lineRule="exact"/>
        <w:ind w:left="283" w:hanging="283"/>
        <w:jc w:val="both"/>
        <w:rPr>
          <w:rFonts w:ascii="FrankRuehl" w:hAnsi="FrankRuehl" w:cs="FrankRuehl"/>
          <w:rtl/>
        </w:rPr>
      </w:pPr>
      <w:r w:rsidRPr="0078306A">
        <w:rPr>
          <w:rFonts w:ascii="FrankRuehl" w:hAnsi="FrankRuehl" w:cs="FrankRuehl"/>
          <w:rtl/>
        </w:rPr>
        <w:t xml:space="preserve">חקיקה שאוזכרה: </w:t>
      </w:r>
    </w:p>
    <w:p w14:paraId="417A9736" w14:textId="77777777" w:rsidR="0078306A" w:rsidRPr="0078306A" w:rsidRDefault="0078306A" w:rsidP="0078306A">
      <w:pPr>
        <w:spacing w:before="120" w:after="120" w:line="240" w:lineRule="exact"/>
        <w:ind w:left="283" w:hanging="283"/>
        <w:jc w:val="both"/>
        <w:rPr>
          <w:rFonts w:ascii="FrankRuehl" w:hAnsi="FrankRuehl" w:cs="FrankRuehl"/>
          <w:rtl/>
        </w:rPr>
      </w:pPr>
      <w:hyperlink r:id="rId7" w:history="1">
        <w:r w:rsidRPr="0078306A">
          <w:rPr>
            <w:rFonts w:ascii="FrankRuehl" w:hAnsi="FrankRuehl" w:cs="FrankRuehl"/>
            <w:color w:val="0000FF"/>
            <w:rtl/>
          </w:rPr>
          <w:t>פקודת הסמים המסוכנים [נוסח חדש], תשל"ג-1973</w:t>
        </w:r>
      </w:hyperlink>
      <w:r w:rsidRPr="0078306A">
        <w:rPr>
          <w:rFonts w:ascii="FrankRuehl" w:hAnsi="FrankRuehl" w:cs="FrankRuehl"/>
          <w:rtl/>
        </w:rPr>
        <w:t xml:space="preserve">: סע'  </w:t>
      </w:r>
      <w:hyperlink r:id="rId8" w:history="1">
        <w:r w:rsidRPr="0078306A">
          <w:rPr>
            <w:rFonts w:ascii="FrankRuehl" w:hAnsi="FrankRuehl" w:cs="FrankRuehl"/>
            <w:color w:val="0000FF"/>
            <w:rtl/>
          </w:rPr>
          <w:t>1</w:t>
        </w:r>
      </w:hyperlink>
      <w:r w:rsidRPr="0078306A">
        <w:rPr>
          <w:rFonts w:ascii="FrankRuehl" w:hAnsi="FrankRuehl" w:cs="FrankRuehl"/>
          <w:rtl/>
        </w:rPr>
        <w:t xml:space="preserve">, </w:t>
      </w:r>
      <w:hyperlink r:id="rId9" w:history="1">
        <w:r w:rsidRPr="0078306A">
          <w:rPr>
            <w:rFonts w:ascii="FrankRuehl" w:hAnsi="FrankRuehl" w:cs="FrankRuehl"/>
            <w:color w:val="0000FF"/>
            <w:rtl/>
          </w:rPr>
          <w:t>התוספת הראשונה</w:t>
        </w:r>
      </w:hyperlink>
      <w:r w:rsidRPr="0078306A">
        <w:rPr>
          <w:rFonts w:ascii="FrankRuehl" w:hAnsi="FrankRuehl" w:cs="FrankRuehl"/>
          <w:rtl/>
        </w:rPr>
        <w:t xml:space="preserve">, </w:t>
      </w:r>
      <w:hyperlink r:id="rId10" w:history="1">
        <w:r w:rsidRPr="0078306A">
          <w:rPr>
            <w:rFonts w:ascii="FrankRuehl" w:hAnsi="FrankRuehl" w:cs="FrankRuehl"/>
            <w:color w:val="0000FF"/>
            <w:rtl/>
          </w:rPr>
          <w:t>6</w:t>
        </w:r>
      </w:hyperlink>
      <w:r w:rsidRPr="0078306A">
        <w:rPr>
          <w:rFonts w:ascii="FrankRuehl" w:hAnsi="FrankRuehl" w:cs="FrankRuehl"/>
          <w:rtl/>
        </w:rPr>
        <w:t xml:space="preserve">, </w:t>
      </w:r>
      <w:hyperlink r:id="rId11" w:history="1">
        <w:r w:rsidRPr="0078306A">
          <w:rPr>
            <w:rFonts w:ascii="FrankRuehl" w:hAnsi="FrankRuehl" w:cs="FrankRuehl"/>
            <w:color w:val="0000FF"/>
            <w:rtl/>
          </w:rPr>
          <w:t>36א(ב)</w:t>
        </w:r>
      </w:hyperlink>
    </w:p>
    <w:p w14:paraId="1707D8BF" w14:textId="77777777" w:rsidR="0078306A" w:rsidRPr="0078306A" w:rsidRDefault="0078306A" w:rsidP="0078306A">
      <w:pPr>
        <w:spacing w:before="120" w:after="120" w:line="240" w:lineRule="exact"/>
        <w:ind w:left="283" w:hanging="283"/>
        <w:jc w:val="both"/>
        <w:rPr>
          <w:rFonts w:ascii="FrankRuehl" w:hAnsi="FrankRuehl" w:cs="FrankRuehl"/>
          <w:rtl/>
        </w:rPr>
      </w:pPr>
      <w:hyperlink r:id="rId12" w:history="1">
        <w:r w:rsidRPr="0078306A">
          <w:rPr>
            <w:rFonts w:ascii="FrankRuehl" w:hAnsi="FrankRuehl" w:cs="FrankRuehl"/>
            <w:color w:val="0000FF"/>
            <w:rtl/>
          </w:rPr>
          <w:t>חוק העונשין, תשל"ז-1977</w:t>
        </w:r>
      </w:hyperlink>
      <w:r w:rsidRPr="0078306A">
        <w:rPr>
          <w:rFonts w:ascii="FrankRuehl" w:hAnsi="FrankRuehl" w:cs="FrankRuehl"/>
          <w:rtl/>
        </w:rPr>
        <w:t xml:space="preserve">: סע'  </w:t>
      </w:r>
      <w:hyperlink r:id="rId13" w:history="1">
        <w:r w:rsidRPr="0078306A">
          <w:rPr>
            <w:rFonts w:ascii="FrankRuehl" w:hAnsi="FrankRuehl" w:cs="FrankRuehl"/>
            <w:color w:val="0000FF"/>
            <w:rtl/>
          </w:rPr>
          <w:t>40ט(א)</w:t>
        </w:r>
      </w:hyperlink>
    </w:p>
    <w:p w14:paraId="2312E0F8" w14:textId="77777777" w:rsidR="0078306A" w:rsidRPr="0078306A" w:rsidRDefault="0078306A" w:rsidP="0078306A">
      <w:pPr>
        <w:rPr>
          <w:rFonts w:ascii="Arial" w:hAnsi="Arial"/>
          <w:rtl/>
        </w:rPr>
      </w:pPr>
      <w:bookmarkStart w:id="4" w:name="LawTable_End"/>
      <w:bookmarkEnd w:id="4"/>
    </w:p>
    <w:p w14:paraId="264D4BCF" w14:textId="77777777" w:rsidR="00105B89" w:rsidRPr="002F0CD5" w:rsidRDefault="00105B89" w:rsidP="002F0CD5">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5B89" w14:paraId="77C3060D" w14:textId="77777777" w:rsidTr="00105B89">
        <w:trPr>
          <w:trHeight w:val="355"/>
          <w:jc w:val="center"/>
        </w:trPr>
        <w:tc>
          <w:tcPr>
            <w:tcW w:w="8820" w:type="dxa"/>
            <w:tcBorders>
              <w:top w:val="nil"/>
              <w:left w:val="nil"/>
              <w:bottom w:val="nil"/>
              <w:right w:val="nil"/>
            </w:tcBorders>
            <w:shd w:val="clear" w:color="auto" w:fill="auto"/>
          </w:tcPr>
          <w:p w14:paraId="7E620323" w14:textId="77777777" w:rsidR="00DD6ACF" w:rsidRPr="00DD6ACF" w:rsidRDefault="00DD6ACF" w:rsidP="00DD6ACF">
            <w:pPr>
              <w:jc w:val="center"/>
              <w:rPr>
                <w:rFonts w:ascii="Arial" w:hAnsi="Arial"/>
                <w:b/>
                <w:bCs/>
                <w:sz w:val="28"/>
                <w:szCs w:val="28"/>
                <w:u w:val="single"/>
                <w:rtl/>
              </w:rPr>
            </w:pPr>
            <w:bookmarkStart w:id="5" w:name="PsakDin" w:colFirst="0" w:colLast="0"/>
            <w:bookmarkEnd w:id="0"/>
            <w:r w:rsidRPr="00DD6ACF">
              <w:rPr>
                <w:rFonts w:ascii="Arial" w:hAnsi="Arial"/>
                <w:b/>
                <w:bCs/>
                <w:sz w:val="28"/>
                <w:szCs w:val="28"/>
                <w:u w:val="single"/>
                <w:rtl/>
              </w:rPr>
              <w:t>גזר דין</w:t>
            </w:r>
          </w:p>
          <w:p w14:paraId="111F45BC" w14:textId="77777777" w:rsidR="00105B89" w:rsidRPr="00DD6ACF" w:rsidRDefault="00105B89" w:rsidP="00DD6ACF">
            <w:pPr>
              <w:jc w:val="center"/>
              <w:rPr>
                <w:rFonts w:ascii="Arial" w:hAnsi="Arial"/>
                <w:bCs/>
                <w:sz w:val="28"/>
                <w:szCs w:val="28"/>
                <w:u w:val="single"/>
                <w:rtl/>
              </w:rPr>
            </w:pPr>
          </w:p>
        </w:tc>
      </w:tr>
      <w:bookmarkEnd w:id="5"/>
    </w:tbl>
    <w:p w14:paraId="0FCC08E0" w14:textId="77777777" w:rsidR="00105B89" w:rsidRDefault="00105B89" w:rsidP="00105B89">
      <w:pPr>
        <w:rPr>
          <w:rFonts w:ascii="Arial" w:hAnsi="Arial"/>
          <w:b/>
          <w:bCs/>
          <w:u w:val="single"/>
          <w:rtl/>
        </w:rPr>
      </w:pPr>
    </w:p>
    <w:p w14:paraId="217D3F6F" w14:textId="77777777" w:rsidR="00105B89" w:rsidRDefault="00105B89" w:rsidP="00105B89">
      <w:pPr>
        <w:spacing w:line="360" w:lineRule="auto"/>
        <w:jc w:val="both"/>
        <w:rPr>
          <w:rFonts w:ascii="Arial" w:hAnsi="Arial"/>
          <w:b/>
          <w:bCs/>
          <w:u w:val="single"/>
          <w:rtl/>
        </w:rPr>
      </w:pPr>
      <w:r w:rsidRPr="00A2051D">
        <w:rPr>
          <w:rFonts w:ascii="Arial" w:hAnsi="Arial" w:hint="cs"/>
          <w:b/>
          <w:bCs/>
          <w:u w:val="single"/>
          <w:rtl/>
        </w:rPr>
        <w:t>רקע ועובדות כתב האישום</w:t>
      </w:r>
    </w:p>
    <w:p w14:paraId="5CF758CB" w14:textId="77777777" w:rsidR="00105B89" w:rsidRDefault="00105B89" w:rsidP="00105B89">
      <w:pPr>
        <w:pStyle w:val="a9"/>
        <w:numPr>
          <w:ilvl w:val="0"/>
          <w:numId w:val="1"/>
        </w:numPr>
        <w:spacing w:line="360" w:lineRule="auto"/>
        <w:jc w:val="both"/>
        <w:rPr>
          <w:rFonts w:ascii="David" w:hAnsi="David"/>
        </w:rPr>
      </w:pPr>
      <w:bookmarkStart w:id="6" w:name="ABSTRACT_START"/>
      <w:bookmarkEnd w:id="6"/>
      <w:r>
        <w:rPr>
          <w:rFonts w:ascii="Arial" w:hAnsi="Arial" w:hint="cs"/>
          <w:rtl/>
        </w:rPr>
        <w:t xml:space="preserve">הנאשם הורשע לאחר שמיעת ראיות, בעבירת גידול סם מסוכן, </w:t>
      </w:r>
      <w:r>
        <w:rPr>
          <w:rFonts w:ascii="David" w:hAnsi="David"/>
          <w:rtl/>
        </w:rPr>
        <w:t xml:space="preserve">לפי </w:t>
      </w:r>
      <w:hyperlink r:id="rId14" w:history="1">
        <w:r w:rsidR="006604C9" w:rsidRPr="006604C9">
          <w:rPr>
            <w:rStyle w:val="Hyperlink"/>
            <w:rFonts w:ascii="David" w:hAnsi="David"/>
            <w:rtl/>
          </w:rPr>
          <w:t>סעיף 6</w:t>
        </w:r>
      </w:hyperlink>
      <w:r>
        <w:rPr>
          <w:rFonts w:ascii="David" w:hAnsi="David"/>
          <w:rtl/>
        </w:rPr>
        <w:t xml:space="preserve"> ל</w:t>
      </w:r>
      <w:hyperlink r:id="rId15" w:history="1">
        <w:r w:rsidR="00DD6ACF" w:rsidRPr="00DD6ACF">
          <w:rPr>
            <w:rFonts w:ascii="David" w:hAnsi="David"/>
            <w:color w:val="0000FF"/>
            <w:u w:val="single"/>
            <w:rtl/>
          </w:rPr>
          <w:t>פקודת הסמים המסוכנים</w:t>
        </w:r>
      </w:hyperlink>
      <w:r>
        <w:rPr>
          <w:rFonts w:ascii="David" w:hAnsi="David"/>
          <w:rtl/>
        </w:rPr>
        <w:t xml:space="preserve"> (נוסח חדש), תשל"ג – 1973 (להלן: "</w:t>
      </w:r>
      <w:r>
        <w:rPr>
          <w:rFonts w:ascii="David" w:hAnsi="David"/>
          <w:b/>
          <w:bCs/>
          <w:rtl/>
        </w:rPr>
        <w:t>פקודת הסמים המסוכנים</w:t>
      </w:r>
      <w:r>
        <w:rPr>
          <w:rFonts w:ascii="David" w:hAnsi="David"/>
          <w:rtl/>
        </w:rPr>
        <w:t xml:space="preserve">"). </w:t>
      </w:r>
    </w:p>
    <w:p w14:paraId="18164AED" w14:textId="77777777" w:rsidR="00105B89" w:rsidRPr="005850CB" w:rsidRDefault="00105B89" w:rsidP="00105B89">
      <w:pPr>
        <w:pStyle w:val="a9"/>
        <w:spacing w:line="360" w:lineRule="auto"/>
        <w:jc w:val="both"/>
        <w:rPr>
          <w:rFonts w:ascii="David" w:hAnsi="David"/>
          <w:rtl/>
        </w:rPr>
      </w:pPr>
    </w:p>
    <w:p w14:paraId="2A451E25" w14:textId="77777777" w:rsidR="00105B89" w:rsidRDefault="00105B89" w:rsidP="00105B89">
      <w:pPr>
        <w:pStyle w:val="a9"/>
        <w:spacing w:line="360" w:lineRule="auto"/>
        <w:jc w:val="both"/>
        <w:rPr>
          <w:rFonts w:ascii="David" w:hAnsi="David"/>
          <w:rtl/>
        </w:rPr>
      </w:pPr>
      <w:r>
        <w:rPr>
          <w:rFonts w:ascii="David" w:hAnsi="David"/>
          <w:rtl/>
        </w:rPr>
        <w:t xml:space="preserve">בהתאם לעובדות </w:t>
      </w:r>
      <w:r>
        <w:rPr>
          <w:rFonts w:ascii="David" w:hAnsi="David" w:hint="cs"/>
          <w:rtl/>
        </w:rPr>
        <w:t>בהן הורשע</w:t>
      </w:r>
      <w:r>
        <w:rPr>
          <w:rFonts w:ascii="David" w:hAnsi="David"/>
          <w:rtl/>
        </w:rPr>
        <w:t>, ביום 23.2.20 גידל הנאשם ברחוב פיארברג 36 תל אביב (להלן:</w:t>
      </w:r>
      <w:r>
        <w:rPr>
          <w:rFonts w:ascii="David" w:hAnsi="David"/>
        </w:rPr>
        <w:t xml:space="preserve"> </w:t>
      </w:r>
      <w:r>
        <w:rPr>
          <w:rFonts w:ascii="David" w:hAnsi="David"/>
          <w:rtl/>
        </w:rPr>
        <w:t>"</w:t>
      </w:r>
      <w:r>
        <w:rPr>
          <w:rFonts w:ascii="David" w:hAnsi="David"/>
          <w:b/>
          <w:bCs/>
          <w:rtl/>
        </w:rPr>
        <w:t>הדירה</w:t>
      </w:r>
      <w:r>
        <w:rPr>
          <w:rFonts w:ascii="David" w:hAnsi="David"/>
          <w:rtl/>
        </w:rPr>
        <w:t xml:space="preserve">") סם מסוכן מסוג </w:t>
      </w:r>
      <w:r>
        <w:rPr>
          <w:rFonts w:ascii="David" w:hAnsi="David" w:hint="cs"/>
          <w:rtl/>
        </w:rPr>
        <w:t>קנבוס</w:t>
      </w:r>
      <w:r>
        <w:rPr>
          <w:rFonts w:ascii="David" w:hAnsi="David"/>
          <w:rtl/>
        </w:rPr>
        <w:t xml:space="preserve"> במשקל כולל של 4.27 ק"ג נטו. לשם גידול הסם המסוכן השתמש הנאשם בכלים, חומרים וציוד כדלקמן:  8 שנאי חשמל, 2 מפוחי אוויר, 6 מנורות חימום, רשת לייבוש הסמים, שקית דישון, 2 בקבוקי דישון, משקל דיגיטלי.</w:t>
      </w:r>
    </w:p>
    <w:p w14:paraId="38A24630" w14:textId="77777777" w:rsidR="00105B89" w:rsidRDefault="00105B89" w:rsidP="00105B89">
      <w:pPr>
        <w:spacing w:line="360" w:lineRule="auto"/>
        <w:jc w:val="both"/>
        <w:rPr>
          <w:rFonts w:ascii="David" w:hAnsi="David"/>
          <w:rtl/>
        </w:rPr>
      </w:pPr>
      <w:bookmarkStart w:id="7" w:name="ABSTRACT_END"/>
      <w:bookmarkEnd w:id="7"/>
    </w:p>
    <w:p w14:paraId="446B639F" w14:textId="77777777" w:rsidR="00105B89" w:rsidRDefault="00105B89" w:rsidP="00105B89">
      <w:pPr>
        <w:pStyle w:val="a9"/>
        <w:numPr>
          <w:ilvl w:val="0"/>
          <w:numId w:val="1"/>
        </w:numPr>
        <w:spacing w:line="360" w:lineRule="auto"/>
        <w:jc w:val="both"/>
        <w:rPr>
          <w:rFonts w:ascii="David" w:hAnsi="David"/>
        </w:rPr>
      </w:pPr>
      <w:r>
        <w:rPr>
          <w:rFonts w:ascii="David" w:hAnsi="David" w:hint="cs"/>
          <w:rtl/>
        </w:rPr>
        <w:t xml:space="preserve">במהלך שמיעת הראיות הועלו טיעוני הגנה לגבי חוקיות החיפוש וכן ביחס לאלימות שהופעלה על ידי השוטרים כלפי הנאשם. בהכרעת הדין נקבע כי אכן נפלו פגמים בעריכת החיפוש וכן כי הופעל כח כלפי הנאשם שלא לצורך, התנהלות אשר פגעה בתחושת הצדק וההגינות, אולם לא עד כדי צורך בביטול כתב האישום. בנוסף, צוין בהכרעת הדין כי טענת ב"כ הנאשם בדבר גידול הסם לשם צריכה עצמית תבחן בשלב גזר הדין. </w:t>
      </w:r>
    </w:p>
    <w:p w14:paraId="66D9AFD7" w14:textId="77777777" w:rsidR="00105B89" w:rsidRPr="000711AC" w:rsidRDefault="00105B89" w:rsidP="00105B89">
      <w:pPr>
        <w:spacing w:line="360" w:lineRule="auto"/>
        <w:ind w:left="360"/>
        <w:jc w:val="both"/>
        <w:rPr>
          <w:rFonts w:ascii="David" w:hAnsi="David"/>
          <w:rtl/>
        </w:rPr>
      </w:pPr>
    </w:p>
    <w:p w14:paraId="483BA638" w14:textId="77777777" w:rsidR="00105B89" w:rsidRDefault="00105B89" w:rsidP="00105B89">
      <w:pPr>
        <w:pStyle w:val="a9"/>
        <w:numPr>
          <w:ilvl w:val="0"/>
          <w:numId w:val="1"/>
        </w:numPr>
        <w:spacing w:line="360" w:lineRule="auto"/>
        <w:jc w:val="both"/>
        <w:rPr>
          <w:rFonts w:ascii="David" w:hAnsi="David"/>
        </w:rPr>
      </w:pPr>
      <w:r>
        <w:rPr>
          <w:rFonts w:ascii="David" w:hAnsi="David" w:hint="cs"/>
          <w:rtl/>
        </w:rPr>
        <w:lastRenderedPageBreak/>
        <w:t xml:space="preserve">בטרם נשמעו טיעונים לעונש, העיד כעד מטעם הנאשם מר מודי בר און, שפירט את היכרותו עם הנאשם אשר טיפל בו במשך שנים בבעיות גב מהן סבל. מר בר און העיד לגבי תכונותיו  של הנאשם כאדם רגיש, יתכן אף רגיש מידי, אדם הסובל מבעיות שונות ונמצא בשלב זה על פרשת דרכים. </w:t>
      </w:r>
    </w:p>
    <w:p w14:paraId="33648763" w14:textId="77777777" w:rsidR="00105B89" w:rsidRDefault="00105B89" w:rsidP="00105B89">
      <w:pPr>
        <w:spacing w:line="360" w:lineRule="auto"/>
        <w:ind w:left="720"/>
        <w:jc w:val="both"/>
        <w:rPr>
          <w:rFonts w:ascii="David" w:hAnsi="David"/>
          <w:rtl/>
        </w:rPr>
      </w:pPr>
      <w:r>
        <w:rPr>
          <w:rFonts w:ascii="David" w:hAnsi="David" w:hint="cs"/>
          <w:rtl/>
        </w:rPr>
        <w:t xml:space="preserve">בנוסף, במסגרת הראיות לעונש, הוגשו תעודת הדרכת כושר ממכון וינגייט ותעודות רפואיות לגבי מצבו של הנאשם. </w:t>
      </w:r>
    </w:p>
    <w:p w14:paraId="32AAC106" w14:textId="77777777" w:rsidR="00105B89" w:rsidRDefault="00105B89" w:rsidP="00105B89">
      <w:pPr>
        <w:spacing w:line="360" w:lineRule="auto"/>
        <w:jc w:val="both"/>
        <w:rPr>
          <w:rFonts w:ascii="David" w:hAnsi="David"/>
          <w:rtl/>
        </w:rPr>
      </w:pPr>
    </w:p>
    <w:p w14:paraId="5BBBD7C6" w14:textId="77777777" w:rsidR="00105B89" w:rsidRPr="00E359D3" w:rsidRDefault="00105B89" w:rsidP="00105B89">
      <w:pPr>
        <w:spacing w:line="360" w:lineRule="auto"/>
        <w:jc w:val="both"/>
        <w:rPr>
          <w:rFonts w:ascii="David" w:hAnsi="David"/>
          <w:b/>
          <w:bCs/>
          <w:u w:val="single"/>
        </w:rPr>
      </w:pPr>
      <w:r w:rsidRPr="00E359D3">
        <w:rPr>
          <w:rFonts w:ascii="David" w:hAnsi="David" w:hint="cs"/>
          <w:b/>
          <w:bCs/>
          <w:u w:val="single"/>
          <w:rtl/>
        </w:rPr>
        <w:t>תמצית טיעוני הצדדים</w:t>
      </w:r>
    </w:p>
    <w:p w14:paraId="5051A38A" w14:textId="77777777" w:rsidR="00105B89" w:rsidRDefault="00105B89" w:rsidP="00105B89">
      <w:pPr>
        <w:pStyle w:val="a9"/>
        <w:numPr>
          <w:ilvl w:val="0"/>
          <w:numId w:val="1"/>
        </w:numPr>
        <w:spacing w:line="360" w:lineRule="auto"/>
        <w:jc w:val="both"/>
        <w:rPr>
          <w:rFonts w:ascii="Arial" w:hAnsi="Arial"/>
        </w:rPr>
      </w:pPr>
      <w:r>
        <w:rPr>
          <w:rFonts w:ascii="Arial" w:hAnsi="Arial" w:hint="cs"/>
          <w:rtl/>
        </w:rPr>
        <w:t>ב"כ המאשימה הפנתה לתכנון המוקדם הנדרש לשם ביצוע העבירה, כמות השתילים והסם שנתפסו, וכן לעובדה שמהודאת הנאשם עלה כי גידל זני סם שונים. לטענתה, נתונים אלה עומדים בסתירה לטענת הנאשם כי גידל את הסם לשם צריכתו העצמית. לגבי טענת הנאשם כי פעל בשל צורך ממשי, טענה ב"כ המאשימה כי ניתן ללמוד שלא היה חייב לבצע את העבירה, זאת מהעובדה שקיבל רישיון לשימוש בסם כחצי שנה לאחר מעצרו. בהתחשב במידת הפגיעה בערכים המוגנים וכן בפסיקה הנוהגת, עתרה לקביעת מתחם ענישה הנע בין 6 חודשי מאסר בעבודות שרות ועד ל-18 חודשי מאסר. לגבי הכרעת בית המשפט ביחס להתנהלות בעייתית מצד השוטרים, טענה ב"כ המאשימה כי יש להתחשב בכך במסגרת מיקום הנאשם בתוך מתחם הענישה. לפיכך, בנסיבותיו של הנאשם, עתרה למקמו ברף הנמוך של מתחם הענישה. בנוסף, טענה ב"כ המאשימה כי יש להכריז על הנאשם כ"סוחר סמים" ולחלט את הרכוש המפורט בכתב האישום, מכיוון שהנאשם הודה שהפיק או אמור היה להפיק רווח עצמי בכך שלא נאלץ להוציא כסף לשם רכישת סם. לשם ביסוס טיעון זה הפנתה לחוסר הלימה, כך לטענתה, בין ההכנסות אותן פירט הנאשם לבין אורח חייו כפי שנלמד מתלוש ארנונה שהגיש. ב"כ המאשימה הגישה פסיקה לתמיכה בטיעוניה.</w:t>
      </w:r>
    </w:p>
    <w:p w14:paraId="66FBD273" w14:textId="77777777" w:rsidR="00105B89" w:rsidRDefault="00105B89" w:rsidP="00105B89">
      <w:pPr>
        <w:pStyle w:val="a9"/>
        <w:spacing w:line="360" w:lineRule="auto"/>
        <w:jc w:val="both"/>
        <w:rPr>
          <w:rFonts w:ascii="Arial" w:hAnsi="Arial"/>
        </w:rPr>
      </w:pPr>
      <w:r>
        <w:rPr>
          <w:rFonts w:ascii="Arial" w:hAnsi="Arial" w:hint="cs"/>
          <w:rtl/>
        </w:rPr>
        <w:t xml:space="preserve"> </w:t>
      </w:r>
    </w:p>
    <w:p w14:paraId="65C58681" w14:textId="77777777" w:rsidR="00105B89" w:rsidRDefault="00105B89" w:rsidP="00105B89">
      <w:pPr>
        <w:pStyle w:val="a9"/>
        <w:numPr>
          <w:ilvl w:val="0"/>
          <w:numId w:val="1"/>
        </w:numPr>
        <w:spacing w:line="360" w:lineRule="auto"/>
        <w:jc w:val="both"/>
        <w:rPr>
          <w:rFonts w:ascii="Arial" w:hAnsi="Arial"/>
        </w:rPr>
      </w:pPr>
      <w:r>
        <w:rPr>
          <w:rFonts w:ascii="Arial" w:hAnsi="Arial" w:hint="cs"/>
          <w:rtl/>
        </w:rPr>
        <w:t xml:space="preserve">ב"כ הנאשם טען כי המאשימה לא פירטה בעובדות כתב האישום את כמות הצמחים שנתפסה, אשר אף לא נכתבה בדוחות הפעולה. לטענתו, ניתן להתרשם מהצילומים כי מדובר לכל היותר בכעשרים עציצים. לגבי כמות הסם שנתפסה, היפנה לכך שהכמות שנתפסה בעציצים היא כ- 3.8 ק"ג, אשר בהתאם לחוות דעתו של עד ההגנה מר הילמן, מדובר בהפקה של כ-310 גרם סם בלבד. לטענתו, מחזור הגידול של 4-6 חודשים מתיישב עם טענת הנאשם לגבי כמות הסם לה הוא זקוק מידי חודש בשים לב לכך שכיום מקבל 60 גרם סם קנבוס לחודש ברישיון. ב"כ הנאשם היפנה להכנסותיו, לכך שהתגורר בדירה השייכת להוריו, וטען כי אין כל ראיה כי גידל סם לשם סחר או הפצה. לפיכך, עתר לקבוע כי מטרת הגידול היתה לצריכה עצמית, בנסיבות בהן מתחם הענישה נמוך מהמתחם לו טענה ב"כ המאשימה. לגבי התנהלות השוטרים, טען כי יש מקום לשקול זאת במסגרת טענת הגנה מן הצדק ולחרוג ממתחם הענישה. ב"כ הנאשם הדגיש את אישיותו המורכבת של הנאשם, אשר ניזוק מהמפגש עם השוטרים באופן משמעותי לאין שיעור ממפגש דומה ביחס לאדם אחר, סבל מטראומה קשה בעקבות שמונה ימי מעצר, וכיום שב להתגורר </w:t>
      </w:r>
      <w:r>
        <w:rPr>
          <w:rFonts w:ascii="Arial" w:hAnsi="Arial" w:hint="cs"/>
          <w:rtl/>
        </w:rPr>
        <w:lastRenderedPageBreak/>
        <w:t>בבית הוריו ואינו יוצא מפתח הבית. בנסיבות כוללות אלה, עתר להסתפק בימי מעצרו של הנאשם ובענישה נלווית. ביחס לטענת החילוט, טען כי יש לדחות את טיעון המאשימה.</w:t>
      </w:r>
    </w:p>
    <w:p w14:paraId="65C5DEF3" w14:textId="77777777" w:rsidR="00105B89" w:rsidRDefault="00105B89" w:rsidP="00105B89">
      <w:pPr>
        <w:pStyle w:val="a9"/>
        <w:spacing w:line="360" w:lineRule="auto"/>
        <w:jc w:val="both"/>
        <w:rPr>
          <w:rFonts w:ascii="Arial" w:hAnsi="Arial"/>
        </w:rPr>
      </w:pPr>
      <w:r>
        <w:rPr>
          <w:rFonts w:ascii="Arial" w:hAnsi="Arial" w:hint="cs"/>
          <w:rtl/>
        </w:rPr>
        <w:t xml:space="preserve"> </w:t>
      </w:r>
    </w:p>
    <w:p w14:paraId="7306F32E" w14:textId="77777777" w:rsidR="00105B89" w:rsidRDefault="00105B89" w:rsidP="00105B89">
      <w:pPr>
        <w:pStyle w:val="a9"/>
        <w:numPr>
          <w:ilvl w:val="0"/>
          <w:numId w:val="1"/>
        </w:numPr>
        <w:spacing w:line="360" w:lineRule="auto"/>
        <w:jc w:val="both"/>
        <w:rPr>
          <w:rFonts w:ascii="Arial" w:hAnsi="Arial"/>
        </w:rPr>
      </w:pPr>
      <w:r>
        <w:rPr>
          <w:rFonts w:ascii="Arial" w:hAnsi="Arial" w:hint="cs"/>
          <w:rtl/>
        </w:rPr>
        <w:t>הנאשם בעצמו טען כי יש צורך בשיח סמים שלם על מנת להפיק את מנת הסם הקטנה אותה הוא רוכש כיום. בנוסף, פירט כי במשך מספר שנים לא עלה בידו לקבל רשיון לשימוש בסם על אף פנייתו לגורמי מקצוע שונים. לטענתו, לאחר המקרה עבר התמוטטות עצבים, סובל עד היום מפוסט טראומה, עבר להתגורר בבית הוריו, בת זוגו עזבה אותו והוא אף הפסיק לאמן ולעבוד. לדבריו, הוא אינו מתפקד, מצבו הנפשי גרוע לרבות מחשבות אובדניות, ואינו נרדם בלילות. הנאשם הוסיף ופירט שוב את הכח שהופעל כנגדו על ידי השוטרים, והכאב ממנו הוא סובל עד היום.</w:t>
      </w:r>
    </w:p>
    <w:p w14:paraId="6CAC22EB" w14:textId="77777777" w:rsidR="00105B89" w:rsidRPr="00B53D93" w:rsidRDefault="00105B89" w:rsidP="00105B89">
      <w:pPr>
        <w:pStyle w:val="a9"/>
        <w:jc w:val="both"/>
        <w:rPr>
          <w:rFonts w:ascii="Arial" w:hAnsi="Arial"/>
          <w:rtl/>
        </w:rPr>
      </w:pPr>
    </w:p>
    <w:p w14:paraId="22C49147" w14:textId="77777777" w:rsidR="00105B89" w:rsidRDefault="00105B89" w:rsidP="00105B89">
      <w:pPr>
        <w:spacing w:line="360" w:lineRule="auto"/>
        <w:jc w:val="both"/>
        <w:rPr>
          <w:rFonts w:ascii="Arial" w:hAnsi="Arial"/>
          <w:rtl/>
        </w:rPr>
      </w:pPr>
      <w:r w:rsidRPr="00B53D93">
        <w:rPr>
          <w:rFonts w:ascii="Arial" w:hAnsi="Arial" w:hint="cs"/>
          <w:b/>
          <w:bCs/>
          <w:u w:val="single"/>
          <w:rtl/>
        </w:rPr>
        <w:t>דיון והכרעה</w:t>
      </w:r>
    </w:p>
    <w:p w14:paraId="6A0606AA" w14:textId="77777777" w:rsidR="00105B89" w:rsidRDefault="00105B89" w:rsidP="00105B89">
      <w:pPr>
        <w:pStyle w:val="a9"/>
        <w:numPr>
          <w:ilvl w:val="0"/>
          <w:numId w:val="1"/>
        </w:numPr>
        <w:spacing w:line="360" w:lineRule="auto"/>
        <w:jc w:val="both"/>
        <w:rPr>
          <w:rFonts w:ascii="Arial" w:hAnsi="Arial"/>
        </w:rPr>
      </w:pPr>
      <w:r>
        <w:rPr>
          <w:rFonts w:ascii="Arial" w:hAnsi="Arial" w:hint="cs"/>
          <w:rtl/>
        </w:rPr>
        <w:t>יש לבחון את הסוגיות השונות אשר עלו במסגרת טיעוני הצדדים, ולתת משקל מתאים למסקנות הנובעות מכל סוגיה וסוגיה: האם מדובר בגידול סם שנועד לצריכה עצמית; מהו מתחם הענישה שיש לקבוע בנסיבות המקרה;</w:t>
      </w:r>
      <w:r w:rsidRPr="00926C02">
        <w:rPr>
          <w:rFonts w:ascii="Arial" w:hAnsi="Arial" w:hint="cs"/>
          <w:rtl/>
        </w:rPr>
        <w:t xml:space="preserve"> </w:t>
      </w:r>
      <w:r>
        <w:rPr>
          <w:rFonts w:ascii="Arial" w:hAnsi="Arial" w:hint="cs"/>
          <w:rtl/>
        </w:rPr>
        <w:t>מהו המשקל שיש לתת לקיומה של הגנה מן הצדק, בהתאם לקביעות העולות מהכרעת הדין. בנוסף, יש לקבוע האם הוכחו היסודות הנדרשים לשם הכרזה על הנאשם כסוחר סמים.</w:t>
      </w:r>
    </w:p>
    <w:p w14:paraId="043A989B" w14:textId="77777777" w:rsidR="00105B89" w:rsidRDefault="00105B89" w:rsidP="00105B89">
      <w:pPr>
        <w:pStyle w:val="a9"/>
        <w:spacing w:line="360" w:lineRule="auto"/>
        <w:jc w:val="both"/>
        <w:rPr>
          <w:rFonts w:ascii="Arial" w:hAnsi="Arial"/>
        </w:rPr>
      </w:pPr>
    </w:p>
    <w:p w14:paraId="56FD148D" w14:textId="77777777" w:rsidR="00105B89" w:rsidRDefault="00105B89" w:rsidP="00105B89">
      <w:pPr>
        <w:pStyle w:val="a9"/>
        <w:spacing w:line="360" w:lineRule="auto"/>
        <w:jc w:val="both"/>
        <w:rPr>
          <w:rFonts w:ascii="Arial" w:hAnsi="Arial"/>
          <w:u w:val="single"/>
          <w:rtl/>
        </w:rPr>
      </w:pPr>
      <w:r>
        <w:rPr>
          <w:rFonts w:ascii="Arial" w:hAnsi="Arial" w:hint="cs"/>
          <w:u w:val="single"/>
          <w:rtl/>
        </w:rPr>
        <w:t xml:space="preserve">מטרת </w:t>
      </w:r>
      <w:r w:rsidRPr="00642358">
        <w:rPr>
          <w:rFonts w:ascii="Arial" w:hAnsi="Arial" w:hint="cs"/>
          <w:u w:val="single"/>
          <w:rtl/>
        </w:rPr>
        <w:t>גידול</w:t>
      </w:r>
      <w:r>
        <w:rPr>
          <w:rFonts w:ascii="Arial" w:hAnsi="Arial" w:hint="cs"/>
          <w:u w:val="single"/>
          <w:rtl/>
        </w:rPr>
        <w:t xml:space="preserve"> הסם</w:t>
      </w:r>
    </w:p>
    <w:p w14:paraId="460A3F70" w14:textId="77777777" w:rsidR="00105B89" w:rsidRPr="00DA6EEA" w:rsidRDefault="00105B89" w:rsidP="00105B89">
      <w:pPr>
        <w:pStyle w:val="a9"/>
        <w:numPr>
          <w:ilvl w:val="0"/>
          <w:numId w:val="1"/>
        </w:numPr>
        <w:spacing w:line="360" w:lineRule="auto"/>
        <w:jc w:val="both"/>
        <w:rPr>
          <w:rFonts w:ascii="Arial" w:hAnsi="Arial"/>
          <w:u w:val="single"/>
        </w:rPr>
      </w:pPr>
      <w:r>
        <w:rPr>
          <w:rFonts w:ascii="Arial" w:hAnsi="Arial" w:hint="cs"/>
          <w:rtl/>
        </w:rPr>
        <w:t xml:space="preserve">הצדדים חלוקים ביחס למטרת גידול הסם. ב"כ </w:t>
      </w:r>
      <w:r w:rsidRPr="005A0441">
        <w:rPr>
          <w:rFonts w:ascii="Arial" w:hAnsi="Arial" w:hint="cs"/>
          <w:rtl/>
        </w:rPr>
        <w:t>המאשימה</w:t>
      </w:r>
      <w:r>
        <w:rPr>
          <w:rFonts w:ascii="Arial" w:hAnsi="Arial" w:hint="cs"/>
          <w:rtl/>
        </w:rPr>
        <w:t xml:space="preserve"> הפנתה לפסיקה בה צוין שחזקה על המחזיק בכמויות נכבדות של סמים כי לא עשה כן רק לשימוש עצמי, וכן לפסיקה לפיה עצם הנפקת רישיון לשימוש בסם אינה מבססת טענה לגידול הסם לצריכה עצמית. עיון באותה פסיקה מעלה כי בית המשפט אכן ציין את קיומה של "חזקה" הקיימת בדבר החזקת כמות סמים משמעותית, אולם ככזו </w:t>
      </w:r>
      <w:r>
        <w:rPr>
          <w:rFonts w:ascii="Arial" w:hAnsi="Arial"/>
          <w:rtl/>
        </w:rPr>
        <w:t>–</w:t>
      </w:r>
      <w:r>
        <w:rPr>
          <w:rFonts w:ascii="Arial" w:hAnsi="Arial" w:hint="cs"/>
          <w:rtl/>
        </w:rPr>
        <w:t xml:space="preserve"> ניתנת היא לסתירה. לגבי סוגית הנפקת הרישיון לשימוש בסם, ציין בית המשפט העליון באופן מפורש כי הנאשם באותו מקרה לא ביקש להביא ראיות ביחס למטרת גידול הסם ואף לא העמיד את עצמו לחקירה נגדית בנושא. כך, נקבע שאין בהנפקת הרישיון לשימוש בסם, כשלעצמו, כדי לבסס טענת גידול לצריכה עצמית. </w:t>
      </w:r>
      <w:r w:rsidRPr="00DA6EEA">
        <w:rPr>
          <w:rFonts w:ascii="Arial" w:hAnsi="Arial" w:hint="cs"/>
          <w:rtl/>
        </w:rPr>
        <w:t>אין זה המצב במקרה הנדון</w:t>
      </w:r>
      <w:r>
        <w:rPr>
          <w:rFonts w:ascii="Arial" w:hAnsi="Arial" w:hint="cs"/>
          <w:rtl/>
        </w:rPr>
        <w:t xml:space="preserve"> בו נשמעו באריכות ראיות ביחס לסוגית מטרת גידול הסם, הנאשם העיד בנושא ונחקר עליו על ידי ב"כ המאשימה. </w:t>
      </w:r>
    </w:p>
    <w:p w14:paraId="123079D7" w14:textId="77777777" w:rsidR="00105B89" w:rsidRDefault="00105B89" w:rsidP="00105B89">
      <w:pPr>
        <w:pStyle w:val="a9"/>
        <w:spacing w:line="360" w:lineRule="auto"/>
        <w:jc w:val="both"/>
        <w:rPr>
          <w:rFonts w:ascii="Arial" w:hAnsi="Arial"/>
          <w:rtl/>
        </w:rPr>
      </w:pPr>
      <w:r>
        <w:rPr>
          <w:rFonts w:ascii="Arial" w:hAnsi="Arial" w:hint="cs"/>
          <w:rtl/>
        </w:rPr>
        <w:t>בפתח הדברים, אפנה לכך שהמחוקק לא הפריד בין גידול לצריכה עצמית או שלא לצריכה עצמית, זאת בשונה מעבירת החזקת סם מסוכן לגביה נקבעו עונשים מירביים נפרדים ושונים בתכלית בהתאם למטרת ההחזקה. יש לראות בקביעת המחוקק כי העונש המירבי בגין גידול סם מסוכן יעמוד על 20 שנות מאסר, משום אמירה ערכית. לצד זאת, המקום  לבחינת מטרת גידול הסם על ידי הנאשם, הוא במסגרת המשקל שיש לתת לנסיבות ביצוע העבירה בעת קביעת מתחם הענישה (</w:t>
      </w:r>
      <w:hyperlink r:id="rId16" w:history="1">
        <w:r w:rsidR="006604C9" w:rsidRPr="006604C9">
          <w:rPr>
            <w:rStyle w:val="Hyperlink"/>
            <w:rFonts w:ascii="Arial" w:hAnsi="Arial" w:hint="eastAsia"/>
            <w:rtl/>
          </w:rPr>
          <w:t>סעיף</w:t>
        </w:r>
        <w:r w:rsidR="006604C9" w:rsidRPr="006604C9">
          <w:rPr>
            <w:rStyle w:val="Hyperlink"/>
            <w:rFonts w:ascii="Arial" w:hAnsi="Arial"/>
            <w:rtl/>
          </w:rPr>
          <w:t xml:space="preserve"> 40ט(א)</w:t>
        </w:r>
      </w:hyperlink>
      <w:r>
        <w:rPr>
          <w:rFonts w:ascii="Arial" w:hAnsi="Arial" w:hint="cs"/>
          <w:rtl/>
        </w:rPr>
        <w:t xml:space="preserve"> ל</w:t>
      </w:r>
      <w:hyperlink r:id="rId17" w:history="1">
        <w:r w:rsidR="00DD6ACF" w:rsidRPr="00DD6ACF">
          <w:rPr>
            <w:rFonts w:ascii="Arial" w:hAnsi="Arial"/>
            <w:color w:val="0000FF"/>
            <w:u w:val="single"/>
            <w:rtl/>
          </w:rPr>
          <w:t>חוק העונשין</w:t>
        </w:r>
      </w:hyperlink>
      <w:r>
        <w:rPr>
          <w:rFonts w:ascii="Arial" w:hAnsi="Arial" w:hint="cs"/>
          <w:rtl/>
        </w:rPr>
        <w:t xml:space="preserve">, תשל"ז - 1977). </w:t>
      </w:r>
    </w:p>
    <w:p w14:paraId="68BEF1E3" w14:textId="77777777" w:rsidR="00105B89" w:rsidRDefault="00105B89" w:rsidP="00105B89">
      <w:pPr>
        <w:pStyle w:val="a9"/>
        <w:spacing w:line="360" w:lineRule="auto"/>
        <w:jc w:val="both"/>
        <w:rPr>
          <w:rFonts w:ascii="Arial" w:hAnsi="Arial"/>
          <w:rtl/>
        </w:rPr>
      </w:pPr>
      <w:r>
        <w:rPr>
          <w:rFonts w:ascii="Arial" w:hAnsi="Arial" w:hint="cs"/>
          <w:rtl/>
        </w:rPr>
        <w:t xml:space="preserve">במהלך הדיונים הממושכים, התרשמתי באופן בלתי אמצעי ממצבו הנפשי של הנאשם, אשר סבל מהתפרצויות רבות, נזקק לצאת מהאולם על מנת להירגע ועוד. התרשמות זו עולה בקנה אחד עם הרקע המפורט בתעודות רפואיות (טנ/2, טנ/3, נ/4), המעידות על מצבו הנפשי הקשה של הנאשם ועל כאבים כרוניים מהם הוא סובל במשך שנים. מהראיות שהוצגו בפני עולה כי הנאשם סובל מזה </w:t>
      </w:r>
      <w:r w:rsidRPr="004349C3">
        <w:rPr>
          <w:rFonts w:ascii="Arial" w:hAnsi="Arial" w:hint="cs"/>
          <w:rtl/>
        </w:rPr>
        <w:t>שנים רבות</w:t>
      </w:r>
      <w:r>
        <w:rPr>
          <w:rFonts w:ascii="Arial" w:hAnsi="Arial" w:hint="cs"/>
          <w:rtl/>
        </w:rPr>
        <w:t xml:space="preserve"> ממצב דכאוני ומהפרעת אישיות דכאונית, בהם טופל תרופתית ואף "</w:t>
      </w:r>
      <w:r w:rsidRPr="00F71804">
        <w:rPr>
          <w:rFonts w:ascii="Arial" w:hAnsi="Arial" w:hint="cs"/>
          <w:b/>
          <w:bCs/>
          <w:rtl/>
        </w:rPr>
        <w:t>נטל קנאביס להרגעה נפשית</w:t>
      </w:r>
      <w:r>
        <w:rPr>
          <w:rFonts w:ascii="Arial" w:hAnsi="Arial" w:hint="cs"/>
          <w:rtl/>
        </w:rPr>
        <w:t xml:space="preserve">" (הפסיכיאטר ד"ר אילן קוץ, נ/4, המתייחס לשנת 2016). באופן דומה, אף הפסיכיאטרית ד"ר רימה שבכר ציינה כי הנאשם סובל מתופעות כגון דיכאון, התקפי חרדה, חוסר תפקוד ועוד, אשר החמירו בשל אירוע תקיפה שעבר כשלוש שנים וחצי </w:t>
      </w:r>
      <w:r w:rsidRPr="0061350F">
        <w:rPr>
          <w:rFonts w:ascii="Arial" w:hAnsi="Arial" w:hint="cs"/>
          <w:u w:val="single"/>
          <w:rtl/>
        </w:rPr>
        <w:t>בטרם ביצוע העבירה</w:t>
      </w:r>
      <w:r>
        <w:rPr>
          <w:rFonts w:ascii="Arial" w:hAnsi="Arial" w:hint="cs"/>
          <w:rtl/>
        </w:rPr>
        <w:t xml:space="preserve">, והוסיפה כי הנאשם טופל באופיאטים (טנ/2, טנ/3. ראו פירוט שימוש בתרופות מרגיעות, שנים בטרם ביצוע העבירה </w:t>
      </w:r>
      <w:r>
        <w:rPr>
          <w:rFonts w:ascii="Arial" w:hAnsi="Arial"/>
          <w:rtl/>
        </w:rPr>
        <w:t>–</w:t>
      </w:r>
      <w:r>
        <w:rPr>
          <w:rFonts w:ascii="Arial" w:hAnsi="Arial" w:hint="cs"/>
          <w:rtl/>
        </w:rPr>
        <w:t xml:space="preserve"> נ/4). הצורך בשימוש בתרופות מסוג קשה זה, כמו גם האמור בתעודה שערך ד"ר קוץ, מחזקים ומבססים את עדותו האותנטית של הנאשם כי השתמש בקנבוס במשך שנים על מנת להביא מזור לסבלו הנפשי והפיזי. בנוסף, בהתבסס על התעודות הרפואיות ועל התרשמותי מהנאשם, אני מקבל אף את תחושתו כי "</w:t>
      </w:r>
      <w:r>
        <w:rPr>
          <w:rFonts w:ascii="Arial" w:hAnsi="Arial" w:hint="cs"/>
          <w:b/>
          <w:bCs/>
          <w:rtl/>
        </w:rPr>
        <w:t>בלי הגראס לא הייתי בחיים עכשיו</w:t>
      </w:r>
      <w:r>
        <w:rPr>
          <w:rFonts w:ascii="Arial" w:hAnsi="Arial" w:hint="cs"/>
          <w:rtl/>
        </w:rPr>
        <w:t>" (עמ' 51 ש- 5 לפרוט'), אמירה כנה וכואבת שנאמרה מדם לבו.</w:t>
      </w:r>
    </w:p>
    <w:p w14:paraId="005287EE" w14:textId="77777777" w:rsidR="00105B89" w:rsidRDefault="00105B89" w:rsidP="00105B89">
      <w:pPr>
        <w:pStyle w:val="a9"/>
        <w:spacing w:line="360" w:lineRule="auto"/>
        <w:jc w:val="both"/>
        <w:rPr>
          <w:rFonts w:ascii="Arial" w:hAnsi="Arial"/>
          <w:rtl/>
        </w:rPr>
      </w:pPr>
      <w:r>
        <w:rPr>
          <w:rFonts w:ascii="Arial" w:hAnsi="Arial" w:hint="cs"/>
          <w:rtl/>
        </w:rPr>
        <w:t>נסיבות אלה הן המסד אליו יש לצרף, כראיה מחזקת, את העובדה שהנאשם קיבל רישיון לשימוש בקנבוס רפואי (נ/3), כארבעה חודשים לאחר מעצרו.</w:t>
      </w:r>
    </w:p>
    <w:p w14:paraId="79356F9A" w14:textId="77777777" w:rsidR="00105B89" w:rsidRDefault="00105B89" w:rsidP="00105B89">
      <w:pPr>
        <w:pStyle w:val="a9"/>
        <w:spacing w:line="360" w:lineRule="auto"/>
        <w:jc w:val="both"/>
        <w:rPr>
          <w:rFonts w:ascii="Arial" w:hAnsi="Arial"/>
          <w:rtl/>
        </w:rPr>
      </w:pPr>
      <w:r>
        <w:rPr>
          <w:rFonts w:ascii="Arial" w:hAnsi="Arial" w:hint="cs"/>
          <w:rtl/>
        </w:rPr>
        <w:t xml:space="preserve">  </w:t>
      </w:r>
    </w:p>
    <w:p w14:paraId="1207655B" w14:textId="77777777" w:rsidR="00105B89" w:rsidRDefault="006604C9" w:rsidP="00105B89">
      <w:pPr>
        <w:pStyle w:val="a9"/>
        <w:numPr>
          <w:ilvl w:val="0"/>
          <w:numId w:val="1"/>
        </w:numPr>
        <w:spacing w:line="360" w:lineRule="auto"/>
        <w:jc w:val="both"/>
        <w:rPr>
          <w:rFonts w:ascii="Arial" w:hAnsi="Arial"/>
        </w:rPr>
      </w:pPr>
      <w:hyperlink r:id="rId18" w:history="1">
        <w:r w:rsidRPr="006604C9">
          <w:rPr>
            <w:rStyle w:val="Hyperlink"/>
            <w:rFonts w:ascii="Arial" w:hAnsi="Arial" w:hint="eastAsia"/>
            <w:rtl/>
          </w:rPr>
          <w:t>סעיף</w:t>
        </w:r>
        <w:r w:rsidRPr="006604C9">
          <w:rPr>
            <w:rStyle w:val="Hyperlink"/>
            <w:rFonts w:ascii="Arial" w:hAnsi="Arial"/>
            <w:rtl/>
          </w:rPr>
          <w:t xml:space="preserve"> 1</w:t>
        </w:r>
      </w:hyperlink>
      <w:r w:rsidR="00105B89" w:rsidRPr="00017662">
        <w:rPr>
          <w:rFonts w:ascii="Arial" w:hAnsi="Arial" w:hint="cs"/>
          <w:rtl/>
        </w:rPr>
        <w:t xml:space="preserve"> ל</w:t>
      </w:r>
      <w:hyperlink r:id="rId19" w:history="1">
        <w:r w:rsidR="00DD6ACF" w:rsidRPr="00DD6ACF">
          <w:rPr>
            <w:rFonts w:ascii="Arial" w:hAnsi="Arial"/>
            <w:color w:val="0000FF"/>
            <w:u w:val="single"/>
            <w:rtl/>
          </w:rPr>
          <w:t>פקודת הסמים המסוכנים</w:t>
        </w:r>
      </w:hyperlink>
      <w:r w:rsidR="00105B89" w:rsidRPr="00017662">
        <w:rPr>
          <w:rFonts w:ascii="Arial" w:hAnsi="Arial" w:hint="cs"/>
          <w:rtl/>
        </w:rPr>
        <w:t xml:space="preserve"> </w:t>
      </w:r>
      <w:r w:rsidR="00105B89">
        <w:rPr>
          <w:rFonts w:ascii="Arial" w:hAnsi="Arial" w:hint="cs"/>
          <w:rtl/>
        </w:rPr>
        <w:t xml:space="preserve">מגדיר את המונח "סם מסוכן" כדקלמן: </w:t>
      </w:r>
    </w:p>
    <w:p w14:paraId="40C8000B" w14:textId="77777777" w:rsidR="00105B89" w:rsidRDefault="00105B89" w:rsidP="00105B89">
      <w:pPr>
        <w:pStyle w:val="a9"/>
        <w:ind w:left="1361" w:right="1134"/>
        <w:jc w:val="both"/>
        <w:rPr>
          <w:rFonts w:ascii="Arial" w:hAnsi="Arial"/>
          <w:b/>
          <w:bCs/>
          <w:rtl/>
        </w:rPr>
      </w:pPr>
      <w:r w:rsidRPr="007D2154">
        <w:rPr>
          <w:rFonts w:ascii="Arial" w:hAnsi="Arial" w:hint="cs"/>
          <w:b/>
          <w:bCs/>
          <w:rtl/>
        </w:rPr>
        <w:t xml:space="preserve">"סם מסוכן" </w:t>
      </w:r>
      <w:r w:rsidRPr="007D2154">
        <w:rPr>
          <w:rFonts w:ascii="Arial" w:hAnsi="Arial"/>
          <w:b/>
          <w:bCs/>
          <w:rtl/>
        </w:rPr>
        <w:t>–</w:t>
      </w:r>
      <w:r w:rsidRPr="007D2154">
        <w:rPr>
          <w:rFonts w:ascii="Arial" w:hAnsi="Arial" w:hint="cs"/>
          <w:b/>
          <w:bCs/>
          <w:rtl/>
        </w:rPr>
        <w:t xml:space="preserve"> חומר מן המפורטים בתוספת הראשונה לרבות כל מלח שלו, וכן כל תכשיר, תרכובת, תערובת או תמיסה של חומר כאמור ומלחיהם".</w:t>
      </w:r>
    </w:p>
    <w:p w14:paraId="53B67160" w14:textId="77777777" w:rsidR="00105B89" w:rsidRPr="007D2154" w:rsidRDefault="00105B89" w:rsidP="00105B89">
      <w:pPr>
        <w:pStyle w:val="a9"/>
        <w:ind w:left="1361" w:right="1134"/>
        <w:jc w:val="both"/>
        <w:rPr>
          <w:rFonts w:ascii="Arial" w:hAnsi="Arial"/>
          <w:b/>
          <w:bCs/>
          <w:rtl/>
        </w:rPr>
      </w:pPr>
      <w:r w:rsidRPr="007D2154">
        <w:rPr>
          <w:rFonts w:ascii="Arial" w:hAnsi="Arial" w:hint="cs"/>
          <w:b/>
          <w:bCs/>
          <w:rtl/>
        </w:rPr>
        <w:t xml:space="preserve"> </w:t>
      </w:r>
    </w:p>
    <w:p w14:paraId="19283F60" w14:textId="77777777" w:rsidR="00105B89" w:rsidRDefault="006604C9" w:rsidP="00105B89">
      <w:pPr>
        <w:pStyle w:val="a9"/>
        <w:spacing w:line="360" w:lineRule="auto"/>
        <w:jc w:val="both"/>
        <w:rPr>
          <w:rFonts w:ascii="Arial" w:hAnsi="Arial"/>
          <w:rtl/>
        </w:rPr>
      </w:pPr>
      <w:hyperlink r:id="rId20" w:history="1">
        <w:r w:rsidRPr="006604C9">
          <w:rPr>
            <w:rStyle w:val="Hyperlink"/>
            <w:rFonts w:ascii="Arial" w:hAnsi="Arial" w:hint="eastAsia"/>
            <w:rtl/>
          </w:rPr>
          <w:t>התוספת</w:t>
        </w:r>
        <w:r w:rsidRPr="006604C9">
          <w:rPr>
            <w:rStyle w:val="Hyperlink"/>
            <w:rFonts w:ascii="Arial" w:hAnsi="Arial"/>
            <w:rtl/>
          </w:rPr>
          <w:t xml:space="preserve"> הראשונה</w:t>
        </w:r>
      </w:hyperlink>
      <w:r w:rsidR="00105B89">
        <w:rPr>
          <w:rFonts w:ascii="Arial" w:hAnsi="Arial" w:hint="cs"/>
          <w:rtl/>
        </w:rPr>
        <w:t xml:space="preserve"> לפקודת הסמים התייחסה לקנבוס באופן הבא: </w:t>
      </w:r>
    </w:p>
    <w:p w14:paraId="38141500" w14:textId="77777777" w:rsidR="00105B89" w:rsidRDefault="00105B89" w:rsidP="00105B89">
      <w:pPr>
        <w:pStyle w:val="a9"/>
        <w:ind w:left="1361" w:right="1134"/>
        <w:jc w:val="both"/>
        <w:rPr>
          <w:rFonts w:ascii="Arial" w:hAnsi="Arial"/>
          <w:b/>
          <w:bCs/>
          <w:rtl/>
        </w:rPr>
      </w:pPr>
      <w:r w:rsidRPr="007D2154">
        <w:rPr>
          <w:rFonts w:ascii="Arial" w:hAnsi="Arial" w:hint="cs"/>
          <w:b/>
          <w:bCs/>
          <w:rtl/>
        </w:rPr>
        <w:t xml:space="preserve">"קנבוס" </w:t>
      </w:r>
      <w:r w:rsidRPr="007D2154">
        <w:rPr>
          <w:rFonts w:ascii="Arial" w:hAnsi="Arial"/>
          <w:b/>
          <w:bCs/>
          <w:rtl/>
        </w:rPr>
        <w:t>–</w:t>
      </w:r>
      <w:r w:rsidRPr="007D2154">
        <w:rPr>
          <w:rFonts w:ascii="Arial" w:hAnsi="Arial" w:hint="cs"/>
          <w:b/>
          <w:bCs/>
          <w:rtl/>
        </w:rPr>
        <w:t xml:space="preserve"> כל צמח מהסוג קנבוס (</w:t>
      </w:r>
      <w:r w:rsidRPr="007D2154">
        <w:rPr>
          <w:rFonts w:ascii="Arial" w:hAnsi="Arial"/>
          <w:b/>
          <w:bCs/>
        </w:rPr>
        <w:t>Canabis</w:t>
      </w:r>
      <w:r w:rsidRPr="007D2154">
        <w:rPr>
          <w:rFonts w:ascii="Arial" w:hAnsi="Arial" w:hint="cs"/>
          <w:b/>
          <w:bCs/>
          <w:rtl/>
        </w:rPr>
        <w:t>) וכל חלק ממנו, לרבות שרשיו, אך למעט שמן המופק מזרעיו".</w:t>
      </w:r>
    </w:p>
    <w:p w14:paraId="757673A5" w14:textId="77777777" w:rsidR="00105B89" w:rsidRPr="007D2154" w:rsidRDefault="00105B89" w:rsidP="00105B89">
      <w:pPr>
        <w:pStyle w:val="a9"/>
        <w:ind w:left="1361" w:right="1134"/>
        <w:jc w:val="both"/>
        <w:rPr>
          <w:rFonts w:ascii="Arial" w:hAnsi="Arial"/>
          <w:b/>
          <w:bCs/>
          <w:rtl/>
        </w:rPr>
      </w:pPr>
      <w:r w:rsidRPr="007D2154">
        <w:rPr>
          <w:rFonts w:ascii="Arial" w:hAnsi="Arial" w:hint="cs"/>
          <w:b/>
          <w:bCs/>
          <w:rtl/>
        </w:rPr>
        <w:t xml:space="preserve"> </w:t>
      </w:r>
    </w:p>
    <w:p w14:paraId="5C3F6831" w14:textId="77777777" w:rsidR="00105B89" w:rsidRDefault="00105B89" w:rsidP="00105B89">
      <w:pPr>
        <w:pStyle w:val="a9"/>
        <w:spacing w:line="360" w:lineRule="auto"/>
        <w:jc w:val="both"/>
        <w:rPr>
          <w:rtl/>
        </w:rPr>
      </w:pPr>
      <w:r>
        <w:rPr>
          <w:rFonts w:ascii="Arial" w:hAnsi="Arial" w:hint="cs"/>
          <w:rtl/>
        </w:rPr>
        <w:t xml:space="preserve">כך, אכן יש להתייחס למשקל הכולל של הצמחים שנתפסו בעציצים, כ- 3.8 ק"ג, כסם מסוג קנבוס. יחד עם זאת, לשם בחינת שאלת נסיבות גידול הסם ומטרתו, יש לבחון את כמות הסם בה ניתן להשתמש לאחר הפקתו. הנאשם תיאר בעדותו את דרך ההפקה והתייחס לכך שרק הפרח של הצמח רלוונטי לשם צריכה לעומת כל הצמח על שורשיו. עדות מפורטת יותר ומקצועית, ניתנה על ידי מר חגי הילמן. מר הילמן סקר בחוות דעתו (נ/8) את נסיונו המקצועי כאחד ממייסדי ענף הקנבוס בישראל, אשר הקים את חברת הקנבוס הגדולה בארץ ועוסקת בין היתר בגידול, ייצור ושיווק מוצרי קנבוס רפואי במגוון תחומים. החברה חולשת על כ- 30% משוק הקנבוס הרפואי בישראל. מחוות דעתו ומעדותו בבית המשפט, עולה כי הכמות האפקטיבית של חומר ה- </w:t>
      </w:r>
      <w:r>
        <w:rPr>
          <w:rFonts w:ascii="Arial" w:hAnsi="Arial" w:hint="cs"/>
        </w:rPr>
        <w:t>THC</w:t>
      </w:r>
      <w:r>
        <w:rPr>
          <w:rFonts w:ascii="Arial" w:hAnsi="Arial" w:hint="cs"/>
          <w:rtl/>
        </w:rPr>
        <w:t xml:space="preserve"> נמצאת בתפרחת בלבד, ולפיכך שאר חלקי הצמח, בהם הכמות היא מזערית, אינם מאפשרים הפקה אפקטיבית של סם (נ/8, עמ' 75 ש- 1-5 לפרוט').</w:t>
      </w:r>
      <w:r>
        <w:rPr>
          <w:rFonts w:hint="cs"/>
          <w:rtl/>
        </w:rPr>
        <w:t xml:space="preserve"> בהתבסס על נסיונו הרב, קבע כי כמות התפרחת בה ניתן לעשות שימוש כסם, לאחר הליך הייבוש, עומדת על 7.6% מהמשקל הראשוני של כל הצמח (נ/8 סעיף 7). בהתאם לחישוב שערך במקרה זה, כמות הסם אותה ניתן היה להפיק לשם שימוש מתוך הכמות הכוללת שנתפסה, עומדת על כ- 309 גרם בלבד. בנוסף, הבהיר כי מחזור הגידול עומד על כ-4 חודשים (עמ' 74 ש- 3 לפרוט'), כך שיש להתייחס לכמות זו ככמות בה אמור היה הנאשם להשתמש במשך מספר חודשים. יש להוסיף כי כיום הנאשם אוחז ברישיון לשימוש ב-60 גרם קנבוס רפואי לחודש, וזאת תוך העלאת הכמות המאושרת מעת לעת. המאשימה לא הציגה בפני בית המשפט כל חוות דעת נגדית ואף לא טענה בפני מר הילמן, במהלך חקירתו הנגדית, כי מדובר בנתונים שגויים. </w:t>
      </w:r>
    </w:p>
    <w:p w14:paraId="078D0555" w14:textId="77777777" w:rsidR="00105B89" w:rsidRDefault="00105B89" w:rsidP="00105B89">
      <w:pPr>
        <w:pStyle w:val="a9"/>
        <w:spacing w:line="360" w:lineRule="auto"/>
        <w:jc w:val="both"/>
        <w:rPr>
          <w:rtl/>
        </w:rPr>
      </w:pPr>
      <w:r>
        <w:rPr>
          <w:rFonts w:hint="cs"/>
          <w:rtl/>
        </w:rPr>
        <w:t xml:space="preserve">איני רואה לנכון לקבוע מסמרות לגבי כמות הסם המדויקת בה יכול היה הנאשם להשתמש, מתוך כמות הסם שגידל, אולם עדותו של מר הילמן סיפקה בהחלט קנה מידה להערכה. </w:t>
      </w:r>
    </w:p>
    <w:p w14:paraId="48124613" w14:textId="77777777" w:rsidR="00105B89" w:rsidRDefault="00105B89" w:rsidP="00105B89">
      <w:pPr>
        <w:spacing w:line="360" w:lineRule="auto"/>
        <w:jc w:val="both"/>
        <w:rPr>
          <w:rFonts w:ascii="Arial" w:hAnsi="Arial"/>
          <w:rtl/>
        </w:rPr>
      </w:pPr>
    </w:p>
    <w:p w14:paraId="00172996" w14:textId="77777777" w:rsidR="00105B89" w:rsidRDefault="00105B89" w:rsidP="00105B89">
      <w:pPr>
        <w:pStyle w:val="a9"/>
        <w:numPr>
          <w:ilvl w:val="0"/>
          <w:numId w:val="1"/>
        </w:numPr>
        <w:spacing w:line="360" w:lineRule="auto"/>
        <w:jc w:val="both"/>
        <w:rPr>
          <w:rFonts w:ascii="Arial" w:hAnsi="Arial"/>
        </w:rPr>
      </w:pPr>
      <w:r>
        <w:rPr>
          <w:rFonts w:ascii="Arial" w:hAnsi="Arial" w:hint="cs"/>
          <w:rtl/>
        </w:rPr>
        <w:t>במהלך שמיעת הראיות לא הוצגה כל ראיה שיש בה כדי לקשור את הנאשם לתכנון או לנסיון לספק את הסם לאדם אחר, בין בתמורה ובין שלא בתמורה. אוסיף עוד לענין זה, כי מכשיר הטלפון של הנאשם נתפס במהלך החקירה, פעולה המביאה במקרים מסוימים  לחשיפת הספקת סם לאחרים, אך לא כך במקרה הנדון.</w:t>
      </w:r>
    </w:p>
    <w:p w14:paraId="13A31B70" w14:textId="77777777" w:rsidR="00105B89" w:rsidRDefault="00105B89" w:rsidP="00105B89">
      <w:pPr>
        <w:pStyle w:val="a9"/>
        <w:spacing w:line="360" w:lineRule="auto"/>
        <w:jc w:val="both"/>
        <w:rPr>
          <w:rFonts w:ascii="Arial" w:hAnsi="Arial"/>
          <w:rtl/>
        </w:rPr>
      </w:pPr>
      <w:r>
        <w:rPr>
          <w:rFonts w:ascii="Arial" w:hAnsi="Arial" w:hint="cs"/>
          <w:rtl/>
        </w:rPr>
        <w:t>שילוב כל הנתונים שפורטו לעיל, מצביע על נסיבותיו המיוחדות של המקרה אשר הביאו את הנאשם לגדל סם מסוג קנבוס לשם הקלה על כאביו הפיזיים הכרוניים ומתן מרגוע לנפשו הפצועה.</w:t>
      </w:r>
    </w:p>
    <w:p w14:paraId="73605726" w14:textId="77777777" w:rsidR="00105B89" w:rsidRDefault="00105B89" w:rsidP="00105B89">
      <w:pPr>
        <w:pStyle w:val="a9"/>
        <w:spacing w:line="360" w:lineRule="auto"/>
        <w:jc w:val="both"/>
        <w:rPr>
          <w:rFonts w:ascii="Arial" w:hAnsi="Arial"/>
          <w:rtl/>
        </w:rPr>
      </w:pPr>
    </w:p>
    <w:p w14:paraId="51FC54E4" w14:textId="77777777" w:rsidR="00105B89" w:rsidRDefault="00105B89" w:rsidP="00105B89">
      <w:pPr>
        <w:pStyle w:val="a9"/>
        <w:spacing w:line="360" w:lineRule="auto"/>
        <w:jc w:val="both"/>
        <w:rPr>
          <w:rFonts w:ascii="Arial" w:hAnsi="Arial"/>
          <w:rtl/>
        </w:rPr>
      </w:pPr>
      <w:r>
        <w:rPr>
          <w:rFonts w:ascii="Arial" w:hAnsi="Arial" w:hint="cs"/>
          <w:rtl/>
        </w:rPr>
        <w:t xml:space="preserve"> </w:t>
      </w:r>
    </w:p>
    <w:p w14:paraId="5851A1D8" w14:textId="77777777" w:rsidR="00105B89" w:rsidRDefault="00105B89" w:rsidP="00105B89">
      <w:pPr>
        <w:spacing w:line="360" w:lineRule="auto"/>
        <w:ind w:left="720"/>
        <w:jc w:val="both"/>
        <w:rPr>
          <w:rtl/>
        </w:rPr>
      </w:pPr>
      <w:r>
        <w:rPr>
          <w:rFonts w:hint="cs"/>
          <w:rtl/>
        </w:rPr>
        <w:t xml:space="preserve">כך ניתן לסכם את נסיבות גידול הסם, בדבריו של הנאשם בעצמו: </w:t>
      </w:r>
    </w:p>
    <w:p w14:paraId="4EBAAE57" w14:textId="77777777" w:rsidR="00105B89" w:rsidRDefault="00105B89" w:rsidP="00105B89">
      <w:pPr>
        <w:ind w:left="1361" w:right="1134"/>
        <w:jc w:val="both"/>
        <w:rPr>
          <w:rtl/>
        </w:rPr>
      </w:pPr>
      <w:r>
        <w:rPr>
          <w:rFonts w:hint="cs"/>
          <w:rtl/>
        </w:rPr>
        <w:t>"</w:t>
      </w:r>
      <w:r w:rsidRPr="00A50363">
        <w:rPr>
          <w:b/>
          <w:bCs/>
          <w:rtl/>
        </w:rPr>
        <w:t>אני הצלתי את עצמי. אם לא הייתי מציל את עצמי, הייתי עובר עבירה לאמא שלי</w:t>
      </w:r>
      <w:r w:rsidRPr="00A50363">
        <w:rPr>
          <w:rFonts w:hint="cs"/>
          <w:b/>
          <w:bCs/>
          <w:rtl/>
        </w:rPr>
        <w:t xml:space="preserve">. </w:t>
      </w:r>
      <w:r w:rsidRPr="00A50363">
        <w:rPr>
          <w:b/>
          <w:bCs/>
          <w:rtl/>
        </w:rPr>
        <w:t>אני אדם מוסרי, לא פגעתי באדם, לא חייב שקל לאף אחד, לא משקר. עישנתי גראס כדי להיות בריא</w:t>
      </w:r>
      <w:r>
        <w:rPr>
          <w:rFonts w:hint="cs"/>
          <w:rtl/>
        </w:rPr>
        <w:t xml:space="preserve">" </w:t>
      </w:r>
    </w:p>
    <w:p w14:paraId="6ABF1565" w14:textId="77777777" w:rsidR="00105B89" w:rsidRPr="00B05847" w:rsidRDefault="00105B89" w:rsidP="00105B89">
      <w:pPr>
        <w:ind w:left="1361" w:right="1134"/>
        <w:jc w:val="both"/>
        <w:rPr>
          <w:rFonts w:ascii="Arial" w:hAnsi="Arial"/>
          <w:rtl/>
        </w:rPr>
      </w:pPr>
      <w:r>
        <w:rPr>
          <w:rFonts w:hint="cs"/>
          <w:rtl/>
        </w:rPr>
        <w:t>(עמ' 63 ש- 26-30 לפרוט')</w:t>
      </w:r>
      <w:r>
        <w:rPr>
          <w:rtl/>
        </w:rPr>
        <w:t xml:space="preserve">. </w:t>
      </w:r>
    </w:p>
    <w:p w14:paraId="3FA4C312" w14:textId="77777777" w:rsidR="00105B89" w:rsidRPr="00E12283" w:rsidRDefault="00105B89" w:rsidP="00105B89">
      <w:pPr>
        <w:pStyle w:val="a9"/>
        <w:spacing w:line="360" w:lineRule="auto"/>
        <w:jc w:val="both"/>
        <w:rPr>
          <w:rFonts w:ascii="Arial" w:hAnsi="Arial"/>
          <w:rtl/>
        </w:rPr>
      </w:pPr>
      <w:r>
        <w:rPr>
          <w:rFonts w:ascii="Arial" w:hAnsi="Arial" w:hint="cs"/>
          <w:rtl/>
        </w:rPr>
        <w:t xml:space="preserve"> </w:t>
      </w:r>
    </w:p>
    <w:p w14:paraId="2EDC5B4A" w14:textId="77777777" w:rsidR="00105B89" w:rsidRPr="00C63B00" w:rsidRDefault="00105B89" w:rsidP="00105B89">
      <w:pPr>
        <w:pStyle w:val="a9"/>
        <w:spacing w:line="360" w:lineRule="auto"/>
        <w:jc w:val="both"/>
        <w:rPr>
          <w:rFonts w:ascii="Arial" w:hAnsi="Arial"/>
          <w:u w:val="single"/>
          <w:rtl/>
        </w:rPr>
      </w:pPr>
      <w:r w:rsidRPr="00C63B00">
        <w:rPr>
          <w:rFonts w:ascii="Arial" w:hAnsi="Arial" w:hint="cs"/>
          <w:u w:val="single"/>
          <w:rtl/>
        </w:rPr>
        <w:t>הגנה מן הצדק</w:t>
      </w:r>
    </w:p>
    <w:p w14:paraId="56A6DFE0" w14:textId="77777777" w:rsidR="00105B89" w:rsidRDefault="00105B89" w:rsidP="00105B89">
      <w:pPr>
        <w:pStyle w:val="a9"/>
        <w:numPr>
          <w:ilvl w:val="0"/>
          <w:numId w:val="1"/>
        </w:numPr>
        <w:spacing w:line="360" w:lineRule="auto"/>
        <w:jc w:val="both"/>
        <w:rPr>
          <w:rFonts w:ascii="Arial" w:hAnsi="Arial"/>
          <w:rtl/>
        </w:rPr>
      </w:pPr>
      <w:r w:rsidRPr="00045921">
        <w:rPr>
          <w:rFonts w:ascii="Arial" w:hAnsi="Arial" w:hint="cs"/>
          <w:rtl/>
        </w:rPr>
        <w:t>כפי שנקבע בהכרעת הדין, לנאשם עומדת טענת הגנה מן הצדק</w:t>
      </w:r>
      <w:r>
        <w:rPr>
          <w:rFonts w:ascii="Arial" w:hAnsi="Arial" w:hint="cs"/>
          <w:rtl/>
        </w:rPr>
        <w:t xml:space="preserve"> אותה יש לשקול במסגרת שלב הטלת העונש (לגבי בחינת סעד זה ראו: </w:t>
      </w:r>
      <w:r w:rsidRPr="00045921">
        <w:rPr>
          <w:rFonts w:ascii="David" w:hAnsi="David"/>
          <w:rtl/>
        </w:rPr>
        <w:t xml:space="preserve">ע"פ </w:t>
      </w:r>
      <w:r w:rsidRPr="00045921">
        <w:rPr>
          <w:rFonts w:ascii="David" w:hAnsi="David"/>
          <w:b/>
          <w:bCs/>
          <w:rtl/>
        </w:rPr>
        <w:t>מדינת ישראל נ' יוסף ורדי</w:t>
      </w:r>
      <w:r w:rsidRPr="00045921">
        <w:rPr>
          <w:rFonts w:ascii="David" w:hAnsi="David"/>
          <w:rtl/>
        </w:rPr>
        <w:t>, פסקה 58 בפסק דינו של כב' השופט מלצר (31.10.2018);</w:t>
      </w:r>
      <w:r w:rsidRPr="00045921">
        <w:rPr>
          <w:rFonts w:ascii="David" w:hAnsi="David"/>
          <w:b/>
          <w:bCs/>
          <w:rtl/>
        </w:rPr>
        <w:t xml:space="preserve"> </w:t>
      </w:r>
      <w:hyperlink r:id="rId21" w:history="1">
        <w:r w:rsidR="00DD6ACF" w:rsidRPr="00DD6ACF">
          <w:rPr>
            <w:rFonts w:ascii="David" w:hAnsi="David"/>
            <w:color w:val="0000FF"/>
            <w:u w:val="single"/>
            <w:rtl/>
          </w:rPr>
          <w:t>ע"פ 1840/16</w:t>
        </w:r>
      </w:hyperlink>
      <w:r w:rsidRPr="00045921">
        <w:rPr>
          <w:rFonts w:ascii="David" w:hAnsi="David"/>
          <w:rtl/>
        </w:rPr>
        <w:t xml:space="preserve"> </w:t>
      </w:r>
      <w:r w:rsidRPr="00045921">
        <w:rPr>
          <w:rFonts w:ascii="David" w:hAnsi="David"/>
          <w:b/>
          <w:bCs/>
          <w:rtl/>
        </w:rPr>
        <w:t>יהודה אדרי נ' מדינת ישראל</w:t>
      </w:r>
      <w:r w:rsidRPr="00045921">
        <w:rPr>
          <w:rFonts w:ascii="David" w:hAnsi="David"/>
          <w:rtl/>
        </w:rPr>
        <w:t>, פסקה ח' (1.02.2017)</w:t>
      </w:r>
      <w:r>
        <w:rPr>
          <w:rFonts w:ascii="David" w:hAnsi="David" w:hint="cs"/>
          <w:rtl/>
        </w:rPr>
        <w:t>)</w:t>
      </w:r>
      <w:r>
        <w:rPr>
          <w:rFonts w:ascii="Arial" w:hAnsi="Arial" w:hint="cs"/>
          <w:rtl/>
        </w:rPr>
        <w:t>.</w:t>
      </w:r>
      <w:r>
        <w:rPr>
          <w:rFonts w:ascii="Arial" w:hAnsi="Arial"/>
          <w:rtl/>
        </w:rPr>
        <w:t xml:space="preserve"> </w:t>
      </w:r>
    </w:p>
    <w:p w14:paraId="5AE784D7" w14:textId="77777777" w:rsidR="00105B89" w:rsidRDefault="00105B89" w:rsidP="00105B89">
      <w:pPr>
        <w:spacing w:line="360" w:lineRule="auto"/>
        <w:ind w:left="720"/>
        <w:jc w:val="both"/>
        <w:rPr>
          <w:rFonts w:ascii="Arial" w:hAnsi="Arial"/>
          <w:rtl/>
        </w:rPr>
      </w:pPr>
      <w:r>
        <w:rPr>
          <w:rFonts w:ascii="Arial" w:hAnsi="Arial" w:hint="cs"/>
          <w:rtl/>
        </w:rPr>
        <w:t xml:space="preserve">במקרה הנדון נקבעו שני פגמים שנפלו במהלך החקירה ופוגעים בתחושות הצדק וההגינות. </w:t>
      </w:r>
      <w:r w:rsidRPr="00BA11A2">
        <w:rPr>
          <w:rFonts w:ascii="Arial" w:hAnsi="Arial" w:hint="cs"/>
          <w:b/>
          <w:bCs/>
          <w:rtl/>
        </w:rPr>
        <w:t>הפגם הראשון</w:t>
      </w:r>
      <w:r>
        <w:rPr>
          <w:rFonts w:ascii="Arial" w:hAnsi="Arial" w:hint="cs"/>
          <w:rtl/>
        </w:rPr>
        <w:t xml:space="preserve">, עניינו חוסר הבהרה לנאשם, כראוי, את זכותו לשני עדים בעת עריכת החיפוש. אמנם, אין מדובר בחיפוש שנערך ללא סמכות מהותית של חשד סביר, אשר פגיעתו קשה יותר, אולם די בפגיעה האמורה בזכות הנאשם לשני עדים על מנת להביא להקלה בעונשו: </w:t>
      </w:r>
    </w:p>
    <w:p w14:paraId="7EE01E98" w14:textId="77777777" w:rsidR="00105B89" w:rsidRDefault="00105B89" w:rsidP="00105B89">
      <w:pPr>
        <w:pStyle w:val="a9"/>
        <w:ind w:left="1361" w:right="1134"/>
        <w:jc w:val="both"/>
        <w:rPr>
          <w:rFonts w:ascii="David" w:hAnsi="David"/>
        </w:rPr>
      </w:pPr>
      <w:r>
        <w:rPr>
          <w:rFonts w:ascii="David" w:hAnsi="David"/>
          <w:rtl/>
        </w:rPr>
        <w:t>"</w:t>
      </w:r>
      <w:r>
        <w:rPr>
          <w:rFonts w:ascii="David" w:hAnsi="David"/>
          <w:b/>
          <w:bCs/>
          <w:rtl/>
        </w:rPr>
        <w:t>דרישה זו אינה פורמאלית גרידא, אלא מכוונת להגשים תכליות מהותיות חשובות, שעניינן שמירה על פרטיות והבטחת האמינות והניטרליות בביצוע החיפוש. יש אפוא מקום לכך שהפרה של חובה זו, ולא כל שכן ללא סיבה נראית לעין, תובא בחשבון בשלב גזר הדין, על בסיס העיקרון של הגנה מן הצדק, שלעתים משפיע רק בשלב העונש</w:t>
      </w:r>
      <w:r>
        <w:rPr>
          <w:rFonts w:ascii="David" w:hAnsi="David"/>
          <w:rtl/>
        </w:rPr>
        <w:t xml:space="preserve">" </w:t>
      </w:r>
    </w:p>
    <w:p w14:paraId="77029C09" w14:textId="77777777" w:rsidR="00105B89" w:rsidRDefault="00105B89" w:rsidP="00105B89">
      <w:pPr>
        <w:ind w:left="1361" w:right="1134"/>
        <w:jc w:val="both"/>
        <w:rPr>
          <w:rFonts w:ascii="Arial" w:hAnsi="Arial"/>
          <w:rtl/>
        </w:rPr>
      </w:pPr>
      <w:r>
        <w:rPr>
          <w:rFonts w:ascii="David" w:hAnsi="David"/>
          <w:rtl/>
        </w:rPr>
        <w:t>(</w:t>
      </w:r>
      <w:hyperlink r:id="rId22" w:history="1">
        <w:r w:rsidR="00DD6ACF" w:rsidRPr="00DD6ACF">
          <w:rPr>
            <w:rFonts w:ascii="David" w:hAnsi="David"/>
            <w:color w:val="0000FF"/>
            <w:u w:val="single"/>
            <w:rtl/>
          </w:rPr>
          <w:t>ע"פ 482/20</w:t>
        </w:r>
      </w:hyperlink>
      <w:r>
        <w:rPr>
          <w:rFonts w:ascii="David" w:hAnsi="David"/>
          <w:rtl/>
        </w:rPr>
        <w:t xml:space="preserve"> </w:t>
      </w:r>
      <w:r>
        <w:rPr>
          <w:rFonts w:ascii="David" w:hAnsi="David"/>
          <w:b/>
          <w:bCs/>
          <w:rtl/>
        </w:rPr>
        <w:t>כסאב מטר נ' מדינת ישראל,</w:t>
      </w:r>
      <w:r>
        <w:rPr>
          <w:rFonts w:ascii="David" w:hAnsi="David"/>
          <w:rtl/>
        </w:rPr>
        <w:t xml:space="preserve"> פסקה 2 </w:t>
      </w:r>
      <w:r>
        <w:rPr>
          <w:rFonts w:ascii="David" w:hAnsi="David" w:hint="cs"/>
          <w:rtl/>
        </w:rPr>
        <w:t xml:space="preserve">בפסק דינה של כב' השופטת ברק-ארז </w:t>
      </w:r>
      <w:r>
        <w:rPr>
          <w:rFonts w:ascii="David" w:hAnsi="David"/>
          <w:rtl/>
        </w:rPr>
        <w:t>(4.6.2020)).</w:t>
      </w:r>
    </w:p>
    <w:p w14:paraId="3A28F7FC" w14:textId="77777777" w:rsidR="00105B89" w:rsidRDefault="00105B89" w:rsidP="00105B89">
      <w:pPr>
        <w:ind w:left="1361" w:right="1134"/>
        <w:jc w:val="both"/>
        <w:rPr>
          <w:rFonts w:ascii="Arial" w:hAnsi="Arial"/>
          <w:rtl/>
        </w:rPr>
      </w:pPr>
    </w:p>
    <w:p w14:paraId="50BE5BFB" w14:textId="77777777" w:rsidR="00105B89" w:rsidRDefault="00105B89" w:rsidP="00105B89">
      <w:pPr>
        <w:spacing w:line="360" w:lineRule="auto"/>
        <w:ind w:left="720"/>
        <w:jc w:val="both"/>
        <w:rPr>
          <w:rFonts w:ascii="David" w:hAnsi="David"/>
          <w:color w:val="000000"/>
          <w:spacing w:val="10"/>
          <w:rtl/>
        </w:rPr>
      </w:pPr>
      <w:r w:rsidRPr="00D0700C">
        <w:rPr>
          <w:rFonts w:ascii="David" w:hAnsi="David" w:hint="cs"/>
          <w:b/>
          <w:bCs/>
          <w:rtl/>
        </w:rPr>
        <w:t>הפגם השני</w:t>
      </w:r>
      <w:r>
        <w:rPr>
          <w:rFonts w:ascii="David" w:hAnsi="David" w:hint="cs"/>
          <w:rtl/>
        </w:rPr>
        <w:t xml:space="preserve">, הוא הפעלת כח מצד השוטרים כלפי הנאשם. בהכרעת הדין נקבע כי לאחר הגעת הנאשם בסמוך לדלת הדירה, הממוקמת כדירה בודדת בקומה אחרונה, לכל הפחות שני בלשים מתוך השלושה שנכחו במקום הפעילו כנגדו כח על מנת לתפוס את מפתח הדירה שהיה בידיו. במהלך פעולה זו, הושכב הנאשם על הארץ ומפתחות הדירה הוצאו ממנו בכח. עוד צוינה בהכרעת הדין התרשמותי מההבדל המשמעותי בין מבנה גופם המוצק של השוטרים לעומת מראהו של הנאשם. לא ניתן לעבור לסדר היום על דרך פעולת השוטרים, לה לא ניתן כל הסבר או נימוק. הנאשם לא אחז בידו בחפץ אסור כלשהו, ובוודאי שלא עלה חשש כי הוא אוחז בנשק המהווה סכנה כלשהי לשוטרים. הפעלת כח באופן זה לשם כניסה לדירה, כאשר הנאשם נמצא לבדו עם שלושה בלשי משטרה וללא כל עדים נוספים במקום, היא פעולה פוגענית, קשה ומיותרת. </w:t>
      </w:r>
      <w:r>
        <w:rPr>
          <w:rFonts w:ascii="David" w:hAnsi="David" w:hint="cs"/>
          <w:color w:val="000000"/>
          <w:spacing w:val="10"/>
          <w:rtl/>
        </w:rPr>
        <w:t xml:space="preserve">אין מדובר במקרה הראשון בו מפתחות דירה בה קיים חשד לגידול סם אינם מצויים בידי המשטרה, ודרכי הפעולה הקיימות ללא צורך בהפעלת כח כנגד חשוד הן מגוונות. </w:t>
      </w:r>
    </w:p>
    <w:p w14:paraId="31DB996E" w14:textId="77777777" w:rsidR="00105B89" w:rsidRDefault="00105B89" w:rsidP="00105B89">
      <w:pPr>
        <w:spacing w:line="360" w:lineRule="auto"/>
        <w:ind w:left="720"/>
        <w:jc w:val="both"/>
        <w:rPr>
          <w:rFonts w:ascii="David" w:hAnsi="David"/>
          <w:color w:val="000000"/>
          <w:spacing w:val="10"/>
          <w:rtl/>
        </w:rPr>
      </w:pPr>
      <w:r>
        <w:rPr>
          <w:rFonts w:ascii="David" w:hAnsi="David" w:hint="cs"/>
          <w:color w:val="000000"/>
          <w:spacing w:val="10"/>
          <w:rtl/>
        </w:rPr>
        <w:t>אופן התנהלות בלשי המשטרה במקרה זה חרוט היטב בזכרונו של הנאשם אשר תיאר בעדותו, ושוב בטיעוניו לעונש, כיצד חש חוסר אונים מוחלט למול הכח שהופעל כנגדו על ידי אנשי מרות. ראוי בשלב זה לציין מושכלות יסוד לגבי תפקיד השוטרים, כפי שנכתב בסוגיה אחרת:</w:t>
      </w:r>
    </w:p>
    <w:p w14:paraId="5099E45B" w14:textId="77777777" w:rsidR="00105B89" w:rsidRDefault="00105B89" w:rsidP="00105B89">
      <w:pPr>
        <w:spacing w:line="360" w:lineRule="auto"/>
        <w:ind w:left="720"/>
        <w:jc w:val="both"/>
        <w:rPr>
          <w:rFonts w:ascii="David" w:hAnsi="David"/>
          <w:color w:val="000000"/>
          <w:spacing w:val="10"/>
          <w:rtl/>
        </w:rPr>
      </w:pPr>
      <w:r>
        <w:rPr>
          <w:rFonts w:ascii="David" w:hAnsi="David" w:hint="cs"/>
          <w:color w:val="000000"/>
          <w:spacing w:val="10"/>
          <w:rtl/>
        </w:rPr>
        <w:t xml:space="preserve"> </w:t>
      </w:r>
    </w:p>
    <w:p w14:paraId="3ADA5744" w14:textId="77777777" w:rsidR="00105B89" w:rsidRDefault="00105B89" w:rsidP="00105B89">
      <w:pPr>
        <w:ind w:left="1361" w:right="1134"/>
        <w:jc w:val="both"/>
        <w:rPr>
          <w:rFonts w:ascii="David" w:hAnsi="David"/>
          <w:color w:val="000000"/>
          <w:spacing w:val="10"/>
          <w:rtl/>
        </w:rPr>
      </w:pPr>
      <w:r>
        <w:rPr>
          <w:rFonts w:ascii="David" w:hAnsi="David" w:hint="cs"/>
          <w:color w:val="000000"/>
          <w:spacing w:val="10"/>
          <w:rtl/>
        </w:rPr>
        <w:t>"</w:t>
      </w:r>
      <w:r>
        <w:rPr>
          <w:rFonts w:ascii="David" w:hAnsi="David" w:hint="cs"/>
          <w:b/>
          <w:bCs/>
          <w:color w:val="000000"/>
          <w:spacing w:val="10"/>
          <w:rtl/>
        </w:rPr>
        <w:t>המשטרה אמורה להגן על הסדר והבטחון הציבורי, ולהבטיח את שלומו של הפרט והכלל. היא לא נועדה להפיל את חיתתה על הסביבה, והיא מנועה מעשיית שימוש בכוחה שלא למטרה לשמה הוא הופקד בידיה. סטייה ממושכלות יסוד אלה, או אף קיומו של חשש לסטייה כזו, מחייב בחינה מעמיקה של ההשלכות המתחייבות מכך הן לגבי הפרט הנחשד או המואשם, הן לגבי המשטרה כזרוע מרכזית של השלטון, וכל אלה בהתייחסם לנורמות ואורחות פעולה הצריכים לאפיין את גופי השלטון בישראל</w:t>
      </w:r>
      <w:r>
        <w:rPr>
          <w:rFonts w:ascii="David" w:hAnsi="David" w:hint="cs"/>
          <w:color w:val="000000"/>
          <w:spacing w:val="10"/>
          <w:rtl/>
        </w:rPr>
        <w:t xml:space="preserve">" </w:t>
      </w:r>
    </w:p>
    <w:p w14:paraId="6552AE3B" w14:textId="77777777" w:rsidR="00105B89" w:rsidRDefault="00105B89" w:rsidP="00105B89">
      <w:pPr>
        <w:ind w:left="1361" w:right="1134"/>
        <w:jc w:val="both"/>
        <w:rPr>
          <w:rFonts w:ascii="David" w:hAnsi="David"/>
          <w:color w:val="000000"/>
          <w:spacing w:val="10"/>
          <w:rtl/>
        </w:rPr>
      </w:pPr>
      <w:r>
        <w:rPr>
          <w:rFonts w:ascii="David" w:hAnsi="David" w:hint="cs"/>
          <w:color w:val="000000"/>
          <w:spacing w:val="10"/>
          <w:rtl/>
        </w:rPr>
        <w:t>(</w:t>
      </w:r>
      <w:hyperlink r:id="rId23" w:history="1">
        <w:r w:rsidR="00DD6ACF" w:rsidRPr="00DD6ACF">
          <w:rPr>
            <w:rFonts w:ascii="David" w:hAnsi="David"/>
            <w:color w:val="0000FF"/>
            <w:spacing w:val="10"/>
            <w:u w:val="single"/>
            <w:rtl/>
          </w:rPr>
          <w:t>בג"צ 7141/05</w:t>
        </w:r>
      </w:hyperlink>
      <w:r>
        <w:rPr>
          <w:rFonts w:ascii="David" w:hAnsi="David" w:hint="cs"/>
          <w:color w:val="000000"/>
          <w:spacing w:val="10"/>
          <w:rtl/>
        </w:rPr>
        <w:t xml:space="preserve"> </w:t>
      </w:r>
      <w:r>
        <w:rPr>
          <w:rFonts w:ascii="David" w:hAnsi="David" w:hint="cs"/>
          <w:b/>
          <w:bCs/>
          <w:color w:val="000000"/>
          <w:spacing w:val="10"/>
          <w:rtl/>
        </w:rPr>
        <w:t>עקיבא ויתקין נ' מפכ"ל המשטרה,</w:t>
      </w:r>
      <w:r>
        <w:rPr>
          <w:rFonts w:ascii="David" w:hAnsi="David" w:hint="cs"/>
          <w:color w:val="000000"/>
          <w:spacing w:val="10"/>
          <w:rtl/>
        </w:rPr>
        <w:t xml:space="preserve"> פסקה 12 (27.2.2006)).</w:t>
      </w:r>
    </w:p>
    <w:p w14:paraId="2FF3082B" w14:textId="77777777" w:rsidR="00105B89" w:rsidRDefault="00105B89" w:rsidP="00105B89">
      <w:pPr>
        <w:ind w:left="1361" w:right="1134"/>
        <w:jc w:val="both"/>
        <w:rPr>
          <w:rFonts w:ascii="David" w:hAnsi="David"/>
          <w:color w:val="000000"/>
          <w:spacing w:val="10"/>
          <w:rtl/>
        </w:rPr>
      </w:pPr>
    </w:p>
    <w:p w14:paraId="198D2155" w14:textId="77777777" w:rsidR="00105B89" w:rsidRDefault="00105B89" w:rsidP="00105B89">
      <w:pPr>
        <w:spacing w:line="360" w:lineRule="auto"/>
        <w:ind w:left="720"/>
        <w:jc w:val="both"/>
        <w:rPr>
          <w:rFonts w:ascii="Arial" w:hAnsi="Arial"/>
          <w:rtl/>
        </w:rPr>
      </w:pPr>
      <w:r>
        <w:rPr>
          <w:rFonts w:ascii="David" w:hAnsi="David" w:hint="cs"/>
          <w:color w:val="000000"/>
          <w:spacing w:val="10"/>
          <w:rtl/>
        </w:rPr>
        <w:t xml:space="preserve">הצטברות הפגמים שנפלו בהתנהלות השוטרים במקרה זה, מציבה פגיעה ממשית ובעלת משקל </w:t>
      </w:r>
      <w:r w:rsidRPr="00045921">
        <w:rPr>
          <w:rFonts w:ascii="Arial" w:hAnsi="Arial" w:hint="cs"/>
          <w:rtl/>
        </w:rPr>
        <w:t xml:space="preserve">בתחושות </w:t>
      </w:r>
      <w:r>
        <w:rPr>
          <w:rFonts w:ascii="Arial" w:hAnsi="Arial" w:hint="cs"/>
          <w:rtl/>
        </w:rPr>
        <w:t>ה</w:t>
      </w:r>
      <w:r w:rsidRPr="00045921">
        <w:rPr>
          <w:rFonts w:ascii="Arial" w:hAnsi="Arial" w:hint="cs"/>
          <w:rtl/>
        </w:rPr>
        <w:t>צדק ו</w:t>
      </w:r>
      <w:r>
        <w:rPr>
          <w:rFonts w:ascii="Arial" w:hAnsi="Arial" w:hint="cs"/>
          <w:rtl/>
        </w:rPr>
        <w:t>ה</w:t>
      </w:r>
      <w:r w:rsidRPr="00045921">
        <w:rPr>
          <w:rFonts w:ascii="Arial" w:hAnsi="Arial" w:hint="cs"/>
          <w:rtl/>
        </w:rPr>
        <w:t xml:space="preserve">הגינות, </w:t>
      </w:r>
      <w:r>
        <w:rPr>
          <w:rFonts w:ascii="Arial" w:hAnsi="Arial" w:hint="cs"/>
          <w:rtl/>
        </w:rPr>
        <w:t>המחייבת התייחסות בהתאם בדרך של הקלה בעונשו של הנאשם.</w:t>
      </w:r>
    </w:p>
    <w:p w14:paraId="564466D6" w14:textId="77777777" w:rsidR="00105B89" w:rsidRDefault="00105B89" w:rsidP="00105B89">
      <w:pPr>
        <w:spacing w:line="360" w:lineRule="auto"/>
        <w:ind w:left="720"/>
        <w:jc w:val="both"/>
        <w:rPr>
          <w:rFonts w:ascii="Arial" w:hAnsi="Arial"/>
          <w:rtl/>
        </w:rPr>
      </w:pPr>
    </w:p>
    <w:p w14:paraId="1929F8FC" w14:textId="77777777" w:rsidR="00105B89" w:rsidRPr="00927821" w:rsidRDefault="00105B89" w:rsidP="00105B89">
      <w:pPr>
        <w:spacing w:line="360" w:lineRule="auto"/>
        <w:ind w:left="720"/>
        <w:jc w:val="both"/>
        <w:rPr>
          <w:u w:val="single"/>
        </w:rPr>
      </w:pPr>
      <w:r w:rsidRPr="00927821">
        <w:rPr>
          <w:rFonts w:ascii="Arial" w:hAnsi="Arial" w:hint="cs"/>
          <w:u w:val="single"/>
          <w:rtl/>
        </w:rPr>
        <w:t xml:space="preserve">מתחם העונש ההולם </w:t>
      </w:r>
    </w:p>
    <w:p w14:paraId="7A419BD5" w14:textId="77777777" w:rsidR="00105B89" w:rsidRPr="00624DC2" w:rsidRDefault="00105B89" w:rsidP="00105B89">
      <w:pPr>
        <w:pStyle w:val="a9"/>
        <w:numPr>
          <w:ilvl w:val="0"/>
          <w:numId w:val="1"/>
        </w:numPr>
        <w:spacing w:line="360" w:lineRule="auto"/>
        <w:jc w:val="both"/>
        <w:rPr>
          <w:rFonts w:ascii="David" w:hAnsi="David"/>
          <w:color w:val="000000"/>
          <w:spacing w:val="10"/>
        </w:rPr>
      </w:pPr>
      <w:r>
        <w:rPr>
          <w:rFonts w:hint="cs"/>
          <w:rtl/>
        </w:rPr>
        <w:t>פגיעתן של עבירות הסמים היא רבת פנים וזהויות, החל מצרכן הסם העלול להתמכר לו, דרך משפחתו הנפגעת מהשינוי שבדפוסי התנהגותו ועד לציבור הרחב הנפגע לא פעם מביצוע עבירות לשם מימון צריכת הסם. הפסיקה עמדה לא פעם על הצורך במלחמת חורמה במפיצי סמים וכן הצורך בגדיעת מעגל הסמים, זאת בדרך של ענישה ממשית. באופן דומה, ראה אף המחוקק את חומרת עבירת גידול הסם וקבע בצידה עונש מירבי של 20 שנות מאסר. יחד עם זאת, את מידת הפגיעה בערכים המוגנים יש לשקול בהתאם לנסיבותיו של כל מקרה ומקרה, במיוחד כאשר מדובר בעבירה לה מנעד רחב ביותר של נסיבות. במקרה הנדון מדובר בגידול של סם מסוג קנבוס במשקל כולל של כארבעה ק"ג, בכשלושים עציצים (ת/9 צילום 11).</w:t>
      </w:r>
    </w:p>
    <w:p w14:paraId="420434BD" w14:textId="77777777" w:rsidR="00105B89" w:rsidRDefault="00105B89" w:rsidP="00105B89">
      <w:pPr>
        <w:pStyle w:val="a9"/>
        <w:spacing w:line="360" w:lineRule="auto"/>
        <w:jc w:val="both"/>
        <w:rPr>
          <w:rtl/>
        </w:rPr>
      </w:pPr>
      <w:r>
        <w:rPr>
          <w:rFonts w:hint="cs"/>
          <w:rtl/>
        </w:rPr>
        <w:t>ניתן ללמוד על הענישה הנוהגת בגין עבירות גידול סם בסדרי גודל דומים, ככזו הנעה בין תקופה קצרה של מאסר בעבודות שרות (</w:t>
      </w:r>
      <w:hyperlink r:id="rId24" w:history="1">
        <w:r w:rsidR="00DD6ACF" w:rsidRPr="00DD6ACF">
          <w:rPr>
            <w:color w:val="0000FF"/>
            <w:u w:val="single"/>
            <w:rtl/>
          </w:rPr>
          <w:t>רע"פ 2277/21</w:t>
        </w:r>
      </w:hyperlink>
      <w:r>
        <w:rPr>
          <w:rFonts w:hint="cs"/>
          <w:rtl/>
        </w:rPr>
        <w:t xml:space="preserve"> </w:t>
      </w:r>
      <w:r>
        <w:rPr>
          <w:rFonts w:hint="cs"/>
          <w:b/>
          <w:bCs/>
          <w:rtl/>
        </w:rPr>
        <w:t>אברהם יוחננוב נ' מדינת ישראל</w:t>
      </w:r>
      <w:r>
        <w:rPr>
          <w:rFonts w:hint="cs"/>
          <w:rtl/>
        </w:rPr>
        <w:t xml:space="preserve">, (8.4.2021); </w:t>
      </w:r>
      <w:hyperlink r:id="rId25" w:history="1">
        <w:r w:rsidR="00DD6ACF" w:rsidRPr="00DD6ACF">
          <w:rPr>
            <w:color w:val="0000FF"/>
            <w:u w:val="single"/>
            <w:rtl/>
          </w:rPr>
          <w:t>רע"פ 5018/18</w:t>
        </w:r>
      </w:hyperlink>
      <w:r>
        <w:rPr>
          <w:rFonts w:hint="cs"/>
          <w:rtl/>
        </w:rPr>
        <w:t xml:space="preserve"> </w:t>
      </w:r>
      <w:r>
        <w:rPr>
          <w:rFonts w:hint="cs"/>
          <w:b/>
          <w:bCs/>
          <w:rtl/>
        </w:rPr>
        <w:t>עומר בוזגלו נ' מדינת ישראל</w:t>
      </w:r>
      <w:r>
        <w:rPr>
          <w:rFonts w:hint="eastAsia"/>
          <w:rtl/>
        </w:rPr>
        <w:t xml:space="preserve">, </w:t>
      </w:r>
      <w:r>
        <w:rPr>
          <w:rFonts w:hint="cs"/>
          <w:rtl/>
        </w:rPr>
        <w:t>(21.10.2018)), ועד למאסר בפועל לתקופה של כעשרה חודשים (</w:t>
      </w:r>
      <w:hyperlink r:id="rId26" w:history="1">
        <w:r w:rsidR="00DD6ACF" w:rsidRPr="00DD6ACF">
          <w:rPr>
            <w:color w:val="0000FF"/>
            <w:u w:val="single"/>
            <w:rtl/>
          </w:rPr>
          <w:t>רע"פ 2870/18</w:t>
        </w:r>
      </w:hyperlink>
      <w:r>
        <w:rPr>
          <w:rFonts w:hint="cs"/>
          <w:rtl/>
        </w:rPr>
        <w:t xml:space="preserve"> </w:t>
      </w:r>
      <w:r>
        <w:rPr>
          <w:rFonts w:hint="cs"/>
          <w:b/>
          <w:bCs/>
          <w:rtl/>
        </w:rPr>
        <w:t>ניר כהן נ' מדינת ישראל</w:t>
      </w:r>
      <w:r>
        <w:rPr>
          <w:rFonts w:hint="cs"/>
          <w:rtl/>
        </w:rPr>
        <w:t xml:space="preserve">,(11.6.2018), </w:t>
      </w:r>
      <w:hyperlink r:id="rId27" w:history="1">
        <w:r w:rsidR="00DD6ACF" w:rsidRPr="00DD6ACF">
          <w:rPr>
            <w:color w:val="0000FF"/>
            <w:u w:val="single"/>
            <w:rtl/>
          </w:rPr>
          <w:t>רע"פ 2675/17</w:t>
        </w:r>
      </w:hyperlink>
      <w:r>
        <w:rPr>
          <w:rFonts w:hint="cs"/>
          <w:rtl/>
        </w:rPr>
        <w:t xml:space="preserve"> </w:t>
      </w:r>
      <w:r>
        <w:rPr>
          <w:rFonts w:hint="cs"/>
          <w:b/>
          <w:bCs/>
          <w:rtl/>
        </w:rPr>
        <w:t>גיל ארצי נ' מדינת ישראל</w:t>
      </w:r>
      <w:r>
        <w:rPr>
          <w:rFonts w:hint="cs"/>
          <w:rtl/>
        </w:rPr>
        <w:t xml:space="preserve">, (23.8.2017); </w:t>
      </w:r>
      <w:hyperlink r:id="rId28" w:history="1">
        <w:r w:rsidR="00DD6ACF" w:rsidRPr="00DD6ACF">
          <w:rPr>
            <w:color w:val="0000FF"/>
            <w:u w:val="single"/>
            <w:rtl/>
          </w:rPr>
          <w:t>רע"פ 1787/15</w:t>
        </w:r>
      </w:hyperlink>
      <w:r>
        <w:rPr>
          <w:rFonts w:hint="cs"/>
          <w:rtl/>
        </w:rPr>
        <w:t xml:space="preserve"> </w:t>
      </w:r>
      <w:r>
        <w:rPr>
          <w:rFonts w:hint="cs"/>
          <w:b/>
          <w:bCs/>
          <w:rtl/>
        </w:rPr>
        <w:t>אדי עמר נ' מדינת ישראל</w:t>
      </w:r>
      <w:r>
        <w:rPr>
          <w:rFonts w:hint="cs"/>
          <w:rtl/>
        </w:rPr>
        <w:t>, (24.3.2015)).</w:t>
      </w:r>
    </w:p>
    <w:p w14:paraId="366801F7" w14:textId="77777777" w:rsidR="00105B89" w:rsidRDefault="00105B89" w:rsidP="00105B89">
      <w:pPr>
        <w:pStyle w:val="a9"/>
        <w:spacing w:line="360" w:lineRule="auto"/>
        <w:jc w:val="both"/>
        <w:rPr>
          <w:rtl/>
        </w:rPr>
      </w:pPr>
      <w:r>
        <w:rPr>
          <w:rFonts w:hint="cs"/>
          <w:rtl/>
        </w:rPr>
        <w:t>באופן שונה מדוגמאות אלה, בהן החומרה נובעת מפוטנציאל הפצת הסם, הרי שבמקרה הנדון יש לתת משקל משמעותי לנסיבות המצביעות על כך שהנאשם גידל את הסם לצריכתו העצמית.</w:t>
      </w:r>
    </w:p>
    <w:p w14:paraId="4F202943" w14:textId="77777777" w:rsidR="00105B89" w:rsidRDefault="00105B89" w:rsidP="00105B89">
      <w:pPr>
        <w:pStyle w:val="a9"/>
        <w:spacing w:line="360" w:lineRule="auto"/>
        <w:jc w:val="both"/>
        <w:rPr>
          <w:rtl/>
        </w:rPr>
      </w:pPr>
      <w:r>
        <w:rPr>
          <w:rFonts w:hint="cs"/>
          <w:rtl/>
        </w:rPr>
        <w:t xml:space="preserve">לפיכך, אני קובע כי מתחם הענישה נע החל מתקופה קצרה של מאסר למשך מספר שבועות, אשר יכול וירוצה בעבודות שרות, ועד למאסר למשך כשנה, לצד ענישה נלווית. </w:t>
      </w:r>
    </w:p>
    <w:p w14:paraId="1FDBC296" w14:textId="77777777" w:rsidR="00105B89" w:rsidRDefault="00105B89" w:rsidP="00105B89">
      <w:pPr>
        <w:pStyle w:val="a9"/>
        <w:spacing w:line="360" w:lineRule="auto"/>
        <w:jc w:val="both"/>
        <w:rPr>
          <w:rFonts w:ascii="David" w:hAnsi="David"/>
          <w:color w:val="000000"/>
          <w:spacing w:val="10"/>
          <w:u w:val="single"/>
          <w:rtl/>
        </w:rPr>
      </w:pPr>
    </w:p>
    <w:p w14:paraId="4CC4C6C3" w14:textId="77777777" w:rsidR="00105B89" w:rsidRDefault="00105B89" w:rsidP="00105B89">
      <w:pPr>
        <w:pStyle w:val="a9"/>
        <w:spacing w:line="360" w:lineRule="auto"/>
        <w:jc w:val="both"/>
        <w:rPr>
          <w:rFonts w:ascii="David" w:hAnsi="David"/>
          <w:color w:val="000000"/>
          <w:spacing w:val="10"/>
          <w:u w:val="single"/>
          <w:rtl/>
        </w:rPr>
      </w:pPr>
      <w:r w:rsidRPr="001C6680">
        <w:rPr>
          <w:rFonts w:ascii="David" w:hAnsi="David" w:hint="cs"/>
          <w:color w:val="000000"/>
          <w:spacing w:val="10"/>
          <w:u w:val="single"/>
          <w:rtl/>
        </w:rPr>
        <w:t>הכרזה כסוחר סמים</w:t>
      </w:r>
    </w:p>
    <w:p w14:paraId="340A119D" w14:textId="77777777" w:rsidR="00105B89" w:rsidRPr="002F138D" w:rsidRDefault="00105B89" w:rsidP="00105B89">
      <w:pPr>
        <w:pStyle w:val="a9"/>
        <w:numPr>
          <w:ilvl w:val="0"/>
          <w:numId w:val="1"/>
        </w:numPr>
        <w:spacing w:line="360" w:lineRule="auto"/>
        <w:jc w:val="both"/>
        <w:rPr>
          <w:rFonts w:ascii="David" w:hAnsi="David"/>
          <w:color w:val="000000"/>
          <w:spacing w:val="10"/>
          <w:u w:val="single"/>
        </w:rPr>
      </w:pPr>
      <w:r>
        <w:rPr>
          <w:rFonts w:ascii="David" w:hAnsi="David" w:hint="cs"/>
          <w:rtl/>
        </w:rPr>
        <w:t xml:space="preserve">ב"כ המאשימה עתרה להכריז על הנאשם כסוחר סמים ולהורות על חילוט הרכוש שנתפס, בהתאם להוראת </w:t>
      </w:r>
      <w:hyperlink r:id="rId29" w:history="1">
        <w:r w:rsidR="006604C9" w:rsidRPr="006604C9">
          <w:rPr>
            <w:rStyle w:val="Hyperlink"/>
            <w:rFonts w:ascii="David" w:hAnsi="David" w:hint="eastAsia"/>
            <w:rtl/>
          </w:rPr>
          <w:t>סעיף</w:t>
        </w:r>
        <w:r w:rsidR="006604C9" w:rsidRPr="006604C9">
          <w:rPr>
            <w:rStyle w:val="Hyperlink"/>
            <w:rFonts w:ascii="David" w:hAnsi="David"/>
            <w:rtl/>
          </w:rPr>
          <w:t xml:space="preserve"> 36א(ב)</w:t>
        </w:r>
      </w:hyperlink>
      <w:r>
        <w:rPr>
          <w:rFonts w:ascii="David" w:hAnsi="David" w:hint="cs"/>
          <w:rtl/>
        </w:rPr>
        <w:t xml:space="preserve"> ל</w:t>
      </w:r>
      <w:hyperlink r:id="rId30" w:history="1">
        <w:r w:rsidR="00DD6ACF" w:rsidRPr="00DD6ACF">
          <w:rPr>
            <w:rFonts w:ascii="David" w:hAnsi="David"/>
            <w:color w:val="0000FF"/>
            <w:u w:val="single"/>
            <w:rtl/>
          </w:rPr>
          <w:t>פקודת הסמים המסוכנים</w:t>
        </w:r>
      </w:hyperlink>
      <w:r>
        <w:rPr>
          <w:rFonts w:ascii="David" w:hAnsi="David" w:hint="cs"/>
          <w:rtl/>
        </w:rPr>
        <w:t>.</w:t>
      </w:r>
      <w:r>
        <w:rPr>
          <w:rFonts w:ascii="David" w:hAnsi="David" w:hint="cs"/>
          <w:color w:val="000000"/>
          <w:spacing w:val="10"/>
          <w:rtl/>
        </w:rPr>
        <w:t xml:space="preserve"> סוג העבירה בה הורשע הנאשם עונה על הגדרת "עסקת סמים", הנדרשת כאחד היסודות לצורך ההכרזה,</w:t>
      </w:r>
    </w:p>
    <w:p w14:paraId="015287A9" w14:textId="77777777" w:rsidR="00105B89" w:rsidRDefault="00105B89" w:rsidP="00105B89">
      <w:pPr>
        <w:pStyle w:val="a9"/>
        <w:spacing w:line="360" w:lineRule="auto"/>
        <w:jc w:val="both"/>
        <w:rPr>
          <w:rFonts w:ascii="David" w:hAnsi="David"/>
          <w:rtl/>
        </w:rPr>
      </w:pPr>
      <w:r>
        <w:rPr>
          <w:rFonts w:ascii="David" w:hAnsi="David" w:hint="cs"/>
          <w:rtl/>
        </w:rPr>
        <w:t xml:space="preserve">אולם לא עלה בידי המאשימה להוכיח את היסוד השני הנדרש והוא כי הנאשם הפיק או אמור היה להפיק רווח כתוצאה מביצוע העבירה. בהתחשב במכלול הנתונים מהם עלה כי מטרת גידול הסם היתה לצריכה עצמית, טענה ב"כ המאשימה כי הרווח אותו אמור היה הנאשם להפיק נובע מכך שלא היה עליו לשלם עוד לסוחרי סמים לשם רכישת הסם. טיעון כלכלי זה של חסכון ברכישת הסם, אינו יכול לעמוד. ב"כ המאשימה לא ביססה את טיעונה למעט טענתה כי הנאשם הודה שבשל הגידול לא יאלץ להוציא כסף לרכישת סם. אכן, הנאשם תיאר את תלאותיו עם מוכרי סמים עלומים, טיפוסים מפוקפקים אשר סיפקו לו לעיתים סם באיכות ירודה (עמ' 51 ש- 22-30 לפרוט'). יחד עם זאת, הנאשם הבהיר כי זו הסיבה לכך שהחליט לגדל סמים בעצמו </w:t>
      </w:r>
      <w:r>
        <w:rPr>
          <w:rFonts w:ascii="David" w:hAnsi="David"/>
          <w:rtl/>
        </w:rPr>
        <w:t>–</w:t>
      </w:r>
      <w:r>
        <w:rPr>
          <w:rFonts w:ascii="David" w:hAnsi="David" w:hint="cs"/>
          <w:rtl/>
        </w:rPr>
        <w:t xml:space="preserve"> חוסר הוודאות לגבי איכות החומר אותו רכש, כשמדובר בצורך ממשי בסם כתרופה לדיכאון ממנו הוא סובל. בנוסף, ב"כ המאשימה לא הצביעה על מחירי קנבוס "ברחוב" על מנת להשוות עם ההוצאות הנובעות מגידול הסם (ראו דוגמא למנעד המחירים הרחב לגבי סם מסוג קנבוס </w:t>
      </w:r>
      <w:r>
        <w:rPr>
          <w:rFonts w:ascii="David" w:hAnsi="David"/>
          <w:rtl/>
        </w:rPr>
        <w:t>–</w:t>
      </w:r>
      <w:r>
        <w:rPr>
          <w:rFonts w:ascii="David" w:hAnsi="David" w:hint="cs"/>
          <w:rtl/>
        </w:rPr>
        <w:t xml:space="preserve"> </w:t>
      </w:r>
      <w:hyperlink r:id="rId31" w:history="1">
        <w:r w:rsidR="00DD6ACF" w:rsidRPr="00DD6ACF">
          <w:rPr>
            <w:rFonts w:ascii="David" w:hAnsi="David"/>
            <w:color w:val="0000FF"/>
            <w:u w:val="single"/>
            <w:rtl/>
          </w:rPr>
          <w:t>ת"פ (ת"א) 20339-09-19</w:t>
        </w:r>
      </w:hyperlink>
      <w:r>
        <w:rPr>
          <w:rFonts w:ascii="David" w:hAnsi="David" w:hint="cs"/>
          <w:rtl/>
        </w:rPr>
        <w:t xml:space="preserve"> </w:t>
      </w:r>
      <w:r>
        <w:rPr>
          <w:rFonts w:ascii="David" w:hAnsi="David" w:hint="cs"/>
          <w:b/>
          <w:bCs/>
          <w:rtl/>
        </w:rPr>
        <w:t>מדינת ישראל נ' חי בראנץ</w:t>
      </w:r>
      <w:r>
        <w:rPr>
          <w:rFonts w:ascii="David" w:hAnsi="David" w:hint="eastAsia"/>
          <w:rtl/>
        </w:rPr>
        <w:t xml:space="preserve">, </w:t>
      </w:r>
      <w:r>
        <w:rPr>
          <w:rFonts w:ascii="David" w:hAnsi="David" w:hint="cs"/>
          <w:rtl/>
        </w:rPr>
        <w:t>(7.12.2021)).</w:t>
      </w:r>
    </w:p>
    <w:p w14:paraId="562B06C8" w14:textId="77777777" w:rsidR="00105B89" w:rsidRDefault="00105B89" w:rsidP="00105B89">
      <w:pPr>
        <w:pStyle w:val="a9"/>
        <w:spacing w:line="360" w:lineRule="auto"/>
        <w:jc w:val="both"/>
        <w:rPr>
          <w:rFonts w:ascii="David" w:hAnsi="David"/>
          <w:rtl/>
        </w:rPr>
      </w:pPr>
      <w:r>
        <w:rPr>
          <w:rFonts w:ascii="David" w:hAnsi="David" w:hint="cs"/>
          <w:rtl/>
        </w:rPr>
        <w:t xml:space="preserve">ב"כ המאשימה הוסיפה והפנתה לחוסר הלימה שבין הכנסות אותן פירט הנאשם לבין אורח חייו כפי שעולה מתלוש הארנונה. הנאשם תיאר בעדותו את אורח חייו, מגוריו בדירה השייכת להוריו, קושי לצאת ממנה ויציאה בעיקר לשם מתן טיפול במסגרת עבודתו. בנוסף, הנאשם פירט הכנסה קבועה מהשכרת נכס שבבעלותו בארצות הברית (נ/6), תשלום ממטופליו ואף תמיכה כלכלית מהוריו (עמ' 56 ש- 13-17 לפרוט'). לא ברור כיצד ביקשה המאשימה ללמוד מנתונים אלה על מטרה של הפקת רווח מגידול הסמים על ידי הנאשם. </w:t>
      </w:r>
    </w:p>
    <w:p w14:paraId="4BAFFCD3" w14:textId="77777777" w:rsidR="00105B89" w:rsidRDefault="00105B89" w:rsidP="00105B89">
      <w:pPr>
        <w:pStyle w:val="a9"/>
        <w:spacing w:line="360" w:lineRule="auto"/>
        <w:jc w:val="both"/>
        <w:rPr>
          <w:rFonts w:ascii="David" w:hAnsi="David"/>
          <w:rtl/>
        </w:rPr>
      </w:pPr>
      <w:r>
        <w:rPr>
          <w:rFonts w:ascii="David" w:hAnsi="David" w:hint="cs"/>
          <w:rtl/>
        </w:rPr>
        <w:t xml:space="preserve">בנסיבות האמורות, אני מוצא כי לא עלה בידי המאשימה להוכיח שהנאשם אמור היה להפיק רווח כתוצאה מגידול הסם ולפיכך בקשתה להכריזו כסוחר סמים נדחית. </w:t>
      </w:r>
    </w:p>
    <w:p w14:paraId="39830B9C" w14:textId="77777777" w:rsidR="00105B89" w:rsidRPr="00221373" w:rsidRDefault="00105B89" w:rsidP="00105B89">
      <w:pPr>
        <w:pStyle w:val="a9"/>
        <w:spacing w:line="360" w:lineRule="auto"/>
        <w:jc w:val="both"/>
        <w:rPr>
          <w:rFonts w:ascii="David" w:hAnsi="David"/>
          <w:color w:val="000000"/>
          <w:spacing w:val="10"/>
          <w:rtl/>
        </w:rPr>
      </w:pPr>
      <w:r>
        <w:rPr>
          <w:rFonts w:ascii="David" w:hAnsi="David" w:hint="cs"/>
          <w:rtl/>
        </w:rPr>
        <w:t xml:space="preserve"> </w:t>
      </w:r>
    </w:p>
    <w:p w14:paraId="73613B28" w14:textId="77777777" w:rsidR="00105B89" w:rsidRDefault="00105B89" w:rsidP="00105B89">
      <w:pPr>
        <w:spacing w:line="360" w:lineRule="auto"/>
        <w:ind w:firstLine="720"/>
        <w:jc w:val="both"/>
        <w:rPr>
          <w:rFonts w:ascii="David" w:hAnsi="David"/>
          <w:u w:val="single"/>
          <w:rtl/>
        </w:rPr>
      </w:pPr>
      <w:r>
        <w:rPr>
          <w:rFonts w:ascii="David" w:hAnsi="David"/>
          <w:color w:val="000000"/>
          <w:spacing w:val="10"/>
          <w:u w:val="single"/>
          <w:rtl/>
        </w:rPr>
        <w:t xml:space="preserve">גזירת העונש </w:t>
      </w:r>
      <w:r>
        <w:rPr>
          <w:rFonts w:ascii="David" w:hAnsi="David"/>
          <w:u w:val="single"/>
          <w:rtl/>
        </w:rPr>
        <w:t>המתאים</w:t>
      </w:r>
    </w:p>
    <w:p w14:paraId="7427656A" w14:textId="77777777" w:rsidR="00105B89" w:rsidRDefault="00105B89" w:rsidP="00105B89">
      <w:pPr>
        <w:pStyle w:val="a9"/>
        <w:numPr>
          <w:ilvl w:val="0"/>
          <w:numId w:val="1"/>
        </w:numPr>
        <w:spacing w:line="360" w:lineRule="auto"/>
        <w:jc w:val="both"/>
        <w:rPr>
          <w:rFonts w:ascii="David" w:hAnsi="David"/>
        </w:rPr>
      </w:pPr>
      <w:r>
        <w:rPr>
          <w:rFonts w:ascii="David" w:hAnsi="David" w:hint="cs"/>
          <w:rtl/>
        </w:rPr>
        <w:t>זוהי הרשעתו הראשונה של הנאשם, יליד 1974. הנאשם ניהל את הגנתו בבית המשפט על מנת להוכיח את טענותיו כי בלשי המשטרה נהגו שלא כשורה וכן כי גידל את הסם לצרכיו האישיים בלבד. לנוכח הכרעת הדין בסוגיות אלה ומידת השפעתן על העונש, מובן הצורך שראה בשמיעת הראיות.</w:t>
      </w:r>
    </w:p>
    <w:p w14:paraId="266A8553" w14:textId="77777777" w:rsidR="00105B89" w:rsidRDefault="00105B89" w:rsidP="00105B89">
      <w:pPr>
        <w:pStyle w:val="a9"/>
        <w:spacing w:line="360" w:lineRule="auto"/>
        <w:jc w:val="both"/>
        <w:rPr>
          <w:rFonts w:ascii="David" w:hAnsi="David"/>
          <w:rtl/>
        </w:rPr>
      </w:pPr>
      <w:r>
        <w:rPr>
          <w:rFonts w:ascii="David" w:hAnsi="David" w:hint="cs"/>
          <w:rtl/>
        </w:rPr>
        <w:t>בעת בחינת עונשו של הנאשם, יש לתת משקל לכך שמאז מעצרו ועד היום "</w:t>
      </w:r>
      <w:r w:rsidRPr="009A2A61">
        <w:rPr>
          <w:rFonts w:ascii="David" w:hAnsi="David" w:hint="cs"/>
          <w:b/>
          <w:bCs/>
          <w:rtl/>
        </w:rPr>
        <w:t>מצבו החמיר באופן דרסטי</w:t>
      </w:r>
      <w:r>
        <w:rPr>
          <w:rFonts w:ascii="David" w:hAnsi="David" w:hint="cs"/>
          <w:rtl/>
        </w:rPr>
        <w:t>" (ד"ר שבכר - טנ/2, טנ/3), וכן חלה הרעה בהתנהלותו היומיומית (הפסקה מוחלטת של עבודה, חזרה לבית הוריו).</w:t>
      </w:r>
    </w:p>
    <w:p w14:paraId="5F8997B1" w14:textId="77777777" w:rsidR="00105B89" w:rsidRDefault="00105B89" w:rsidP="00105B89">
      <w:pPr>
        <w:pStyle w:val="a9"/>
        <w:spacing w:line="360" w:lineRule="auto"/>
        <w:jc w:val="both"/>
        <w:rPr>
          <w:rFonts w:ascii="David" w:hAnsi="David"/>
          <w:rtl/>
        </w:rPr>
      </w:pPr>
      <w:r>
        <w:rPr>
          <w:rFonts w:ascii="David" w:hAnsi="David" w:hint="cs"/>
          <w:rtl/>
        </w:rPr>
        <w:t xml:space="preserve"> </w:t>
      </w:r>
    </w:p>
    <w:p w14:paraId="3C8D59A3" w14:textId="77777777" w:rsidR="00105B89" w:rsidRDefault="00105B89" w:rsidP="00105B89">
      <w:pPr>
        <w:pStyle w:val="a9"/>
        <w:spacing w:line="360" w:lineRule="auto"/>
        <w:jc w:val="both"/>
        <w:rPr>
          <w:rFonts w:ascii="David" w:hAnsi="David"/>
        </w:rPr>
      </w:pPr>
      <w:r>
        <w:rPr>
          <w:rFonts w:ascii="David" w:hAnsi="David"/>
          <w:rtl/>
        </w:rPr>
        <w:t>בשלב זה</w:t>
      </w:r>
      <w:r>
        <w:rPr>
          <w:rFonts w:ascii="David" w:hAnsi="David" w:hint="cs"/>
          <w:rtl/>
        </w:rPr>
        <w:t>,</w:t>
      </w:r>
      <w:r>
        <w:rPr>
          <w:rFonts w:ascii="David" w:hAnsi="David"/>
          <w:rtl/>
        </w:rPr>
        <w:t xml:space="preserve"> יש לבחון את מידת </w:t>
      </w:r>
      <w:r>
        <w:rPr>
          <w:rFonts w:ascii="David" w:hAnsi="David" w:hint="cs"/>
          <w:rtl/>
        </w:rPr>
        <w:t xml:space="preserve">ההקלה בעונשו של הנאשם </w:t>
      </w:r>
      <w:r>
        <w:rPr>
          <w:rFonts w:ascii="David" w:hAnsi="David"/>
          <w:rtl/>
        </w:rPr>
        <w:t xml:space="preserve">בשל קבלת טענת ההגנה מן הצדק. </w:t>
      </w:r>
      <w:r>
        <w:rPr>
          <w:rFonts w:ascii="David" w:hAnsi="David" w:hint="cs"/>
          <w:rtl/>
        </w:rPr>
        <w:t xml:space="preserve">שלא כטענת ב"כ המאשימה, כי יש לשקול את ההקלה רק במסגרת קביעת העונש בתוך מתחם הענישה, </w:t>
      </w:r>
      <w:r>
        <w:rPr>
          <w:rFonts w:ascii="David" w:hAnsi="David"/>
          <w:rtl/>
        </w:rPr>
        <w:t>כב' השופט (כתוארו אז) הנדל ציין כי "</w:t>
      </w:r>
      <w:r>
        <w:rPr>
          <w:rFonts w:ascii="David" w:hAnsi="David"/>
          <w:b/>
          <w:bCs/>
          <w:rtl/>
        </w:rPr>
        <w:t>החלת הגנה מן הצדק עשויה להשפיע אף על קביעת מתחם העונש עצמו</w:t>
      </w:r>
      <w:r>
        <w:rPr>
          <w:rFonts w:ascii="David" w:hAnsi="David"/>
          <w:rtl/>
        </w:rPr>
        <w:t>" (</w:t>
      </w:r>
      <w:hyperlink r:id="rId32" w:history="1">
        <w:r w:rsidR="00DD6ACF" w:rsidRPr="00DD6ACF">
          <w:rPr>
            <w:rFonts w:ascii="David" w:hAnsi="David"/>
            <w:color w:val="0000FF"/>
            <w:u w:val="single"/>
            <w:rtl/>
          </w:rPr>
          <w:t>ע"פ 7621/14</w:t>
        </w:r>
      </w:hyperlink>
      <w:r>
        <w:rPr>
          <w:rFonts w:ascii="David" w:hAnsi="David"/>
          <w:rtl/>
        </w:rPr>
        <w:t xml:space="preserve"> </w:t>
      </w:r>
      <w:r>
        <w:rPr>
          <w:rFonts w:ascii="David" w:hAnsi="David"/>
          <w:b/>
          <w:bCs/>
          <w:rtl/>
        </w:rPr>
        <w:t xml:space="preserve">אהרון גוטסדינר </w:t>
      </w:r>
      <w:r>
        <w:rPr>
          <w:rFonts w:ascii="David" w:hAnsi="David" w:hint="cs"/>
          <w:b/>
          <w:bCs/>
          <w:rtl/>
        </w:rPr>
        <w:t>נ</w:t>
      </w:r>
      <w:r>
        <w:rPr>
          <w:rFonts w:ascii="David" w:hAnsi="David"/>
          <w:b/>
          <w:bCs/>
          <w:rtl/>
        </w:rPr>
        <w:t>' מדינת ישראל</w:t>
      </w:r>
      <w:r>
        <w:rPr>
          <w:rFonts w:ascii="David" w:hAnsi="David"/>
          <w:rtl/>
        </w:rPr>
        <w:t xml:space="preserve">, פסקה 50 (1.3.2017)). </w:t>
      </w:r>
      <w:r>
        <w:rPr>
          <w:rFonts w:ascii="David" w:hAnsi="David" w:hint="cs"/>
          <w:rtl/>
        </w:rPr>
        <w:t xml:space="preserve">כך או אחרת, אין ספק כי משקלם של הפגמים שנמצאו בגדרי ההגנה מן הצדק אמור להביא להקלה משמעותית בעונשו של הנאשם, מעבר לרף התחתון של מתחם הענישה המקובל. </w:t>
      </w:r>
    </w:p>
    <w:p w14:paraId="15B4911E" w14:textId="77777777" w:rsidR="00105B89" w:rsidRDefault="00105B89" w:rsidP="00105B89">
      <w:pPr>
        <w:pStyle w:val="a9"/>
        <w:spacing w:line="360" w:lineRule="auto"/>
        <w:jc w:val="both"/>
        <w:rPr>
          <w:rFonts w:ascii="David" w:hAnsi="David"/>
          <w:rtl/>
        </w:rPr>
      </w:pPr>
      <w:r>
        <w:rPr>
          <w:rFonts w:ascii="David" w:hAnsi="David"/>
          <w:rtl/>
        </w:rPr>
        <w:t>לפיכך, החלטתי להטיל על הנאשם את העונשים הבאים:</w:t>
      </w:r>
    </w:p>
    <w:p w14:paraId="4B2FE9A4" w14:textId="77777777" w:rsidR="00105B89" w:rsidRDefault="00105B89" w:rsidP="00105B89">
      <w:pPr>
        <w:pStyle w:val="a9"/>
        <w:numPr>
          <w:ilvl w:val="0"/>
          <w:numId w:val="2"/>
        </w:numPr>
        <w:spacing w:line="360" w:lineRule="auto"/>
        <w:jc w:val="both"/>
        <w:rPr>
          <w:rFonts w:ascii="David" w:hAnsi="David"/>
          <w:rtl/>
        </w:rPr>
      </w:pPr>
      <w:r>
        <w:rPr>
          <w:rFonts w:ascii="David" w:hAnsi="David"/>
          <w:rtl/>
        </w:rPr>
        <w:t>מאסר למשך שמונה ימים, בניכוי ימי מעצר</w:t>
      </w:r>
      <w:r>
        <w:rPr>
          <w:rFonts w:ascii="David" w:hAnsi="David" w:hint="cs"/>
          <w:rtl/>
        </w:rPr>
        <w:t xml:space="preserve">ו בין הימים 23.2.20 ועד 1.3.20. </w:t>
      </w:r>
      <w:r>
        <w:rPr>
          <w:rFonts w:ascii="David" w:hAnsi="David"/>
          <w:rtl/>
        </w:rPr>
        <w:t>למען הסר ספק, הנאש</w:t>
      </w:r>
      <w:r>
        <w:rPr>
          <w:rFonts w:ascii="David" w:hAnsi="David" w:hint="cs"/>
          <w:rtl/>
        </w:rPr>
        <w:t xml:space="preserve">ם סיים </w:t>
      </w:r>
      <w:r>
        <w:rPr>
          <w:rFonts w:ascii="David" w:hAnsi="David"/>
          <w:rtl/>
        </w:rPr>
        <w:t>לרצות את מלוא מאסר</w:t>
      </w:r>
      <w:r>
        <w:rPr>
          <w:rFonts w:ascii="David" w:hAnsi="David" w:hint="cs"/>
          <w:rtl/>
        </w:rPr>
        <w:t>ו</w:t>
      </w:r>
      <w:r>
        <w:rPr>
          <w:rFonts w:ascii="David" w:hAnsi="David"/>
          <w:rtl/>
        </w:rPr>
        <w:t>.</w:t>
      </w:r>
    </w:p>
    <w:p w14:paraId="082305D5" w14:textId="77777777" w:rsidR="00105B89" w:rsidRDefault="00105B89" w:rsidP="00105B89">
      <w:pPr>
        <w:pStyle w:val="a9"/>
        <w:spacing w:line="360" w:lineRule="auto"/>
        <w:ind w:left="1080"/>
        <w:jc w:val="both"/>
        <w:rPr>
          <w:rFonts w:ascii="David" w:hAnsi="David"/>
        </w:rPr>
      </w:pPr>
      <w:r>
        <w:rPr>
          <w:rFonts w:ascii="David" w:hAnsi="David"/>
          <w:rtl/>
        </w:rPr>
        <w:t xml:space="preserve"> </w:t>
      </w:r>
    </w:p>
    <w:p w14:paraId="42A37A45" w14:textId="77777777" w:rsidR="00105B89" w:rsidRDefault="00105B89" w:rsidP="00105B89">
      <w:pPr>
        <w:pStyle w:val="a9"/>
        <w:numPr>
          <w:ilvl w:val="0"/>
          <w:numId w:val="2"/>
        </w:numPr>
        <w:spacing w:line="360" w:lineRule="auto"/>
        <w:jc w:val="both"/>
        <w:rPr>
          <w:rFonts w:ascii="David" w:hAnsi="David"/>
        </w:rPr>
      </w:pPr>
      <w:r>
        <w:rPr>
          <w:rFonts w:ascii="David" w:hAnsi="David"/>
          <w:rtl/>
        </w:rPr>
        <w:t>מאסר למשך שלושה חודשים</w:t>
      </w:r>
      <w:r>
        <w:rPr>
          <w:rFonts w:ascii="David" w:hAnsi="David" w:hint="cs"/>
          <w:rtl/>
        </w:rPr>
        <w:t>,</w:t>
      </w:r>
      <w:r>
        <w:rPr>
          <w:rFonts w:ascii="David" w:hAnsi="David"/>
          <w:rtl/>
        </w:rPr>
        <w:t xml:space="preserve"> אותו לא ירצ</w:t>
      </w:r>
      <w:r>
        <w:rPr>
          <w:rFonts w:ascii="David" w:hAnsi="David" w:hint="cs"/>
          <w:rtl/>
        </w:rPr>
        <w:t>ה</w:t>
      </w:r>
      <w:r>
        <w:rPr>
          <w:rFonts w:ascii="David" w:hAnsi="David"/>
          <w:rtl/>
        </w:rPr>
        <w:t xml:space="preserve"> אלא אם יעבו</w:t>
      </w:r>
      <w:r>
        <w:rPr>
          <w:rFonts w:ascii="David" w:hAnsi="David" w:hint="cs"/>
          <w:rtl/>
        </w:rPr>
        <w:t>ר</w:t>
      </w:r>
      <w:r>
        <w:rPr>
          <w:rFonts w:ascii="David" w:hAnsi="David"/>
          <w:rtl/>
        </w:rPr>
        <w:t xml:space="preserve"> תוך שלוש שנים מהיום עבירה מסוג עוון על </w:t>
      </w:r>
      <w:hyperlink r:id="rId33" w:history="1">
        <w:r w:rsidR="00DD6ACF" w:rsidRPr="00DD6ACF">
          <w:rPr>
            <w:rFonts w:ascii="David" w:hAnsi="David"/>
            <w:color w:val="0000FF"/>
            <w:u w:val="single"/>
            <w:rtl/>
          </w:rPr>
          <w:t>פקודת הסמים המסוכנים</w:t>
        </w:r>
      </w:hyperlink>
      <w:r>
        <w:rPr>
          <w:rFonts w:ascii="David" w:hAnsi="David"/>
          <w:rtl/>
        </w:rPr>
        <w:t>.</w:t>
      </w:r>
    </w:p>
    <w:p w14:paraId="14968442" w14:textId="77777777" w:rsidR="00105B89" w:rsidRPr="009A2A61" w:rsidRDefault="00105B89" w:rsidP="00105B89">
      <w:pPr>
        <w:pStyle w:val="a9"/>
        <w:jc w:val="both"/>
        <w:rPr>
          <w:rFonts w:ascii="David" w:hAnsi="David"/>
          <w:rtl/>
        </w:rPr>
      </w:pPr>
    </w:p>
    <w:p w14:paraId="6D5C8D9F" w14:textId="77777777" w:rsidR="00105B89" w:rsidRDefault="00105B89" w:rsidP="00105B89">
      <w:pPr>
        <w:pStyle w:val="a9"/>
        <w:numPr>
          <w:ilvl w:val="0"/>
          <w:numId w:val="2"/>
        </w:numPr>
        <w:spacing w:line="360" w:lineRule="auto"/>
        <w:jc w:val="both"/>
        <w:rPr>
          <w:rFonts w:ascii="David" w:hAnsi="David"/>
        </w:rPr>
      </w:pPr>
      <w:r>
        <w:rPr>
          <w:rFonts w:ascii="David" w:hAnsi="David"/>
          <w:rtl/>
        </w:rPr>
        <w:t>מאסר למשך שישה חודשים</w:t>
      </w:r>
      <w:r>
        <w:rPr>
          <w:rFonts w:ascii="David" w:hAnsi="David" w:hint="cs"/>
          <w:rtl/>
        </w:rPr>
        <w:t>,</w:t>
      </w:r>
      <w:r>
        <w:rPr>
          <w:rFonts w:ascii="David" w:hAnsi="David"/>
          <w:rtl/>
        </w:rPr>
        <w:t xml:space="preserve"> אותו לא ירצ</w:t>
      </w:r>
      <w:r>
        <w:rPr>
          <w:rFonts w:ascii="David" w:hAnsi="David" w:hint="cs"/>
          <w:rtl/>
        </w:rPr>
        <w:t>ה</w:t>
      </w:r>
      <w:r>
        <w:rPr>
          <w:rFonts w:ascii="David" w:hAnsi="David"/>
          <w:rtl/>
        </w:rPr>
        <w:t xml:space="preserve"> אלא אם יעבו</w:t>
      </w:r>
      <w:r>
        <w:rPr>
          <w:rFonts w:ascii="David" w:hAnsi="David" w:hint="cs"/>
          <w:rtl/>
        </w:rPr>
        <w:t>ר</w:t>
      </w:r>
      <w:r>
        <w:rPr>
          <w:rFonts w:ascii="David" w:hAnsi="David"/>
          <w:rtl/>
        </w:rPr>
        <w:t xml:space="preserve"> תוך שלוש שנים מהיום עבירה מסוג פשע על </w:t>
      </w:r>
      <w:hyperlink r:id="rId34" w:history="1">
        <w:r w:rsidR="00DD6ACF" w:rsidRPr="00DD6ACF">
          <w:rPr>
            <w:rFonts w:ascii="David" w:hAnsi="David"/>
            <w:color w:val="0000FF"/>
            <w:u w:val="single"/>
            <w:rtl/>
          </w:rPr>
          <w:t>פקודת הסמים המסוכנים</w:t>
        </w:r>
      </w:hyperlink>
      <w:r>
        <w:rPr>
          <w:rFonts w:ascii="David" w:hAnsi="David"/>
          <w:rtl/>
        </w:rPr>
        <w:t>.</w:t>
      </w:r>
    </w:p>
    <w:p w14:paraId="12B20F11" w14:textId="77777777" w:rsidR="00105B89" w:rsidRDefault="00105B89" w:rsidP="00105B89">
      <w:pPr>
        <w:pStyle w:val="a9"/>
        <w:spacing w:line="360" w:lineRule="auto"/>
        <w:ind w:left="1080"/>
        <w:jc w:val="both"/>
        <w:rPr>
          <w:rFonts w:ascii="David" w:hAnsi="David"/>
        </w:rPr>
      </w:pPr>
    </w:p>
    <w:p w14:paraId="53F8ADDB" w14:textId="77777777" w:rsidR="00105B89" w:rsidRDefault="00105B89" w:rsidP="00105B89">
      <w:pPr>
        <w:pStyle w:val="a9"/>
        <w:numPr>
          <w:ilvl w:val="0"/>
          <w:numId w:val="2"/>
        </w:numPr>
        <w:spacing w:line="360" w:lineRule="auto"/>
        <w:jc w:val="both"/>
        <w:rPr>
          <w:rFonts w:ascii="David" w:hAnsi="David"/>
        </w:rPr>
      </w:pPr>
      <w:r>
        <w:rPr>
          <w:rFonts w:ascii="David" w:hAnsi="David" w:hint="cs"/>
          <w:rtl/>
        </w:rPr>
        <w:t>בנסיבות המקרה ובנסיבותיו של הנאשם, לא ראיתי לנכון להטיל קנס כספי.</w:t>
      </w:r>
    </w:p>
    <w:p w14:paraId="06328A9F" w14:textId="77777777" w:rsidR="00105B89" w:rsidRPr="003C446F" w:rsidRDefault="00105B89" w:rsidP="00105B89">
      <w:pPr>
        <w:pStyle w:val="a9"/>
        <w:jc w:val="both"/>
        <w:rPr>
          <w:rFonts w:ascii="David" w:hAnsi="David"/>
          <w:rtl/>
        </w:rPr>
      </w:pPr>
    </w:p>
    <w:p w14:paraId="5BFCA3FE" w14:textId="77777777" w:rsidR="00105B89" w:rsidRDefault="00105B89" w:rsidP="00105B89">
      <w:pPr>
        <w:pStyle w:val="a9"/>
        <w:numPr>
          <w:ilvl w:val="0"/>
          <w:numId w:val="2"/>
        </w:numPr>
        <w:spacing w:line="360" w:lineRule="auto"/>
        <w:jc w:val="both"/>
        <w:rPr>
          <w:rFonts w:ascii="David" w:hAnsi="David"/>
        </w:rPr>
      </w:pPr>
      <w:r>
        <w:rPr>
          <w:rFonts w:ascii="David" w:hAnsi="David" w:hint="cs"/>
          <w:rtl/>
        </w:rPr>
        <w:t xml:space="preserve">בהתחשב בכך שרשויות המדינה אישרו לנאשם שימוש בקנבוס ברישיון וכן להמשיך ולהחזיק ברישיון נהיגה, ועל מנת לאפשר לנאשם להתנייד לשם עבודתו, אני פוסל את הנאשם מלהחזיק ברישיון נהיגה למשך 6 חודשים וזאת על תנאי שלא יעבור עבירה כלשהי על </w:t>
      </w:r>
      <w:hyperlink r:id="rId35" w:history="1">
        <w:r w:rsidR="00DD6ACF" w:rsidRPr="00DD6ACF">
          <w:rPr>
            <w:rFonts w:ascii="David" w:hAnsi="David"/>
            <w:color w:val="0000FF"/>
            <w:u w:val="single"/>
            <w:rtl/>
          </w:rPr>
          <w:t>פקודת הסמים המסוכנים</w:t>
        </w:r>
      </w:hyperlink>
      <w:r>
        <w:rPr>
          <w:rFonts w:ascii="David" w:hAnsi="David" w:hint="cs"/>
          <w:rtl/>
        </w:rPr>
        <w:t xml:space="preserve"> במשך שלוש שנים מהיום. </w:t>
      </w:r>
    </w:p>
    <w:p w14:paraId="062C23E3" w14:textId="77777777" w:rsidR="00105B89" w:rsidRPr="00045342" w:rsidRDefault="00105B89" w:rsidP="00105B89">
      <w:pPr>
        <w:pStyle w:val="a9"/>
        <w:jc w:val="both"/>
        <w:rPr>
          <w:rFonts w:ascii="David" w:hAnsi="David"/>
          <w:rtl/>
        </w:rPr>
      </w:pPr>
    </w:p>
    <w:p w14:paraId="6669826B" w14:textId="77777777" w:rsidR="00105B89" w:rsidRPr="00686B2E" w:rsidRDefault="00105B89" w:rsidP="00105B89">
      <w:pPr>
        <w:pStyle w:val="a9"/>
        <w:numPr>
          <w:ilvl w:val="0"/>
          <w:numId w:val="2"/>
        </w:numPr>
        <w:spacing w:line="360" w:lineRule="auto"/>
        <w:jc w:val="both"/>
        <w:rPr>
          <w:rFonts w:ascii="David" w:hAnsi="David"/>
          <w:rtl/>
        </w:rPr>
      </w:pPr>
      <w:r w:rsidRPr="00686B2E">
        <w:rPr>
          <w:rFonts w:ascii="David" w:hAnsi="David"/>
          <w:rtl/>
        </w:rPr>
        <w:t xml:space="preserve">ניתן צו להשמדת </w:t>
      </w:r>
      <w:r>
        <w:rPr>
          <w:rFonts w:ascii="David" w:hAnsi="David" w:hint="cs"/>
          <w:rtl/>
        </w:rPr>
        <w:t>הסמים והכלים השונים אשר שימשו לשם הגידול</w:t>
      </w:r>
      <w:r w:rsidRPr="00686B2E">
        <w:rPr>
          <w:rFonts w:ascii="David" w:hAnsi="David"/>
          <w:rtl/>
        </w:rPr>
        <w:t xml:space="preserve">. </w:t>
      </w:r>
      <w:r>
        <w:rPr>
          <w:rFonts w:ascii="David" w:hAnsi="David" w:hint="cs"/>
          <w:rtl/>
        </w:rPr>
        <w:t xml:space="preserve">מוצגים אחרים ובהם הרכוש המפורט בבקשת החילוט, יושבו לידי הנאשם. </w:t>
      </w:r>
      <w:r w:rsidRPr="00686B2E">
        <w:rPr>
          <w:rFonts w:ascii="David" w:hAnsi="David"/>
          <w:rtl/>
        </w:rPr>
        <w:t xml:space="preserve"> </w:t>
      </w:r>
    </w:p>
    <w:p w14:paraId="78BD4398" w14:textId="77777777" w:rsidR="00105B89" w:rsidRDefault="00105B89" w:rsidP="00105B89">
      <w:pPr>
        <w:pStyle w:val="a9"/>
        <w:spacing w:line="360" w:lineRule="auto"/>
        <w:ind w:left="1080"/>
        <w:jc w:val="both"/>
        <w:rPr>
          <w:rFonts w:ascii="David" w:hAnsi="David"/>
          <w:rtl/>
        </w:rPr>
      </w:pPr>
    </w:p>
    <w:p w14:paraId="0FD720AC" w14:textId="77777777" w:rsidR="00105B89" w:rsidRPr="007D09F4" w:rsidRDefault="00105B89" w:rsidP="00105B89">
      <w:pPr>
        <w:pStyle w:val="a9"/>
        <w:spacing w:line="360" w:lineRule="auto"/>
        <w:jc w:val="both"/>
        <w:rPr>
          <w:rFonts w:ascii="David" w:hAnsi="David"/>
          <w:u w:val="single"/>
        </w:rPr>
      </w:pPr>
      <w:r>
        <w:rPr>
          <w:rFonts w:ascii="David" w:hAnsi="David"/>
          <w:rtl/>
        </w:rPr>
        <w:t xml:space="preserve">זכות ערעור כחוק לבית המשפט המחוזי. </w:t>
      </w:r>
      <w:r w:rsidRPr="007D09F4">
        <w:rPr>
          <w:rFonts w:ascii="David" w:hAnsi="David"/>
          <w:u w:val="single"/>
          <w:rtl/>
        </w:rPr>
        <w:t xml:space="preserve"> </w:t>
      </w:r>
    </w:p>
    <w:p w14:paraId="4B0D231A" w14:textId="77777777" w:rsidR="00105B89" w:rsidRDefault="00105B89" w:rsidP="00105B89">
      <w:pPr>
        <w:rPr>
          <w:rtl/>
        </w:rPr>
      </w:pPr>
    </w:p>
    <w:p w14:paraId="52087443" w14:textId="77777777" w:rsidR="00105B89" w:rsidRDefault="00105B89" w:rsidP="00105B89">
      <w:pPr>
        <w:rPr>
          <w:rtl/>
        </w:rPr>
      </w:pPr>
    </w:p>
    <w:p w14:paraId="296103AF" w14:textId="77777777" w:rsidR="00105B89" w:rsidRPr="00DD6ACF" w:rsidRDefault="00DD6ACF" w:rsidP="00105B89">
      <w:pPr>
        <w:rPr>
          <w:color w:val="FFFFFF"/>
          <w:sz w:val="2"/>
          <w:szCs w:val="2"/>
          <w:rtl/>
        </w:rPr>
      </w:pPr>
      <w:r w:rsidRPr="00DD6ACF">
        <w:rPr>
          <w:color w:val="FFFFFF"/>
          <w:sz w:val="2"/>
          <w:szCs w:val="2"/>
          <w:rtl/>
        </w:rPr>
        <w:t>5129371</w:t>
      </w:r>
    </w:p>
    <w:p w14:paraId="09D72625" w14:textId="77777777" w:rsidR="00105B89" w:rsidRPr="00250B83" w:rsidRDefault="00DD6ACF" w:rsidP="00105B89">
      <w:pPr>
        <w:rPr>
          <w:rtl/>
        </w:rPr>
      </w:pPr>
      <w:bookmarkStart w:id="8" w:name="Nitan"/>
      <w:r w:rsidRPr="00DD6ACF">
        <w:rPr>
          <w:rFonts w:ascii="Arial" w:hAnsi="Arial"/>
          <w:color w:val="FFFFFF"/>
          <w:sz w:val="2"/>
          <w:szCs w:val="2"/>
          <w:rtl/>
        </w:rPr>
        <w:t>54678313</w:t>
      </w:r>
      <w:r>
        <w:rPr>
          <w:rFonts w:ascii="Arial" w:hAnsi="Arial"/>
          <w:rtl/>
        </w:rPr>
        <w:t xml:space="preserve">ניתן היום,  י' טבת תשפ"ב, 14 דצמבר 2021, במעמד הצדדים. </w:t>
      </w:r>
      <w:bookmarkEnd w:id="8"/>
    </w:p>
    <w:p w14:paraId="1DDF1D8E" w14:textId="77777777" w:rsidR="00105B89" w:rsidRPr="00250B83" w:rsidRDefault="00105B89" w:rsidP="00DD6AC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37D8856" w14:textId="77777777" w:rsidR="00105B89" w:rsidRPr="00250B83" w:rsidRDefault="00105B89" w:rsidP="00105B89">
      <w:pPr>
        <w:jc w:val="center"/>
        <w:rPr>
          <w:rFonts w:ascii="Arial" w:hAnsi="Arial"/>
          <w:rtl/>
        </w:rPr>
      </w:pPr>
    </w:p>
    <w:p w14:paraId="51E4041D" w14:textId="77777777" w:rsidR="00105B89" w:rsidRPr="00250B83" w:rsidRDefault="00105B89" w:rsidP="00105B89">
      <w:pPr>
        <w:rPr>
          <w:rtl/>
        </w:rPr>
      </w:pPr>
    </w:p>
    <w:p w14:paraId="337EA135" w14:textId="77777777" w:rsidR="00105B89" w:rsidRPr="006604C9" w:rsidRDefault="006604C9" w:rsidP="00105B89">
      <w:pPr>
        <w:pStyle w:val="a3"/>
        <w:jc w:val="center"/>
        <w:rPr>
          <w:color w:val="FFFFFF"/>
          <w:sz w:val="2"/>
          <w:szCs w:val="2"/>
          <w:rtl/>
        </w:rPr>
      </w:pPr>
      <w:r w:rsidRPr="006604C9">
        <w:rPr>
          <w:color w:val="FFFFFF"/>
          <w:sz w:val="2"/>
          <w:szCs w:val="2"/>
          <w:rtl/>
        </w:rPr>
        <w:t>5129371</w:t>
      </w:r>
    </w:p>
    <w:p w14:paraId="1BFB2B79" w14:textId="77777777" w:rsidR="001A009D" w:rsidRPr="006604C9" w:rsidRDefault="006604C9" w:rsidP="00DD6ACF">
      <w:pPr>
        <w:keepNext/>
        <w:rPr>
          <w:rFonts w:ascii="David" w:hAnsi="David"/>
          <w:color w:val="FFFFFF"/>
          <w:sz w:val="2"/>
          <w:szCs w:val="2"/>
          <w:rtl/>
        </w:rPr>
      </w:pPr>
      <w:r w:rsidRPr="006604C9">
        <w:rPr>
          <w:rFonts w:ascii="David" w:hAnsi="David"/>
          <w:color w:val="FFFFFF"/>
          <w:sz w:val="2"/>
          <w:szCs w:val="2"/>
          <w:rtl/>
        </w:rPr>
        <w:t>54678313</w:t>
      </w:r>
    </w:p>
    <w:p w14:paraId="0DBF83CC" w14:textId="77777777" w:rsidR="00DD6ACF" w:rsidRPr="00DD6ACF" w:rsidRDefault="00DD6ACF" w:rsidP="00DD6ACF">
      <w:pPr>
        <w:keepNext/>
        <w:rPr>
          <w:rFonts w:ascii="David" w:hAnsi="David"/>
          <w:color w:val="000000"/>
          <w:sz w:val="22"/>
          <w:szCs w:val="22"/>
          <w:rtl/>
        </w:rPr>
      </w:pPr>
      <w:r w:rsidRPr="00DD6ACF">
        <w:rPr>
          <w:rFonts w:ascii="David" w:hAnsi="David"/>
          <w:color w:val="000000"/>
          <w:sz w:val="22"/>
          <w:szCs w:val="22"/>
          <w:rtl/>
        </w:rPr>
        <w:t>איתן קורנהאוזר 54678313</w:t>
      </w:r>
    </w:p>
    <w:p w14:paraId="072FDD7D" w14:textId="77777777" w:rsidR="00DD6ACF" w:rsidRDefault="00DD6ACF" w:rsidP="00DD6ACF">
      <w:r w:rsidRPr="00DD6ACF">
        <w:rPr>
          <w:color w:val="000000"/>
          <w:rtl/>
        </w:rPr>
        <w:t>נוסח מסמך זה כפוף לשינויי ניסוח ועריכה</w:t>
      </w:r>
    </w:p>
    <w:p w14:paraId="5250B69C" w14:textId="77777777" w:rsidR="00DD6ACF" w:rsidRDefault="00DD6ACF" w:rsidP="00DD6ACF">
      <w:pPr>
        <w:rPr>
          <w:rtl/>
        </w:rPr>
      </w:pPr>
    </w:p>
    <w:p w14:paraId="7D7A7355" w14:textId="77777777" w:rsidR="00DD6ACF" w:rsidRDefault="00DD6ACF" w:rsidP="00DD6AC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DA77CF6" w14:textId="77777777" w:rsidR="006604C9" w:rsidRPr="006604C9" w:rsidRDefault="006604C9" w:rsidP="006604C9">
      <w:pPr>
        <w:keepNext/>
        <w:rPr>
          <w:rFonts w:ascii="David" w:hAnsi="David"/>
          <w:color w:val="000000"/>
          <w:sz w:val="22"/>
          <w:szCs w:val="22"/>
          <w:rtl/>
        </w:rPr>
      </w:pPr>
    </w:p>
    <w:sectPr w:rsidR="006604C9" w:rsidRPr="006604C9" w:rsidSect="006604C9">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E5008" w14:textId="77777777" w:rsidR="00041EF3" w:rsidRDefault="00041EF3" w:rsidP="00996046">
      <w:r>
        <w:separator/>
      </w:r>
    </w:p>
  </w:endnote>
  <w:endnote w:type="continuationSeparator" w:id="0">
    <w:p w14:paraId="2876CCA7" w14:textId="77777777" w:rsidR="00041EF3" w:rsidRDefault="00041EF3" w:rsidP="0099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A61D" w14:textId="77777777" w:rsidR="006604C9" w:rsidRDefault="006604C9" w:rsidP="006604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C87EB9" w14:textId="77777777" w:rsidR="003A77A9" w:rsidRPr="006604C9" w:rsidRDefault="006604C9" w:rsidP="006604C9">
    <w:pPr>
      <w:pStyle w:val="a5"/>
      <w:pBdr>
        <w:top w:val="single" w:sz="4" w:space="1" w:color="auto"/>
        <w:between w:val="single" w:sz="4" w:space="0" w:color="auto"/>
      </w:pBdr>
      <w:spacing w:after="60"/>
      <w:jc w:val="center"/>
      <w:rPr>
        <w:rFonts w:ascii="FrankRuehl" w:hAnsi="FrankRuehl" w:cs="FrankRuehl"/>
        <w:color w:val="000000"/>
      </w:rPr>
    </w:pPr>
    <w:r w:rsidRPr="006604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B1EA7" w14:textId="77777777" w:rsidR="006604C9" w:rsidRDefault="006604C9" w:rsidP="006604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1F3E">
      <w:rPr>
        <w:rFonts w:ascii="FrankRuehl" w:hAnsi="FrankRuehl" w:cs="FrankRuehl"/>
        <w:noProof/>
        <w:rtl/>
      </w:rPr>
      <w:t>1</w:t>
    </w:r>
    <w:r>
      <w:rPr>
        <w:rFonts w:ascii="FrankRuehl" w:hAnsi="FrankRuehl" w:cs="FrankRuehl"/>
        <w:rtl/>
      </w:rPr>
      <w:fldChar w:fldCharType="end"/>
    </w:r>
  </w:p>
  <w:p w14:paraId="7DF3D903" w14:textId="77777777" w:rsidR="003A77A9" w:rsidRPr="006604C9" w:rsidRDefault="006604C9" w:rsidP="006604C9">
    <w:pPr>
      <w:pStyle w:val="a5"/>
      <w:pBdr>
        <w:top w:val="single" w:sz="4" w:space="1" w:color="auto"/>
        <w:between w:val="single" w:sz="4" w:space="0" w:color="auto"/>
      </w:pBdr>
      <w:spacing w:after="60"/>
      <w:jc w:val="center"/>
      <w:rPr>
        <w:rFonts w:ascii="FrankRuehl" w:hAnsi="FrankRuehl" w:cs="FrankRuehl"/>
        <w:color w:val="000000"/>
      </w:rPr>
    </w:pPr>
    <w:r w:rsidRPr="006604C9">
      <w:rPr>
        <w:rFonts w:ascii="FrankRuehl" w:hAnsi="FrankRuehl" w:cs="FrankRuehl"/>
        <w:color w:val="000000"/>
      </w:rPr>
      <w:pict w14:anchorId="7F5CC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876C1" w14:textId="77777777" w:rsidR="00041EF3" w:rsidRDefault="00041EF3" w:rsidP="00996046">
      <w:r>
        <w:separator/>
      </w:r>
    </w:p>
  </w:footnote>
  <w:footnote w:type="continuationSeparator" w:id="0">
    <w:p w14:paraId="0BB16A88" w14:textId="77777777" w:rsidR="00041EF3" w:rsidRDefault="00041EF3" w:rsidP="0099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1B8B6" w14:textId="77777777" w:rsidR="00DD6ACF" w:rsidRPr="006604C9" w:rsidRDefault="006604C9" w:rsidP="006604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516-03-20</w:t>
    </w:r>
    <w:r>
      <w:rPr>
        <w:rFonts w:ascii="David" w:hAnsi="David"/>
        <w:color w:val="000000"/>
        <w:sz w:val="22"/>
        <w:szCs w:val="22"/>
        <w:rtl/>
      </w:rPr>
      <w:tab/>
      <w:t xml:space="preserve"> מדינת ישראל נ' אריק אנגלנדר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1A842" w14:textId="77777777" w:rsidR="00DD6ACF" w:rsidRPr="006604C9" w:rsidRDefault="006604C9" w:rsidP="006604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516-03-20</w:t>
    </w:r>
    <w:r>
      <w:rPr>
        <w:rFonts w:ascii="David" w:hAnsi="David"/>
        <w:color w:val="000000"/>
        <w:sz w:val="22"/>
        <w:szCs w:val="22"/>
        <w:rtl/>
      </w:rPr>
      <w:tab/>
      <w:t xml:space="preserve"> מדינת ישראל נ' אריק אנגלנדר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37B"/>
    <w:multiLevelType w:val="hybridMultilevel"/>
    <w:tmpl w:val="C3761B94"/>
    <w:lvl w:ilvl="0" w:tplc="634A9D92">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174D1"/>
    <w:multiLevelType w:val="hybridMultilevel"/>
    <w:tmpl w:val="0FC2EF74"/>
    <w:lvl w:ilvl="0" w:tplc="BABAE0D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09422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6203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B89"/>
    <w:rsid w:val="00041EF3"/>
    <w:rsid w:val="00105B89"/>
    <w:rsid w:val="001A009D"/>
    <w:rsid w:val="001B5A3B"/>
    <w:rsid w:val="002F0CD5"/>
    <w:rsid w:val="003137CA"/>
    <w:rsid w:val="0038272D"/>
    <w:rsid w:val="003A77A9"/>
    <w:rsid w:val="005237CB"/>
    <w:rsid w:val="005A3FFB"/>
    <w:rsid w:val="006604C9"/>
    <w:rsid w:val="0078306A"/>
    <w:rsid w:val="00856D31"/>
    <w:rsid w:val="00996046"/>
    <w:rsid w:val="00DD6ACF"/>
    <w:rsid w:val="00EF020A"/>
    <w:rsid w:val="00F0419D"/>
    <w:rsid w:val="00FA1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66C043"/>
  <w15:chartTrackingRefBased/>
  <w15:docId w15:val="{C7EEBB0F-B4D0-4F72-A9DA-70C11F3F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5B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5B89"/>
    <w:pPr>
      <w:tabs>
        <w:tab w:val="center" w:pos="4153"/>
        <w:tab w:val="right" w:pos="8306"/>
      </w:tabs>
    </w:pPr>
  </w:style>
  <w:style w:type="character" w:customStyle="1" w:styleId="a4">
    <w:name w:val="כותרת עליונה תו"/>
    <w:link w:val="a3"/>
    <w:rsid w:val="00105B89"/>
    <w:rPr>
      <w:rFonts w:ascii="Times New Roman" w:eastAsia="Times New Roman" w:hAnsi="Times New Roman" w:cs="David"/>
      <w:sz w:val="24"/>
      <w:szCs w:val="24"/>
    </w:rPr>
  </w:style>
  <w:style w:type="paragraph" w:styleId="a5">
    <w:name w:val="footer"/>
    <w:basedOn w:val="a"/>
    <w:link w:val="a6"/>
    <w:rsid w:val="00105B89"/>
    <w:pPr>
      <w:tabs>
        <w:tab w:val="center" w:pos="4153"/>
        <w:tab w:val="right" w:pos="8306"/>
      </w:tabs>
    </w:pPr>
  </w:style>
  <w:style w:type="character" w:customStyle="1" w:styleId="a6">
    <w:name w:val="כותרת תחתונה תו"/>
    <w:link w:val="a5"/>
    <w:rsid w:val="00105B89"/>
    <w:rPr>
      <w:rFonts w:ascii="Times New Roman" w:eastAsia="Times New Roman" w:hAnsi="Times New Roman" w:cs="David"/>
      <w:sz w:val="24"/>
      <w:szCs w:val="24"/>
    </w:rPr>
  </w:style>
  <w:style w:type="table" w:styleId="a7">
    <w:name w:val="Table Grid"/>
    <w:basedOn w:val="a1"/>
    <w:rsid w:val="00105B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5B89"/>
  </w:style>
  <w:style w:type="paragraph" w:styleId="a9">
    <w:name w:val="List Paragraph"/>
    <w:basedOn w:val="a"/>
    <w:qFormat/>
    <w:rsid w:val="00105B89"/>
    <w:pPr>
      <w:ind w:left="720"/>
      <w:contextualSpacing/>
    </w:pPr>
  </w:style>
  <w:style w:type="character" w:styleId="Hyperlink">
    <w:name w:val="Hyperlink"/>
    <w:rsid w:val="00DD6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4216/1" TargetMode="External"/><Relationship Id="rId26" Type="http://schemas.openxmlformats.org/officeDocument/2006/relationships/hyperlink" Target="http://www.nevo.co.il/case/23858961" TargetMode="External"/><Relationship Id="rId39" Type="http://schemas.openxmlformats.org/officeDocument/2006/relationships/footer" Target="footer1.xml"/><Relationship Id="rId21" Type="http://schemas.openxmlformats.org/officeDocument/2006/relationships/hyperlink" Target="http://www.nevo.co.il/case/21021181"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a" TargetMode="External"/><Relationship Id="rId20" Type="http://schemas.openxmlformats.org/officeDocument/2006/relationships/hyperlink" Target="http://www.nevo.co.il/law/4216/1T" TargetMode="External"/><Relationship Id="rId29" Type="http://schemas.openxmlformats.org/officeDocument/2006/relationships/hyperlink" Target="http://www.nevo.co.il/law/4216/36a.b"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case/27517511" TargetMode="External"/><Relationship Id="rId32" Type="http://schemas.openxmlformats.org/officeDocument/2006/relationships/hyperlink" Target="http://www.nevo.co.il/case/1865386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096407" TargetMode="External"/><Relationship Id="rId28" Type="http://schemas.openxmlformats.org/officeDocument/2006/relationships/hyperlink" Target="http://www.nevo.co.il/case/2011170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6"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021816" TargetMode="External"/><Relationship Id="rId4" Type="http://schemas.openxmlformats.org/officeDocument/2006/relationships/webSettings" Target="webSettings.xml"/><Relationship Id="rId9" Type="http://schemas.openxmlformats.org/officeDocument/2006/relationships/hyperlink" Target="http://www.nevo.co.il/law/4216/1T"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6375569" TargetMode="External"/><Relationship Id="rId27" Type="http://schemas.openxmlformats.org/officeDocument/2006/relationships/hyperlink" Target="http://www.nevo.co.il/case/22505600"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345651" TargetMode="External"/><Relationship Id="rId33" Type="http://schemas.openxmlformats.org/officeDocument/2006/relationships/hyperlink" Target="http://www.nevo.co.il/law/42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3166</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18959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3276913</vt:i4>
      </vt:variant>
      <vt:variant>
        <vt:i4>75</vt:i4>
      </vt:variant>
      <vt:variant>
        <vt:i4>0</vt:i4>
      </vt:variant>
      <vt:variant>
        <vt:i4>5</vt:i4>
      </vt:variant>
      <vt:variant>
        <vt:lpwstr>http://www.nevo.co.il/case/18653868</vt:lpwstr>
      </vt:variant>
      <vt:variant>
        <vt:lpwstr/>
      </vt:variant>
      <vt:variant>
        <vt:i4>3276920</vt:i4>
      </vt:variant>
      <vt:variant>
        <vt:i4>72</vt:i4>
      </vt:variant>
      <vt:variant>
        <vt:i4>0</vt:i4>
      </vt:variant>
      <vt:variant>
        <vt:i4>5</vt:i4>
      </vt:variant>
      <vt:variant>
        <vt:lpwstr>http://www.nevo.co.il/case/26021816</vt:lpwstr>
      </vt:variant>
      <vt:variant>
        <vt:lpwstr/>
      </vt:variant>
      <vt:variant>
        <vt:i4>8257637</vt:i4>
      </vt:variant>
      <vt:variant>
        <vt:i4>69</vt:i4>
      </vt:variant>
      <vt:variant>
        <vt:i4>0</vt:i4>
      </vt:variant>
      <vt:variant>
        <vt:i4>5</vt:i4>
      </vt:variant>
      <vt:variant>
        <vt:lpwstr>http://www.nevo.co.il/law/4216</vt:lpwstr>
      </vt:variant>
      <vt:variant>
        <vt:lpwstr/>
      </vt:variant>
      <vt:variant>
        <vt:i4>5111890</vt:i4>
      </vt:variant>
      <vt:variant>
        <vt:i4>66</vt:i4>
      </vt:variant>
      <vt:variant>
        <vt:i4>0</vt:i4>
      </vt:variant>
      <vt:variant>
        <vt:i4>5</vt:i4>
      </vt:variant>
      <vt:variant>
        <vt:lpwstr>http://www.nevo.co.il/law/4216/36a.b</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3276912</vt:i4>
      </vt:variant>
      <vt:variant>
        <vt:i4>60</vt:i4>
      </vt:variant>
      <vt:variant>
        <vt:i4>0</vt:i4>
      </vt:variant>
      <vt:variant>
        <vt:i4>5</vt:i4>
      </vt:variant>
      <vt:variant>
        <vt:lpwstr>http://www.nevo.co.il/case/22505600</vt:lpwstr>
      </vt:variant>
      <vt:variant>
        <vt:lpwstr/>
      </vt:variant>
      <vt:variant>
        <vt:i4>3407995</vt:i4>
      </vt:variant>
      <vt:variant>
        <vt:i4>57</vt:i4>
      </vt:variant>
      <vt:variant>
        <vt:i4>0</vt:i4>
      </vt:variant>
      <vt:variant>
        <vt:i4>5</vt:i4>
      </vt:variant>
      <vt:variant>
        <vt:lpwstr>http://www.nevo.co.il/case/23858961</vt:lpwstr>
      </vt:variant>
      <vt:variant>
        <vt:lpwstr/>
      </vt:variant>
      <vt:variant>
        <vt:i4>3211378</vt:i4>
      </vt:variant>
      <vt:variant>
        <vt:i4>54</vt:i4>
      </vt:variant>
      <vt:variant>
        <vt:i4>0</vt:i4>
      </vt:variant>
      <vt:variant>
        <vt:i4>5</vt:i4>
      </vt:variant>
      <vt:variant>
        <vt:lpwstr>http://www.nevo.co.il/case/24345651</vt:lpwstr>
      </vt:variant>
      <vt:variant>
        <vt:lpwstr/>
      </vt:variant>
      <vt:variant>
        <vt:i4>3211383</vt:i4>
      </vt:variant>
      <vt:variant>
        <vt:i4>51</vt:i4>
      </vt:variant>
      <vt:variant>
        <vt:i4>0</vt:i4>
      </vt:variant>
      <vt:variant>
        <vt:i4>5</vt:i4>
      </vt:variant>
      <vt:variant>
        <vt:lpwstr>http://www.nevo.co.il/case/27517511</vt:lpwstr>
      </vt:variant>
      <vt:variant>
        <vt:lpwstr/>
      </vt:variant>
      <vt:variant>
        <vt:i4>3932274</vt:i4>
      </vt:variant>
      <vt:variant>
        <vt:i4>48</vt:i4>
      </vt:variant>
      <vt:variant>
        <vt:i4>0</vt:i4>
      </vt:variant>
      <vt:variant>
        <vt:i4>5</vt:i4>
      </vt:variant>
      <vt:variant>
        <vt:lpwstr>http://www.nevo.co.il/case/6096407</vt:lpwstr>
      </vt:variant>
      <vt:variant>
        <vt:lpwstr/>
      </vt:variant>
      <vt:variant>
        <vt:i4>3276912</vt:i4>
      </vt:variant>
      <vt:variant>
        <vt:i4>45</vt:i4>
      </vt:variant>
      <vt:variant>
        <vt:i4>0</vt:i4>
      </vt:variant>
      <vt:variant>
        <vt:i4>5</vt:i4>
      </vt:variant>
      <vt:variant>
        <vt:lpwstr>http://www.nevo.co.il/case/26375569</vt:lpwstr>
      </vt:variant>
      <vt:variant>
        <vt:lpwstr/>
      </vt:variant>
      <vt:variant>
        <vt:i4>3866742</vt:i4>
      </vt:variant>
      <vt:variant>
        <vt:i4>42</vt:i4>
      </vt:variant>
      <vt:variant>
        <vt:i4>0</vt:i4>
      </vt:variant>
      <vt:variant>
        <vt:i4>5</vt:i4>
      </vt:variant>
      <vt:variant>
        <vt:lpwstr>http://www.nevo.co.il/case/21021181</vt:lpwstr>
      </vt:variant>
      <vt:variant>
        <vt:lpwstr/>
      </vt:variant>
      <vt:variant>
        <vt:i4>5177418</vt:i4>
      </vt:variant>
      <vt:variant>
        <vt:i4>39</vt:i4>
      </vt:variant>
      <vt:variant>
        <vt:i4>0</vt:i4>
      </vt:variant>
      <vt:variant>
        <vt:i4>5</vt:i4>
      </vt:variant>
      <vt:variant>
        <vt:lpwstr>http://www.nevo.co.il/law/4216/1T</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4915208</vt:i4>
      </vt:variant>
      <vt:variant>
        <vt:i4>27</vt:i4>
      </vt:variant>
      <vt:variant>
        <vt:i4>0</vt:i4>
      </vt:variant>
      <vt:variant>
        <vt:i4>5</vt:i4>
      </vt:variant>
      <vt:variant>
        <vt:lpwstr>http://www.nevo.co.il/law/70301/40i.a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http://www.nevo.co.il/law/4216/1T</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אריק אנגלנדר</vt:lpwstr>
  </property>
  <property fmtid="{D5CDD505-2E9C-101B-9397-08002B2CF9AE}" pid="10" name="LAWYER">
    <vt:lpwstr>ענבר סיימונס;דני גרינברג</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20211214</vt:lpwstr>
  </property>
  <property fmtid="{D5CDD505-2E9C-101B-9397-08002B2CF9AE}" pid="14" name="TYPE_N_DATE">
    <vt:lpwstr>38020211214</vt:lpwstr>
  </property>
  <property fmtid="{D5CDD505-2E9C-101B-9397-08002B2CF9AE}" pid="15" name="WORDNUMPAGES">
    <vt:lpwstr>8</vt:lpwstr>
  </property>
  <property fmtid="{D5CDD505-2E9C-101B-9397-08002B2CF9AE}" pid="16" name="TYPE_ABS_DATE">
    <vt:lpwstr>380020211214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21021181;26375569;6096407;27517511;24345651;23858961;22505600;20111708;26021816;18653868</vt:lpwstr>
  </property>
  <property fmtid="{D5CDD505-2E9C-101B-9397-08002B2CF9AE}" pid="36" name="LAWLISTTMP1">
    <vt:lpwstr>4216/006;001;001T;036a.b</vt:lpwstr>
  </property>
  <property fmtid="{D5CDD505-2E9C-101B-9397-08002B2CF9AE}" pid="37" name="LAWLISTTMP2">
    <vt:lpwstr>70301/040i.a</vt:lpwstr>
  </property>
</Properties>
</file>