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613"/>
        <w:gridCol w:w="543"/>
        <w:gridCol w:w="3035"/>
        <w:gridCol w:w="297"/>
      </w:tblGrid>
      <w:tr w:rsidR="003066E0" w:rsidRPr="00582B4F" w14:paraId="51D552B4" w14:textId="77777777" w:rsidTr="008233DE">
        <w:trPr>
          <w:gridAfter w:val="1"/>
          <w:wAfter w:w="297" w:type="dxa"/>
          <w:trHeight w:hRule="exact" w:val="418"/>
          <w:jc w:val="center"/>
        </w:trPr>
        <w:tc>
          <w:tcPr>
            <w:tcW w:w="8523" w:type="dxa"/>
            <w:gridSpan w:val="4"/>
          </w:tcPr>
          <w:p w14:paraId="164E385F" w14:textId="77777777" w:rsidR="003066E0" w:rsidRPr="00582B4F" w:rsidRDefault="003066E0" w:rsidP="00BE1A97">
            <w:pPr>
              <w:pStyle w:val="a3"/>
              <w:jc w:val="center"/>
              <w:rPr>
                <w:rFonts w:ascii="Tahoma" w:hAnsi="Tahoma"/>
                <w:color w:val="000080"/>
                <w:sz w:val="32"/>
                <w:szCs w:val="32"/>
                <w:rtl/>
              </w:rPr>
            </w:pPr>
            <w:bookmarkStart w:id="0" w:name="LastJudge"/>
            <w:r w:rsidRPr="00582B4F">
              <w:rPr>
                <w:rFonts w:ascii="Tahoma" w:hAnsi="Tahoma"/>
                <w:b/>
                <w:bCs/>
                <w:color w:val="000080"/>
                <w:sz w:val="32"/>
                <w:szCs w:val="32"/>
                <w:rtl/>
              </w:rPr>
              <w:t>בית משפט השלום בתל אביב - יפו</w:t>
            </w:r>
          </w:p>
        </w:tc>
      </w:tr>
      <w:tr w:rsidR="003066E0" w:rsidRPr="00582B4F" w14:paraId="18BD188A" w14:textId="77777777" w:rsidTr="008233DE">
        <w:trPr>
          <w:gridAfter w:val="1"/>
          <w:wAfter w:w="297" w:type="dxa"/>
          <w:trHeight w:val="337"/>
          <w:jc w:val="center"/>
        </w:trPr>
        <w:tc>
          <w:tcPr>
            <w:tcW w:w="4945" w:type="dxa"/>
            <w:gridSpan w:val="2"/>
          </w:tcPr>
          <w:p w14:paraId="7FD29416" w14:textId="77777777" w:rsidR="003066E0" w:rsidRPr="00582B4F" w:rsidRDefault="003066E0" w:rsidP="00BE1A97">
            <w:pPr>
              <w:rPr>
                <w:sz w:val="26"/>
                <w:szCs w:val="26"/>
                <w:rtl/>
              </w:rPr>
            </w:pPr>
            <w:r w:rsidRPr="00582B4F">
              <w:rPr>
                <w:sz w:val="26"/>
                <w:szCs w:val="26"/>
                <w:rtl/>
              </w:rPr>
              <w:t>ת"פ</w:t>
            </w:r>
            <w:r w:rsidRPr="00582B4F">
              <w:rPr>
                <w:rFonts w:hint="cs"/>
                <w:sz w:val="26"/>
                <w:szCs w:val="26"/>
                <w:rtl/>
              </w:rPr>
              <w:t xml:space="preserve"> </w:t>
            </w:r>
            <w:r w:rsidRPr="00582B4F">
              <w:rPr>
                <w:sz w:val="26"/>
                <w:szCs w:val="26"/>
                <w:rtl/>
              </w:rPr>
              <w:t>7660-03-20</w:t>
            </w:r>
            <w:r w:rsidRPr="00582B4F">
              <w:rPr>
                <w:rFonts w:hint="cs"/>
                <w:sz w:val="26"/>
                <w:szCs w:val="26"/>
                <w:rtl/>
              </w:rPr>
              <w:t xml:space="preserve"> </w:t>
            </w:r>
            <w:r w:rsidRPr="00582B4F">
              <w:rPr>
                <w:b/>
                <w:bCs/>
                <w:sz w:val="26"/>
                <w:szCs w:val="26"/>
                <w:rtl/>
              </w:rPr>
              <w:t>מדינת ישראל נ' אסולין</w:t>
            </w:r>
          </w:p>
        </w:tc>
        <w:tc>
          <w:tcPr>
            <w:tcW w:w="3578" w:type="dxa"/>
            <w:gridSpan w:val="2"/>
          </w:tcPr>
          <w:p w14:paraId="4C8801E2" w14:textId="77777777" w:rsidR="003066E0" w:rsidRPr="00582B4F" w:rsidRDefault="003066E0" w:rsidP="00BE1A97">
            <w:pPr>
              <w:pStyle w:val="a3"/>
              <w:jc w:val="right"/>
              <w:rPr>
                <w:rFonts w:cs="FrankRuehl"/>
                <w:sz w:val="28"/>
                <w:szCs w:val="28"/>
                <w:rtl/>
              </w:rPr>
            </w:pPr>
          </w:p>
        </w:tc>
      </w:tr>
      <w:tr w:rsidR="003066E0" w:rsidRPr="00582B4F" w14:paraId="372CF60A" w14:textId="77777777" w:rsidTr="008233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29632D04" w14:textId="77777777" w:rsidR="003066E0" w:rsidRPr="00582B4F" w:rsidRDefault="003066E0" w:rsidP="003066E0">
            <w:pPr>
              <w:spacing w:line="360" w:lineRule="auto"/>
              <w:jc w:val="both"/>
              <w:rPr>
                <w:b/>
                <w:bCs/>
                <w:sz w:val="26"/>
                <w:szCs w:val="26"/>
                <w:rtl/>
              </w:rPr>
            </w:pPr>
            <w:r w:rsidRPr="00582B4F">
              <w:rPr>
                <w:rFonts w:hint="cs"/>
                <w:rtl/>
              </w:rPr>
              <w:t xml:space="preserve"> </w:t>
            </w:r>
            <w:r w:rsidRPr="00582B4F">
              <w:rPr>
                <w:rFonts w:ascii="Arial" w:hAnsi="Arial" w:hint="cs"/>
                <w:b/>
                <w:bCs/>
                <w:sz w:val="26"/>
                <w:szCs w:val="26"/>
                <w:rtl/>
              </w:rPr>
              <w:t>ל</w:t>
            </w:r>
            <w:r w:rsidRPr="00582B4F">
              <w:rPr>
                <w:rFonts w:ascii="Arial" w:hAnsi="Arial"/>
                <w:b/>
                <w:bCs/>
                <w:sz w:val="26"/>
                <w:szCs w:val="26"/>
                <w:rtl/>
              </w:rPr>
              <w:t xml:space="preserve">פני </w:t>
            </w:r>
            <w:r w:rsidRPr="00582B4F">
              <w:rPr>
                <w:rFonts w:ascii="Arial" w:hAnsi="Arial" w:hint="cs"/>
                <w:b/>
                <w:bCs/>
                <w:sz w:val="26"/>
                <w:szCs w:val="26"/>
                <w:rtl/>
              </w:rPr>
              <w:t>כבוד ה</w:t>
            </w:r>
            <w:r w:rsidRPr="00582B4F">
              <w:rPr>
                <w:rFonts w:ascii="Arial" w:hAnsi="Arial"/>
                <w:b/>
                <w:bCs/>
                <w:sz w:val="26"/>
                <w:szCs w:val="26"/>
                <w:rtl/>
              </w:rPr>
              <w:t>שופט</w:t>
            </w:r>
            <w:r w:rsidRPr="00582B4F">
              <w:rPr>
                <w:rFonts w:ascii="Arial" w:hAnsi="Arial" w:hint="cs"/>
                <w:b/>
                <w:bCs/>
                <w:sz w:val="26"/>
                <w:szCs w:val="26"/>
                <w:rtl/>
              </w:rPr>
              <w:t xml:space="preserve"> </w:t>
            </w:r>
            <w:r w:rsidRPr="00582B4F">
              <w:rPr>
                <w:rFonts w:ascii="Arial" w:hAnsi="Arial"/>
                <w:b/>
                <w:bCs/>
                <w:sz w:val="26"/>
                <w:szCs w:val="26"/>
                <w:rtl/>
              </w:rPr>
              <w:t>שאול אבינור</w:t>
            </w:r>
          </w:p>
          <w:p w14:paraId="5CC2C5D9" w14:textId="77777777" w:rsidR="003066E0" w:rsidRPr="00582B4F" w:rsidRDefault="003066E0" w:rsidP="003066E0">
            <w:pPr>
              <w:spacing w:line="360" w:lineRule="auto"/>
              <w:jc w:val="both"/>
              <w:rPr>
                <w:rFonts w:ascii="Arial" w:hAnsi="Arial"/>
                <w:b/>
                <w:bCs/>
                <w:sz w:val="26"/>
                <w:szCs w:val="26"/>
              </w:rPr>
            </w:pPr>
          </w:p>
        </w:tc>
      </w:tr>
      <w:tr w:rsidR="003066E0" w:rsidRPr="00582B4F" w14:paraId="0ED45E4A" w14:textId="77777777" w:rsidTr="008233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52E7C02A" w14:textId="77777777" w:rsidR="003066E0" w:rsidRPr="00582B4F" w:rsidRDefault="003066E0" w:rsidP="003066E0">
            <w:pPr>
              <w:spacing w:line="360" w:lineRule="auto"/>
              <w:jc w:val="both"/>
              <w:rPr>
                <w:rFonts w:ascii="Arial" w:hAnsi="Arial"/>
                <w:b/>
                <w:bCs/>
                <w:sz w:val="26"/>
                <w:szCs w:val="26"/>
              </w:rPr>
            </w:pPr>
            <w:bookmarkStart w:id="1" w:name="FirstAppellant"/>
            <w:bookmarkStart w:id="2" w:name="FirstLawyer"/>
            <w:r w:rsidRPr="00582B4F">
              <w:rPr>
                <w:rFonts w:ascii="Arial" w:hAnsi="Arial" w:hint="cs"/>
                <w:b/>
                <w:bCs/>
                <w:sz w:val="26"/>
                <w:szCs w:val="26"/>
                <w:rtl/>
              </w:rPr>
              <w:t>ה</w:t>
            </w:r>
            <w:r w:rsidRPr="00582B4F">
              <w:rPr>
                <w:rFonts w:ascii="Arial" w:hAnsi="Arial"/>
                <w:b/>
                <w:bCs/>
                <w:sz w:val="26"/>
                <w:szCs w:val="26"/>
                <w:rtl/>
              </w:rPr>
              <w:t>מאשימה</w:t>
            </w:r>
            <w:r w:rsidRPr="00582B4F">
              <w:rPr>
                <w:rFonts w:ascii="Arial" w:hAnsi="Arial" w:hint="cs"/>
                <w:b/>
                <w:bCs/>
                <w:sz w:val="26"/>
                <w:szCs w:val="26"/>
                <w:rtl/>
              </w:rPr>
              <w:t>:</w:t>
            </w:r>
          </w:p>
        </w:tc>
        <w:tc>
          <w:tcPr>
            <w:tcW w:w="4156" w:type="dxa"/>
            <w:gridSpan w:val="2"/>
            <w:tcBorders>
              <w:top w:val="nil"/>
              <w:left w:val="nil"/>
              <w:bottom w:val="nil"/>
              <w:right w:val="nil"/>
            </w:tcBorders>
            <w:shd w:val="clear" w:color="auto" w:fill="auto"/>
          </w:tcPr>
          <w:p w14:paraId="1FC3DFA1" w14:textId="77777777" w:rsidR="003066E0" w:rsidRPr="00582B4F" w:rsidRDefault="003066E0" w:rsidP="003066E0">
            <w:pPr>
              <w:spacing w:line="360" w:lineRule="auto"/>
              <w:rPr>
                <w:b/>
                <w:bCs/>
                <w:sz w:val="26"/>
                <w:szCs w:val="26"/>
                <w:rtl/>
              </w:rPr>
            </w:pPr>
            <w:r w:rsidRPr="00582B4F">
              <w:rPr>
                <w:rFonts w:ascii="Arial" w:hAnsi="Arial"/>
                <w:b/>
                <w:bCs/>
                <w:sz w:val="26"/>
                <w:szCs w:val="26"/>
                <w:rtl/>
              </w:rPr>
              <w:t>מדינת ישראל</w:t>
            </w:r>
          </w:p>
          <w:p w14:paraId="3866EB32" w14:textId="77777777" w:rsidR="003066E0" w:rsidRPr="00582B4F" w:rsidRDefault="003066E0" w:rsidP="003066E0">
            <w:pPr>
              <w:spacing w:line="360" w:lineRule="auto"/>
              <w:rPr>
                <w:sz w:val="26"/>
                <w:szCs w:val="26"/>
              </w:rPr>
            </w:pPr>
            <w:r w:rsidRPr="00582B4F">
              <w:rPr>
                <w:rFonts w:hint="cs"/>
                <w:rtl/>
              </w:rPr>
              <w:t>ע"י ב"כ עו"ד ג'סיקה קובורסי</w:t>
            </w:r>
          </w:p>
        </w:tc>
        <w:tc>
          <w:tcPr>
            <w:tcW w:w="3332" w:type="dxa"/>
            <w:gridSpan w:val="2"/>
            <w:tcBorders>
              <w:top w:val="nil"/>
              <w:left w:val="nil"/>
              <w:bottom w:val="nil"/>
              <w:right w:val="nil"/>
            </w:tcBorders>
            <w:shd w:val="clear" w:color="auto" w:fill="auto"/>
          </w:tcPr>
          <w:p w14:paraId="5F59B07C" w14:textId="77777777" w:rsidR="003066E0" w:rsidRPr="00582B4F" w:rsidRDefault="003066E0" w:rsidP="003066E0">
            <w:pPr>
              <w:spacing w:line="360" w:lineRule="auto"/>
              <w:jc w:val="both"/>
              <w:rPr>
                <w:rFonts w:ascii="Arial" w:hAnsi="Arial"/>
                <w:b/>
                <w:bCs/>
                <w:sz w:val="26"/>
                <w:szCs w:val="26"/>
              </w:rPr>
            </w:pPr>
          </w:p>
        </w:tc>
      </w:tr>
      <w:bookmarkEnd w:id="1"/>
      <w:bookmarkEnd w:id="2"/>
      <w:tr w:rsidR="003066E0" w:rsidRPr="00582B4F" w14:paraId="0EA69BB8" w14:textId="77777777" w:rsidTr="008233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14:paraId="0431FD2D" w14:textId="77777777" w:rsidR="003066E0" w:rsidRPr="00582B4F" w:rsidRDefault="003066E0" w:rsidP="003066E0">
            <w:pPr>
              <w:spacing w:line="360" w:lineRule="auto"/>
              <w:jc w:val="both"/>
              <w:rPr>
                <w:rFonts w:ascii="Arial" w:hAnsi="Arial"/>
                <w:b/>
                <w:bCs/>
                <w:sz w:val="26"/>
                <w:szCs w:val="26"/>
                <w:rtl/>
              </w:rPr>
            </w:pPr>
          </w:p>
        </w:tc>
        <w:tc>
          <w:tcPr>
            <w:tcW w:w="7488" w:type="dxa"/>
            <w:gridSpan w:val="4"/>
            <w:tcBorders>
              <w:top w:val="nil"/>
              <w:left w:val="nil"/>
              <w:bottom w:val="nil"/>
              <w:right w:val="nil"/>
            </w:tcBorders>
            <w:shd w:val="clear" w:color="auto" w:fill="auto"/>
          </w:tcPr>
          <w:p w14:paraId="0CCA54FC" w14:textId="77777777" w:rsidR="003066E0" w:rsidRPr="00582B4F" w:rsidRDefault="003066E0" w:rsidP="003066E0">
            <w:pPr>
              <w:spacing w:line="360" w:lineRule="auto"/>
              <w:jc w:val="center"/>
              <w:rPr>
                <w:rFonts w:ascii="Arial" w:hAnsi="Arial"/>
                <w:b/>
                <w:bCs/>
                <w:sz w:val="26"/>
                <w:szCs w:val="26"/>
                <w:rtl/>
              </w:rPr>
            </w:pPr>
          </w:p>
          <w:p w14:paraId="492AEC69" w14:textId="77777777" w:rsidR="003066E0" w:rsidRPr="00582B4F" w:rsidRDefault="003066E0" w:rsidP="003066E0">
            <w:pPr>
              <w:spacing w:line="360" w:lineRule="auto"/>
              <w:jc w:val="center"/>
              <w:rPr>
                <w:rFonts w:ascii="Arial" w:hAnsi="Arial"/>
                <w:b/>
                <w:bCs/>
                <w:sz w:val="26"/>
                <w:szCs w:val="26"/>
                <w:rtl/>
              </w:rPr>
            </w:pPr>
          </w:p>
          <w:p w14:paraId="0EBC6013" w14:textId="77777777" w:rsidR="003066E0" w:rsidRPr="00582B4F" w:rsidRDefault="003066E0" w:rsidP="003066E0">
            <w:pPr>
              <w:spacing w:line="360" w:lineRule="auto"/>
              <w:jc w:val="center"/>
              <w:rPr>
                <w:rFonts w:ascii="Arial" w:hAnsi="Arial"/>
                <w:b/>
                <w:bCs/>
                <w:sz w:val="26"/>
                <w:szCs w:val="26"/>
                <w:rtl/>
              </w:rPr>
            </w:pPr>
            <w:r w:rsidRPr="00582B4F">
              <w:rPr>
                <w:rFonts w:ascii="Arial" w:hAnsi="Arial"/>
                <w:b/>
                <w:bCs/>
                <w:sz w:val="26"/>
                <w:szCs w:val="26"/>
                <w:rtl/>
              </w:rPr>
              <w:t>נגד</w:t>
            </w:r>
          </w:p>
          <w:p w14:paraId="6BBE69E7" w14:textId="77777777" w:rsidR="003066E0" w:rsidRPr="00582B4F" w:rsidRDefault="003066E0" w:rsidP="003066E0">
            <w:pPr>
              <w:spacing w:line="360" w:lineRule="auto"/>
              <w:jc w:val="both"/>
              <w:rPr>
                <w:rFonts w:ascii="Arial" w:hAnsi="Arial"/>
                <w:b/>
                <w:bCs/>
                <w:sz w:val="26"/>
                <w:szCs w:val="26"/>
                <w:rtl/>
              </w:rPr>
            </w:pPr>
          </w:p>
          <w:p w14:paraId="02F1BB2F" w14:textId="77777777" w:rsidR="003066E0" w:rsidRPr="00582B4F" w:rsidRDefault="003066E0" w:rsidP="003066E0">
            <w:pPr>
              <w:spacing w:line="360" w:lineRule="auto"/>
              <w:jc w:val="both"/>
              <w:rPr>
                <w:rFonts w:ascii="Arial" w:hAnsi="Arial"/>
                <w:b/>
                <w:bCs/>
                <w:sz w:val="26"/>
                <w:szCs w:val="26"/>
              </w:rPr>
            </w:pPr>
          </w:p>
        </w:tc>
      </w:tr>
      <w:tr w:rsidR="003066E0" w:rsidRPr="00582B4F" w14:paraId="3D66270F" w14:textId="77777777" w:rsidTr="008233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28B0AAAE" w14:textId="77777777" w:rsidR="003066E0" w:rsidRPr="00582B4F" w:rsidRDefault="003066E0" w:rsidP="003066E0">
            <w:pPr>
              <w:spacing w:line="360" w:lineRule="auto"/>
              <w:rPr>
                <w:rFonts w:ascii="Arial" w:hAnsi="Arial"/>
                <w:b/>
                <w:bCs/>
                <w:sz w:val="26"/>
                <w:szCs w:val="26"/>
                <w:rtl/>
              </w:rPr>
            </w:pPr>
            <w:r w:rsidRPr="00582B4F">
              <w:rPr>
                <w:rFonts w:ascii="Arial" w:hAnsi="Arial" w:hint="cs"/>
                <w:b/>
                <w:bCs/>
                <w:sz w:val="26"/>
                <w:szCs w:val="26"/>
                <w:rtl/>
              </w:rPr>
              <w:t>ה</w:t>
            </w:r>
            <w:r w:rsidRPr="00582B4F">
              <w:rPr>
                <w:rFonts w:ascii="Arial" w:hAnsi="Arial"/>
                <w:b/>
                <w:bCs/>
                <w:sz w:val="26"/>
                <w:szCs w:val="26"/>
                <w:rtl/>
              </w:rPr>
              <w:t>נאשם</w:t>
            </w:r>
            <w:r w:rsidRPr="00582B4F">
              <w:rPr>
                <w:rFonts w:ascii="Arial" w:hAnsi="Arial" w:hint="cs"/>
                <w:b/>
                <w:bCs/>
                <w:sz w:val="26"/>
                <w:szCs w:val="26"/>
                <w:rtl/>
              </w:rPr>
              <w:t>:</w:t>
            </w:r>
          </w:p>
        </w:tc>
        <w:tc>
          <w:tcPr>
            <w:tcW w:w="4156" w:type="dxa"/>
            <w:gridSpan w:val="2"/>
            <w:tcBorders>
              <w:top w:val="nil"/>
              <w:left w:val="nil"/>
              <w:bottom w:val="nil"/>
              <w:right w:val="nil"/>
            </w:tcBorders>
            <w:shd w:val="clear" w:color="auto" w:fill="auto"/>
          </w:tcPr>
          <w:p w14:paraId="1C908E9C" w14:textId="77777777" w:rsidR="003066E0" w:rsidRPr="00582B4F" w:rsidRDefault="003066E0" w:rsidP="003066E0">
            <w:pPr>
              <w:spacing w:line="360" w:lineRule="auto"/>
              <w:rPr>
                <w:b/>
                <w:bCs/>
                <w:sz w:val="26"/>
                <w:szCs w:val="26"/>
                <w:rtl/>
              </w:rPr>
            </w:pPr>
            <w:r w:rsidRPr="00582B4F">
              <w:rPr>
                <w:rFonts w:ascii="Arial" w:hAnsi="Arial"/>
                <w:b/>
                <w:bCs/>
                <w:sz w:val="26"/>
                <w:szCs w:val="26"/>
                <w:rtl/>
              </w:rPr>
              <w:t>דוד אסולין</w:t>
            </w:r>
          </w:p>
          <w:p w14:paraId="70BBAF64" w14:textId="77777777" w:rsidR="003066E0" w:rsidRPr="00582B4F" w:rsidRDefault="003066E0" w:rsidP="003066E0">
            <w:pPr>
              <w:spacing w:line="360" w:lineRule="auto"/>
              <w:rPr>
                <w:sz w:val="26"/>
                <w:szCs w:val="26"/>
                <w:rtl/>
              </w:rPr>
            </w:pPr>
            <w:r w:rsidRPr="00582B4F">
              <w:rPr>
                <w:rFonts w:hint="cs"/>
                <w:rtl/>
              </w:rPr>
              <w:t>ע"י ב"כ עו"ד נעמה אלחדד</w:t>
            </w:r>
          </w:p>
        </w:tc>
        <w:tc>
          <w:tcPr>
            <w:tcW w:w="3332" w:type="dxa"/>
            <w:gridSpan w:val="2"/>
            <w:tcBorders>
              <w:top w:val="nil"/>
              <w:left w:val="nil"/>
              <w:bottom w:val="nil"/>
              <w:right w:val="nil"/>
            </w:tcBorders>
            <w:shd w:val="clear" w:color="auto" w:fill="auto"/>
          </w:tcPr>
          <w:p w14:paraId="6B447C6C" w14:textId="77777777" w:rsidR="003066E0" w:rsidRPr="00582B4F" w:rsidRDefault="003066E0" w:rsidP="003066E0">
            <w:pPr>
              <w:spacing w:line="360" w:lineRule="auto"/>
              <w:jc w:val="right"/>
              <w:rPr>
                <w:rFonts w:ascii="Arial" w:hAnsi="Arial"/>
                <w:b/>
                <w:bCs/>
                <w:sz w:val="26"/>
                <w:szCs w:val="26"/>
              </w:rPr>
            </w:pPr>
          </w:p>
        </w:tc>
      </w:tr>
    </w:tbl>
    <w:p w14:paraId="12F52C9D" w14:textId="77777777" w:rsidR="008233DE" w:rsidRDefault="008233DE" w:rsidP="00582B4F">
      <w:pPr>
        <w:spacing w:line="360" w:lineRule="auto"/>
        <w:rPr>
          <w:rtl/>
        </w:rPr>
      </w:pPr>
    </w:p>
    <w:p w14:paraId="62BD456B" w14:textId="77777777" w:rsidR="008233DE" w:rsidRPr="008233DE" w:rsidRDefault="008233DE" w:rsidP="008233DE">
      <w:pPr>
        <w:spacing w:after="120" w:line="240" w:lineRule="exact"/>
        <w:ind w:left="283" w:hanging="283"/>
        <w:jc w:val="both"/>
        <w:rPr>
          <w:rFonts w:ascii="FrankRuehl" w:hAnsi="FrankRuehl" w:cs="FrankRuehl"/>
          <w:rtl/>
        </w:rPr>
      </w:pPr>
    </w:p>
    <w:p w14:paraId="121D1787" w14:textId="77777777" w:rsidR="00074B0C" w:rsidRPr="00074B0C" w:rsidRDefault="00074B0C" w:rsidP="00074B0C">
      <w:pPr>
        <w:spacing w:before="120" w:after="120" w:line="240" w:lineRule="exact"/>
        <w:ind w:left="283" w:hanging="283"/>
        <w:jc w:val="both"/>
        <w:rPr>
          <w:rFonts w:ascii="FrankRuehl" w:hAnsi="FrankRuehl" w:cs="FrankRuehl"/>
          <w:rtl/>
        </w:rPr>
      </w:pPr>
    </w:p>
    <w:p w14:paraId="011C60FA" w14:textId="77777777" w:rsidR="00786810" w:rsidRDefault="00786810" w:rsidP="00786810">
      <w:pPr>
        <w:spacing w:after="120" w:line="240" w:lineRule="exact"/>
        <w:ind w:left="283" w:hanging="283"/>
        <w:jc w:val="both"/>
        <w:rPr>
          <w:rFonts w:ascii="FrankRuehl" w:hAnsi="FrankRuehl" w:cs="FrankRuehl"/>
          <w:rtl/>
        </w:rPr>
      </w:pPr>
      <w:bookmarkStart w:id="3" w:name="LawTable"/>
      <w:bookmarkEnd w:id="3"/>
    </w:p>
    <w:p w14:paraId="38C0FC83" w14:textId="77777777" w:rsidR="00786810" w:rsidRPr="00786810" w:rsidRDefault="00786810" w:rsidP="00786810">
      <w:pPr>
        <w:spacing w:before="120" w:after="120" w:line="240" w:lineRule="exact"/>
        <w:ind w:left="283" w:hanging="283"/>
        <w:jc w:val="both"/>
        <w:rPr>
          <w:rFonts w:ascii="FrankRuehl" w:hAnsi="FrankRuehl" w:cs="FrankRuehl"/>
          <w:rtl/>
        </w:rPr>
      </w:pPr>
    </w:p>
    <w:p w14:paraId="5EA3EF14" w14:textId="77777777" w:rsidR="00786810" w:rsidRPr="00786810" w:rsidRDefault="00786810" w:rsidP="00786810">
      <w:pPr>
        <w:spacing w:before="120" w:after="120" w:line="240" w:lineRule="exact"/>
        <w:ind w:left="283" w:hanging="283"/>
        <w:jc w:val="both"/>
        <w:rPr>
          <w:rFonts w:ascii="FrankRuehl" w:hAnsi="FrankRuehl" w:cs="FrankRuehl"/>
          <w:rtl/>
        </w:rPr>
      </w:pPr>
    </w:p>
    <w:p w14:paraId="5217AE20" w14:textId="77777777" w:rsidR="00786810" w:rsidRPr="00786810" w:rsidRDefault="00786810" w:rsidP="00786810">
      <w:pPr>
        <w:spacing w:before="120" w:after="120" w:line="240" w:lineRule="exact"/>
        <w:ind w:left="283" w:hanging="283"/>
        <w:jc w:val="both"/>
        <w:rPr>
          <w:rFonts w:ascii="FrankRuehl" w:hAnsi="FrankRuehl" w:cs="FrankRuehl"/>
          <w:rtl/>
        </w:rPr>
      </w:pPr>
      <w:r w:rsidRPr="00786810">
        <w:rPr>
          <w:rFonts w:ascii="FrankRuehl" w:hAnsi="FrankRuehl" w:cs="FrankRuehl"/>
          <w:rtl/>
        </w:rPr>
        <w:t xml:space="preserve">חקיקה שאוזכרה: </w:t>
      </w:r>
    </w:p>
    <w:p w14:paraId="717FF5FC" w14:textId="77777777" w:rsidR="00786810" w:rsidRPr="00786810" w:rsidRDefault="00786810" w:rsidP="00786810">
      <w:pPr>
        <w:spacing w:before="120" w:after="120" w:line="240" w:lineRule="exact"/>
        <w:ind w:left="283" w:hanging="283"/>
        <w:jc w:val="both"/>
        <w:rPr>
          <w:rFonts w:ascii="FrankRuehl" w:hAnsi="FrankRuehl" w:cs="FrankRuehl"/>
          <w:rtl/>
        </w:rPr>
      </w:pPr>
      <w:hyperlink r:id="rId7" w:history="1">
        <w:r w:rsidRPr="00786810">
          <w:rPr>
            <w:rFonts w:ascii="FrankRuehl" w:hAnsi="FrankRuehl" w:cs="FrankRuehl"/>
            <w:color w:val="0000FF"/>
            <w:rtl/>
          </w:rPr>
          <w:t>פקודת הסמים המסוכנים [נוסח חדש], תשל"ג-1973</w:t>
        </w:r>
      </w:hyperlink>
      <w:r w:rsidRPr="00786810">
        <w:rPr>
          <w:rFonts w:ascii="FrankRuehl" w:hAnsi="FrankRuehl" w:cs="FrankRuehl"/>
          <w:rtl/>
        </w:rPr>
        <w:t xml:space="preserve">: סע'  </w:t>
      </w:r>
      <w:hyperlink r:id="rId8" w:history="1">
        <w:r w:rsidRPr="00786810">
          <w:rPr>
            <w:rFonts w:ascii="FrankRuehl" w:hAnsi="FrankRuehl" w:cs="FrankRuehl"/>
            <w:color w:val="0000FF"/>
            <w:rtl/>
          </w:rPr>
          <w:t>7(א)</w:t>
        </w:r>
      </w:hyperlink>
      <w:r w:rsidRPr="00786810">
        <w:rPr>
          <w:rFonts w:ascii="FrankRuehl" w:hAnsi="FrankRuehl" w:cs="FrankRuehl"/>
          <w:rtl/>
        </w:rPr>
        <w:t xml:space="preserve">, </w:t>
      </w:r>
      <w:hyperlink r:id="rId9" w:history="1">
        <w:r w:rsidRPr="00786810">
          <w:rPr>
            <w:rFonts w:ascii="FrankRuehl" w:hAnsi="FrankRuehl" w:cs="FrankRuehl"/>
            <w:color w:val="0000FF"/>
            <w:rtl/>
          </w:rPr>
          <w:t>7(ג)</w:t>
        </w:r>
      </w:hyperlink>
    </w:p>
    <w:p w14:paraId="550CC81F" w14:textId="77777777" w:rsidR="00786810" w:rsidRPr="00786810" w:rsidRDefault="00786810" w:rsidP="00786810">
      <w:pPr>
        <w:spacing w:before="120" w:after="120" w:line="240" w:lineRule="exact"/>
        <w:ind w:left="283" w:hanging="283"/>
        <w:jc w:val="both"/>
        <w:rPr>
          <w:rFonts w:ascii="FrankRuehl" w:hAnsi="FrankRuehl" w:cs="FrankRuehl"/>
          <w:rtl/>
        </w:rPr>
      </w:pPr>
      <w:hyperlink r:id="rId10" w:history="1">
        <w:r w:rsidRPr="00786810">
          <w:rPr>
            <w:rFonts w:ascii="FrankRuehl" w:hAnsi="FrankRuehl" w:cs="FrankRuehl"/>
            <w:color w:val="0000FF"/>
            <w:rtl/>
          </w:rPr>
          <w:t>חוק העונשין, תשל"ז-1977</w:t>
        </w:r>
      </w:hyperlink>
      <w:r w:rsidRPr="00786810">
        <w:rPr>
          <w:rFonts w:ascii="FrankRuehl" w:hAnsi="FrankRuehl" w:cs="FrankRuehl"/>
          <w:rtl/>
        </w:rPr>
        <w:t xml:space="preserve">: סע'  </w:t>
      </w:r>
      <w:hyperlink r:id="rId11" w:history="1">
        <w:r w:rsidRPr="00786810">
          <w:rPr>
            <w:rFonts w:ascii="FrankRuehl" w:hAnsi="FrankRuehl" w:cs="FrankRuehl"/>
            <w:color w:val="0000FF"/>
            <w:rtl/>
          </w:rPr>
          <w:t>40ג(א)</w:t>
        </w:r>
      </w:hyperlink>
      <w:r w:rsidRPr="00786810">
        <w:rPr>
          <w:rFonts w:ascii="FrankRuehl" w:hAnsi="FrankRuehl" w:cs="FrankRuehl"/>
          <w:rtl/>
        </w:rPr>
        <w:t xml:space="preserve">, </w:t>
      </w:r>
      <w:hyperlink r:id="rId12" w:history="1">
        <w:r w:rsidRPr="00786810">
          <w:rPr>
            <w:rFonts w:ascii="FrankRuehl" w:hAnsi="FrankRuehl" w:cs="FrankRuehl"/>
            <w:color w:val="0000FF"/>
            <w:rtl/>
          </w:rPr>
          <w:t>40ד</w:t>
        </w:r>
      </w:hyperlink>
      <w:r w:rsidRPr="00786810">
        <w:rPr>
          <w:rFonts w:ascii="FrankRuehl" w:hAnsi="FrankRuehl" w:cs="FrankRuehl"/>
          <w:rtl/>
        </w:rPr>
        <w:t xml:space="preserve">, </w:t>
      </w:r>
      <w:hyperlink r:id="rId13" w:history="1">
        <w:r w:rsidRPr="00786810">
          <w:rPr>
            <w:rFonts w:ascii="FrankRuehl" w:hAnsi="FrankRuehl" w:cs="FrankRuehl"/>
            <w:color w:val="0000FF"/>
            <w:rtl/>
          </w:rPr>
          <w:t>40יא</w:t>
        </w:r>
      </w:hyperlink>
      <w:r w:rsidRPr="00786810">
        <w:rPr>
          <w:rFonts w:ascii="FrankRuehl" w:hAnsi="FrankRuehl" w:cs="FrankRuehl"/>
          <w:rtl/>
        </w:rPr>
        <w:t xml:space="preserve">, </w:t>
      </w:r>
      <w:hyperlink r:id="rId14" w:history="1">
        <w:r w:rsidRPr="00786810">
          <w:rPr>
            <w:rFonts w:ascii="FrankRuehl" w:hAnsi="FrankRuehl" w:cs="FrankRuehl"/>
            <w:color w:val="0000FF"/>
            <w:rtl/>
          </w:rPr>
          <w:t>40יג</w:t>
        </w:r>
      </w:hyperlink>
    </w:p>
    <w:p w14:paraId="6666259A" w14:textId="77777777" w:rsidR="00786810" w:rsidRPr="00786810" w:rsidRDefault="00786810" w:rsidP="00786810">
      <w:pPr>
        <w:spacing w:after="120" w:line="240" w:lineRule="exact"/>
        <w:ind w:left="283" w:hanging="283"/>
        <w:jc w:val="both"/>
        <w:rPr>
          <w:rFonts w:ascii="FrankRuehl" w:hAnsi="FrankRuehl" w:cs="FrankRuehl"/>
          <w:rtl/>
        </w:rPr>
      </w:pPr>
      <w:bookmarkStart w:id="4" w:name="LawTable_End"/>
      <w:bookmarkEnd w:id="4"/>
    </w:p>
    <w:p w14:paraId="77BD64B3" w14:textId="77777777" w:rsidR="008233DE" w:rsidRPr="00074B0C" w:rsidRDefault="008233DE" w:rsidP="00074B0C">
      <w:pPr>
        <w:spacing w:after="120" w:line="240" w:lineRule="exact"/>
        <w:ind w:left="283" w:hanging="283"/>
        <w:jc w:val="both"/>
        <w:rPr>
          <w:rFonts w:ascii="FrankRuehl" w:hAnsi="FrankRuehl" w:cs="FrankRuehl"/>
          <w:rtl/>
        </w:rPr>
      </w:pPr>
    </w:p>
    <w:p w14:paraId="37CD2C7A" w14:textId="77777777" w:rsidR="008233DE" w:rsidRPr="00582B4F" w:rsidRDefault="008233DE" w:rsidP="00582B4F">
      <w:pPr>
        <w:spacing w:after="120" w:line="360" w:lineRule="auto"/>
        <w:jc w:val="center"/>
        <w:rPr>
          <w:rFonts w:ascii="Arial" w:hAnsi="Arial"/>
          <w:b/>
          <w:bCs/>
          <w:sz w:val="36"/>
          <w:szCs w:val="36"/>
          <w:u w:val="single"/>
          <w:rtl/>
        </w:rPr>
      </w:pPr>
      <w:bookmarkStart w:id="5" w:name="PsakDin" w:colFirst="0" w:colLast="0"/>
      <w:bookmarkEnd w:id="0"/>
      <w:r w:rsidRPr="00582B4F">
        <w:rPr>
          <w:rFonts w:ascii="Arial" w:hAnsi="Arial"/>
          <w:b/>
          <w:bCs/>
          <w:sz w:val="36"/>
          <w:szCs w:val="36"/>
          <w:u w:val="single"/>
          <w:rtl/>
        </w:rPr>
        <w:t>גזר דין</w:t>
      </w:r>
    </w:p>
    <w:p w14:paraId="55300B20" w14:textId="77777777" w:rsidR="008233DE" w:rsidRPr="00582B4F" w:rsidRDefault="008233DE" w:rsidP="00582B4F">
      <w:pPr>
        <w:spacing w:after="120" w:line="360" w:lineRule="auto"/>
        <w:jc w:val="center"/>
        <w:rPr>
          <w:rFonts w:ascii="Arial" w:hAnsi="Arial"/>
          <w:b/>
          <w:bCs/>
          <w:sz w:val="36"/>
          <w:szCs w:val="36"/>
          <w:u w:val="single"/>
          <w:rtl/>
        </w:rPr>
      </w:pPr>
    </w:p>
    <w:bookmarkEnd w:id="5"/>
    <w:p w14:paraId="2F27BD6B" w14:textId="77777777" w:rsidR="003066E0" w:rsidRDefault="003066E0" w:rsidP="003066E0">
      <w:pPr>
        <w:spacing w:after="120" w:line="360" w:lineRule="auto"/>
        <w:jc w:val="both"/>
        <w:rPr>
          <w:rFonts w:ascii="David" w:hAnsi="David"/>
          <w:b/>
          <w:bCs/>
          <w:rtl/>
        </w:rPr>
      </w:pPr>
      <w:r>
        <w:rPr>
          <w:rFonts w:ascii="David" w:hAnsi="David"/>
          <w:b/>
          <w:bCs/>
          <w:rtl/>
        </w:rPr>
        <w:t>א.</w:t>
      </w:r>
      <w:r>
        <w:rPr>
          <w:rFonts w:ascii="David" w:hAnsi="David"/>
          <w:b/>
          <w:bCs/>
          <w:rtl/>
        </w:rPr>
        <w:tab/>
      </w:r>
      <w:r>
        <w:rPr>
          <w:rFonts w:ascii="David" w:hAnsi="David"/>
          <w:b/>
          <w:bCs/>
          <w:u w:val="single"/>
          <w:rtl/>
        </w:rPr>
        <w:t>רקע כללי:</w:t>
      </w:r>
    </w:p>
    <w:p w14:paraId="229A6FD7"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bookmarkStart w:id="6" w:name="ABSTRACT_START"/>
      <w:bookmarkEnd w:id="6"/>
      <w:r>
        <w:rPr>
          <w:rFonts w:ascii="David" w:eastAsia="David" w:hAnsi="David"/>
          <w:rtl/>
        </w:rPr>
        <w:t>הנאשם הורשע, על יסוד הודאתו בעובדות כתב האישום בתיק שבכותרת – וכן על יסוד הודאתו בעובדות כתב האישום ב</w:t>
      </w:r>
      <w:hyperlink r:id="rId15" w:history="1">
        <w:r w:rsidR="00582B4F" w:rsidRPr="00582B4F">
          <w:rPr>
            <w:rFonts w:ascii="David" w:eastAsia="David" w:hAnsi="David"/>
            <w:color w:val="0000FF"/>
            <w:u w:val="single"/>
            <w:rtl/>
          </w:rPr>
          <w:t>ת"פ 47899-05-20</w:t>
        </w:r>
      </w:hyperlink>
      <w:r>
        <w:rPr>
          <w:rFonts w:ascii="David" w:eastAsia="David" w:hAnsi="David"/>
          <w:rtl/>
        </w:rPr>
        <w:t xml:space="preserve"> (להלן – התיק המצורף) – בביצוע </w:t>
      </w:r>
      <w:r>
        <w:rPr>
          <w:rFonts w:ascii="David" w:eastAsia="David" w:hAnsi="David" w:hint="cs"/>
          <w:rtl/>
        </w:rPr>
        <w:t xml:space="preserve">שתי </w:t>
      </w:r>
      <w:r>
        <w:rPr>
          <w:rFonts w:ascii="David" w:eastAsia="David" w:hAnsi="David"/>
          <w:rtl/>
        </w:rPr>
        <w:t xml:space="preserve">עבירות של </w:t>
      </w:r>
      <w:r>
        <w:rPr>
          <w:rFonts w:ascii="David" w:eastAsia="David" w:hAnsi="David"/>
          <w:b/>
          <w:bCs/>
          <w:rtl/>
        </w:rPr>
        <w:t>החזקת סמים מסוכנים שלא לצריכה עצמית</w:t>
      </w:r>
      <w:r>
        <w:rPr>
          <w:rFonts w:ascii="David" w:eastAsia="David" w:hAnsi="David"/>
          <w:rtl/>
        </w:rPr>
        <w:t xml:space="preserve">, לפי הוראות </w:t>
      </w:r>
      <w:hyperlink r:id="rId16" w:history="1">
        <w:r w:rsidR="008233DE" w:rsidRPr="008233DE">
          <w:rPr>
            <w:rStyle w:val="Hyperlink"/>
            <w:rFonts w:ascii="David" w:eastAsia="David" w:hAnsi="David"/>
            <w:rtl/>
          </w:rPr>
          <w:t>סעיף 7(א)</w:t>
        </w:r>
      </w:hyperlink>
      <w:r>
        <w:rPr>
          <w:rFonts w:ascii="David" w:eastAsia="David" w:hAnsi="David"/>
          <w:rtl/>
        </w:rPr>
        <w:t xml:space="preserve"> </w:t>
      </w:r>
      <w:hyperlink r:id="rId17" w:history="1">
        <w:r w:rsidR="008233DE" w:rsidRPr="008233DE">
          <w:rPr>
            <w:rStyle w:val="Hyperlink"/>
            <w:rFonts w:ascii="David" w:eastAsia="David" w:hAnsi="David"/>
            <w:rtl/>
          </w:rPr>
          <w:t>וסעיף 7(ג)</w:t>
        </w:r>
      </w:hyperlink>
      <w:r>
        <w:rPr>
          <w:rFonts w:ascii="David" w:eastAsia="David" w:hAnsi="David"/>
          <w:rtl/>
        </w:rPr>
        <w:t xml:space="preserve"> רישא ל</w:t>
      </w:r>
      <w:hyperlink r:id="rId18" w:history="1">
        <w:r w:rsidR="00582B4F" w:rsidRPr="00582B4F">
          <w:rPr>
            <w:rFonts w:ascii="David" w:eastAsia="David" w:hAnsi="David"/>
            <w:color w:val="0000FF"/>
            <w:u w:val="single"/>
            <w:rtl/>
          </w:rPr>
          <w:t>פקודת הסמים המסוכנים</w:t>
        </w:r>
      </w:hyperlink>
      <w:r>
        <w:rPr>
          <w:rFonts w:ascii="David" w:eastAsia="David" w:hAnsi="David"/>
          <w:rtl/>
        </w:rPr>
        <w:t xml:space="preserve"> [נוסח חדש], תשל"ג-1973 (להלן – פקודת הסמים המסוכנים). </w:t>
      </w:r>
    </w:p>
    <w:p w14:paraId="19C146E7"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bookmarkStart w:id="7" w:name="ABSTRACT_END"/>
      <w:bookmarkEnd w:id="7"/>
      <w:r>
        <w:rPr>
          <w:rFonts w:ascii="David" w:eastAsia="David" w:hAnsi="David"/>
          <w:rtl/>
        </w:rPr>
        <w:t>בעובדות כתבי האישום נטען, בתמצית, כלהלן:</w:t>
      </w:r>
    </w:p>
    <w:p w14:paraId="26C9BD73" w14:textId="77777777" w:rsidR="003066E0" w:rsidRDefault="003066E0" w:rsidP="003066E0">
      <w:pPr>
        <w:tabs>
          <w:tab w:val="num" w:pos="1429"/>
        </w:tabs>
        <w:spacing w:after="120" w:line="360" w:lineRule="auto"/>
        <w:ind w:left="720"/>
        <w:jc w:val="both"/>
        <w:rPr>
          <w:rFonts w:ascii="David" w:eastAsia="David" w:hAnsi="David"/>
          <w:b/>
          <w:bCs/>
          <w:u w:val="single"/>
        </w:rPr>
      </w:pPr>
      <w:r>
        <w:rPr>
          <w:rFonts w:ascii="David" w:eastAsia="David" w:hAnsi="David"/>
          <w:b/>
          <w:bCs/>
          <w:u w:val="single"/>
          <w:rtl/>
        </w:rPr>
        <w:t>בתיק העיקרי:</w:t>
      </w:r>
    </w:p>
    <w:p w14:paraId="24759ABA" w14:textId="77777777" w:rsidR="003066E0" w:rsidRDefault="003066E0" w:rsidP="003066E0">
      <w:pPr>
        <w:numPr>
          <w:ilvl w:val="0"/>
          <w:numId w:val="2"/>
        </w:numPr>
        <w:tabs>
          <w:tab w:val="num" w:pos="1429"/>
        </w:tabs>
        <w:spacing w:after="120" w:line="360" w:lineRule="auto"/>
        <w:jc w:val="both"/>
        <w:rPr>
          <w:rFonts w:ascii="David" w:eastAsia="David" w:hAnsi="David"/>
          <w:rtl/>
        </w:rPr>
      </w:pPr>
      <w:r>
        <w:rPr>
          <w:rFonts w:ascii="David" w:eastAsia="David" w:hAnsi="David"/>
          <w:rtl/>
        </w:rPr>
        <w:lastRenderedPageBreak/>
        <w:t>ביום 25.11.2019 בשעה 05:50 או בסמוך לכך, בדיר</w:t>
      </w:r>
      <w:r>
        <w:rPr>
          <w:rFonts w:ascii="David" w:eastAsia="David" w:hAnsi="David" w:hint="cs"/>
          <w:rtl/>
        </w:rPr>
        <w:t>ה</w:t>
      </w:r>
      <w:r>
        <w:rPr>
          <w:rFonts w:ascii="David" w:eastAsia="David" w:hAnsi="David"/>
          <w:rtl/>
        </w:rPr>
        <w:t xml:space="preserve"> בתל-אביב, החזיק הנאשם בחדר השינה ובסלון הדירה סמים מסוכנים מסוג </w:t>
      </w:r>
      <w:r>
        <w:rPr>
          <w:rFonts w:ascii="David" w:eastAsia="David" w:hAnsi="David"/>
          <w:b/>
          <w:bCs/>
          <w:rtl/>
        </w:rPr>
        <w:t>קנבוס</w:t>
      </w:r>
      <w:r>
        <w:rPr>
          <w:rFonts w:ascii="David" w:eastAsia="David" w:hAnsi="David"/>
          <w:rtl/>
        </w:rPr>
        <w:t xml:space="preserve"> במשקל</w:t>
      </w:r>
      <w:r>
        <w:rPr>
          <w:rFonts w:ascii="David" w:eastAsia="David" w:hAnsi="David" w:hint="cs"/>
          <w:rtl/>
        </w:rPr>
        <w:t xml:space="preserve"> של</w:t>
      </w:r>
      <w:r>
        <w:rPr>
          <w:rFonts w:ascii="David" w:eastAsia="David" w:hAnsi="David"/>
          <w:rtl/>
        </w:rPr>
        <w:t xml:space="preserve"> </w:t>
      </w:r>
      <w:r>
        <w:rPr>
          <w:rFonts w:ascii="David" w:eastAsia="David" w:hAnsi="David"/>
          <w:b/>
          <w:bCs/>
          <w:rtl/>
        </w:rPr>
        <w:t>566.277</w:t>
      </w:r>
      <w:r>
        <w:rPr>
          <w:rFonts w:ascii="David" w:eastAsia="David" w:hAnsi="David"/>
          <w:rtl/>
        </w:rPr>
        <w:t xml:space="preserve"> גרם נטו. באותן נסיבות החזיק הנאשם, סמים מסוכנים מסוג </w:t>
      </w:r>
      <w:r>
        <w:rPr>
          <w:rFonts w:ascii="David" w:eastAsia="David" w:hAnsi="David"/>
          <w:b/>
          <w:bCs/>
          <w:rtl/>
        </w:rPr>
        <w:t>חשיש</w:t>
      </w:r>
      <w:r>
        <w:rPr>
          <w:rFonts w:ascii="David" w:eastAsia="David" w:hAnsi="David"/>
          <w:rtl/>
        </w:rPr>
        <w:t xml:space="preserve"> במשקל</w:t>
      </w:r>
      <w:r>
        <w:rPr>
          <w:rFonts w:ascii="David" w:eastAsia="David" w:hAnsi="David" w:hint="cs"/>
          <w:rtl/>
        </w:rPr>
        <w:t xml:space="preserve"> של</w:t>
      </w:r>
      <w:r>
        <w:rPr>
          <w:rFonts w:ascii="David" w:eastAsia="David" w:hAnsi="David"/>
          <w:rtl/>
        </w:rPr>
        <w:t xml:space="preserve"> </w:t>
      </w:r>
      <w:r>
        <w:rPr>
          <w:rFonts w:ascii="David" w:eastAsia="David" w:hAnsi="David"/>
          <w:b/>
          <w:bCs/>
          <w:rtl/>
        </w:rPr>
        <w:t xml:space="preserve">1.545 </w:t>
      </w:r>
      <w:r>
        <w:rPr>
          <w:rFonts w:ascii="David" w:eastAsia="David" w:hAnsi="David"/>
          <w:rtl/>
        </w:rPr>
        <w:t xml:space="preserve">גרם נטו. </w:t>
      </w:r>
    </w:p>
    <w:p w14:paraId="4EBDA304" w14:textId="77777777" w:rsidR="003066E0" w:rsidRDefault="003066E0" w:rsidP="003066E0">
      <w:pPr>
        <w:tabs>
          <w:tab w:val="num" w:pos="1429"/>
        </w:tabs>
        <w:spacing w:after="120" w:line="360" w:lineRule="auto"/>
        <w:ind w:left="720"/>
        <w:jc w:val="both"/>
        <w:rPr>
          <w:rFonts w:ascii="David" w:eastAsia="David" w:hAnsi="David"/>
          <w:b/>
          <w:bCs/>
          <w:u w:val="single"/>
        </w:rPr>
      </w:pPr>
      <w:r>
        <w:rPr>
          <w:rFonts w:ascii="David" w:eastAsia="David" w:hAnsi="David"/>
          <w:b/>
          <w:bCs/>
          <w:u w:val="single"/>
          <w:rtl/>
        </w:rPr>
        <w:t>בתיק המצורף:</w:t>
      </w:r>
    </w:p>
    <w:p w14:paraId="5C23BB4D" w14:textId="77777777" w:rsidR="003066E0" w:rsidRDefault="003066E0" w:rsidP="003066E0">
      <w:pPr>
        <w:numPr>
          <w:ilvl w:val="0"/>
          <w:numId w:val="2"/>
        </w:numPr>
        <w:tabs>
          <w:tab w:val="num" w:pos="1429"/>
        </w:tabs>
        <w:spacing w:after="120" w:line="360" w:lineRule="auto"/>
        <w:jc w:val="both"/>
        <w:rPr>
          <w:rFonts w:ascii="David" w:eastAsia="David" w:hAnsi="David"/>
          <w:rtl/>
        </w:rPr>
      </w:pPr>
      <w:r>
        <w:rPr>
          <w:rFonts w:ascii="David" w:eastAsia="David" w:hAnsi="David"/>
          <w:rtl/>
        </w:rPr>
        <w:t>ביום 11.05.2020 בשעה 18:02 או בסמוך לכך, בדיר</w:t>
      </w:r>
      <w:r>
        <w:rPr>
          <w:rFonts w:ascii="David" w:eastAsia="David" w:hAnsi="David" w:hint="cs"/>
          <w:rtl/>
        </w:rPr>
        <w:t>ה</w:t>
      </w:r>
      <w:r>
        <w:rPr>
          <w:rFonts w:ascii="David" w:eastAsia="David" w:hAnsi="David"/>
          <w:rtl/>
        </w:rPr>
        <w:t xml:space="preserve"> בתל-אביב או בסמוך לה</w:t>
      </w:r>
      <w:r>
        <w:rPr>
          <w:rFonts w:ascii="David" w:eastAsia="David" w:hAnsi="David" w:hint="cs"/>
          <w:rtl/>
        </w:rPr>
        <w:t>,</w:t>
      </w:r>
      <w:r>
        <w:rPr>
          <w:rFonts w:ascii="David" w:eastAsia="David" w:hAnsi="David"/>
          <w:rtl/>
        </w:rPr>
        <w:t xml:space="preserve"> החזיק הנאשם על גופו בסמים מסוכנים מסוגים שונים, כלהלן – </w:t>
      </w:r>
    </w:p>
    <w:p w14:paraId="61D5538F" w14:textId="77777777" w:rsidR="003066E0" w:rsidRDefault="003066E0" w:rsidP="003066E0">
      <w:pPr>
        <w:spacing w:after="120" w:line="360" w:lineRule="auto"/>
        <w:ind w:left="2160"/>
        <w:jc w:val="both"/>
        <w:rPr>
          <w:rFonts w:ascii="David" w:eastAsia="David" w:hAnsi="David"/>
        </w:rPr>
      </w:pPr>
      <w:r>
        <w:rPr>
          <w:rFonts w:ascii="David" w:eastAsia="David" w:hAnsi="David"/>
          <w:rtl/>
        </w:rPr>
        <w:t>בכיס מכנסיו הימני</w:t>
      </w:r>
      <w:r>
        <w:rPr>
          <w:rFonts w:ascii="David" w:eastAsia="David" w:hAnsi="David" w:hint="cs"/>
          <w:rtl/>
        </w:rPr>
        <w:t>,</w:t>
      </w:r>
      <w:r>
        <w:rPr>
          <w:rFonts w:ascii="David" w:eastAsia="David" w:hAnsi="David"/>
          <w:rtl/>
        </w:rPr>
        <w:t xml:space="preserve"> שקית ניילון שקופה ובה ס</w:t>
      </w:r>
      <w:r>
        <w:rPr>
          <w:rFonts w:ascii="David" w:eastAsia="David" w:hAnsi="David" w:hint="cs"/>
          <w:rtl/>
        </w:rPr>
        <w:t>מי</w:t>
      </w:r>
      <w:r>
        <w:rPr>
          <w:rFonts w:ascii="David" w:eastAsia="David" w:hAnsi="David"/>
          <w:rtl/>
        </w:rPr>
        <w:t>ם מסוכ</w:t>
      </w:r>
      <w:r>
        <w:rPr>
          <w:rFonts w:ascii="David" w:eastAsia="David" w:hAnsi="David" w:hint="cs"/>
          <w:rtl/>
        </w:rPr>
        <w:t>נים</w:t>
      </w:r>
      <w:r>
        <w:rPr>
          <w:rFonts w:ascii="David" w:eastAsia="David" w:hAnsi="David"/>
          <w:rtl/>
        </w:rPr>
        <w:t xml:space="preserve"> מסוג </w:t>
      </w:r>
      <w:r>
        <w:rPr>
          <w:rFonts w:ascii="David" w:eastAsia="David" w:hAnsi="David"/>
          <w:b/>
          <w:bCs/>
          <w:rtl/>
        </w:rPr>
        <w:t>קנבוס</w:t>
      </w:r>
      <w:r>
        <w:rPr>
          <w:rFonts w:ascii="David" w:eastAsia="David" w:hAnsi="David"/>
          <w:rtl/>
        </w:rPr>
        <w:t xml:space="preserve"> במשקל של </w:t>
      </w:r>
      <w:r>
        <w:rPr>
          <w:rFonts w:ascii="David" w:eastAsia="David" w:hAnsi="David"/>
          <w:b/>
          <w:bCs/>
          <w:rtl/>
        </w:rPr>
        <w:t>7.35</w:t>
      </w:r>
      <w:r>
        <w:rPr>
          <w:rFonts w:ascii="David" w:eastAsia="David" w:hAnsi="David"/>
          <w:rtl/>
        </w:rPr>
        <w:t xml:space="preserve"> גרם נטו.</w:t>
      </w:r>
    </w:p>
    <w:p w14:paraId="4FF385F1" w14:textId="77777777" w:rsidR="003066E0" w:rsidRDefault="003066E0" w:rsidP="003066E0">
      <w:pPr>
        <w:spacing w:after="120" w:line="360" w:lineRule="auto"/>
        <w:ind w:left="2160"/>
        <w:jc w:val="both"/>
        <w:rPr>
          <w:rFonts w:ascii="David" w:eastAsia="David" w:hAnsi="David"/>
        </w:rPr>
      </w:pPr>
      <w:r>
        <w:rPr>
          <w:rFonts w:ascii="David" w:eastAsia="David" w:hAnsi="David"/>
          <w:rtl/>
        </w:rPr>
        <w:t>בכיס מכנסיו השמאלי</w:t>
      </w:r>
      <w:r>
        <w:rPr>
          <w:rFonts w:ascii="David" w:eastAsia="David" w:hAnsi="David" w:hint="cs"/>
          <w:rtl/>
        </w:rPr>
        <w:t>,</w:t>
      </w:r>
      <w:r>
        <w:rPr>
          <w:rFonts w:ascii="David" w:eastAsia="David" w:hAnsi="David"/>
          <w:rtl/>
        </w:rPr>
        <w:t xml:space="preserve"> נייר מגולגל שבתוכו סמים מסוכנים מסוג </w:t>
      </w:r>
      <w:r>
        <w:rPr>
          <w:rFonts w:ascii="David" w:eastAsia="David" w:hAnsi="David"/>
          <w:b/>
          <w:bCs/>
          <w:rtl/>
        </w:rPr>
        <w:t>חשיש</w:t>
      </w:r>
      <w:r>
        <w:rPr>
          <w:rFonts w:ascii="David" w:eastAsia="David" w:hAnsi="David"/>
          <w:rtl/>
        </w:rPr>
        <w:t xml:space="preserve"> במשקל של </w:t>
      </w:r>
      <w:r>
        <w:rPr>
          <w:rFonts w:ascii="David" w:eastAsia="David" w:hAnsi="David"/>
          <w:b/>
          <w:bCs/>
          <w:rtl/>
        </w:rPr>
        <w:t xml:space="preserve">4.82 </w:t>
      </w:r>
      <w:r>
        <w:rPr>
          <w:rFonts w:ascii="David" w:eastAsia="David" w:hAnsi="David"/>
          <w:rtl/>
        </w:rPr>
        <w:t>גרם נטו.</w:t>
      </w:r>
    </w:p>
    <w:p w14:paraId="4C664518" w14:textId="77777777" w:rsidR="003066E0" w:rsidRDefault="003066E0" w:rsidP="003066E0">
      <w:pPr>
        <w:spacing w:after="120" w:line="360" w:lineRule="auto"/>
        <w:ind w:left="2160"/>
        <w:jc w:val="both"/>
        <w:rPr>
          <w:rFonts w:ascii="David" w:eastAsia="David" w:hAnsi="David"/>
          <w:rtl/>
        </w:rPr>
      </w:pPr>
      <w:r>
        <w:rPr>
          <w:rFonts w:ascii="David" w:eastAsia="David" w:hAnsi="David"/>
          <w:rtl/>
        </w:rPr>
        <w:t>בכיס מכנסיו הימני</w:t>
      </w:r>
      <w:r>
        <w:rPr>
          <w:rFonts w:ascii="David" w:eastAsia="David" w:hAnsi="David" w:hint="cs"/>
          <w:rtl/>
        </w:rPr>
        <w:t>-</w:t>
      </w:r>
      <w:r>
        <w:rPr>
          <w:rFonts w:ascii="David" w:eastAsia="David" w:hAnsi="David"/>
          <w:rtl/>
        </w:rPr>
        <w:t>אחורי</w:t>
      </w:r>
      <w:r>
        <w:rPr>
          <w:rFonts w:ascii="David" w:eastAsia="David" w:hAnsi="David" w:hint="cs"/>
          <w:rtl/>
        </w:rPr>
        <w:t>,</w:t>
      </w:r>
      <w:r>
        <w:rPr>
          <w:rFonts w:ascii="David" w:eastAsia="David" w:hAnsi="David"/>
          <w:rtl/>
        </w:rPr>
        <w:t xml:space="preserve"> שקית שבתוכה </w:t>
      </w:r>
      <w:r>
        <w:rPr>
          <w:rFonts w:ascii="David" w:eastAsia="David" w:hAnsi="David"/>
          <w:b/>
          <w:bCs/>
          <w:rtl/>
        </w:rPr>
        <w:t>12 יחידות</w:t>
      </w:r>
      <w:r>
        <w:rPr>
          <w:rFonts w:ascii="David" w:eastAsia="David" w:hAnsi="David"/>
          <w:rtl/>
        </w:rPr>
        <w:t xml:space="preserve"> סמים מסוכנים מסוג </w:t>
      </w:r>
      <w:r>
        <w:rPr>
          <w:rFonts w:ascii="David" w:eastAsia="David" w:hAnsi="David"/>
          <w:b/>
          <w:bCs/>
        </w:rPr>
        <w:t>L.S.D</w:t>
      </w:r>
      <w:r>
        <w:rPr>
          <w:rFonts w:ascii="David" w:eastAsia="David" w:hAnsi="David"/>
          <w:b/>
          <w:bCs/>
          <w:rtl/>
        </w:rPr>
        <w:t>.</w:t>
      </w:r>
    </w:p>
    <w:p w14:paraId="0A757BB2" w14:textId="77777777" w:rsidR="003066E0" w:rsidRDefault="003066E0" w:rsidP="003066E0">
      <w:pPr>
        <w:spacing w:after="120" w:line="360" w:lineRule="auto"/>
        <w:ind w:left="2160"/>
        <w:jc w:val="both"/>
        <w:rPr>
          <w:rFonts w:ascii="David" w:eastAsia="David" w:hAnsi="David"/>
          <w:rtl/>
        </w:rPr>
      </w:pPr>
      <w:r>
        <w:rPr>
          <w:rFonts w:ascii="David" w:eastAsia="David" w:hAnsi="David"/>
          <w:rtl/>
        </w:rPr>
        <w:t>בכיס הקטן שבכיס מכנסיו הימני</w:t>
      </w:r>
      <w:r>
        <w:rPr>
          <w:rFonts w:ascii="David" w:eastAsia="David" w:hAnsi="David" w:hint="cs"/>
          <w:rtl/>
        </w:rPr>
        <w:t>,</w:t>
      </w:r>
      <w:r>
        <w:rPr>
          <w:rFonts w:ascii="David" w:eastAsia="David" w:hAnsi="David"/>
          <w:rtl/>
        </w:rPr>
        <w:t xml:space="preserve"> דף מקופל ובו סמים מסוכנים מסוג </w:t>
      </w:r>
      <w:r>
        <w:rPr>
          <w:rFonts w:ascii="David" w:eastAsia="David" w:hAnsi="David"/>
          <w:b/>
          <w:bCs/>
          <w:rtl/>
        </w:rPr>
        <w:t>קטמין</w:t>
      </w:r>
      <w:r>
        <w:rPr>
          <w:rFonts w:ascii="David" w:eastAsia="David" w:hAnsi="David"/>
          <w:rtl/>
        </w:rPr>
        <w:t xml:space="preserve"> במשקל</w:t>
      </w:r>
      <w:r>
        <w:rPr>
          <w:rFonts w:ascii="David" w:eastAsia="David" w:hAnsi="David" w:hint="cs"/>
          <w:rtl/>
        </w:rPr>
        <w:t xml:space="preserve"> של</w:t>
      </w:r>
      <w:r>
        <w:rPr>
          <w:rFonts w:ascii="David" w:eastAsia="David" w:hAnsi="David"/>
          <w:rtl/>
        </w:rPr>
        <w:t xml:space="preserve"> </w:t>
      </w:r>
      <w:r>
        <w:rPr>
          <w:rFonts w:ascii="David" w:eastAsia="David" w:hAnsi="David"/>
          <w:b/>
          <w:bCs/>
          <w:rtl/>
        </w:rPr>
        <w:t xml:space="preserve">0.8077 </w:t>
      </w:r>
      <w:r>
        <w:rPr>
          <w:rFonts w:ascii="David" w:eastAsia="David" w:hAnsi="David"/>
          <w:rtl/>
        </w:rPr>
        <w:t xml:space="preserve">גרם נטו. </w:t>
      </w:r>
    </w:p>
    <w:p w14:paraId="58170433" w14:textId="77777777" w:rsidR="003066E0" w:rsidRDefault="003066E0" w:rsidP="003066E0">
      <w:pPr>
        <w:numPr>
          <w:ilvl w:val="0"/>
          <w:numId w:val="2"/>
        </w:numPr>
        <w:tabs>
          <w:tab w:val="num" w:pos="1429"/>
        </w:tabs>
        <w:spacing w:after="120" w:line="360" w:lineRule="auto"/>
        <w:jc w:val="both"/>
        <w:rPr>
          <w:rFonts w:ascii="David" w:eastAsia="David" w:hAnsi="David"/>
        </w:rPr>
      </w:pPr>
      <w:r>
        <w:rPr>
          <w:rFonts w:ascii="David" w:eastAsia="David" w:hAnsi="David"/>
          <w:rtl/>
        </w:rPr>
        <w:t>באותן נסיבות החזיק הנאשם, בדיר</w:t>
      </w:r>
      <w:r>
        <w:rPr>
          <w:rFonts w:ascii="David" w:eastAsia="David" w:hAnsi="David" w:hint="cs"/>
          <w:rtl/>
        </w:rPr>
        <w:t>ה</w:t>
      </w:r>
      <w:r>
        <w:rPr>
          <w:rFonts w:ascii="David" w:eastAsia="David" w:hAnsi="David"/>
          <w:rtl/>
        </w:rPr>
        <w:t xml:space="preserve"> בתל-אביב, סמים מסוכנים</w:t>
      </w:r>
      <w:r>
        <w:rPr>
          <w:rFonts w:ascii="David" w:eastAsia="David" w:hAnsi="David" w:hint="cs"/>
          <w:rtl/>
        </w:rPr>
        <w:t>,</w:t>
      </w:r>
      <w:r>
        <w:rPr>
          <w:rFonts w:ascii="David" w:eastAsia="David" w:hAnsi="David"/>
          <w:rtl/>
        </w:rPr>
        <w:t xml:space="preserve"> במקומות שונים בדירה, כלהלן –</w:t>
      </w:r>
    </w:p>
    <w:p w14:paraId="0608FCA3" w14:textId="77777777" w:rsidR="003066E0" w:rsidRDefault="003066E0" w:rsidP="003066E0">
      <w:pPr>
        <w:spacing w:after="120" w:line="360" w:lineRule="auto"/>
        <w:ind w:left="2160"/>
        <w:jc w:val="both"/>
        <w:rPr>
          <w:rFonts w:ascii="David" w:eastAsia="David" w:hAnsi="David"/>
        </w:rPr>
      </w:pPr>
      <w:r>
        <w:rPr>
          <w:rFonts w:ascii="David" w:eastAsia="David" w:hAnsi="David"/>
          <w:rtl/>
        </w:rPr>
        <w:t xml:space="preserve">בארון הבגדים בחדר השינה, בשקית ובתוכה סמים מסוכנים מסוג </w:t>
      </w:r>
      <w:r>
        <w:rPr>
          <w:rFonts w:ascii="David" w:eastAsia="David" w:hAnsi="David"/>
          <w:b/>
          <w:bCs/>
          <w:rtl/>
        </w:rPr>
        <w:t>קנבוס</w:t>
      </w:r>
      <w:r>
        <w:rPr>
          <w:rFonts w:ascii="David" w:eastAsia="David" w:hAnsi="David"/>
          <w:rtl/>
        </w:rPr>
        <w:t xml:space="preserve"> במשקל של </w:t>
      </w:r>
      <w:r>
        <w:rPr>
          <w:rFonts w:ascii="David" w:eastAsia="David" w:hAnsi="David"/>
          <w:b/>
          <w:bCs/>
          <w:rtl/>
        </w:rPr>
        <w:t>52.95</w:t>
      </w:r>
      <w:r>
        <w:rPr>
          <w:rFonts w:ascii="David" w:eastAsia="David" w:hAnsi="David"/>
          <w:rtl/>
        </w:rPr>
        <w:t xml:space="preserve"> גרם נטו.</w:t>
      </w:r>
    </w:p>
    <w:p w14:paraId="21D0A01B" w14:textId="77777777" w:rsidR="003066E0" w:rsidRDefault="003066E0" w:rsidP="003066E0">
      <w:pPr>
        <w:spacing w:after="120" w:line="360" w:lineRule="auto"/>
        <w:ind w:left="2160"/>
        <w:jc w:val="both"/>
        <w:rPr>
          <w:rFonts w:ascii="David" w:eastAsia="David" w:hAnsi="David"/>
          <w:rtl/>
        </w:rPr>
      </w:pPr>
      <w:r>
        <w:rPr>
          <w:rFonts w:ascii="David" w:eastAsia="David" w:hAnsi="David"/>
          <w:rtl/>
        </w:rPr>
        <w:t xml:space="preserve">בסמוך למיטה, בשקית ובתוכה סמים מסוכנים מסוג </w:t>
      </w:r>
      <w:r>
        <w:rPr>
          <w:rFonts w:ascii="David" w:eastAsia="David" w:hAnsi="David"/>
          <w:b/>
          <w:bCs/>
          <w:rtl/>
        </w:rPr>
        <w:t>קנבוס</w:t>
      </w:r>
      <w:r>
        <w:rPr>
          <w:rFonts w:ascii="David" w:eastAsia="David" w:hAnsi="David"/>
          <w:rtl/>
        </w:rPr>
        <w:t xml:space="preserve"> במשקל של </w:t>
      </w:r>
      <w:r>
        <w:rPr>
          <w:rFonts w:ascii="David" w:eastAsia="David" w:hAnsi="David"/>
          <w:b/>
          <w:bCs/>
          <w:rtl/>
        </w:rPr>
        <w:t>13.86</w:t>
      </w:r>
      <w:r>
        <w:rPr>
          <w:rFonts w:ascii="David" w:eastAsia="David" w:hAnsi="David"/>
          <w:rtl/>
        </w:rPr>
        <w:t xml:space="preserve"> גרם.</w:t>
      </w:r>
    </w:p>
    <w:p w14:paraId="5B9AE9B3" w14:textId="77777777" w:rsidR="003066E0" w:rsidRDefault="003066E0" w:rsidP="003066E0">
      <w:pPr>
        <w:spacing w:after="120" w:line="360" w:lineRule="auto"/>
        <w:ind w:left="2160"/>
        <w:jc w:val="both"/>
        <w:rPr>
          <w:rFonts w:ascii="David" w:eastAsia="David" w:hAnsi="David"/>
          <w:rtl/>
        </w:rPr>
      </w:pPr>
      <w:r>
        <w:rPr>
          <w:rFonts w:ascii="David" w:eastAsia="David" w:hAnsi="David"/>
          <w:rtl/>
        </w:rPr>
        <w:t xml:space="preserve">בסמוך למיטה, בצנצנת ובה שקיות שמכילות סמים מסוכנים מסוג </w:t>
      </w:r>
      <w:r>
        <w:rPr>
          <w:rFonts w:ascii="David" w:eastAsia="David" w:hAnsi="David"/>
          <w:b/>
          <w:bCs/>
          <w:rtl/>
        </w:rPr>
        <w:t>חשיש</w:t>
      </w:r>
      <w:r>
        <w:rPr>
          <w:rFonts w:ascii="David" w:eastAsia="David" w:hAnsi="David"/>
          <w:rtl/>
        </w:rPr>
        <w:t xml:space="preserve"> במשקל של </w:t>
      </w:r>
      <w:r>
        <w:rPr>
          <w:rFonts w:ascii="David" w:eastAsia="David" w:hAnsi="David"/>
          <w:b/>
          <w:bCs/>
          <w:rtl/>
        </w:rPr>
        <w:t>48.69</w:t>
      </w:r>
      <w:r>
        <w:rPr>
          <w:rFonts w:ascii="David" w:eastAsia="David" w:hAnsi="David"/>
          <w:rtl/>
        </w:rPr>
        <w:t xml:space="preserve"> גרם נטו.</w:t>
      </w:r>
    </w:p>
    <w:p w14:paraId="61045337" w14:textId="77777777" w:rsidR="003066E0" w:rsidRDefault="003066E0" w:rsidP="003066E0">
      <w:pPr>
        <w:spacing w:after="120" w:line="360" w:lineRule="auto"/>
        <w:ind w:left="2160"/>
        <w:jc w:val="both"/>
        <w:rPr>
          <w:rFonts w:ascii="David" w:eastAsia="David" w:hAnsi="David"/>
          <w:rtl/>
        </w:rPr>
      </w:pPr>
      <w:r>
        <w:rPr>
          <w:rFonts w:ascii="David" w:eastAsia="David" w:hAnsi="David"/>
          <w:rtl/>
        </w:rPr>
        <w:t xml:space="preserve">בחדר השינה מתחת למכשיר מיקרוגל, בשקית שמכילה סמים מסוכנים מסוג </w:t>
      </w:r>
      <w:r>
        <w:rPr>
          <w:rFonts w:ascii="David" w:eastAsia="David" w:hAnsi="David"/>
          <w:b/>
          <w:bCs/>
          <w:rtl/>
        </w:rPr>
        <w:t>קטמין</w:t>
      </w:r>
      <w:r>
        <w:rPr>
          <w:rFonts w:ascii="David" w:eastAsia="David" w:hAnsi="David"/>
          <w:rtl/>
        </w:rPr>
        <w:t xml:space="preserve"> במשקל של </w:t>
      </w:r>
      <w:r>
        <w:rPr>
          <w:rFonts w:ascii="David" w:eastAsia="David" w:hAnsi="David"/>
          <w:b/>
          <w:bCs/>
          <w:rtl/>
        </w:rPr>
        <w:t>1.7702</w:t>
      </w:r>
      <w:r>
        <w:rPr>
          <w:rFonts w:ascii="David" w:eastAsia="David" w:hAnsi="David"/>
          <w:rtl/>
        </w:rPr>
        <w:t xml:space="preserve"> גרם נטו. </w:t>
      </w:r>
    </w:p>
    <w:p w14:paraId="7DF940FD" w14:textId="77777777" w:rsidR="003066E0" w:rsidRDefault="003066E0" w:rsidP="003066E0">
      <w:pPr>
        <w:numPr>
          <w:ilvl w:val="0"/>
          <w:numId w:val="2"/>
        </w:numPr>
        <w:tabs>
          <w:tab w:val="num" w:pos="1429"/>
        </w:tabs>
        <w:spacing w:after="120" w:line="360" w:lineRule="auto"/>
        <w:jc w:val="both"/>
        <w:rPr>
          <w:rFonts w:ascii="David" w:eastAsia="David" w:hAnsi="David"/>
          <w:rtl/>
        </w:rPr>
      </w:pPr>
      <w:r>
        <w:rPr>
          <w:rFonts w:ascii="David" w:eastAsia="David" w:hAnsi="David"/>
          <w:rtl/>
        </w:rPr>
        <w:t xml:space="preserve">בנוסף החזיק הנאשם ברכבו, בתיק במושב האחורי, בסמים מסוכנים מסוג </w:t>
      </w:r>
      <w:r>
        <w:rPr>
          <w:rFonts w:ascii="David" w:eastAsia="David" w:hAnsi="David"/>
          <w:b/>
          <w:bCs/>
        </w:rPr>
        <w:t>M.D.M.A</w:t>
      </w:r>
      <w:r>
        <w:rPr>
          <w:rFonts w:ascii="David" w:eastAsia="David" w:hAnsi="David"/>
          <w:rtl/>
        </w:rPr>
        <w:t xml:space="preserve"> במשקל של </w:t>
      </w:r>
      <w:r>
        <w:rPr>
          <w:rFonts w:ascii="David" w:eastAsia="David" w:hAnsi="David"/>
          <w:b/>
          <w:bCs/>
          <w:rtl/>
        </w:rPr>
        <w:t>0.1036</w:t>
      </w:r>
      <w:r>
        <w:rPr>
          <w:rFonts w:ascii="David" w:eastAsia="David" w:hAnsi="David"/>
          <w:rtl/>
        </w:rPr>
        <w:t xml:space="preserve"> גרם נטו</w:t>
      </w:r>
      <w:r>
        <w:rPr>
          <w:rFonts w:ascii="David" w:eastAsia="David" w:hAnsi="David" w:hint="cs"/>
          <w:rtl/>
        </w:rPr>
        <w:t>,</w:t>
      </w:r>
      <w:r>
        <w:rPr>
          <w:rFonts w:ascii="David" w:eastAsia="David" w:hAnsi="David"/>
          <w:rtl/>
        </w:rPr>
        <w:t xml:space="preserve"> וכן בסמים מסוכנים מסוג </w:t>
      </w:r>
      <w:r>
        <w:rPr>
          <w:rFonts w:ascii="David" w:eastAsia="David" w:hAnsi="David"/>
          <w:b/>
          <w:bCs/>
          <w:rtl/>
        </w:rPr>
        <w:t>מטילמטקטינון</w:t>
      </w:r>
      <w:r>
        <w:rPr>
          <w:rFonts w:ascii="David" w:eastAsia="David" w:hAnsi="David"/>
          <w:rtl/>
        </w:rPr>
        <w:t xml:space="preserve"> במשקל של </w:t>
      </w:r>
      <w:r>
        <w:rPr>
          <w:rFonts w:ascii="David" w:eastAsia="David" w:hAnsi="David"/>
          <w:b/>
          <w:bCs/>
          <w:rtl/>
        </w:rPr>
        <w:t>0.2647</w:t>
      </w:r>
      <w:r>
        <w:rPr>
          <w:rFonts w:ascii="David" w:eastAsia="David" w:hAnsi="David"/>
          <w:rtl/>
        </w:rPr>
        <w:t xml:space="preserve"> גרם נטו.</w:t>
      </w:r>
    </w:p>
    <w:p w14:paraId="5E3F2C35"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tl/>
        </w:rPr>
      </w:pPr>
      <w:r>
        <w:rPr>
          <w:rFonts w:ascii="David" w:eastAsia="David" w:hAnsi="David"/>
          <w:rtl/>
        </w:rPr>
        <w:t xml:space="preserve">הדיונים החלו לפני מותב קודם, </w:t>
      </w:r>
      <w:r>
        <w:rPr>
          <w:rFonts w:ascii="David" w:eastAsia="David" w:hAnsi="David" w:hint="cs"/>
          <w:rtl/>
        </w:rPr>
        <w:t xml:space="preserve">כאשר </w:t>
      </w:r>
      <w:r>
        <w:rPr>
          <w:rFonts w:ascii="David" w:eastAsia="David" w:hAnsi="David"/>
          <w:rtl/>
        </w:rPr>
        <w:t xml:space="preserve">במסגרתם הודה הנאשם בעובדות כתבי האישום הנ"ל והורשע על יסוד הודאתו בביצוע </w:t>
      </w:r>
      <w:r>
        <w:rPr>
          <w:rFonts w:ascii="David" w:eastAsia="David" w:hAnsi="David" w:hint="cs"/>
          <w:rtl/>
        </w:rPr>
        <w:t xml:space="preserve">שתי </w:t>
      </w:r>
      <w:r>
        <w:rPr>
          <w:rFonts w:ascii="David" w:eastAsia="David" w:hAnsi="David"/>
          <w:rtl/>
        </w:rPr>
        <w:t xml:space="preserve">עבירות של החזקת סמים מסוכנים שלא לצריכה עצמית (בפרוטוקול, עמ' 3). ב"כ הנאשם עתרה לבחינת התאמת הנאשם לשילוב בבית המשפט הקהילתי. ואולם, בבדיקת שירות המבחן </w:t>
      </w:r>
      <w:r>
        <w:rPr>
          <w:rFonts w:ascii="David" w:eastAsia="David" w:hAnsi="David" w:hint="cs"/>
          <w:rtl/>
        </w:rPr>
        <w:t xml:space="preserve">שנערכה </w:t>
      </w:r>
      <w:r>
        <w:rPr>
          <w:rFonts w:ascii="David" w:eastAsia="David" w:hAnsi="David"/>
          <w:rtl/>
        </w:rPr>
        <w:t>נמצא כי הנאשם אינו מתאים למסגרת של בית המשפט הקהילתי.</w:t>
      </w:r>
    </w:p>
    <w:p w14:paraId="388FE8A9"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lastRenderedPageBreak/>
        <w:t>כפי שצוין בבדיקה (מיום 18.03.2021), הנאשם (יליד שנת 1992) מתגורר בתל אביב עם זוגתו ועובד כשנה כמוביל בעסק למזרונים. לנאשם היו מילדותו קשיים לימודיים ובעיות קשב וריכוז, והוא שוחרר מהשירות בצבא שחרור מוקדם, לדבריו בשל מצב בריאותי. הנאשם סיפר כי שנתיים קודם לכן החל להשתמש בסמים מסוגים שונים (ביניהם קנב</w:t>
      </w:r>
      <w:r>
        <w:rPr>
          <w:rFonts w:ascii="David" w:eastAsia="David" w:hAnsi="David" w:hint="cs"/>
          <w:rtl/>
        </w:rPr>
        <w:t>ו</w:t>
      </w:r>
      <w:r>
        <w:rPr>
          <w:rFonts w:ascii="David" w:eastAsia="David" w:hAnsi="David"/>
          <w:rtl/>
        </w:rPr>
        <w:t xml:space="preserve">ס, אסיד וקטמין), בין השאר בשל קשייו להתמודד עם אירוע משברי בו אמו נפגעה קשה בתאונת עבודה. שירות המבחן התרשם כי הנאשם מנהל אורח חיים יציב, אינו בעל דפוסים עברייניים </w:t>
      </w:r>
      <w:r>
        <w:rPr>
          <w:rFonts w:ascii="David" w:eastAsia="David" w:hAnsi="David" w:hint="cs"/>
          <w:rtl/>
        </w:rPr>
        <w:t xml:space="preserve">ואינו מעלה </w:t>
      </w:r>
      <w:r>
        <w:rPr>
          <w:rFonts w:ascii="David" w:eastAsia="David" w:hAnsi="David"/>
          <w:rtl/>
        </w:rPr>
        <w:t>צרכים רבים וקשיים הדורשים התערבות מקיפה ומשמעותית. בנסיבות אלה, כך שירות המבחן, "</w:t>
      </w:r>
      <w:r>
        <w:rPr>
          <w:rFonts w:ascii="David" w:eastAsia="David" w:hAnsi="David"/>
          <w:b/>
          <w:bCs/>
          <w:rtl/>
        </w:rPr>
        <w:t>לא ראינו צורך כי מצבו דורש השתלבות בתוכנית אינטנסיבית כתוכנית בית המשפט הקהילתי</w:t>
      </w:r>
      <w:r>
        <w:rPr>
          <w:rFonts w:ascii="David" w:eastAsia="David" w:hAnsi="David"/>
          <w:rtl/>
        </w:rPr>
        <w:t>".</w:t>
      </w:r>
    </w:p>
    <w:p w14:paraId="03DD7B75"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בנסיבות האמורות, וכאשר שירות המבחן הוסיף וציין </w:t>
      </w:r>
      <w:r>
        <w:rPr>
          <w:rFonts w:ascii="David" w:eastAsia="David" w:hAnsi="David" w:hint="cs"/>
          <w:rtl/>
        </w:rPr>
        <w:t xml:space="preserve">בבדיקה </w:t>
      </w:r>
      <w:r>
        <w:rPr>
          <w:rFonts w:ascii="David" w:eastAsia="David" w:hAnsi="David"/>
          <w:rtl/>
        </w:rPr>
        <w:t>כי טיפול בתחום ההתמכרויות יוכל להוות מענה הולם לנאשם, עתרה ב"כ הנאשם לקבלת תסקיר שירות המבחן</w:t>
      </w:r>
      <w:r>
        <w:rPr>
          <w:rFonts w:ascii="David" w:eastAsia="David" w:hAnsi="David" w:hint="cs"/>
          <w:rtl/>
        </w:rPr>
        <w:t>;</w:t>
      </w:r>
      <w:r>
        <w:rPr>
          <w:rFonts w:ascii="David" w:eastAsia="David" w:hAnsi="David"/>
          <w:rtl/>
        </w:rPr>
        <w:t xml:space="preserve"> ובית המשפט נעתר לבקשה זו (בפרוטוקול, עמ' 6 שורה 18 ואילך).</w:t>
      </w:r>
    </w:p>
    <w:p w14:paraId="62D5E5BC" w14:textId="77777777" w:rsidR="003066E0" w:rsidRDefault="003066E0" w:rsidP="003066E0">
      <w:pPr>
        <w:tabs>
          <w:tab w:val="num" w:pos="1429"/>
        </w:tabs>
        <w:spacing w:after="120" w:line="360" w:lineRule="auto"/>
        <w:jc w:val="both"/>
        <w:rPr>
          <w:rFonts w:ascii="David" w:eastAsia="David" w:hAnsi="David"/>
        </w:rPr>
      </w:pPr>
    </w:p>
    <w:p w14:paraId="42DB39E9" w14:textId="77777777" w:rsidR="003066E0" w:rsidRDefault="003066E0" w:rsidP="003066E0">
      <w:pPr>
        <w:spacing w:after="120" w:line="360" w:lineRule="auto"/>
        <w:jc w:val="both"/>
        <w:rPr>
          <w:rFonts w:ascii="David" w:hAnsi="David"/>
          <w:b/>
          <w:bCs/>
          <w:rtl/>
        </w:rPr>
      </w:pPr>
      <w:r>
        <w:rPr>
          <w:rFonts w:ascii="David" w:hAnsi="David"/>
          <w:b/>
          <w:bCs/>
          <w:rtl/>
        </w:rPr>
        <w:t>ב.</w:t>
      </w:r>
      <w:r>
        <w:rPr>
          <w:rFonts w:ascii="David" w:hAnsi="David"/>
          <w:b/>
          <w:bCs/>
          <w:rtl/>
        </w:rPr>
        <w:tab/>
      </w:r>
      <w:r>
        <w:rPr>
          <w:rFonts w:ascii="David" w:hAnsi="David"/>
          <w:b/>
          <w:bCs/>
          <w:u w:val="single"/>
          <w:rtl/>
        </w:rPr>
        <w:t>עיקר תסקירי שירות המבחן:</w:t>
      </w:r>
    </w:p>
    <w:p w14:paraId="6F496699"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תסקיר שירות המבחן (מיום 24.05.2022) מפרט את נסיבותיו האישיות של הנאשם. </w:t>
      </w:r>
      <w:r>
        <w:rPr>
          <w:rFonts w:ascii="David" w:eastAsia="David" w:hAnsi="David" w:hint="cs"/>
          <w:rtl/>
        </w:rPr>
        <w:t xml:space="preserve">כמסתבר, </w:t>
      </w:r>
      <w:r>
        <w:rPr>
          <w:rFonts w:ascii="David" w:eastAsia="David" w:hAnsi="David"/>
          <w:rtl/>
        </w:rPr>
        <w:t xml:space="preserve">מאז </w:t>
      </w:r>
      <w:r>
        <w:rPr>
          <w:rFonts w:ascii="David" w:eastAsia="David" w:hAnsi="David" w:hint="cs"/>
          <w:rtl/>
        </w:rPr>
        <w:t xml:space="preserve">מועד </w:t>
      </w:r>
      <w:r>
        <w:rPr>
          <w:rFonts w:ascii="David" w:eastAsia="David" w:hAnsi="David"/>
          <w:rtl/>
        </w:rPr>
        <w:t xml:space="preserve">בדיקת ההתאמה התחתן הנאשם ועבר להתגורר עם אשתו – המצויה בהיריון – במושב פתחיה, כאשר כיום </w:t>
      </w:r>
      <w:r>
        <w:rPr>
          <w:rFonts w:ascii="David" w:eastAsia="David" w:hAnsi="David" w:hint="cs"/>
          <w:rtl/>
        </w:rPr>
        <w:t xml:space="preserve">הוא </w:t>
      </w:r>
      <w:r>
        <w:rPr>
          <w:rFonts w:ascii="David" w:eastAsia="David" w:hAnsi="David"/>
          <w:rtl/>
        </w:rPr>
        <w:t xml:space="preserve">עובד כמנהל מסעדה. עם זאת, שירות המבחן מצא </w:t>
      </w:r>
      <w:r>
        <w:rPr>
          <w:rFonts w:ascii="David" w:eastAsia="David" w:hAnsi="David" w:hint="cs"/>
          <w:rtl/>
        </w:rPr>
        <w:t xml:space="preserve">לנכון </w:t>
      </w:r>
      <w:r>
        <w:rPr>
          <w:rFonts w:ascii="David" w:eastAsia="David" w:hAnsi="David"/>
          <w:rtl/>
        </w:rPr>
        <w:t xml:space="preserve">לציין כי נפתח נגד הנאשם תיק חקירה נוסף (מיום 12.11.2021), </w:t>
      </w:r>
      <w:r>
        <w:rPr>
          <w:rFonts w:ascii="David" w:eastAsia="David" w:hAnsi="David" w:hint="cs"/>
          <w:rtl/>
        </w:rPr>
        <w:t xml:space="preserve">שוב </w:t>
      </w:r>
      <w:r>
        <w:rPr>
          <w:rFonts w:ascii="David" w:eastAsia="David" w:hAnsi="David"/>
          <w:rtl/>
        </w:rPr>
        <w:t>בגין עבירות סמים.</w:t>
      </w:r>
    </w:p>
    <w:p w14:paraId="6DF1FC4E"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הנאשם הגיע לפגישה </w:t>
      </w:r>
      <w:r>
        <w:rPr>
          <w:rFonts w:ascii="David" w:eastAsia="David" w:hAnsi="David" w:hint="cs"/>
          <w:rtl/>
        </w:rPr>
        <w:t xml:space="preserve">בשירות המבחן </w:t>
      </w:r>
      <w:r>
        <w:rPr>
          <w:rFonts w:ascii="David" w:eastAsia="David" w:hAnsi="David"/>
          <w:rtl/>
        </w:rPr>
        <w:t>כנדרש, מסר בדיקות שתן נקיות וחזר וסיפר כי ביצע את העבירות על רקע תקופה משברית בחייו. לצד זאת הסביר הנאשם כי מעצרו השני (בגין התיק המצורף, בחודש מאי 2020) היווה עבורו גורם חיצוני, מרסן ומציב גבול ברור באופן מידי</w:t>
      </w:r>
      <w:r>
        <w:rPr>
          <w:rFonts w:ascii="David" w:eastAsia="David" w:hAnsi="David" w:hint="cs"/>
          <w:rtl/>
        </w:rPr>
        <w:t>; והכל</w:t>
      </w:r>
      <w:r>
        <w:rPr>
          <w:rFonts w:ascii="David" w:eastAsia="David" w:hAnsi="David"/>
          <w:rtl/>
        </w:rPr>
        <w:t xml:space="preserve"> נוכח קשייו, </w:t>
      </w:r>
      <w:r>
        <w:rPr>
          <w:rFonts w:ascii="David" w:eastAsia="David" w:hAnsi="David" w:hint="cs"/>
          <w:rtl/>
        </w:rPr>
        <w:t>ב</w:t>
      </w:r>
      <w:r>
        <w:rPr>
          <w:rFonts w:ascii="David" w:eastAsia="David" w:hAnsi="David"/>
          <w:rtl/>
        </w:rPr>
        <w:t xml:space="preserve">אותה </w:t>
      </w:r>
      <w:r>
        <w:rPr>
          <w:rFonts w:ascii="David" w:eastAsia="David" w:hAnsi="David" w:hint="cs"/>
          <w:rtl/>
        </w:rPr>
        <w:t>ה</w:t>
      </w:r>
      <w:r>
        <w:rPr>
          <w:rFonts w:ascii="David" w:eastAsia="David" w:hAnsi="David"/>
          <w:rtl/>
        </w:rPr>
        <w:t xml:space="preserve">עת, לבחון באופן ביקורתי את מצבו ההתמכרותי והשולי. בנוסף, בסמוך לשחרורו מהמעצר, פנה </w:t>
      </w:r>
      <w:r>
        <w:rPr>
          <w:rFonts w:ascii="David" w:eastAsia="David" w:hAnsi="David" w:hint="cs"/>
          <w:rtl/>
        </w:rPr>
        <w:t xml:space="preserve">הנאשם </w:t>
      </w:r>
      <w:r>
        <w:rPr>
          <w:rFonts w:ascii="David" w:eastAsia="David" w:hAnsi="David"/>
          <w:rtl/>
        </w:rPr>
        <w:t>לקבלת סיוע בתחום ההתמכרות לסמים – במסגרת "מכורים אנונימיים" – ולדבריו הוא נקי מ</w:t>
      </w:r>
      <w:r>
        <w:rPr>
          <w:rFonts w:ascii="David" w:eastAsia="David" w:hAnsi="David" w:hint="cs"/>
          <w:rtl/>
        </w:rPr>
        <w:t>שימוש ב</w:t>
      </w:r>
      <w:r>
        <w:rPr>
          <w:rFonts w:ascii="David" w:eastAsia="David" w:hAnsi="David"/>
          <w:rtl/>
        </w:rPr>
        <w:t xml:space="preserve">סמים מאז חודש אוגוסט 2020. </w:t>
      </w:r>
    </w:p>
    <w:p w14:paraId="77693EEF"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שירות המבחן התרשם כי הנאשם נוטל אחריות על מעשיו ומביע חרטה כנה, אשר באה לידי ביטוי בצעדים ממשיים, דהיינו בהשתלבות בטיפול </w:t>
      </w:r>
      <w:r>
        <w:rPr>
          <w:rFonts w:ascii="David" w:eastAsia="David" w:hAnsi="David" w:hint="cs"/>
          <w:rtl/>
        </w:rPr>
        <w:t xml:space="preserve">האמור </w:t>
      </w:r>
      <w:r>
        <w:rPr>
          <w:rFonts w:ascii="David" w:eastAsia="David" w:hAnsi="David"/>
          <w:rtl/>
        </w:rPr>
        <w:t>ב"מכורים אנונימיים". עם זאת</w:t>
      </w:r>
      <w:r>
        <w:rPr>
          <w:rFonts w:ascii="David" w:eastAsia="David" w:hAnsi="David" w:hint="cs"/>
          <w:rtl/>
        </w:rPr>
        <w:t xml:space="preserve"> סבר </w:t>
      </w:r>
      <w:r>
        <w:rPr>
          <w:rFonts w:ascii="David" w:eastAsia="David" w:hAnsi="David"/>
          <w:rtl/>
        </w:rPr>
        <w:t xml:space="preserve">שירות המבחן, נוכח הבעייתיות העולה </w:t>
      </w:r>
      <w:r>
        <w:rPr>
          <w:rFonts w:ascii="David" w:eastAsia="David" w:hAnsi="David" w:hint="cs"/>
          <w:rtl/>
        </w:rPr>
        <w:t>מ</w:t>
      </w:r>
      <w:r>
        <w:rPr>
          <w:rFonts w:ascii="David" w:eastAsia="David" w:hAnsi="David"/>
          <w:rtl/>
        </w:rPr>
        <w:t>מצבו של הנאשם, כי יש מקום להפנותו לטיפול נוסף</w:t>
      </w:r>
      <w:r>
        <w:rPr>
          <w:rFonts w:ascii="David" w:eastAsia="David" w:hAnsi="David" w:hint="cs"/>
          <w:rtl/>
        </w:rPr>
        <w:t>;</w:t>
      </w:r>
      <w:r>
        <w:rPr>
          <w:rFonts w:ascii="David" w:eastAsia="David" w:hAnsi="David"/>
          <w:rtl/>
        </w:rPr>
        <w:t xml:space="preserve"> והפנה אותו לבדיקת התאמה לשילוב ביחידה לטיפול בהתמכרויות בבאר יעקב. ממידע שהתקבל מגורמים מטעם היחידה</w:t>
      </w:r>
      <w:r>
        <w:rPr>
          <w:rFonts w:ascii="David" w:eastAsia="David" w:hAnsi="David" w:hint="cs"/>
          <w:rtl/>
        </w:rPr>
        <w:t xml:space="preserve"> הנ"ל</w:t>
      </w:r>
      <w:r>
        <w:rPr>
          <w:rFonts w:ascii="David" w:eastAsia="David" w:hAnsi="David"/>
          <w:rtl/>
        </w:rPr>
        <w:t xml:space="preserve">, הנאשם סיים את שלבי הקבלה והאבחון ונבנתה </w:t>
      </w:r>
      <w:r>
        <w:rPr>
          <w:rFonts w:ascii="David" w:eastAsia="David" w:hAnsi="David" w:hint="cs"/>
          <w:rtl/>
        </w:rPr>
        <w:t>ב</w:t>
      </w:r>
      <w:r>
        <w:rPr>
          <w:rFonts w:ascii="David" w:eastAsia="David" w:hAnsi="David"/>
          <w:rtl/>
        </w:rPr>
        <w:t>עבורו תכנית טיפולית.</w:t>
      </w:r>
    </w:p>
    <w:p w14:paraId="1BA047BE"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שירות המבחן בחן את גורמי הסיכון והסיכוי בעניינו של הנאשם. בין גורמי הסיכון נמצאו: חומרת העבירות שעבר הנאשם; היעילות המוגבלת של הסנקציות המשפטיות שהוטלו עליו בעבר</w:t>
      </w:r>
      <w:r>
        <w:rPr>
          <w:rFonts w:ascii="David" w:eastAsia="David" w:hAnsi="David" w:hint="cs"/>
          <w:rtl/>
        </w:rPr>
        <w:t>,</w:t>
      </w:r>
      <w:r>
        <w:rPr>
          <w:rFonts w:ascii="David" w:eastAsia="David" w:hAnsi="David"/>
          <w:rtl/>
        </w:rPr>
        <w:t xml:space="preserve"> באופן שבמהלך ההליך המשפטי בתיק העיקרי </w:t>
      </w:r>
      <w:r>
        <w:rPr>
          <w:rFonts w:ascii="David" w:eastAsia="David" w:hAnsi="David" w:hint="cs"/>
          <w:rtl/>
        </w:rPr>
        <w:t xml:space="preserve">הוא </w:t>
      </w:r>
      <w:r>
        <w:rPr>
          <w:rFonts w:ascii="David" w:eastAsia="David" w:hAnsi="David"/>
          <w:rtl/>
        </w:rPr>
        <w:t xml:space="preserve">ביצע את העבירות מושא התיק המצורף ואף נפתח נגדו תיק חקירה נוסף בתחום הסמים; קשיי הנאשם בהתמודדות מקדמת וישירה במצבי לחץ ומצוקה, ללא יכולת לפנות באופן עצמאי לסיוע במצבו. אשר לגורמי הסיכוי צוינה </w:t>
      </w:r>
      <w:r>
        <w:rPr>
          <w:rFonts w:ascii="David" w:eastAsia="David" w:hAnsi="David" w:hint="cs"/>
          <w:rtl/>
        </w:rPr>
        <w:t xml:space="preserve">בתסקיר </w:t>
      </w:r>
      <w:r>
        <w:rPr>
          <w:rFonts w:ascii="David" w:eastAsia="David" w:hAnsi="David"/>
          <w:rtl/>
        </w:rPr>
        <w:t xml:space="preserve">העובדה שהנאשם שמר על יציבות תעסוקתית ומשפחתית וכן שמדובר בנאשם נעדר הרשעות קודמות. שירות המבחן אף התרשם מנכונות הנאשם לערוך שינוי אמיתי בחייו הן באופן מילולי והן באופן מעשי. בנסיבות אלה המליץ שירות המבחן על דחייה לצורך שילוב הנאשם בהליך הטיפולי </w:t>
      </w:r>
      <w:r>
        <w:rPr>
          <w:rFonts w:ascii="David" w:eastAsia="David" w:hAnsi="David" w:hint="cs"/>
          <w:rtl/>
        </w:rPr>
        <w:t xml:space="preserve">הנ"ל </w:t>
      </w:r>
      <w:r>
        <w:rPr>
          <w:rFonts w:ascii="David" w:eastAsia="David" w:hAnsi="David"/>
          <w:rtl/>
        </w:rPr>
        <w:t>ובחינת שיתוף הפעולה שלו שם.</w:t>
      </w:r>
    </w:p>
    <w:p w14:paraId="6EED13AB"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בתסקיר המשלים (מיום 02.10.2022) מתוארת השתלבות הנאשם בקבוצה הטיפולית</w:t>
      </w:r>
      <w:r>
        <w:rPr>
          <w:rFonts w:ascii="David" w:eastAsia="David" w:hAnsi="David" w:hint="cs"/>
          <w:rtl/>
        </w:rPr>
        <w:t xml:space="preserve"> ביחידה לטיפול בהתמכרויות בבאר יעקב</w:t>
      </w:r>
      <w:r>
        <w:rPr>
          <w:rFonts w:ascii="David" w:eastAsia="David" w:hAnsi="David"/>
          <w:rtl/>
        </w:rPr>
        <w:t xml:space="preserve">. מדיווח מנחות הקבוצה עלה כי הנאשם מתמיד להגיע לפגישות הטיפוליות ומשתף פעולה במסגרת התכנית בה שולב, הגם שדווח כי מדובר בהליך טיפולי ראשוני </w:t>
      </w:r>
      <w:r>
        <w:rPr>
          <w:rFonts w:ascii="David" w:eastAsia="David" w:hAnsi="David" w:hint="cs"/>
          <w:rtl/>
        </w:rPr>
        <w:t xml:space="preserve">בלבד </w:t>
      </w:r>
      <w:r>
        <w:rPr>
          <w:rFonts w:ascii="David" w:eastAsia="David" w:hAnsi="David"/>
          <w:rtl/>
        </w:rPr>
        <w:t>והתחלתי וקיימת נזקקות טיפולית וצורך בהתערבות טיפולית ממושכת.</w:t>
      </w:r>
    </w:p>
    <w:p w14:paraId="18188A8C" w14:textId="77777777" w:rsidR="003066E0" w:rsidRPr="009E6852"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sidRPr="009E6852">
        <w:rPr>
          <w:rFonts w:ascii="David" w:eastAsia="David" w:hAnsi="David"/>
          <w:rtl/>
        </w:rPr>
        <w:t xml:space="preserve">שירות המבחן המליץ אפוא לעודד את מאמציו של הנאשם לשינוי ולשיקום אורח חייו ולצורך זה להעמיד את הנאשם למבחן לתקופה של שנה. בד בבד ציין שירות המבחן כי השתת עונש </w:t>
      </w:r>
      <w:r w:rsidRPr="009E6852">
        <w:rPr>
          <w:rFonts w:ascii="David" w:eastAsia="David" w:hAnsi="David" w:hint="cs"/>
          <w:rtl/>
        </w:rPr>
        <w:t xml:space="preserve">של </w:t>
      </w:r>
      <w:r w:rsidRPr="009E6852">
        <w:rPr>
          <w:rFonts w:ascii="David" w:eastAsia="David" w:hAnsi="David"/>
          <w:rtl/>
        </w:rPr>
        <w:t>מאסר –</w:t>
      </w:r>
      <w:r w:rsidRPr="009E6852">
        <w:rPr>
          <w:rFonts w:ascii="David" w:eastAsia="David" w:hAnsi="David" w:hint="cs"/>
          <w:rtl/>
        </w:rPr>
        <w:t xml:space="preserve"> ולו לנשיאה בדרך של עבודות שירות </w:t>
      </w:r>
      <w:r w:rsidRPr="009E6852">
        <w:rPr>
          <w:rFonts w:ascii="David" w:eastAsia="David" w:hAnsi="David"/>
          <w:rtl/>
        </w:rPr>
        <w:t>–</w:t>
      </w:r>
      <w:r w:rsidRPr="009E6852">
        <w:rPr>
          <w:rFonts w:ascii="David" w:eastAsia="David" w:hAnsi="David" w:hint="cs"/>
          <w:rtl/>
        </w:rPr>
        <w:t xml:space="preserve"> </w:t>
      </w:r>
      <w:r w:rsidRPr="009E6852">
        <w:rPr>
          <w:rFonts w:ascii="David" w:eastAsia="David" w:hAnsi="David"/>
          <w:rtl/>
        </w:rPr>
        <w:t>עלולה לקטוע את הליך השיקום ו</w:t>
      </w:r>
      <w:r>
        <w:rPr>
          <w:rFonts w:ascii="David" w:eastAsia="David" w:hAnsi="David" w:hint="cs"/>
          <w:rtl/>
        </w:rPr>
        <w:t xml:space="preserve">את </w:t>
      </w:r>
      <w:r w:rsidRPr="009E6852">
        <w:rPr>
          <w:rFonts w:ascii="David" w:eastAsia="David" w:hAnsi="David"/>
          <w:rtl/>
        </w:rPr>
        <w:t xml:space="preserve">שגרת חייו </w:t>
      </w:r>
      <w:r>
        <w:rPr>
          <w:rFonts w:ascii="David" w:eastAsia="David" w:hAnsi="David" w:hint="cs"/>
          <w:rtl/>
        </w:rPr>
        <w:t xml:space="preserve">של הנאשם </w:t>
      </w:r>
      <w:r w:rsidRPr="009E6852">
        <w:rPr>
          <w:rFonts w:ascii="David" w:eastAsia="David" w:hAnsi="David"/>
          <w:rtl/>
        </w:rPr>
        <w:t xml:space="preserve">ולפיכך המליץ על </w:t>
      </w:r>
      <w:r>
        <w:rPr>
          <w:rFonts w:ascii="David" w:eastAsia="David" w:hAnsi="David" w:hint="cs"/>
          <w:rtl/>
        </w:rPr>
        <w:t>הסתפקות ב</w:t>
      </w:r>
      <w:r w:rsidRPr="009E6852">
        <w:rPr>
          <w:rFonts w:ascii="David" w:eastAsia="David" w:hAnsi="David"/>
          <w:rtl/>
        </w:rPr>
        <w:t>השתת ענישה מקלה של של"צ בלבד.</w:t>
      </w:r>
    </w:p>
    <w:p w14:paraId="0087E76B" w14:textId="77777777" w:rsidR="003066E0" w:rsidRDefault="003066E0" w:rsidP="003066E0">
      <w:pPr>
        <w:tabs>
          <w:tab w:val="num" w:pos="1429"/>
        </w:tabs>
        <w:spacing w:after="120" w:line="360" w:lineRule="auto"/>
        <w:jc w:val="both"/>
        <w:rPr>
          <w:rFonts w:ascii="David" w:eastAsia="David" w:hAnsi="David"/>
          <w:rtl/>
        </w:rPr>
      </w:pPr>
    </w:p>
    <w:p w14:paraId="78C59D14" w14:textId="77777777" w:rsidR="003066E0" w:rsidRDefault="003066E0" w:rsidP="003066E0">
      <w:pPr>
        <w:spacing w:after="120" w:line="360" w:lineRule="auto"/>
        <w:jc w:val="both"/>
        <w:rPr>
          <w:rFonts w:ascii="David" w:hAnsi="David"/>
          <w:b/>
          <w:bCs/>
          <w:rtl/>
        </w:rPr>
      </w:pPr>
      <w:r>
        <w:rPr>
          <w:rFonts w:ascii="David" w:hAnsi="David" w:hint="cs"/>
          <w:b/>
          <w:bCs/>
          <w:rtl/>
        </w:rPr>
        <w:t>ג</w:t>
      </w:r>
      <w:r>
        <w:rPr>
          <w:rFonts w:ascii="David" w:hAnsi="David"/>
          <w:b/>
          <w:bCs/>
          <w:rtl/>
        </w:rPr>
        <w:t>.</w:t>
      </w:r>
      <w:r>
        <w:rPr>
          <w:rFonts w:ascii="David" w:hAnsi="David"/>
          <w:b/>
          <w:bCs/>
          <w:rtl/>
        </w:rPr>
        <w:tab/>
      </w:r>
      <w:r>
        <w:rPr>
          <w:rFonts w:ascii="David" w:hAnsi="David" w:hint="cs"/>
          <w:b/>
          <w:bCs/>
          <w:u w:val="single"/>
          <w:rtl/>
        </w:rPr>
        <w:t>הראיות לקביעת העונש ותמצית טיעוני הצדדים</w:t>
      </w:r>
      <w:r>
        <w:rPr>
          <w:rFonts w:ascii="David" w:hAnsi="David"/>
          <w:b/>
          <w:bCs/>
          <w:u w:val="single"/>
          <w:rtl/>
        </w:rPr>
        <w:t>:</w:t>
      </w:r>
    </w:p>
    <w:p w14:paraId="502804B9" w14:textId="77777777" w:rsidR="003066E0" w:rsidRPr="009C2F49"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sidRPr="009C2F49">
        <w:rPr>
          <w:rFonts w:ascii="David" w:eastAsia="David" w:hAnsi="David"/>
          <w:rtl/>
        </w:rPr>
        <w:t xml:space="preserve">ב"כ המאשימה לא הגישה ראיות לקביעת העונש. בטיעוניה עמדה ב"כ המאשימה על </w:t>
      </w:r>
      <w:r>
        <w:rPr>
          <w:rFonts w:ascii="David" w:eastAsia="David" w:hAnsi="David" w:hint="cs"/>
          <w:rtl/>
        </w:rPr>
        <w:t xml:space="preserve">חומרת </w:t>
      </w:r>
      <w:r w:rsidRPr="009C2F49">
        <w:rPr>
          <w:rFonts w:ascii="David" w:eastAsia="David" w:hAnsi="David"/>
          <w:rtl/>
        </w:rPr>
        <w:t xml:space="preserve">נסיבות ביצוע העבירות בהן הורשע הנאשם, תוך התייחסות לעובדות שני כתבי האישום. בתיק העיקרי הדגישה ב"כ המאשימה את הכמות הנכבדה </w:t>
      </w:r>
      <w:r>
        <w:rPr>
          <w:rFonts w:ascii="David" w:eastAsia="David" w:hAnsi="David" w:hint="cs"/>
          <w:rtl/>
        </w:rPr>
        <w:t xml:space="preserve">של הסמים </w:t>
      </w:r>
      <w:r w:rsidRPr="009C2F49">
        <w:rPr>
          <w:rFonts w:ascii="David" w:eastAsia="David" w:hAnsi="David"/>
          <w:rtl/>
        </w:rPr>
        <w:t>בה דובר, ובתיק המצורף את סוגי הסמים המסוכנים הרבים שנתפסו, מחולקים,</w:t>
      </w:r>
      <w:r>
        <w:rPr>
          <w:rFonts w:ascii="David" w:eastAsia="David" w:hAnsi="David"/>
          <w:rtl/>
        </w:rPr>
        <w:t xml:space="preserve"> לרבות במקומות שונים בדיר</w:t>
      </w:r>
      <w:r>
        <w:rPr>
          <w:rFonts w:ascii="David" w:eastAsia="David" w:hAnsi="David" w:hint="cs"/>
          <w:rtl/>
        </w:rPr>
        <w:t>ה</w:t>
      </w:r>
      <w:r>
        <w:rPr>
          <w:rFonts w:ascii="David" w:eastAsia="David" w:hAnsi="David"/>
          <w:rtl/>
        </w:rPr>
        <w:t xml:space="preserve"> וברכב</w:t>
      </w:r>
      <w:r w:rsidRPr="009C2F49">
        <w:rPr>
          <w:rFonts w:ascii="David" w:eastAsia="David" w:hAnsi="David"/>
          <w:rtl/>
        </w:rPr>
        <w:t xml:space="preserve">. במיוחד הטעימה ב"כ המאשימה את החומרה הטמונה בכך שהסמים המסוכנים שנתפסו </w:t>
      </w:r>
      <w:r>
        <w:rPr>
          <w:rFonts w:ascii="David" w:eastAsia="David" w:hAnsi="David" w:hint="cs"/>
          <w:rtl/>
        </w:rPr>
        <w:t xml:space="preserve">כאמור </w:t>
      </w:r>
      <w:r w:rsidRPr="009C2F49">
        <w:rPr>
          <w:rFonts w:ascii="David" w:eastAsia="David" w:hAnsi="David"/>
          <w:rtl/>
        </w:rPr>
        <w:t>היו מחולקים, דהיינו שלב אחד לפני ההפצה.</w:t>
      </w:r>
    </w:p>
    <w:p w14:paraId="2A4A0759" w14:textId="77777777" w:rsidR="003066E0" w:rsidRPr="009E6852"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sidRPr="009E6852">
        <w:rPr>
          <w:rFonts w:ascii="David" w:eastAsia="David" w:hAnsi="David"/>
          <w:rtl/>
        </w:rPr>
        <w:t>ב"כ המאשימה עמדה על הערכים החברתיים שנפגעו כתולדה ממעשי הנאשם, וביניהם ההגנה על הבריאות והשלמות הפיסית, הן של הציבור בכללו והן של הנאשם והסובבים אותו.</w:t>
      </w:r>
      <w:r>
        <w:rPr>
          <w:rFonts w:ascii="David" w:eastAsia="David" w:hAnsi="David" w:hint="cs"/>
          <w:rtl/>
        </w:rPr>
        <w:t xml:space="preserve"> </w:t>
      </w:r>
      <w:r w:rsidRPr="009E6852">
        <w:rPr>
          <w:rFonts w:ascii="David" w:eastAsia="David" w:hAnsi="David"/>
          <w:rtl/>
        </w:rPr>
        <w:t xml:space="preserve">בנסיבות אלה ותוך הפנייה לפסיקה עתרה ב"כ המאשימה לקביעת מתחמי עונש הולמים, כלהלן: </w:t>
      </w:r>
      <w:r w:rsidRPr="009E6852">
        <w:rPr>
          <w:rFonts w:ascii="David" w:eastAsia="David" w:hAnsi="David"/>
          <w:b/>
          <w:bCs/>
          <w:rtl/>
        </w:rPr>
        <w:t>בתיק העיקרי</w:t>
      </w:r>
      <w:r w:rsidRPr="009E6852">
        <w:rPr>
          <w:rFonts w:ascii="David" w:eastAsia="David" w:hAnsi="David"/>
          <w:rtl/>
        </w:rPr>
        <w:t xml:space="preserve"> – בין 6 חודשי מאסר בפועל לבין 12 חודשי מאסר בפועל; ו</w:t>
      </w:r>
      <w:r w:rsidRPr="009E6852">
        <w:rPr>
          <w:rFonts w:ascii="David" w:eastAsia="David" w:hAnsi="David"/>
          <w:b/>
          <w:bCs/>
          <w:rtl/>
        </w:rPr>
        <w:t>בתיק המצורף</w:t>
      </w:r>
      <w:r w:rsidRPr="009E6852">
        <w:rPr>
          <w:rFonts w:ascii="David" w:eastAsia="David" w:hAnsi="David"/>
          <w:rtl/>
        </w:rPr>
        <w:t xml:space="preserve"> – בין 8 חודשי מאסר בפועל לבין 18 חודשי מאסר בפועל.</w:t>
      </w:r>
    </w:p>
    <w:p w14:paraId="7508A883"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tl/>
        </w:rPr>
      </w:pPr>
      <w:r>
        <w:rPr>
          <w:rFonts w:ascii="David" w:eastAsia="David" w:hAnsi="David"/>
          <w:rtl/>
        </w:rPr>
        <w:t>לעניין מ</w:t>
      </w:r>
      <w:r>
        <w:rPr>
          <w:rFonts w:ascii="David" w:eastAsia="David" w:hAnsi="David" w:hint="cs"/>
          <w:rtl/>
        </w:rPr>
        <w:t xml:space="preserve">דיניות הענישה הנהוגה </w:t>
      </w:r>
      <w:r>
        <w:rPr>
          <w:rFonts w:ascii="David" w:eastAsia="David" w:hAnsi="David"/>
          <w:rtl/>
        </w:rPr>
        <w:t>הפנתה ב"כ המאשימה ל</w:t>
      </w:r>
      <w:hyperlink r:id="rId19" w:history="1">
        <w:r w:rsidR="00582B4F" w:rsidRPr="00582B4F">
          <w:rPr>
            <w:rFonts w:ascii="David" w:eastAsia="David" w:hAnsi="David"/>
            <w:color w:val="0000FF"/>
            <w:u w:val="single"/>
            <w:rtl/>
          </w:rPr>
          <w:t>רע"פ 1473/18</w:t>
        </w:r>
      </w:hyperlink>
      <w:r>
        <w:rPr>
          <w:rFonts w:ascii="David" w:eastAsia="David" w:hAnsi="David"/>
          <w:rtl/>
        </w:rPr>
        <w:t xml:space="preserve"> </w:t>
      </w:r>
      <w:r>
        <w:rPr>
          <w:rFonts w:ascii="David" w:eastAsia="David" w:hAnsi="David"/>
          <w:b/>
          <w:bCs/>
          <w:rtl/>
        </w:rPr>
        <w:t>אוחיון נ' מדינת ישראל</w:t>
      </w:r>
      <w:r>
        <w:rPr>
          <w:rFonts w:ascii="David" w:eastAsia="David" w:hAnsi="David"/>
          <w:rtl/>
        </w:rPr>
        <w:t xml:space="preserve"> (22.04.2018), שם דובר בהחזקת סמים מסוכנים מסוג קוקאין, שלא לצריכה עצמית, במשקל של 2 גרם לערך. בית משפט השלום קבע מתחם עונש הולם שתחילתו במאסר מותנה, אך ערכאת הערעור קבעה כי על הרף התחתון של מתחם העונש ההולם לעמוד על שישה חודשי מאסר בפועל. על אף שבאותו מקרה הוגש תסקיר שהמליץ להימנע מהשתת מאסר בעבודות שירות הושת </w:t>
      </w:r>
      <w:r>
        <w:rPr>
          <w:rFonts w:ascii="David" w:eastAsia="David" w:hAnsi="David" w:hint="cs"/>
          <w:rtl/>
        </w:rPr>
        <w:t xml:space="preserve">על הנאשם דשם </w:t>
      </w:r>
      <w:r>
        <w:rPr>
          <w:rFonts w:ascii="David" w:eastAsia="David" w:hAnsi="David"/>
          <w:rtl/>
        </w:rPr>
        <w:t>עונש כאמור לחודשיים ימים</w:t>
      </w:r>
      <w:r>
        <w:rPr>
          <w:rFonts w:ascii="David" w:eastAsia="David" w:hAnsi="David" w:hint="cs"/>
          <w:rtl/>
        </w:rPr>
        <w:t>;</w:t>
      </w:r>
      <w:r>
        <w:rPr>
          <w:rFonts w:ascii="David" w:eastAsia="David" w:hAnsi="David"/>
          <w:rtl/>
        </w:rPr>
        <w:t xml:space="preserve"> ואף זאת בחריגה לכף קולה משיקולי שיקום. עוד הפנתה ב"כ המאשימה ל</w:t>
      </w:r>
      <w:hyperlink r:id="rId20" w:history="1">
        <w:r w:rsidR="00582B4F" w:rsidRPr="00582B4F">
          <w:rPr>
            <w:rFonts w:ascii="David" w:eastAsia="David" w:hAnsi="David"/>
            <w:color w:val="0000FF"/>
            <w:u w:val="single"/>
            <w:rtl/>
          </w:rPr>
          <w:t>ת"פ (שלום ראשל"צ) 30964-11-18</w:t>
        </w:r>
      </w:hyperlink>
      <w:r>
        <w:rPr>
          <w:rFonts w:ascii="David" w:eastAsia="David" w:hAnsi="David"/>
          <w:rtl/>
        </w:rPr>
        <w:t xml:space="preserve"> </w:t>
      </w:r>
      <w:r>
        <w:rPr>
          <w:rFonts w:ascii="David" w:eastAsia="David" w:hAnsi="David"/>
          <w:b/>
          <w:bCs/>
          <w:rtl/>
        </w:rPr>
        <w:t>מדינת ישראל נ' יעקב</w:t>
      </w:r>
      <w:r>
        <w:rPr>
          <w:rFonts w:ascii="David" w:eastAsia="David" w:hAnsi="David"/>
          <w:rtl/>
        </w:rPr>
        <w:t xml:space="preserve"> (20.07.2021).</w:t>
      </w:r>
    </w:p>
    <w:p w14:paraId="683598DB"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אשר לגזירת עונשו של הנאשם בתוך מתחמי העונש ההולמים ציינה ב"כ המאשימה, בהגינותה, את היבטי הקולה, ובה</w:t>
      </w:r>
      <w:r>
        <w:rPr>
          <w:rFonts w:ascii="David" w:eastAsia="David" w:hAnsi="David" w:hint="cs"/>
          <w:rtl/>
        </w:rPr>
        <w:t>ם</w:t>
      </w:r>
      <w:r>
        <w:rPr>
          <w:rFonts w:ascii="David" w:eastAsia="David" w:hAnsi="David"/>
          <w:rtl/>
        </w:rPr>
        <w:t xml:space="preserve"> ההודאה ונטילת האחריות, העדר העבר הפלילי וההשתלבות בהלי</w:t>
      </w:r>
      <w:r>
        <w:rPr>
          <w:rFonts w:ascii="David" w:eastAsia="David" w:hAnsi="David" w:hint="cs"/>
          <w:rtl/>
        </w:rPr>
        <w:t>כים</w:t>
      </w:r>
      <w:r>
        <w:rPr>
          <w:rFonts w:ascii="David" w:eastAsia="David" w:hAnsi="David"/>
          <w:rtl/>
        </w:rPr>
        <w:t xml:space="preserve"> טיפולי</w:t>
      </w:r>
      <w:r>
        <w:rPr>
          <w:rFonts w:ascii="David" w:eastAsia="David" w:hAnsi="David" w:hint="cs"/>
          <w:rtl/>
        </w:rPr>
        <w:t>ים</w:t>
      </w:r>
      <w:r>
        <w:rPr>
          <w:rFonts w:ascii="David" w:eastAsia="David" w:hAnsi="David"/>
          <w:rtl/>
        </w:rPr>
        <w:t xml:space="preserve">. עם זאת, אין לשיטתה מקום ליתן משקל להמלצות שירות המבחן </w:t>
      </w:r>
      <w:r>
        <w:rPr>
          <w:rFonts w:ascii="David" w:eastAsia="David" w:hAnsi="David" w:hint="cs"/>
          <w:rtl/>
        </w:rPr>
        <w:t xml:space="preserve">בתסקיר המשלים </w:t>
      </w:r>
      <w:r>
        <w:rPr>
          <w:rFonts w:ascii="David" w:eastAsia="David" w:hAnsi="David"/>
          <w:rtl/>
        </w:rPr>
        <w:t>נוכח הסתבכותו הנוספת של הנאשם עם החוק</w:t>
      </w:r>
      <w:r>
        <w:rPr>
          <w:rFonts w:ascii="David" w:eastAsia="David" w:hAnsi="David" w:hint="cs"/>
          <w:rtl/>
        </w:rPr>
        <w:t xml:space="preserve">. </w:t>
      </w:r>
      <w:r>
        <w:rPr>
          <w:rFonts w:ascii="David" w:eastAsia="David" w:hAnsi="David"/>
          <w:rtl/>
        </w:rPr>
        <w:t xml:space="preserve">במכלול הנסיבות </w:t>
      </w:r>
      <w:r>
        <w:rPr>
          <w:rFonts w:ascii="David" w:eastAsia="David" w:hAnsi="David" w:hint="cs"/>
          <w:rtl/>
        </w:rPr>
        <w:t xml:space="preserve">עתרה ב"כ המאשימה למיקום </w:t>
      </w:r>
      <w:r>
        <w:rPr>
          <w:rFonts w:ascii="David" w:eastAsia="David" w:hAnsi="David"/>
          <w:rtl/>
        </w:rPr>
        <w:t xml:space="preserve">הנאשם ברף התחתון של מתחמי העונש </w:t>
      </w:r>
      <w:r>
        <w:rPr>
          <w:rFonts w:ascii="David" w:eastAsia="David" w:hAnsi="David" w:hint="cs"/>
          <w:rtl/>
        </w:rPr>
        <w:t>ההולמים</w:t>
      </w:r>
      <w:r>
        <w:rPr>
          <w:rFonts w:ascii="David" w:eastAsia="David" w:hAnsi="David"/>
          <w:rtl/>
        </w:rPr>
        <w:t xml:space="preserve"> ולהשתת עונש של 14 חודשי מאסר בפועל בצירוף ענישה נלווית של מאסר מותנה, קנס כספי, התחייבות להימנע מעבירה ופסילה מותנית.</w:t>
      </w:r>
    </w:p>
    <w:p w14:paraId="6B35FFB8"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ב"כ הנאשם, מצידה, התמקדה בדרך הטיפולית הארוכה אותה עבר הנאשם מאז ביצוע העבירות</w:t>
      </w:r>
      <w:r>
        <w:rPr>
          <w:rFonts w:ascii="David" w:eastAsia="David" w:hAnsi="David" w:hint="cs"/>
          <w:rtl/>
        </w:rPr>
        <w:t>,</w:t>
      </w:r>
      <w:r>
        <w:rPr>
          <w:rFonts w:ascii="David" w:eastAsia="David" w:hAnsi="David"/>
          <w:rtl/>
        </w:rPr>
        <w:t xml:space="preserve"> ו</w:t>
      </w:r>
      <w:r>
        <w:rPr>
          <w:rFonts w:ascii="David" w:eastAsia="David" w:hAnsi="David" w:hint="cs"/>
          <w:rtl/>
        </w:rPr>
        <w:t xml:space="preserve">כן </w:t>
      </w:r>
      <w:r>
        <w:rPr>
          <w:rFonts w:ascii="David" w:eastAsia="David" w:hAnsi="David"/>
          <w:rtl/>
        </w:rPr>
        <w:t>בנסיבותיו האישיות המורכבות</w:t>
      </w:r>
      <w:r>
        <w:rPr>
          <w:rFonts w:ascii="David" w:eastAsia="David" w:hAnsi="David" w:hint="cs"/>
          <w:rtl/>
        </w:rPr>
        <w:t xml:space="preserve"> של הנאשם</w:t>
      </w:r>
      <w:r>
        <w:rPr>
          <w:rFonts w:ascii="David" w:eastAsia="David" w:hAnsi="David"/>
          <w:rtl/>
        </w:rPr>
        <w:t xml:space="preserve">, כהשתקפותן בתסקיר שירות המבחן הראשון. הסניגורית הטעימה כי מדובר בנאשם נעדר </w:t>
      </w:r>
      <w:r>
        <w:rPr>
          <w:rFonts w:ascii="David" w:eastAsia="David" w:hAnsi="David" w:hint="cs"/>
          <w:rtl/>
        </w:rPr>
        <w:t xml:space="preserve">כל </w:t>
      </w:r>
      <w:r>
        <w:rPr>
          <w:rFonts w:ascii="David" w:eastAsia="David" w:hAnsi="David"/>
          <w:rtl/>
        </w:rPr>
        <w:t>עבר פלילי אשר הודה כבר בתחילת ההליך בשני כתבי האישום, כמות שהם, ומכאן האינדיקציה לנטילת האחריות המלאה ו</w:t>
      </w:r>
      <w:r>
        <w:rPr>
          <w:rFonts w:ascii="David" w:eastAsia="David" w:hAnsi="David" w:hint="cs"/>
          <w:rtl/>
        </w:rPr>
        <w:t>ל</w:t>
      </w:r>
      <w:r>
        <w:rPr>
          <w:rFonts w:ascii="David" w:eastAsia="David" w:hAnsi="David"/>
          <w:rtl/>
        </w:rPr>
        <w:t xml:space="preserve">רצון </w:t>
      </w:r>
      <w:r>
        <w:rPr>
          <w:rFonts w:ascii="David" w:eastAsia="David" w:hAnsi="David" w:hint="cs"/>
          <w:rtl/>
        </w:rPr>
        <w:t>לשנות כיוון ו</w:t>
      </w:r>
      <w:r>
        <w:rPr>
          <w:rFonts w:ascii="David" w:eastAsia="David" w:hAnsi="David"/>
          <w:rtl/>
        </w:rPr>
        <w:t>לעלות על דרך הישר. עוד הדגישה ב"כ הנאשם את המלצת שירות המבחן להימנע מהשתת ענישה של מאסר על הנאשם, על מנת שלא לגדוע את ההליך השיקומי ו</w:t>
      </w:r>
      <w:r>
        <w:rPr>
          <w:rFonts w:ascii="David" w:eastAsia="David" w:hAnsi="David" w:hint="cs"/>
          <w:rtl/>
        </w:rPr>
        <w:t xml:space="preserve">את </w:t>
      </w:r>
      <w:r>
        <w:rPr>
          <w:rFonts w:ascii="David" w:eastAsia="David" w:hAnsi="David"/>
          <w:rtl/>
        </w:rPr>
        <w:t>מסלול חייו הנורמטיבי של הנאשם</w:t>
      </w:r>
      <w:r>
        <w:rPr>
          <w:rFonts w:ascii="David" w:eastAsia="David" w:hAnsi="David" w:hint="cs"/>
          <w:rtl/>
        </w:rPr>
        <w:t xml:space="preserve">. זאת, כאשר </w:t>
      </w:r>
      <w:r>
        <w:rPr>
          <w:rFonts w:ascii="David" w:eastAsia="David" w:hAnsi="David"/>
          <w:rtl/>
        </w:rPr>
        <w:t>כיום הנאשם נשוי, אב ל</w:t>
      </w:r>
      <w:r>
        <w:rPr>
          <w:rFonts w:ascii="David" w:eastAsia="David" w:hAnsi="David" w:hint="cs"/>
          <w:rtl/>
        </w:rPr>
        <w:t xml:space="preserve">ילד </w:t>
      </w:r>
      <w:r>
        <w:rPr>
          <w:rFonts w:ascii="David" w:eastAsia="David" w:hAnsi="David"/>
          <w:rtl/>
        </w:rPr>
        <w:t>ועובד באופן מסודר (ר' גם תלושי המשכורת של הנאשם, שסומנו ס/1).</w:t>
      </w:r>
    </w:p>
    <w:p w14:paraId="11A020D8"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אשר לנסיבות ביצוע העבירות הדגישה ב"כ הנאשם כי בכמויות ובסוגי הסמים המדוברים בתיק העיקרי נקבעים כיום מתחמי עונש הולמים שתחילתם בענישה מותנית בלבד. אשר לנסיבות התיק המצורף טענה ב"כ הנאשם כי הנאשם עמד ללכת למסיבה בשעות הערב, כאשר שוטרים שהגיעו לשכן (ולא לנאשם) בסופו של דבר מצאו אצל הנאשם מה שמצאו. לשיטתה חלוקת הסמים אינה מלמדת, כפי שניסתה לטעון ב"כ המאשימה, על חלוקה לצרכי הפצה ועל כן אין מקום לתת לטיעון זה משקל כלשהו (בפרוטוקול, עמ' 13 שורה 27 ואילך).</w:t>
      </w:r>
    </w:p>
    <w:p w14:paraId="4718C0A1"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אשר למתחמי העונש ההולמים ביקשה ב"כ הנאשם להפריד בין הדבקים (היינו בין התיקים), תוך שהפנתה לפסיקה מקלה לגבי כל אחד מהם (הגם שלא להצטברותם), ובכל מקרה עתרה לחריגה לכף קולה משיקולי שיקום. בין השאר הפנתה ב"כ הנאשם ל</w:t>
      </w:r>
      <w:hyperlink r:id="rId21" w:history="1">
        <w:r w:rsidR="00582B4F" w:rsidRPr="00582B4F">
          <w:rPr>
            <w:rFonts w:ascii="David" w:eastAsia="David" w:hAnsi="David"/>
            <w:color w:val="0000FF"/>
            <w:u w:val="single"/>
            <w:rtl/>
          </w:rPr>
          <w:t>רע"פ 5494/19</w:t>
        </w:r>
      </w:hyperlink>
      <w:r>
        <w:rPr>
          <w:rFonts w:ascii="David" w:eastAsia="David" w:hAnsi="David"/>
          <w:rtl/>
        </w:rPr>
        <w:t xml:space="preserve"> </w:t>
      </w:r>
      <w:r>
        <w:rPr>
          <w:rFonts w:ascii="David" w:eastAsia="David" w:hAnsi="David"/>
          <w:b/>
          <w:bCs/>
          <w:rtl/>
        </w:rPr>
        <w:t>רנד נ' מדינת ישראל</w:t>
      </w:r>
      <w:r>
        <w:rPr>
          <w:rFonts w:ascii="David" w:eastAsia="David" w:hAnsi="David"/>
          <w:rtl/>
        </w:rPr>
        <w:t xml:space="preserve"> (22.08.2019), בטענה כי שם הוחלט על השתת עונש של"צ בגין סחר בסמים מסוכנים מסוג קוקאין (בפרוטוקול, עמ' 14 שורה 19 ואילך). ואולם, מעיון בהחלטת בית המשפט העליון עולה כי בית משפט השלום דחה את המלצת שירות המבחן להסתפק בשל"צ וגזר על הנאשם דשם, בין השאר, עונש של 6 חודשי מאסר בפועל לנשיאה בדרך של עבודות שירות.</w:t>
      </w:r>
    </w:p>
    <w:p w14:paraId="1BA2C93E"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לבסוף הדגישה ב"כ הנאשם כי תיק המב"ד</w:t>
      </w:r>
      <w:r>
        <w:rPr>
          <w:rFonts w:ascii="David" w:eastAsia="David" w:hAnsi="David" w:hint="cs"/>
          <w:rtl/>
        </w:rPr>
        <w:t xml:space="preserve"> הפתוח</w:t>
      </w:r>
      <w:r>
        <w:rPr>
          <w:rFonts w:ascii="David" w:eastAsia="David" w:hAnsi="David"/>
          <w:rtl/>
        </w:rPr>
        <w:t>, המאוזכר בתסקיר שירות המבחן הראשון, הוא מלפני למעלה משנה אך טרם הוגש בו כתב אישום. עובדה זו מלמדת על כך שלנאשם לא היתה באותו עניין כל מעורבות ולפיכך יש להתעלם כליל מנתון זה.</w:t>
      </w:r>
    </w:p>
    <w:p w14:paraId="4F0F0073"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לבסוף הנאשם, בדברו האחרון לעונש, הביע חרטה על מעשיו הגם שהוסיף וטען כי ביצוע העבירות היה על רקע משברים אישיים. עוד ציין הנאשם "</w:t>
      </w:r>
      <w:r>
        <w:rPr>
          <w:rFonts w:ascii="David" w:eastAsia="David" w:hAnsi="David"/>
          <w:b/>
          <w:bCs/>
          <w:rtl/>
        </w:rPr>
        <w:t>היום אני בדרך חדשה, נשוי עם ילד ומפרנס את הבית בכבוד ובדרך לפתוח עסק עצמאי</w:t>
      </w:r>
      <w:r>
        <w:rPr>
          <w:rFonts w:ascii="David" w:eastAsia="David" w:hAnsi="David"/>
          <w:rtl/>
        </w:rPr>
        <w:t xml:space="preserve">", ועתר להקלה בעונשו (בפרוטוקול, עמ' 15 שורה 17 ואילך). </w:t>
      </w:r>
    </w:p>
    <w:p w14:paraId="0D912D13" w14:textId="77777777" w:rsidR="003066E0" w:rsidRDefault="003066E0" w:rsidP="003066E0">
      <w:pPr>
        <w:tabs>
          <w:tab w:val="num" w:pos="1429"/>
        </w:tabs>
        <w:spacing w:after="120" w:line="360" w:lineRule="auto"/>
        <w:jc w:val="both"/>
        <w:rPr>
          <w:rFonts w:ascii="David" w:eastAsia="David" w:hAnsi="David"/>
          <w:rtl/>
        </w:rPr>
      </w:pPr>
    </w:p>
    <w:p w14:paraId="157AD798" w14:textId="77777777" w:rsidR="003066E0" w:rsidRPr="00CD5C10" w:rsidRDefault="003066E0" w:rsidP="003066E0">
      <w:pPr>
        <w:snapToGrid w:val="0"/>
        <w:spacing w:after="120" w:line="360" w:lineRule="auto"/>
        <w:jc w:val="both"/>
        <w:rPr>
          <w:b/>
          <w:bCs/>
          <w:u w:val="single"/>
          <w:rtl/>
        </w:rPr>
      </w:pPr>
      <w:r>
        <w:rPr>
          <w:rFonts w:hint="cs"/>
          <w:b/>
          <w:bCs/>
          <w:rtl/>
        </w:rPr>
        <w:t>ד</w:t>
      </w:r>
      <w:r w:rsidRPr="00CD5C10">
        <w:rPr>
          <w:rFonts w:hint="cs"/>
          <w:b/>
          <w:bCs/>
          <w:rtl/>
        </w:rPr>
        <w:t>.</w:t>
      </w:r>
      <w:r w:rsidRPr="00CD5C10">
        <w:rPr>
          <w:rFonts w:hint="cs"/>
          <w:b/>
          <w:bCs/>
          <w:rtl/>
        </w:rPr>
        <w:tab/>
      </w:r>
      <w:r w:rsidRPr="00CD5C10">
        <w:rPr>
          <w:rFonts w:hint="cs"/>
          <w:b/>
          <w:bCs/>
          <w:u w:val="single"/>
          <w:rtl/>
        </w:rPr>
        <w:t>קביעת מתחם העונש ההולם:</w:t>
      </w:r>
    </w:p>
    <w:p w14:paraId="24ADA3B5" w14:textId="77777777" w:rsidR="003066E0" w:rsidRPr="00A03B36"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 xml:space="preserve">בעת גזירת עונשו של נאשם על בית המשפט לקבוע, תחילה, את מתחם העונש ההולם לכל "אירוע" עברייני שבגינו הורשע הנאשם, וזאת בהתאם </w:t>
      </w:r>
      <w:r w:rsidRPr="00287CC0">
        <w:rPr>
          <w:rFonts w:ascii="Tahoma" w:hAnsi="Tahoma" w:hint="cs"/>
          <w:rtl/>
        </w:rPr>
        <w:t xml:space="preserve">לעיקרון ההלימה וכאמור בהוראות </w:t>
      </w:r>
      <w:hyperlink r:id="rId22" w:history="1">
        <w:r w:rsidR="008233DE" w:rsidRPr="008233DE">
          <w:rPr>
            <w:rStyle w:val="Hyperlink"/>
            <w:rFonts w:ascii="Tahoma" w:hAnsi="Tahoma" w:hint="eastAsia"/>
            <w:rtl/>
          </w:rPr>
          <w:t>סעיף</w:t>
        </w:r>
        <w:r w:rsidR="008233DE" w:rsidRPr="008233DE">
          <w:rPr>
            <w:rStyle w:val="Hyperlink"/>
            <w:rFonts w:ascii="Tahoma" w:hAnsi="Tahoma"/>
            <w:rtl/>
          </w:rPr>
          <w:t xml:space="preserve"> 40ג(א)</w:t>
        </w:r>
      </w:hyperlink>
      <w:r w:rsidRPr="00287CC0">
        <w:rPr>
          <w:rFonts w:ascii="Tahoma" w:hAnsi="Tahoma" w:hint="cs"/>
          <w:rtl/>
        </w:rPr>
        <w:t xml:space="preserve"> וסעיף </w:t>
      </w:r>
      <w:hyperlink r:id="rId23" w:history="1">
        <w:r w:rsidR="008233DE" w:rsidRPr="008233DE">
          <w:rPr>
            <w:rStyle w:val="Hyperlink"/>
            <w:rFonts w:ascii="Tahoma" w:hAnsi="Tahoma"/>
            <w:rtl/>
          </w:rPr>
          <w:t>40יג</w:t>
        </w:r>
      </w:hyperlink>
      <w:r w:rsidRPr="00287CC0">
        <w:rPr>
          <w:rFonts w:ascii="Tahoma" w:hAnsi="Tahoma" w:hint="cs"/>
          <w:rtl/>
        </w:rPr>
        <w:t xml:space="preserve"> ל</w:t>
      </w:r>
      <w:hyperlink r:id="rId24" w:history="1">
        <w:r w:rsidR="00582B4F" w:rsidRPr="00582B4F">
          <w:rPr>
            <w:rFonts w:ascii="Tahoma" w:hAnsi="Tahoma"/>
            <w:color w:val="0000FF"/>
            <w:u w:val="single"/>
            <w:rtl/>
          </w:rPr>
          <w:t>חוק העונשין</w:t>
        </w:r>
      </w:hyperlink>
      <w:r w:rsidRPr="00287CC0">
        <w:rPr>
          <w:rFonts w:ascii="Tahoma" w:hAnsi="Tahoma" w:hint="cs"/>
          <w:rtl/>
        </w:rPr>
        <w:t xml:space="preserve">, תשל"ז-1977 (להלן </w:t>
      </w:r>
      <w:r w:rsidRPr="00287CC0">
        <w:rPr>
          <w:rFonts w:ascii="Tahoma" w:hAnsi="Tahoma"/>
          <w:rtl/>
        </w:rPr>
        <w:t>–</w:t>
      </w:r>
      <w:r w:rsidRPr="00287CC0">
        <w:rPr>
          <w:rFonts w:ascii="Tahoma" w:hAnsi="Tahoma" w:hint="cs"/>
          <w:rtl/>
        </w:rPr>
        <w:t xml:space="preserve"> חוק העונשין). במקרה דנא מדובר בשני כתבי אישום העוסקים ב</w:t>
      </w:r>
      <w:r>
        <w:rPr>
          <w:rFonts w:ascii="Tahoma" w:hAnsi="Tahoma" w:hint="cs"/>
          <w:rtl/>
        </w:rPr>
        <w:t xml:space="preserve">שתי </w:t>
      </w:r>
      <w:r w:rsidRPr="00287CC0">
        <w:rPr>
          <w:rFonts w:ascii="Tahoma" w:hAnsi="Tahoma" w:hint="cs"/>
          <w:rtl/>
        </w:rPr>
        <w:t>עבירות שנעברו בפער זמנים של כחצי שנה. עם זאת, מדובר בעבירות זהות</w:t>
      </w:r>
      <w:r>
        <w:rPr>
          <w:rFonts w:ascii="Tahoma" w:hAnsi="Tahoma" w:hint="cs"/>
          <w:rtl/>
        </w:rPr>
        <w:t>,</w:t>
      </w:r>
      <w:r w:rsidRPr="00287CC0">
        <w:rPr>
          <w:rFonts w:ascii="Tahoma" w:hAnsi="Tahoma" w:hint="cs"/>
          <w:rtl/>
        </w:rPr>
        <w:t xml:space="preserve"> שנעברו ב</w:t>
      </w:r>
      <w:r>
        <w:rPr>
          <w:rFonts w:ascii="Tahoma" w:hAnsi="Tahoma" w:hint="cs"/>
          <w:rtl/>
        </w:rPr>
        <w:t>אותה ה</w:t>
      </w:r>
      <w:r w:rsidRPr="00287CC0">
        <w:rPr>
          <w:rFonts w:ascii="Tahoma" w:hAnsi="Tahoma" w:hint="cs"/>
          <w:rtl/>
        </w:rPr>
        <w:t xml:space="preserve">זירה </w:t>
      </w:r>
      <w:r>
        <w:rPr>
          <w:rFonts w:ascii="Tahoma" w:hAnsi="Tahoma" w:hint="cs"/>
          <w:rtl/>
        </w:rPr>
        <w:t xml:space="preserve">בדיוק </w:t>
      </w:r>
      <w:r w:rsidRPr="00287CC0">
        <w:rPr>
          <w:rFonts w:ascii="Tahoma" w:hAnsi="Tahoma" w:hint="cs"/>
          <w:rtl/>
        </w:rPr>
        <w:t>(</w:t>
      </w:r>
      <w:r>
        <w:rPr>
          <w:rFonts w:ascii="Tahoma" w:hAnsi="Tahoma" w:hint="cs"/>
          <w:rtl/>
        </w:rPr>
        <w:t>באותה הדירה או בסמיכות לה</w:t>
      </w:r>
      <w:r w:rsidRPr="00287CC0">
        <w:rPr>
          <w:rFonts w:ascii="Tahoma" w:hAnsi="Tahoma" w:hint="cs"/>
          <w:rtl/>
        </w:rPr>
        <w:t>)</w:t>
      </w:r>
      <w:r>
        <w:rPr>
          <w:rFonts w:ascii="Tahoma" w:hAnsi="Tahoma" w:hint="cs"/>
          <w:rtl/>
        </w:rPr>
        <w:t>. בנסיבות אלה ניתן לראות בביצוע עבירות אלה</w:t>
      </w:r>
      <w:r w:rsidRPr="00287CC0">
        <w:rPr>
          <w:rFonts w:ascii="Tahoma" w:hAnsi="Tahoma" w:hint="cs"/>
          <w:rtl/>
        </w:rPr>
        <w:t>, אם גם תוך פרשנות מקלה, משום אירוע עברייני אחד בלבד.</w:t>
      </w:r>
    </w:p>
    <w:p w14:paraId="346E2727" w14:textId="77777777" w:rsidR="003066E0" w:rsidRPr="00A03B36"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sidRPr="00A03B36">
        <w:rPr>
          <w:rFonts w:ascii="Tahoma" w:hAnsi="Tahoma" w:hint="cs"/>
          <w:rtl/>
        </w:rPr>
        <w:t xml:space="preserve">אשר למתחם העונש ההולם לאירוע עברייני אחד זה, לפי הוראות </w:t>
      </w:r>
      <w:hyperlink r:id="rId25" w:history="1">
        <w:r w:rsidR="00582B4F" w:rsidRPr="00582B4F">
          <w:rPr>
            <w:rFonts w:ascii="Tahoma" w:hAnsi="Tahoma"/>
            <w:color w:val="0000FF"/>
            <w:u w:val="single"/>
            <w:rtl/>
          </w:rPr>
          <w:t>חוק העונשין</w:t>
        </w:r>
      </w:hyperlink>
      <w:r w:rsidRPr="00A03B36">
        <w:rPr>
          <w:rFonts w:ascii="Tahoma" w:hAnsi="Tahoma" w:hint="cs"/>
          <w:rtl/>
        </w:rPr>
        <w:t xml:space="preserve"> בקביעתו יתחשב בית המשפט, בין השאר, </w:t>
      </w:r>
      <w:r>
        <w:rPr>
          <w:rFonts w:hint="cs"/>
          <w:rtl/>
        </w:rPr>
        <w:t>בערכים החברתיים שנפגעו מביצוע העבירות ובמידת הפגיעה בהם, במדיניות הענישה הנהוגה ובנסיבות הקשורות בביצוע העבירות.</w:t>
      </w:r>
      <w:r w:rsidRPr="00A03B36">
        <w:rPr>
          <w:rFonts w:ascii="David" w:eastAsia="David" w:hAnsi="David" w:hint="cs"/>
          <w:rtl/>
        </w:rPr>
        <w:t xml:space="preserve"> </w:t>
      </w:r>
      <w:r w:rsidRPr="00A03B36">
        <w:rPr>
          <w:rFonts w:ascii="David" w:eastAsia="David" w:hAnsi="David"/>
          <w:rtl/>
        </w:rPr>
        <w:t>מקובל עליי טיעון ב"כ המאשימה לעניין הערכים החברתיים, שנפגעו כתולדה מביצוע העביר</w:t>
      </w:r>
      <w:r w:rsidRPr="00A03B36">
        <w:rPr>
          <w:rFonts w:ascii="David" w:eastAsia="David" w:hAnsi="David" w:hint="cs"/>
          <w:rtl/>
        </w:rPr>
        <w:t>ות</w:t>
      </w:r>
      <w:r w:rsidRPr="00A03B36">
        <w:rPr>
          <w:rFonts w:ascii="David" w:eastAsia="David" w:hAnsi="David"/>
          <w:rtl/>
        </w:rPr>
        <w:t>. כידוע, הפסיקה חוזרת ומדגישה את חומרתן של עבירות הסמים, שביצוען פוגע במידה ניכרת בערכים החברתיים של ההגנה על שלום הציבור ועל בריאותו; ודברים אלה נכונים במיוחד כאשר מדובר ב</w:t>
      </w:r>
      <w:r>
        <w:rPr>
          <w:rFonts w:ascii="David" w:eastAsia="David" w:hAnsi="David" w:hint="cs"/>
          <w:rtl/>
        </w:rPr>
        <w:t xml:space="preserve">החזקה, שלא לצריכה עצמית, של </w:t>
      </w:r>
      <w:r w:rsidRPr="00A03B36">
        <w:rPr>
          <w:rFonts w:ascii="David" w:eastAsia="David" w:hAnsi="David"/>
          <w:rtl/>
        </w:rPr>
        <w:t xml:space="preserve">סמים </w:t>
      </w:r>
      <w:r w:rsidRPr="00A03B36">
        <w:rPr>
          <w:rFonts w:ascii="David" w:eastAsia="David" w:hAnsi="David" w:hint="cs"/>
          <w:rtl/>
        </w:rPr>
        <w:t xml:space="preserve">מסוכנים מסוגים שונים </w:t>
      </w:r>
      <w:r>
        <w:rPr>
          <w:rFonts w:ascii="David" w:eastAsia="David" w:hAnsi="David" w:hint="cs"/>
          <w:rtl/>
        </w:rPr>
        <w:t>ומגוונים ובכמויות ניכרו</w:t>
      </w:r>
      <w:r w:rsidRPr="00A03B36">
        <w:rPr>
          <w:rFonts w:ascii="David" w:eastAsia="David" w:hAnsi="David" w:hint="cs"/>
          <w:rtl/>
        </w:rPr>
        <w:t>ת.</w:t>
      </w:r>
    </w:p>
    <w:p w14:paraId="00E0D931"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hint="cs"/>
          <w:rtl/>
        </w:rPr>
        <w:t xml:space="preserve">מעבר לכך, כאמור, בהתאם להוראות הדין חומרת מתחם העונש ההולם נגזרת לא רק מחומרת העבירות, כשלעצמן, אלא גם מחומרתן בנסיבות ביצוען. בהקשר זה, בענייננו </w:t>
      </w:r>
      <w:r>
        <w:rPr>
          <w:rFonts w:ascii="David" w:eastAsia="David" w:hAnsi="David"/>
          <w:rtl/>
        </w:rPr>
        <w:t>–</w:t>
      </w:r>
      <w:r>
        <w:rPr>
          <w:rFonts w:ascii="David" w:eastAsia="David" w:hAnsi="David" w:hint="cs"/>
          <w:rtl/>
        </w:rPr>
        <w:t xml:space="preserve"> ובהתייחס לתיק המצורף </w:t>
      </w:r>
      <w:r>
        <w:rPr>
          <w:rFonts w:ascii="David" w:eastAsia="David" w:hAnsi="David"/>
          <w:rtl/>
        </w:rPr>
        <w:t>–</w:t>
      </w:r>
      <w:r>
        <w:rPr>
          <w:rFonts w:ascii="David" w:eastAsia="David" w:hAnsi="David" w:hint="cs"/>
          <w:rtl/>
        </w:rPr>
        <w:t xml:space="preserve"> קיימות מספר נסיבות חומרה מצטברות, כלהלן:</w:t>
      </w:r>
    </w:p>
    <w:p w14:paraId="4CF8CDFE" w14:textId="77777777" w:rsidR="003066E0" w:rsidRDefault="003066E0" w:rsidP="003066E0">
      <w:pPr>
        <w:tabs>
          <w:tab w:val="num" w:pos="1429"/>
        </w:tabs>
        <w:spacing w:after="120" w:line="360" w:lineRule="auto"/>
        <w:ind w:left="1440"/>
        <w:jc w:val="both"/>
        <w:rPr>
          <w:rFonts w:ascii="David" w:eastAsia="David" w:hAnsi="David"/>
        </w:rPr>
      </w:pPr>
      <w:r w:rsidRPr="0019639A">
        <w:rPr>
          <w:rFonts w:ascii="David" w:eastAsia="David" w:hAnsi="David" w:hint="cs"/>
          <w:b/>
          <w:bCs/>
          <w:rtl/>
        </w:rPr>
        <w:t>ראשית</w:t>
      </w:r>
      <w:r>
        <w:rPr>
          <w:rFonts w:ascii="David" w:eastAsia="David" w:hAnsi="David" w:hint="cs"/>
          <w:rtl/>
        </w:rPr>
        <w:t>, מדובר בכמה וכמה סוגי סמים מסוכנים, חלקם לא קלים ואף קשים (</w:t>
      </w:r>
      <w:r>
        <w:rPr>
          <w:rFonts w:ascii="David" w:eastAsia="David" w:hAnsi="David" w:hint="cs"/>
        </w:rPr>
        <w:t>LSD</w:t>
      </w:r>
      <w:r>
        <w:rPr>
          <w:rFonts w:ascii="David" w:eastAsia="David" w:hAnsi="David" w:hint="cs"/>
          <w:rtl/>
        </w:rPr>
        <w:t>).</w:t>
      </w:r>
    </w:p>
    <w:p w14:paraId="00037507" w14:textId="77777777" w:rsidR="003066E0" w:rsidRPr="00107368" w:rsidRDefault="003066E0" w:rsidP="003066E0">
      <w:pPr>
        <w:tabs>
          <w:tab w:val="num" w:pos="1429"/>
        </w:tabs>
        <w:spacing w:after="120" w:line="360" w:lineRule="auto"/>
        <w:ind w:left="1440"/>
        <w:jc w:val="both"/>
        <w:rPr>
          <w:rFonts w:ascii="David" w:eastAsia="David" w:hAnsi="David"/>
          <w:rtl/>
        </w:rPr>
      </w:pPr>
      <w:r w:rsidRPr="0019639A">
        <w:rPr>
          <w:rFonts w:ascii="David" w:eastAsia="David" w:hAnsi="David" w:hint="cs"/>
          <w:b/>
          <w:bCs/>
          <w:rtl/>
        </w:rPr>
        <w:t>שנית</w:t>
      </w:r>
      <w:r>
        <w:rPr>
          <w:rFonts w:ascii="David" w:eastAsia="David" w:hAnsi="David" w:hint="cs"/>
          <w:rtl/>
        </w:rPr>
        <w:t>, מדובר בהחזקת סמים, באופן מפוצל, על גופו של הנאשם.</w:t>
      </w:r>
    </w:p>
    <w:p w14:paraId="1FAD2DC4" w14:textId="77777777" w:rsidR="003066E0" w:rsidRDefault="003066E0" w:rsidP="003066E0">
      <w:pPr>
        <w:tabs>
          <w:tab w:val="num" w:pos="1429"/>
        </w:tabs>
        <w:spacing w:after="120" w:line="360" w:lineRule="auto"/>
        <w:ind w:left="1440"/>
        <w:jc w:val="both"/>
        <w:rPr>
          <w:rFonts w:ascii="David" w:eastAsia="David" w:hAnsi="David"/>
        </w:rPr>
      </w:pPr>
      <w:r w:rsidRPr="0019639A">
        <w:rPr>
          <w:rFonts w:ascii="David" w:eastAsia="David" w:hAnsi="David" w:hint="cs"/>
          <w:b/>
          <w:bCs/>
          <w:rtl/>
        </w:rPr>
        <w:t>שלישית</w:t>
      </w:r>
      <w:r>
        <w:rPr>
          <w:rFonts w:ascii="David" w:eastAsia="David" w:hAnsi="David" w:hint="cs"/>
          <w:rtl/>
        </w:rPr>
        <w:t xml:space="preserve">, מדובר בהחזקת סמים מסוכנים נוספים במקומות שונים בדירה וכן, כאשר בכך חומרה נוספת, ברכבו של הנאשם, לרבות בהחזקת סמים מסוכנים מסוג </w:t>
      </w:r>
      <w:r>
        <w:rPr>
          <w:rFonts w:ascii="David" w:eastAsia="David" w:hAnsi="David" w:hint="cs"/>
        </w:rPr>
        <w:t>MDMA</w:t>
      </w:r>
      <w:r>
        <w:rPr>
          <w:rFonts w:ascii="David" w:eastAsia="David" w:hAnsi="David" w:hint="cs"/>
          <w:rtl/>
        </w:rPr>
        <w:t>.</w:t>
      </w:r>
    </w:p>
    <w:p w14:paraId="51C16FBA" w14:textId="77777777" w:rsidR="003066E0" w:rsidRDefault="003066E0" w:rsidP="003066E0">
      <w:pPr>
        <w:tabs>
          <w:tab w:val="num" w:pos="1429"/>
        </w:tabs>
        <w:spacing w:after="120" w:line="360" w:lineRule="auto"/>
        <w:ind w:left="1440"/>
        <w:jc w:val="both"/>
        <w:rPr>
          <w:rFonts w:ascii="David" w:eastAsia="David" w:hAnsi="David"/>
        </w:rPr>
      </w:pPr>
      <w:r w:rsidRPr="00283DD5">
        <w:rPr>
          <w:rFonts w:ascii="David" w:eastAsia="David" w:hAnsi="David" w:hint="cs"/>
          <w:b/>
          <w:bCs/>
          <w:rtl/>
        </w:rPr>
        <w:t>רביעית</w:t>
      </w:r>
      <w:r>
        <w:rPr>
          <w:rFonts w:ascii="David" w:eastAsia="David" w:hAnsi="David" w:hint="cs"/>
          <w:rtl/>
        </w:rPr>
        <w:t>, מדובר בביצוע עבירה של החזקת סמים מסוכנים, שלא לצריכה עצמית, לאחר שכחצי שנה בלבד לפני כן נתפס הנאשם בגין ביצוע עבירה זהה (דהיינו העבירה מושא התיק העיקרי); ומכאן שלא מדובר במעידה רגעית או חד פעמית.</w:t>
      </w:r>
    </w:p>
    <w:p w14:paraId="04E80ABA" w14:textId="77777777" w:rsidR="003066E0" w:rsidRPr="001A3071"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hint="cs"/>
          <w:rtl/>
        </w:rPr>
        <w:t xml:space="preserve">בהתחשב בכל האמור </w:t>
      </w:r>
      <w:r>
        <w:rPr>
          <w:rFonts w:hint="cs"/>
          <w:rtl/>
        </w:rPr>
        <w:t>אני קובע אפוא את מתחם העונש ההולם, במקרה זה, בין 6 חודשי מאסר בפועל לבין 12 חודשי מאסר בפועל.</w:t>
      </w:r>
    </w:p>
    <w:p w14:paraId="54F03CC3" w14:textId="77777777" w:rsidR="003066E0" w:rsidRDefault="003066E0" w:rsidP="003066E0">
      <w:pPr>
        <w:tabs>
          <w:tab w:val="num" w:pos="1429"/>
        </w:tabs>
        <w:spacing w:after="120" w:line="360" w:lineRule="auto"/>
        <w:jc w:val="both"/>
        <w:rPr>
          <w:rtl/>
        </w:rPr>
      </w:pPr>
    </w:p>
    <w:p w14:paraId="1F57F1B7" w14:textId="77777777" w:rsidR="003066E0" w:rsidRPr="00CE1F20" w:rsidRDefault="003066E0" w:rsidP="003066E0">
      <w:pPr>
        <w:snapToGrid w:val="0"/>
        <w:spacing w:after="120" w:line="360" w:lineRule="auto"/>
        <w:jc w:val="both"/>
        <w:rPr>
          <w:b/>
          <w:bCs/>
          <w:u w:val="single"/>
          <w:rtl/>
        </w:rPr>
      </w:pPr>
      <w:r>
        <w:rPr>
          <w:rFonts w:hint="cs"/>
          <w:b/>
          <w:bCs/>
          <w:rtl/>
        </w:rPr>
        <w:t>ה</w:t>
      </w:r>
      <w:r w:rsidRPr="00CE1F20">
        <w:rPr>
          <w:rFonts w:hint="cs"/>
          <w:b/>
          <w:bCs/>
          <w:rtl/>
        </w:rPr>
        <w:t>.</w:t>
      </w:r>
      <w:r w:rsidRPr="00CE1F20">
        <w:rPr>
          <w:b/>
          <w:bCs/>
          <w:rtl/>
        </w:rPr>
        <w:tab/>
      </w:r>
      <w:r w:rsidRPr="00CE1F20">
        <w:rPr>
          <w:rFonts w:hint="cs"/>
          <w:b/>
          <w:bCs/>
          <w:u w:val="single"/>
          <w:rtl/>
        </w:rPr>
        <w:t>גזירת עונשו של הנאשם בתוך מתחם העונש ההולם</w:t>
      </w:r>
      <w:r>
        <w:rPr>
          <w:rFonts w:hint="cs"/>
          <w:b/>
          <w:bCs/>
          <w:u w:val="single"/>
          <w:rtl/>
        </w:rPr>
        <w:t xml:space="preserve"> והאפשרות לחריגה הימנו</w:t>
      </w:r>
      <w:r w:rsidRPr="00CE1F20">
        <w:rPr>
          <w:rFonts w:hint="cs"/>
          <w:b/>
          <w:bCs/>
          <w:u w:val="single"/>
          <w:rtl/>
        </w:rPr>
        <w:t>:</w:t>
      </w:r>
    </w:p>
    <w:p w14:paraId="0BE0AA0A"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 xml:space="preserve">לאחר קביעת מתחם העונש ההולם על בית המשפט לגזור את עונשו של הנאשם בתוך מתחם זה תוך התחשבות בנסיבות שאינן קשורות בביצוע העבירות, לרבות אלה המנויות בהוראות </w:t>
      </w:r>
      <w:hyperlink r:id="rId26" w:history="1">
        <w:r w:rsidR="008233DE" w:rsidRPr="008233DE">
          <w:rPr>
            <w:rStyle w:val="Hyperlink"/>
            <w:rFonts w:hint="eastAsia"/>
            <w:rtl/>
          </w:rPr>
          <w:t>סעיף</w:t>
        </w:r>
        <w:r w:rsidR="008233DE" w:rsidRPr="008233DE">
          <w:rPr>
            <w:rStyle w:val="Hyperlink"/>
            <w:rtl/>
          </w:rPr>
          <w:t xml:space="preserve"> 40יא</w:t>
        </w:r>
      </w:hyperlink>
      <w:r>
        <w:rPr>
          <w:rFonts w:hint="cs"/>
          <w:rtl/>
        </w:rPr>
        <w:t xml:space="preserve"> ל</w:t>
      </w:r>
      <w:hyperlink r:id="rId27" w:history="1">
        <w:r w:rsidR="00582B4F" w:rsidRPr="00582B4F">
          <w:rPr>
            <w:color w:val="0000FF"/>
            <w:u w:val="single"/>
            <w:rtl/>
          </w:rPr>
          <w:t>חוק העונשין</w:t>
        </w:r>
      </w:hyperlink>
      <w:r>
        <w:rPr>
          <w:rFonts w:hint="cs"/>
          <w:rtl/>
        </w:rPr>
        <w:t>.</w:t>
      </w:r>
    </w:p>
    <w:p w14:paraId="44E7E9B8" w14:textId="77777777" w:rsidR="003066E0" w:rsidRPr="00D5267E"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אשר לנאשם שלפניי, השיקולים הרלוואנטיים לגזירת עונשו הם כלהלן:</w:t>
      </w:r>
    </w:p>
    <w:p w14:paraId="0FFE1881" w14:textId="77777777" w:rsidR="003066E0" w:rsidRDefault="003066E0" w:rsidP="003066E0">
      <w:pPr>
        <w:snapToGrid w:val="0"/>
        <w:spacing w:after="120" w:line="360" w:lineRule="auto"/>
        <w:ind w:left="144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אין הרשעות קודמות. מדובר, כמובן, בנסיבה מהותית לקולת העונש.</w:t>
      </w:r>
    </w:p>
    <w:p w14:paraId="21FECC7B" w14:textId="77777777" w:rsidR="003066E0" w:rsidRDefault="003066E0" w:rsidP="003066E0">
      <w:pPr>
        <w:snapToGrid w:val="0"/>
        <w:spacing w:after="120" w:line="360" w:lineRule="auto"/>
        <w:ind w:left="144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והן במשפחתו</w:t>
      </w:r>
      <w:r>
        <w:rPr>
          <w:rFonts w:hint="cs"/>
          <w:rtl/>
        </w:rPr>
        <w:t>. יחד עם זאת, השתת עונש כאמור לנשיאה בעבודות שירות תגבש פגיעה מתונה בהרבה.</w:t>
      </w:r>
    </w:p>
    <w:p w14:paraId="46F74654" w14:textId="77777777" w:rsidR="003066E0" w:rsidRDefault="003066E0" w:rsidP="003066E0">
      <w:pPr>
        <w:snapToGrid w:val="0"/>
        <w:spacing w:after="120" w:line="360" w:lineRule="auto"/>
        <w:ind w:left="1440"/>
        <w:jc w:val="both"/>
        <w:rPr>
          <w:rtl/>
        </w:rPr>
      </w:pPr>
      <w:r w:rsidRPr="00627467">
        <w:rPr>
          <w:rFonts w:hint="cs"/>
          <w:b/>
          <w:bCs/>
          <w:rtl/>
        </w:rPr>
        <w:t xml:space="preserve">הודאה ונטילת אחריות </w:t>
      </w:r>
      <w:r>
        <w:rPr>
          <w:rtl/>
        </w:rPr>
        <w:t>–</w:t>
      </w:r>
      <w:r>
        <w:rPr>
          <w:rFonts w:hint="cs"/>
          <w:rtl/>
        </w:rPr>
        <w:t xml:space="preserve"> הנאשם הודה בעובדות כתבי האישום בתיק העיקרי ובתיק המצורף. בכך חסך הנאשם מזמנם של העדים, הצדדים ובית המשפט, ונסיבות אלה יש לזקוף לזכותו.</w:t>
      </w:r>
    </w:p>
    <w:p w14:paraId="1751CE79" w14:textId="77777777" w:rsidR="003066E0" w:rsidRDefault="003066E0" w:rsidP="003066E0">
      <w:pPr>
        <w:snapToGrid w:val="0"/>
        <w:spacing w:after="120" w:line="360" w:lineRule="auto"/>
        <w:ind w:left="1440"/>
        <w:jc w:val="both"/>
        <w:rPr>
          <w:rtl/>
        </w:rPr>
      </w:pPr>
      <w:r w:rsidRPr="00627467">
        <w:rPr>
          <w:rFonts w:hint="cs"/>
          <w:b/>
          <w:bCs/>
          <w:rtl/>
        </w:rPr>
        <w:t xml:space="preserve">נתוניו האישיים של הנאשם ונסיבות חייו </w:t>
      </w:r>
      <w:r>
        <w:rPr>
          <w:rtl/>
        </w:rPr>
        <w:t>–</w:t>
      </w:r>
      <w:r>
        <w:rPr>
          <w:rFonts w:hint="cs"/>
          <w:rtl/>
        </w:rPr>
        <w:t xml:space="preserve"> הנאשם יליד שנת 1992, בן 30 שנה כיום, ונראה כי הוא אכן מבקש לשנות את דרכיו ולעלות על דרך הישר.</w:t>
      </w:r>
    </w:p>
    <w:p w14:paraId="386AB626"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מכלול הנסיבות והשיקולים שפורטו לעיל מלמד כי במקרה זה נסיבות הקולה עולות במשקלן על נסיבות החומרה</w:t>
      </w:r>
      <w:r w:rsidRPr="00D5267E">
        <w:rPr>
          <w:rFonts w:ascii="Tahoma" w:hAnsi="Tahoma" w:hint="cs"/>
          <w:rtl/>
        </w:rPr>
        <w:t xml:space="preserve"> ועל כן יש לגזור את עונשו של הנאשם ברף התחתון </w:t>
      </w:r>
      <w:r>
        <w:rPr>
          <w:rFonts w:ascii="Tahoma" w:hAnsi="Tahoma" w:hint="cs"/>
          <w:rtl/>
        </w:rPr>
        <w:t xml:space="preserve">של מתחם </w:t>
      </w:r>
      <w:r w:rsidRPr="00D5267E">
        <w:rPr>
          <w:rFonts w:ascii="Tahoma" w:hAnsi="Tahoma" w:hint="cs"/>
          <w:rtl/>
        </w:rPr>
        <w:t>העונש ההולם; וכך אני קובע.</w:t>
      </w:r>
    </w:p>
    <w:p w14:paraId="70DAA080" w14:textId="77777777" w:rsidR="003066E0" w:rsidRPr="006B209F"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hint="cs"/>
          <w:rtl/>
        </w:rPr>
        <w:t xml:space="preserve">נוכח המלצות שירות המבחן יש מקום </w:t>
      </w:r>
      <w:r>
        <w:rPr>
          <w:rFonts w:hint="cs"/>
          <w:rtl/>
        </w:rPr>
        <w:t xml:space="preserve">להוסיף ולבחון, במקרה דנא, האם יש מקום </w:t>
      </w:r>
      <w:r w:rsidRPr="00355FA6">
        <w:rPr>
          <w:rtl/>
        </w:rPr>
        <w:t>לחר</w:t>
      </w:r>
      <w:r>
        <w:rPr>
          <w:rFonts w:hint="cs"/>
          <w:rtl/>
        </w:rPr>
        <w:t xml:space="preserve">יגה </w:t>
      </w:r>
      <w:r w:rsidRPr="00355FA6">
        <w:rPr>
          <w:rtl/>
        </w:rPr>
        <w:t xml:space="preserve">לכף קולה ממתחם העונש ההולם, משיקולי שיקום, בהתאם להוראות </w:t>
      </w:r>
      <w:hyperlink r:id="rId28" w:history="1">
        <w:r w:rsidR="008233DE" w:rsidRPr="008233DE">
          <w:rPr>
            <w:rStyle w:val="Hyperlink"/>
            <w:rtl/>
          </w:rPr>
          <w:t>סעיף 40ד</w:t>
        </w:r>
      </w:hyperlink>
      <w:r w:rsidRPr="00355FA6">
        <w:rPr>
          <w:rtl/>
        </w:rPr>
        <w:t xml:space="preserve"> ל</w:t>
      </w:r>
      <w:hyperlink r:id="rId29" w:history="1">
        <w:r w:rsidR="00582B4F" w:rsidRPr="00582B4F">
          <w:rPr>
            <w:color w:val="0000FF"/>
            <w:u w:val="single"/>
            <w:rtl/>
          </w:rPr>
          <w:t>חוק העונשין</w:t>
        </w:r>
      </w:hyperlink>
      <w:r w:rsidRPr="00355FA6">
        <w:rPr>
          <w:rtl/>
        </w:rPr>
        <w:t>. לפי הוראות סעיף זה, אם מצא בית המשפט כי הנאשם השתקם או כי יש סיכוי של ממש שישתקם, רשאי הוא לחרוג לכף קולה ממתחם העונש ההולם ולקבוע את עונשו של הנאשם לפי שיקולי שיקומו.</w:t>
      </w:r>
    </w:p>
    <w:p w14:paraId="0E4C4065"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בהקשר זה, עניינו של הנאשם שלפניי הוא מורכב. הנאשם מנהל כיום אורח חיים נורמטיבי, לאחר שהתחתן ונולד לו ילד, ונכון וראוי לעודדו להמשיך בנתיב השיקום והטיפול. עם זאת, הטיפול הנדרש לנאשם לשיקום הוא טיפול שאינו אינטנסיבי, כפי שהובהר עוד בבדיקת ההתאמה לבית המשפט הקהילתי, ולפיכך אין כל מניעה מעשית לשלבו יחד עם נשיאת עונש מאסר בעבודות שירות.</w:t>
      </w:r>
      <w:r>
        <w:rPr>
          <w:rFonts w:ascii="David" w:eastAsia="David" w:hAnsi="David" w:hint="cs"/>
          <w:rtl/>
        </w:rPr>
        <w:t xml:space="preserve"> זאת ועוד, נוכח חומרת העבירות דנא, ובמיוחד החזרתיות העולה מהן, ישנה חשיבות של ממש בהטלת ענישה ממשית, על מנת שהנאשם יפנים את חומרת מעשיו ויבין כי עליו לשאת בעונש בגינם.</w:t>
      </w:r>
    </w:p>
    <w:p w14:paraId="1E4F19C4" w14:textId="77777777" w:rsidR="003066E0"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hint="cs"/>
          <w:rtl/>
        </w:rPr>
        <w:t>דומה אפוא כי הדרך הראויה לפסוע במקרה זה היא הדרך שננקטה ב</w:t>
      </w:r>
      <w:hyperlink r:id="rId30" w:history="1">
        <w:r w:rsidR="00582B4F" w:rsidRPr="00582B4F">
          <w:rPr>
            <w:rFonts w:ascii="David" w:eastAsia="David" w:hAnsi="David"/>
            <w:color w:val="0000FF"/>
            <w:u w:val="single"/>
            <w:rtl/>
          </w:rPr>
          <w:t>רע"פ 1473/18</w:t>
        </w:r>
      </w:hyperlink>
      <w:r>
        <w:rPr>
          <w:rFonts w:ascii="David" w:eastAsia="David" w:hAnsi="David"/>
          <w:rtl/>
        </w:rPr>
        <w:t xml:space="preserve"> </w:t>
      </w:r>
      <w:r>
        <w:rPr>
          <w:rFonts w:ascii="David" w:eastAsia="David" w:hAnsi="David"/>
          <w:b/>
          <w:bCs/>
          <w:rtl/>
        </w:rPr>
        <w:t>אוחיון נ' מדינת ישראל</w:t>
      </w:r>
      <w:r>
        <w:rPr>
          <w:rFonts w:ascii="David" w:eastAsia="David" w:hAnsi="David"/>
          <w:rtl/>
        </w:rPr>
        <w:t xml:space="preserve"> (22.04.2018)</w:t>
      </w:r>
      <w:r>
        <w:rPr>
          <w:rFonts w:ascii="David" w:eastAsia="David" w:hAnsi="David" w:hint="cs"/>
          <w:rtl/>
        </w:rPr>
        <w:t xml:space="preserve"> הנ"ל;</w:t>
      </w:r>
      <w:r>
        <w:rPr>
          <w:rFonts w:ascii="David" w:eastAsia="David" w:hAnsi="David"/>
          <w:rtl/>
        </w:rPr>
        <w:t xml:space="preserve"> </w:t>
      </w:r>
      <w:r>
        <w:rPr>
          <w:rFonts w:ascii="David" w:eastAsia="David" w:hAnsi="David" w:hint="cs"/>
          <w:rtl/>
        </w:rPr>
        <w:t>כלומר בחריגה מסוימת לכף קולה ממתחם העונש ההולם, משיקולי שיקום, אך תוך השתת רכיב ענישה של מאסר בפועל לנשיאה בדרך של עבודות שירות.</w:t>
      </w:r>
    </w:p>
    <w:p w14:paraId="5B9C3B15" w14:textId="77777777" w:rsidR="003066E0" w:rsidRDefault="003066E0" w:rsidP="003066E0">
      <w:pPr>
        <w:tabs>
          <w:tab w:val="num" w:pos="1429"/>
        </w:tabs>
        <w:spacing w:after="120" w:line="360" w:lineRule="auto"/>
        <w:jc w:val="both"/>
        <w:rPr>
          <w:rFonts w:ascii="David" w:eastAsia="David" w:hAnsi="David"/>
          <w:rtl/>
        </w:rPr>
      </w:pPr>
    </w:p>
    <w:p w14:paraId="13938E64" w14:textId="77777777" w:rsidR="003066E0" w:rsidRPr="00DE411D" w:rsidRDefault="003066E0" w:rsidP="003066E0">
      <w:pPr>
        <w:snapToGrid w:val="0"/>
        <w:spacing w:after="120" w:line="360" w:lineRule="auto"/>
        <w:jc w:val="both"/>
        <w:rPr>
          <w:b/>
          <w:bCs/>
          <w:u w:val="single"/>
          <w:rtl/>
        </w:rPr>
      </w:pPr>
      <w:r>
        <w:rPr>
          <w:rFonts w:hint="cs"/>
          <w:b/>
          <w:bCs/>
          <w:rtl/>
        </w:rPr>
        <w:t>ו</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1ECA4C2D" w14:textId="77777777" w:rsidR="003066E0" w:rsidRPr="00D24C6B" w:rsidRDefault="003066E0" w:rsidP="003066E0">
      <w:pPr>
        <w:numPr>
          <w:ilvl w:val="0"/>
          <w:numId w:val="1"/>
        </w:numPr>
        <w:tabs>
          <w:tab w:val="clear" w:pos="1080"/>
          <w:tab w:val="num" w:pos="720"/>
          <w:tab w:val="num" w:pos="1429"/>
        </w:tabs>
        <w:spacing w:after="120" w:line="360" w:lineRule="auto"/>
        <w:ind w:left="720"/>
        <w:jc w:val="both"/>
        <w:rPr>
          <w:rFonts w:ascii="David" w:eastAsia="David" w:hAnsi="David"/>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51D91684" w14:textId="77777777" w:rsidR="003066E0" w:rsidRDefault="003066E0" w:rsidP="003066E0">
      <w:pPr>
        <w:spacing w:after="120" w:line="360" w:lineRule="auto"/>
        <w:ind w:left="720"/>
        <w:jc w:val="both"/>
        <w:rPr>
          <w:rFonts w:ascii="Tahoma" w:hAnsi="Tahoma"/>
          <w:rtl/>
        </w:rPr>
      </w:pPr>
      <w:r>
        <w:rPr>
          <w:rFonts w:hint="cs"/>
          <w:rtl/>
        </w:rPr>
        <w:t>(א)</w:t>
      </w:r>
      <w:r>
        <w:rPr>
          <w:rtl/>
        </w:rPr>
        <w:tab/>
      </w:r>
      <w:r>
        <w:rPr>
          <w:rFonts w:hint="cs"/>
          <w:rtl/>
        </w:rPr>
        <w:t>3 חודשי מאסר בפועל.</w:t>
      </w:r>
    </w:p>
    <w:p w14:paraId="10419A53" w14:textId="77777777" w:rsidR="003066E0" w:rsidRDefault="003066E0" w:rsidP="003066E0">
      <w:pPr>
        <w:spacing w:after="120" w:line="360" w:lineRule="auto"/>
        <w:ind w:left="144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17.11.2022.</w:t>
      </w:r>
    </w:p>
    <w:p w14:paraId="3FCA29DC" w14:textId="77777777" w:rsidR="003066E0" w:rsidRDefault="003066E0" w:rsidP="003066E0">
      <w:pPr>
        <w:spacing w:after="120" w:line="360" w:lineRule="auto"/>
        <w:ind w:left="1440"/>
        <w:jc w:val="both"/>
        <w:rPr>
          <w:rFonts w:ascii="Tahoma" w:hAnsi="Tahoma"/>
          <w:rtl/>
        </w:rPr>
      </w:pPr>
      <w:r>
        <w:rPr>
          <w:rFonts w:ascii="Tahoma" w:hAnsi="Tahoma" w:hint="cs"/>
          <w:rtl/>
        </w:rPr>
        <w:t>על הנאשם להתייצב לנשיאת עונשו במשרדי הממונה על עבודות השירות, ביום 06.03.2023 עד השעה 08:00.</w:t>
      </w:r>
    </w:p>
    <w:p w14:paraId="49B4B03E" w14:textId="77777777" w:rsidR="003066E0" w:rsidRDefault="003066E0" w:rsidP="003066E0">
      <w:pPr>
        <w:spacing w:after="120" w:line="360" w:lineRule="auto"/>
        <w:ind w:left="144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33DA13C4" w14:textId="77777777" w:rsidR="003066E0" w:rsidRDefault="003066E0" w:rsidP="003066E0">
      <w:pPr>
        <w:spacing w:after="120" w:line="360" w:lineRule="auto"/>
        <w:ind w:left="1440" w:hanging="720"/>
        <w:jc w:val="both"/>
        <w:rPr>
          <w:rFonts w:ascii="Tahoma" w:hAnsi="Tahoma"/>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המאסר בדרך של עבודות שירות, עבירה לפי הוראות </w:t>
      </w:r>
      <w:hyperlink r:id="rId31" w:history="1">
        <w:r w:rsidR="00582B4F" w:rsidRPr="00582B4F">
          <w:rPr>
            <w:color w:val="0000FF"/>
            <w:u w:val="single"/>
            <w:rtl/>
          </w:rPr>
          <w:t>פקודת הסמים המסוכנים</w:t>
        </w:r>
      </w:hyperlink>
      <w:r>
        <w:rPr>
          <w:rFonts w:hint="cs"/>
          <w:rtl/>
        </w:rPr>
        <w:t xml:space="preserve"> מסוג פשע.</w:t>
      </w:r>
    </w:p>
    <w:p w14:paraId="5035067E" w14:textId="77777777" w:rsidR="003066E0" w:rsidRPr="00E0628E" w:rsidRDefault="003066E0" w:rsidP="003066E0">
      <w:pPr>
        <w:spacing w:after="120" w:line="360" w:lineRule="auto"/>
        <w:ind w:left="720"/>
        <w:jc w:val="both"/>
        <w:rPr>
          <w:rFonts w:ascii="Tahoma" w:hAnsi="Tahoma"/>
        </w:rPr>
      </w:pPr>
      <w:r>
        <w:rPr>
          <w:rFonts w:hint="cs"/>
          <w:rtl/>
        </w:rPr>
        <w:t>(ג)</w:t>
      </w:r>
      <w:r>
        <w:rPr>
          <w:rtl/>
        </w:rPr>
        <w:tab/>
      </w:r>
      <w:r>
        <w:rPr>
          <w:rFonts w:hint="cs"/>
          <w:rtl/>
        </w:rPr>
        <w:t>קנס בסך של 5,000 ₪, או 30 ימי מאסר תמורתו.</w:t>
      </w:r>
    </w:p>
    <w:p w14:paraId="1D46E3C5" w14:textId="77777777" w:rsidR="003066E0" w:rsidRDefault="003066E0" w:rsidP="003066E0">
      <w:pPr>
        <w:spacing w:after="120" w:line="360" w:lineRule="auto"/>
        <w:ind w:left="1440"/>
        <w:jc w:val="both"/>
        <w:rPr>
          <w:rFonts w:ascii="Tahoma" w:hAnsi="Tahoma"/>
        </w:rPr>
      </w:pPr>
      <w:r>
        <w:rPr>
          <w:rFonts w:hint="cs"/>
          <w:rtl/>
        </w:rPr>
        <w:t>הקנס ישולם ב-5 תשלומים חודשיים, שווים ורצופים, החל מיום 01.05.2023 ובכל אחד בחודש שלאחריו. היה והנאשם לא ישלם את אחד התשלומים במועד תועמד כל יתרת הקנס לפירעון מידי.</w:t>
      </w:r>
    </w:p>
    <w:p w14:paraId="439CC7CB" w14:textId="77777777" w:rsidR="003066E0" w:rsidRDefault="003066E0" w:rsidP="003066E0">
      <w:pPr>
        <w:spacing w:after="120" w:line="360" w:lineRule="auto"/>
        <w:ind w:left="144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32" w:history="1">
        <w:r w:rsidR="00582B4F" w:rsidRPr="00582B4F">
          <w:rPr>
            <w:color w:val="0000FF"/>
            <w:u w:val="single"/>
            <w:rtl/>
          </w:rPr>
          <w:t>פקודת הסמים המסוכנים</w:t>
        </w:r>
      </w:hyperlink>
      <w:r>
        <w:rPr>
          <w:rFonts w:hint="cs"/>
          <w:rtl/>
        </w:rPr>
        <w:t>.</w:t>
      </w:r>
    </w:p>
    <w:p w14:paraId="70A99EAB" w14:textId="77777777" w:rsidR="003066E0" w:rsidRPr="003066E0" w:rsidRDefault="003066E0" w:rsidP="003066E0">
      <w:pPr>
        <w:spacing w:after="120" w:line="360" w:lineRule="auto"/>
        <w:ind w:left="1440" w:hanging="720"/>
        <w:jc w:val="both"/>
        <w:rPr>
          <w:rFonts w:ascii="Calibri" w:hAnsi="Calibri"/>
          <w:rtl/>
        </w:rPr>
      </w:pPr>
      <w:r w:rsidRPr="003066E0">
        <w:rPr>
          <w:rFonts w:ascii="Calibri" w:hAnsi="Calibri" w:hint="cs"/>
          <w:rtl/>
        </w:rPr>
        <w:t>(ה)</w:t>
      </w:r>
      <w:r w:rsidRPr="003066E0">
        <w:rPr>
          <w:rFonts w:ascii="Calibri" w:hAnsi="Calibri"/>
          <w:rtl/>
        </w:rPr>
        <w:tab/>
      </w:r>
      <w:r w:rsidRPr="003066E0">
        <w:rPr>
          <w:rFonts w:ascii="Calibri" w:hAnsi="Calibri" w:hint="cs"/>
          <w:rtl/>
        </w:rPr>
        <w:t>צו מבחן, לתקופה של 12 חודשים מהיום.</w:t>
      </w:r>
    </w:p>
    <w:p w14:paraId="363903DA" w14:textId="77777777" w:rsidR="003066E0" w:rsidRPr="003066E0" w:rsidRDefault="003066E0" w:rsidP="003066E0">
      <w:pPr>
        <w:spacing w:after="120" w:line="360" w:lineRule="auto"/>
        <w:ind w:left="1440"/>
        <w:jc w:val="both"/>
        <w:rPr>
          <w:rFonts w:ascii="Calibri" w:hAnsi="Calibri"/>
          <w:rtl/>
        </w:rPr>
      </w:pPr>
      <w:r w:rsidRPr="003066E0">
        <w:rPr>
          <w:rFonts w:ascii="Calibri" w:hAnsi="Calibri"/>
          <w:rtl/>
        </w:rPr>
        <w:t xml:space="preserve">מובהר בזה לנאשם כי אם הוא לא ימלא אחר </w:t>
      </w:r>
      <w:r w:rsidRPr="003066E0">
        <w:rPr>
          <w:rFonts w:ascii="Calibri" w:hAnsi="Calibri" w:hint="cs"/>
          <w:rtl/>
        </w:rPr>
        <w:t xml:space="preserve">הוראות </w:t>
      </w:r>
      <w:r w:rsidRPr="003066E0">
        <w:rPr>
          <w:rFonts w:ascii="Calibri" w:hAnsi="Calibri"/>
          <w:rtl/>
        </w:rPr>
        <w:t>צו ה</w:t>
      </w:r>
      <w:r w:rsidRPr="003066E0">
        <w:rPr>
          <w:rFonts w:ascii="Calibri" w:hAnsi="Calibri" w:hint="cs"/>
          <w:rtl/>
        </w:rPr>
        <w:t xml:space="preserve">מבחן ולא ישתף פעולה עם קצין המבחן, </w:t>
      </w:r>
      <w:r w:rsidRPr="003066E0">
        <w:rPr>
          <w:rFonts w:ascii="Calibri" w:hAnsi="Calibri"/>
          <w:rtl/>
        </w:rPr>
        <w:t>יהא בית המשפט רשאי</w:t>
      </w:r>
      <w:r w:rsidRPr="003066E0">
        <w:rPr>
          <w:rFonts w:ascii="Calibri" w:hAnsi="Calibri" w:hint="cs"/>
          <w:rtl/>
        </w:rPr>
        <w:t xml:space="preserve"> </w:t>
      </w:r>
      <w:r w:rsidRPr="003066E0">
        <w:rPr>
          <w:rFonts w:ascii="Calibri" w:hAnsi="Calibri"/>
          <w:rtl/>
        </w:rPr>
        <w:t>לבטל את צו ה</w:t>
      </w:r>
      <w:r w:rsidRPr="003066E0">
        <w:rPr>
          <w:rFonts w:ascii="Calibri" w:hAnsi="Calibri" w:hint="cs"/>
          <w:rtl/>
        </w:rPr>
        <w:t>מבחן ולגזור עליו, במקום צו המבחן, עונש נוסף.</w:t>
      </w:r>
    </w:p>
    <w:p w14:paraId="4455943E" w14:textId="77777777" w:rsidR="003066E0" w:rsidRDefault="003066E0" w:rsidP="003066E0">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 כאשר הנאשם יידרש לשלם רק את יתרת הסכום שתיוותר.</w:t>
      </w:r>
    </w:p>
    <w:p w14:paraId="2224E465" w14:textId="77777777" w:rsidR="003066E0" w:rsidRDefault="003066E0" w:rsidP="003066E0">
      <w:pPr>
        <w:spacing w:after="120" w:line="360" w:lineRule="auto"/>
        <w:jc w:val="both"/>
        <w:rPr>
          <w:rtl/>
        </w:rPr>
      </w:pPr>
      <w:r>
        <w:rPr>
          <w:rFonts w:hint="cs"/>
          <w:rtl/>
        </w:rPr>
        <w:t>ניתן בזה צו כללי, לעניין מוצגים, לשיקול דעתו של קצין משטרה. הסמים יושמדו.</w:t>
      </w:r>
    </w:p>
    <w:p w14:paraId="7C5AB04F" w14:textId="77777777" w:rsidR="003066E0" w:rsidRDefault="003066E0" w:rsidP="003066E0">
      <w:pPr>
        <w:snapToGrid w:val="0"/>
        <w:spacing w:after="120" w:line="360" w:lineRule="auto"/>
        <w:jc w:val="both"/>
        <w:rPr>
          <w:rtl/>
        </w:rPr>
      </w:pPr>
      <w:r>
        <w:rPr>
          <w:rFonts w:hint="cs"/>
          <w:rtl/>
        </w:rPr>
        <w:t>זכות ערעור בתוך 45 יום מהיום.</w:t>
      </w:r>
    </w:p>
    <w:p w14:paraId="3E2ABAB0" w14:textId="77777777" w:rsidR="003066E0" w:rsidRPr="00761D70" w:rsidRDefault="00582B4F" w:rsidP="003066E0">
      <w:pPr>
        <w:spacing w:after="120" w:line="360" w:lineRule="auto"/>
        <w:jc w:val="both"/>
        <w:rPr>
          <w:rFonts w:ascii="Tahoma" w:hAnsi="Tahoma"/>
          <w:rtl/>
        </w:rPr>
      </w:pPr>
      <w:r w:rsidRPr="00582B4F">
        <w:rPr>
          <w:color w:val="FFFFFF"/>
          <w:sz w:val="2"/>
          <w:szCs w:val="2"/>
          <w:rtl/>
        </w:rPr>
        <w:t>5129371</w:t>
      </w:r>
      <w:r w:rsidR="003066E0">
        <w:rPr>
          <w:rFonts w:hint="cs"/>
          <w:rtl/>
        </w:rPr>
        <w:t>המזכירות תמציא העתק גזר דין זה לשירות המבחן.</w:t>
      </w:r>
    </w:p>
    <w:p w14:paraId="0848D2AC" w14:textId="77777777" w:rsidR="003066E0" w:rsidRPr="00250B83" w:rsidRDefault="00582B4F" w:rsidP="003066E0">
      <w:pPr>
        <w:rPr>
          <w:rtl/>
        </w:rPr>
      </w:pPr>
      <w:bookmarkStart w:id="8" w:name="Nitan"/>
      <w:r w:rsidRPr="00582B4F">
        <w:rPr>
          <w:rFonts w:ascii="Arial" w:hAnsi="Arial"/>
          <w:color w:val="FFFFFF"/>
          <w:sz w:val="2"/>
          <w:szCs w:val="2"/>
          <w:rtl/>
        </w:rPr>
        <w:t>54678313</w:t>
      </w:r>
      <w:r>
        <w:rPr>
          <w:rFonts w:ascii="Arial" w:hAnsi="Arial"/>
          <w:rtl/>
        </w:rPr>
        <w:t xml:space="preserve">ניתן היום, א' טבת תשפ"ג, 25 דצמבר 2022, במעמד הצדדים. </w:t>
      </w:r>
      <w:bookmarkEnd w:id="8"/>
    </w:p>
    <w:p w14:paraId="6CC6D710" w14:textId="77777777" w:rsidR="003066E0" w:rsidRPr="008233DE" w:rsidRDefault="008233DE" w:rsidP="00582B4F">
      <w:pPr>
        <w:jc w:val="center"/>
        <w:rPr>
          <w:color w:val="FFFFFF"/>
          <w:sz w:val="2"/>
          <w:szCs w:val="2"/>
        </w:rPr>
      </w:pPr>
      <w:r w:rsidRPr="008233DE">
        <w:rPr>
          <w:color w:val="FFFFFF"/>
          <w:sz w:val="2"/>
          <w:szCs w:val="2"/>
          <w:rtl/>
        </w:rPr>
        <w:t>5129371</w:t>
      </w:r>
      <w:r w:rsidR="003066E0" w:rsidRPr="008233DE">
        <w:rPr>
          <w:rFonts w:hint="cs"/>
          <w:color w:val="FFFFFF"/>
          <w:sz w:val="2"/>
          <w:szCs w:val="2"/>
          <w:rtl/>
        </w:rPr>
        <w:t xml:space="preserve">   </w:t>
      </w:r>
      <w:r w:rsidR="003066E0" w:rsidRPr="008233DE">
        <w:rPr>
          <w:rFonts w:hint="cs"/>
          <w:color w:val="FFFFFF"/>
          <w:sz w:val="2"/>
          <w:szCs w:val="2"/>
          <w:rtl/>
        </w:rPr>
        <w:tab/>
      </w:r>
      <w:r w:rsidR="003066E0" w:rsidRPr="008233DE">
        <w:rPr>
          <w:rFonts w:hint="cs"/>
          <w:color w:val="FFFFFF"/>
          <w:sz w:val="2"/>
          <w:szCs w:val="2"/>
          <w:rtl/>
        </w:rPr>
        <w:tab/>
      </w:r>
      <w:r w:rsidR="003066E0" w:rsidRPr="008233DE">
        <w:rPr>
          <w:rFonts w:hint="cs"/>
          <w:color w:val="FFFFFF"/>
          <w:sz w:val="2"/>
          <w:szCs w:val="2"/>
          <w:rtl/>
        </w:rPr>
        <w:tab/>
      </w:r>
      <w:r w:rsidR="003066E0" w:rsidRPr="008233DE">
        <w:rPr>
          <w:rFonts w:hint="cs"/>
          <w:color w:val="FFFFFF"/>
          <w:sz w:val="2"/>
          <w:szCs w:val="2"/>
          <w:rtl/>
        </w:rPr>
        <w:tab/>
      </w:r>
      <w:r w:rsidR="003066E0" w:rsidRPr="008233DE">
        <w:rPr>
          <w:rFonts w:hint="cs"/>
          <w:color w:val="FFFFFF"/>
          <w:sz w:val="2"/>
          <w:szCs w:val="2"/>
          <w:rtl/>
        </w:rPr>
        <w:tab/>
      </w:r>
    </w:p>
    <w:p w14:paraId="23358510" w14:textId="77777777" w:rsidR="00582B4F" w:rsidRPr="008233DE" w:rsidRDefault="008233DE" w:rsidP="00582B4F">
      <w:pPr>
        <w:rPr>
          <w:color w:val="FFFFFF"/>
          <w:sz w:val="2"/>
          <w:szCs w:val="2"/>
          <w:rtl/>
        </w:rPr>
      </w:pPr>
      <w:r w:rsidRPr="008233DE">
        <w:rPr>
          <w:color w:val="FFFFFF"/>
          <w:sz w:val="2"/>
          <w:szCs w:val="2"/>
          <w:rtl/>
        </w:rPr>
        <w:t>54678313</w:t>
      </w:r>
    </w:p>
    <w:p w14:paraId="573E8137" w14:textId="77777777" w:rsidR="00582B4F" w:rsidRDefault="00582B4F" w:rsidP="00582B4F">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3F002FC" w14:textId="77777777" w:rsidR="008233DE" w:rsidRPr="008233DE" w:rsidRDefault="008233DE" w:rsidP="008233DE">
      <w:pPr>
        <w:keepNext/>
        <w:rPr>
          <w:rFonts w:ascii="David" w:hAnsi="David"/>
          <w:color w:val="000000"/>
          <w:sz w:val="22"/>
          <w:szCs w:val="22"/>
          <w:rtl/>
        </w:rPr>
      </w:pPr>
    </w:p>
    <w:p w14:paraId="79AF3584" w14:textId="77777777" w:rsidR="008233DE" w:rsidRPr="008233DE" w:rsidRDefault="008233DE" w:rsidP="008233DE">
      <w:pPr>
        <w:keepNext/>
        <w:rPr>
          <w:rFonts w:ascii="David" w:hAnsi="David"/>
          <w:color w:val="000000"/>
          <w:sz w:val="22"/>
          <w:szCs w:val="22"/>
          <w:rtl/>
        </w:rPr>
      </w:pPr>
      <w:r w:rsidRPr="008233DE">
        <w:rPr>
          <w:rFonts w:ascii="David" w:hAnsi="David"/>
          <w:color w:val="000000"/>
          <w:sz w:val="22"/>
          <w:szCs w:val="22"/>
          <w:rtl/>
        </w:rPr>
        <w:t>שאול אבינור 54678313-/</w:t>
      </w:r>
    </w:p>
    <w:p w14:paraId="51A4FD17" w14:textId="77777777" w:rsidR="008233DE" w:rsidRPr="008233DE" w:rsidRDefault="008233DE" w:rsidP="008233DE">
      <w:pPr>
        <w:keepNext/>
        <w:rPr>
          <w:rFonts w:ascii="David" w:hAnsi="David"/>
          <w:color w:val="000000"/>
          <w:sz w:val="22"/>
          <w:szCs w:val="22"/>
          <w:rtl/>
        </w:rPr>
      </w:pPr>
      <w:r w:rsidRPr="008233DE">
        <w:rPr>
          <w:color w:val="000000"/>
          <w:u w:val="single"/>
          <w:rtl/>
        </w:rPr>
        <w:t>נוסח מסמך זה כפוף לשינויי ניסוח ועריכה</w:t>
      </w:r>
    </w:p>
    <w:p w14:paraId="418E4A2D" w14:textId="77777777" w:rsidR="00582B4F" w:rsidRPr="00582B4F" w:rsidRDefault="00582B4F" w:rsidP="008233DE">
      <w:pPr>
        <w:rPr>
          <w:color w:val="0000FF"/>
          <w:u w:val="single"/>
        </w:rPr>
      </w:pPr>
    </w:p>
    <w:sectPr w:rsidR="00582B4F" w:rsidRPr="00582B4F" w:rsidSect="008233DE">
      <w:headerReference w:type="even" r:id="rId34"/>
      <w:headerReference w:type="default" r:id="rId35"/>
      <w:footerReference w:type="even" r:id="rId36"/>
      <w:footerReference w:type="default" r:id="rId3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B1C5F" w14:textId="77777777" w:rsidR="00E21159" w:rsidRDefault="00E21159" w:rsidP="0059519D">
      <w:r>
        <w:separator/>
      </w:r>
    </w:p>
  </w:endnote>
  <w:endnote w:type="continuationSeparator" w:id="0">
    <w:p w14:paraId="0801EF79" w14:textId="77777777" w:rsidR="00E21159" w:rsidRDefault="00E21159" w:rsidP="0059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3E508" w14:textId="77777777" w:rsidR="008233DE" w:rsidRDefault="008233DE" w:rsidP="008233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406660BD" w14:textId="77777777" w:rsidR="00BE1A97" w:rsidRPr="008233DE" w:rsidRDefault="008233DE" w:rsidP="008233DE">
    <w:pPr>
      <w:pStyle w:val="a5"/>
      <w:pBdr>
        <w:top w:val="single" w:sz="4" w:space="1" w:color="auto"/>
        <w:between w:val="single" w:sz="4" w:space="0" w:color="auto"/>
      </w:pBdr>
      <w:spacing w:after="60"/>
      <w:jc w:val="center"/>
      <w:rPr>
        <w:rFonts w:ascii="FrankRuehl" w:hAnsi="FrankRuehl" w:cs="FrankRuehl"/>
        <w:color w:val="000000"/>
      </w:rPr>
    </w:pPr>
    <w:r w:rsidRPr="008233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AF585" w14:textId="77777777" w:rsidR="008233DE" w:rsidRDefault="008233DE" w:rsidP="008233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039B">
      <w:rPr>
        <w:rFonts w:ascii="FrankRuehl" w:hAnsi="FrankRuehl" w:cs="FrankRuehl"/>
        <w:noProof/>
        <w:rtl/>
      </w:rPr>
      <w:t>1</w:t>
    </w:r>
    <w:r>
      <w:rPr>
        <w:rFonts w:ascii="FrankRuehl" w:hAnsi="FrankRuehl" w:cs="FrankRuehl"/>
        <w:rtl/>
      </w:rPr>
      <w:fldChar w:fldCharType="end"/>
    </w:r>
  </w:p>
  <w:p w14:paraId="3199CACE" w14:textId="77777777" w:rsidR="00BE1A97" w:rsidRPr="008233DE" w:rsidRDefault="008233DE" w:rsidP="008233DE">
    <w:pPr>
      <w:pStyle w:val="a5"/>
      <w:pBdr>
        <w:top w:val="single" w:sz="4" w:space="1" w:color="auto"/>
        <w:between w:val="single" w:sz="4" w:space="0" w:color="auto"/>
      </w:pBdr>
      <w:spacing w:after="60"/>
      <w:jc w:val="center"/>
      <w:rPr>
        <w:rFonts w:ascii="FrankRuehl" w:hAnsi="FrankRuehl" w:cs="FrankRuehl"/>
        <w:color w:val="000000"/>
      </w:rPr>
    </w:pPr>
    <w:r w:rsidRPr="008233DE">
      <w:rPr>
        <w:rFonts w:ascii="FrankRuehl" w:hAnsi="FrankRuehl" w:cs="FrankRuehl"/>
        <w:color w:val="000000"/>
      </w:rPr>
      <w:pict w14:anchorId="67DC4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40C85" w14:textId="77777777" w:rsidR="00E21159" w:rsidRDefault="00E21159" w:rsidP="0059519D">
      <w:r>
        <w:separator/>
      </w:r>
    </w:p>
  </w:footnote>
  <w:footnote w:type="continuationSeparator" w:id="0">
    <w:p w14:paraId="0C0069D7" w14:textId="77777777" w:rsidR="00E21159" w:rsidRDefault="00E21159" w:rsidP="0059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5E4AA" w14:textId="77777777" w:rsidR="00582B4F" w:rsidRPr="008233DE" w:rsidRDefault="008233DE" w:rsidP="008233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7660-03-20</w:t>
    </w:r>
    <w:r>
      <w:rPr>
        <w:rFonts w:ascii="David" w:hAnsi="David"/>
        <w:color w:val="000000"/>
        <w:sz w:val="22"/>
        <w:szCs w:val="22"/>
        <w:rtl/>
      </w:rPr>
      <w:tab/>
      <w:t xml:space="preserve"> מדינת ישראל נ' דוד אסולין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7402E" w14:textId="77777777" w:rsidR="00582B4F" w:rsidRPr="008233DE" w:rsidRDefault="008233DE" w:rsidP="008233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7660-03-20</w:t>
    </w:r>
    <w:r>
      <w:rPr>
        <w:rFonts w:ascii="David" w:hAnsi="David"/>
        <w:color w:val="000000"/>
        <w:sz w:val="22"/>
        <w:szCs w:val="22"/>
        <w:rtl/>
      </w:rPr>
      <w:tab/>
      <w:t xml:space="preserve"> מדינת ישראל נ' דוד אסולין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C44E0"/>
    <w:multiLevelType w:val="hybridMultilevel"/>
    <w:tmpl w:val="A1EAFD22"/>
    <w:lvl w:ilvl="0" w:tplc="5CFC8548">
      <w:start w:val="1"/>
      <w:numFmt w:val="bullet"/>
      <w:lvlText w:val=""/>
      <w:lvlJc w:val="left"/>
      <w:pPr>
        <w:ind w:left="1440" w:hanging="360"/>
      </w:pPr>
      <w:rPr>
        <w:rFonts w:ascii="Symbol" w:eastAsia="Calibri"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02549ED"/>
    <w:multiLevelType w:val="hybridMultilevel"/>
    <w:tmpl w:val="E8E42A4C"/>
    <w:lvl w:ilvl="0" w:tplc="13C6D9F8">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72668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903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66E0"/>
    <w:rsid w:val="00074B0C"/>
    <w:rsid w:val="001561EC"/>
    <w:rsid w:val="001B5A3B"/>
    <w:rsid w:val="002612C9"/>
    <w:rsid w:val="003066E0"/>
    <w:rsid w:val="004B039B"/>
    <w:rsid w:val="004D7869"/>
    <w:rsid w:val="00582B4F"/>
    <w:rsid w:val="0059519D"/>
    <w:rsid w:val="00657B0D"/>
    <w:rsid w:val="00786810"/>
    <w:rsid w:val="008233DE"/>
    <w:rsid w:val="008306DB"/>
    <w:rsid w:val="00986448"/>
    <w:rsid w:val="00BE1A97"/>
    <w:rsid w:val="00E21159"/>
    <w:rsid w:val="00EA0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B4B8DE"/>
  <w15:chartTrackingRefBased/>
  <w15:docId w15:val="{D623B347-A829-4F19-99C6-B8868478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66E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66E0"/>
    <w:pPr>
      <w:tabs>
        <w:tab w:val="center" w:pos="4153"/>
        <w:tab w:val="right" w:pos="8306"/>
      </w:tabs>
    </w:pPr>
  </w:style>
  <w:style w:type="character" w:customStyle="1" w:styleId="a4">
    <w:name w:val="כותרת עליונה תו"/>
    <w:link w:val="a3"/>
    <w:rsid w:val="003066E0"/>
    <w:rPr>
      <w:rFonts w:ascii="Times New Roman" w:eastAsia="Times New Roman" w:hAnsi="Times New Roman" w:cs="David"/>
      <w:sz w:val="24"/>
      <w:szCs w:val="24"/>
    </w:rPr>
  </w:style>
  <w:style w:type="paragraph" w:styleId="a5">
    <w:name w:val="footer"/>
    <w:basedOn w:val="a"/>
    <w:link w:val="a6"/>
    <w:rsid w:val="003066E0"/>
    <w:pPr>
      <w:tabs>
        <w:tab w:val="center" w:pos="4153"/>
        <w:tab w:val="right" w:pos="8306"/>
      </w:tabs>
    </w:pPr>
  </w:style>
  <w:style w:type="character" w:customStyle="1" w:styleId="a6">
    <w:name w:val="כותרת תחתונה תו"/>
    <w:link w:val="a5"/>
    <w:rsid w:val="003066E0"/>
    <w:rPr>
      <w:rFonts w:ascii="Times New Roman" w:eastAsia="Times New Roman" w:hAnsi="Times New Roman" w:cs="David"/>
      <w:sz w:val="24"/>
      <w:szCs w:val="24"/>
    </w:rPr>
  </w:style>
  <w:style w:type="table" w:styleId="a7">
    <w:name w:val="Table Grid"/>
    <w:basedOn w:val="a1"/>
    <w:rsid w:val="003066E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66E0"/>
  </w:style>
  <w:style w:type="character" w:styleId="Hyperlink">
    <w:name w:val="Hyperlink"/>
    <w:rsid w:val="00582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ja" TargetMode="External"/><Relationship Id="rId39" Type="http://schemas.openxmlformats.org/officeDocument/2006/relationships/theme" Target="theme/theme1.xml"/><Relationship Id="rId21" Type="http://schemas.openxmlformats.org/officeDocument/2006/relationships/hyperlink" Target="http://www.nevo.co.il/case/25977712"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514305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6691550"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40d"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3750765"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3750765"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2804</Words>
  <Characters>14024</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16795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3342453</vt:i4>
      </vt:variant>
      <vt:variant>
        <vt:i4>69</vt:i4>
      </vt:variant>
      <vt:variant>
        <vt:i4>0</vt:i4>
      </vt:variant>
      <vt:variant>
        <vt:i4>5</vt:i4>
      </vt:variant>
      <vt:variant>
        <vt:lpwstr>http://www.nevo.co.il/case/23750765</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3997809</vt:i4>
      </vt:variant>
      <vt:variant>
        <vt:i4>42</vt:i4>
      </vt:variant>
      <vt:variant>
        <vt:i4>0</vt:i4>
      </vt:variant>
      <vt:variant>
        <vt:i4>5</vt:i4>
      </vt:variant>
      <vt:variant>
        <vt:lpwstr>http://www.nevo.co.il/case/25977712</vt:lpwstr>
      </vt:variant>
      <vt:variant>
        <vt:lpwstr/>
      </vt:variant>
      <vt:variant>
        <vt:i4>3473525</vt:i4>
      </vt:variant>
      <vt:variant>
        <vt:i4>39</vt:i4>
      </vt:variant>
      <vt:variant>
        <vt:i4>0</vt:i4>
      </vt:variant>
      <vt:variant>
        <vt:i4>5</vt:i4>
      </vt:variant>
      <vt:variant>
        <vt:lpwstr>http://www.nevo.co.il/case/25143055</vt:lpwstr>
      </vt:variant>
      <vt:variant>
        <vt:lpwstr/>
      </vt:variant>
      <vt:variant>
        <vt:i4>3342453</vt:i4>
      </vt:variant>
      <vt:variant>
        <vt:i4>36</vt:i4>
      </vt:variant>
      <vt:variant>
        <vt:i4>0</vt:i4>
      </vt:variant>
      <vt:variant>
        <vt:i4>5</vt:i4>
      </vt:variant>
      <vt:variant>
        <vt:lpwstr>http://www.nevo.co.il/case/23750765</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3145854</vt:i4>
      </vt:variant>
      <vt:variant>
        <vt:i4>24</vt:i4>
      </vt:variant>
      <vt:variant>
        <vt:i4>0</vt:i4>
      </vt:variant>
      <vt:variant>
        <vt:i4>5</vt:i4>
      </vt:variant>
      <vt:variant>
        <vt:lpwstr>http://www.nevo.co.il/case/26691550</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7660</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אסולין</vt:lpwstr>
  </property>
  <property fmtid="{D5CDD505-2E9C-101B-9397-08002B2CF9AE}" pid="10" name="LAWYER">
    <vt:lpwstr>ג'סיקה קובורסי;נעמה אלחדד</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20221225</vt:lpwstr>
  </property>
  <property fmtid="{D5CDD505-2E9C-101B-9397-08002B2CF9AE}" pid="14" name="TYPE_N_DATE">
    <vt:lpwstr>38020221225</vt:lpwstr>
  </property>
  <property fmtid="{D5CDD505-2E9C-101B-9397-08002B2CF9AE}" pid="15" name="WORDNUMPAGES">
    <vt:lpwstr>8</vt:lpwstr>
  </property>
  <property fmtid="{D5CDD505-2E9C-101B-9397-08002B2CF9AE}" pid="16" name="TYPE_ABS_DATE">
    <vt:lpwstr>380020221225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26691550;23750765:2;25143055;25977712</vt:lpwstr>
  </property>
  <property fmtid="{D5CDD505-2E9C-101B-9397-08002B2CF9AE}" pid="36" name="LAWLISTTMP1">
    <vt:lpwstr>4216/007.a;007.c</vt:lpwstr>
  </property>
  <property fmtid="{D5CDD505-2E9C-101B-9397-08002B2CF9AE}" pid="37" name="LAWLISTTMP2">
    <vt:lpwstr>70301/040c.a;40jc;40ja;040d</vt:lpwstr>
  </property>
</Properties>
</file>