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33878" w:rsidRPr="00AE636E" w14:paraId="659F4752" w14:textId="77777777" w:rsidTr="00E15F58">
        <w:trPr>
          <w:trHeight w:hRule="exact" w:val="418"/>
          <w:jc w:val="center"/>
        </w:trPr>
        <w:tc>
          <w:tcPr>
            <w:tcW w:w="8721" w:type="dxa"/>
            <w:gridSpan w:val="2"/>
          </w:tcPr>
          <w:p w14:paraId="2B0E7B5C" w14:textId="77777777" w:rsidR="00D33878" w:rsidRPr="00AE636E" w:rsidRDefault="00D33878" w:rsidP="0087566E">
            <w:pPr>
              <w:pStyle w:val="a3"/>
              <w:jc w:val="center"/>
              <w:rPr>
                <w:rFonts w:ascii="Tahoma" w:hAnsi="Tahoma" w:cs="Tahoma"/>
                <w:color w:val="000080"/>
                <w:rtl/>
              </w:rPr>
            </w:pPr>
            <w:bookmarkStart w:id="0" w:name="LastJudge"/>
            <w:r w:rsidRPr="00AE636E">
              <w:rPr>
                <w:rFonts w:ascii="Tahoma" w:hAnsi="Tahoma" w:cs="Tahoma"/>
                <w:b/>
                <w:bCs/>
                <w:color w:val="000080"/>
                <w:rtl/>
              </w:rPr>
              <w:t>בית משפט השלום בבאר שבע</w:t>
            </w:r>
          </w:p>
        </w:tc>
      </w:tr>
      <w:tr w:rsidR="00D33878" w:rsidRPr="00AE636E" w14:paraId="1BA49887" w14:textId="77777777" w:rsidTr="00E15F58">
        <w:trPr>
          <w:trHeight w:val="337"/>
          <w:jc w:val="center"/>
        </w:trPr>
        <w:tc>
          <w:tcPr>
            <w:tcW w:w="5056" w:type="dxa"/>
          </w:tcPr>
          <w:p w14:paraId="2A7FF8E5" w14:textId="77777777" w:rsidR="00D33878" w:rsidRPr="00AE636E" w:rsidRDefault="00D33878" w:rsidP="0087566E">
            <w:pPr>
              <w:rPr>
                <w:rFonts w:ascii="David" w:hAnsi="David"/>
                <w:b/>
                <w:bCs/>
                <w:sz w:val="28"/>
                <w:szCs w:val="28"/>
                <w:rtl/>
              </w:rPr>
            </w:pPr>
            <w:r w:rsidRPr="00AE636E">
              <w:rPr>
                <w:rFonts w:ascii="David" w:hAnsi="David"/>
                <w:b/>
                <w:bCs/>
                <w:sz w:val="28"/>
                <w:szCs w:val="28"/>
                <w:rtl/>
              </w:rPr>
              <w:t>ת"פ 8707-03-20 מדינת ישראל נ' אבקסיס</w:t>
            </w:r>
          </w:p>
          <w:p w14:paraId="0A7C3672" w14:textId="77777777" w:rsidR="00D33878" w:rsidRPr="00AE636E" w:rsidRDefault="00D33878" w:rsidP="0087566E">
            <w:pPr>
              <w:pStyle w:val="a3"/>
              <w:rPr>
                <w:rFonts w:cs="FrankRuehl"/>
                <w:sz w:val="28"/>
                <w:szCs w:val="28"/>
                <w:rtl/>
              </w:rPr>
            </w:pPr>
          </w:p>
        </w:tc>
        <w:tc>
          <w:tcPr>
            <w:tcW w:w="3665" w:type="dxa"/>
          </w:tcPr>
          <w:p w14:paraId="5A41714E" w14:textId="77777777" w:rsidR="00D33878" w:rsidRPr="00AE636E" w:rsidRDefault="00D33878" w:rsidP="0087566E">
            <w:pPr>
              <w:pStyle w:val="a3"/>
              <w:jc w:val="right"/>
              <w:rPr>
                <w:rFonts w:cs="FrankRuehl"/>
                <w:sz w:val="28"/>
                <w:szCs w:val="28"/>
                <w:rtl/>
              </w:rPr>
            </w:pPr>
          </w:p>
        </w:tc>
      </w:tr>
    </w:tbl>
    <w:p w14:paraId="147C28B2" w14:textId="77777777" w:rsidR="00D33878" w:rsidRPr="00AE636E" w:rsidRDefault="00D33878" w:rsidP="00D33878">
      <w:pPr>
        <w:pStyle w:val="a3"/>
        <w:rPr>
          <w:rtl/>
        </w:rPr>
      </w:pPr>
      <w:r w:rsidRPr="00AE636E">
        <w:rPr>
          <w:rFonts w:hint="cs"/>
          <w:rtl/>
        </w:rPr>
        <w:t xml:space="preserve"> </w:t>
      </w:r>
    </w:p>
    <w:p w14:paraId="7A31EA3C" w14:textId="77777777" w:rsidR="00D33878" w:rsidRPr="00AE636E" w:rsidRDefault="00D33878" w:rsidP="00D33878">
      <w:pPr>
        <w:rPr>
          <w:rtl/>
        </w:rPr>
      </w:pPr>
    </w:p>
    <w:p w14:paraId="67F3FB20" w14:textId="77777777" w:rsidR="00D33878" w:rsidRPr="00AE636E" w:rsidRDefault="00D33878" w:rsidP="00D3387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33878" w:rsidRPr="00AE636E" w14:paraId="758AA6D2" w14:textId="77777777" w:rsidTr="00D33878">
        <w:trPr>
          <w:trHeight w:val="295"/>
          <w:jc w:val="center"/>
        </w:trPr>
        <w:tc>
          <w:tcPr>
            <w:tcW w:w="923" w:type="dxa"/>
            <w:tcBorders>
              <w:top w:val="nil"/>
              <w:left w:val="nil"/>
              <w:bottom w:val="nil"/>
              <w:right w:val="nil"/>
            </w:tcBorders>
            <w:shd w:val="clear" w:color="auto" w:fill="auto"/>
          </w:tcPr>
          <w:p w14:paraId="15F5FA3B" w14:textId="77777777" w:rsidR="00D33878" w:rsidRPr="00AE636E" w:rsidRDefault="00D33878" w:rsidP="00D33878">
            <w:pPr>
              <w:jc w:val="both"/>
              <w:rPr>
                <w:rFonts w:ascii="David" w:hAnsi="David"/>
                <w:b/>
                <w:bCs/>
                <w:sz w:val="26"/>
                <w:szCs w:val="26"/>
              </w:rPr>
            </w:pPr>
            <w:r w:rsidRPr="00AE636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88D69BA" w14:textId="77777777" w:rsidR="00D33878" w:rsidRPr="00AE636E" w:rsidRDefault="00D33878" w:rsidP="0087566E">
            <w:pPr>
              <w:rPr>
                <w:rFonts w:ascii="David" w:hAnsi="David"/>
                <w:b/>
                <w:bCs/>
                <w:sz w:val="26"/>
                <w:szCs w:val="26"/>
                <w:rtl/>
              </w:rPr>
            </w:pPr>
            <w:r w:rsidRPr="00AE636E">
              <w:rPr>
                <w:rFonts w:ascii="David" w:hAnsi="David"/>
                <w:b/>
                <w:bCs/>
                <w:sz w:val="26"/>
                <w:szCs w:val="26"/>
                <w:rtl/>
              </w:rPr>
              <w:t>כבוד השופט  יניב בן הרוש</w:t>
            </w:r>
          </w:p>
          <w:p w14:paraId="041DB235" w14:textId="77777777" w:rsidR="00D33878" w:rsidRPr="00AE636E" w:rsidRDefault="00D33878" w:rsidP="0087566E">
            <w:pPr>
              <w:rPr>
                <w:rFonts w:ascii="David" w:hAnsi="David"/>
                <w:b/>
                <w:bCs/>
                <w:sz w:val="26"/>
                <w:szCs w:val="26"/>
                <w:rtl/>
              </w:rPr>
            </w:pPr>
          </w:p>
          <w:p w14:paraId="024A401F" w14:textId="77777777" w:rsidR="00D33878" w:rsidRPr="00AE636E" w:rsidRDefault="00D33878" w:rsidP="00D33878">
            <w:pPr>
              <w:jc w:val="both"/>
              <w:rPr>
                <w:rFonts w:ascii="David" w:hAnsi="David"/>
                <w:b/>
                <w:bCs/>
                <w:sz w:val="26"/>
                <w:szCs w:val="26"/>
              </w:rPr>
            </w:pPr>
          </w:p>
        </w:tc>
      </w:tr>
      <w:tr w:rsidR="00D33878" w:rsidRPr="00AE636E" w14:paraId="217C84A4" w14:textId="77777777" w:rsidTr="00D33878">
        <w:trPr>
          <w:trHeight w:val="355"/>
          <w:jc w:val="center"/>
        </w:trPr>
        <w:tc>
          <w:tcPr>
            <w:tcW w:w="923" w:type="dxa"/>
            <w:tcBorders>
              <w:top w:val="nil"/>
              <w:left w:val="nil"/>
              <w:bottom w:val="nil"/>
              <w:right w:val="nil"/>
            </w:tcBorders>
            <w:shd w:val="clear" w:color="auto" w:fill="auto"/>
          </w:tcPr>
          <w:p w14:paraId="632EC405" w14:textId="77777777" w:rsidR="00D33878" w:rsidRPr="00AE636E" w:rsidRDefault="00D33878" w:rsidP="00D33878">
            <w:pPr>
              <w:jc w:val="both"/>
              <w:rPr>
                <w:rFonts w:ascii="David" w:hAnsi="David"/>
                <w:b/>
                <w:bCs/>
                <w:sz w:val="26"/>
                <w:szCs w:val="26"/>
              </w:rPr>
            </w:pPr>
            <w:bookmarkStart w:id="1" w:name="FirstAppellant"/>
            <w:bookmarkStart w:id="2" w:name="FirstLawyer"/>
            <w:r w:rsidRPr="00AE636E">
              <w:rPr>
                <w:rFonts w:ascii="David" w:hAnsi="David"/>
                <w:b/>
                <w:bCs/>
                <w:sz w:val="26"/>
                <w:szCs w:val="26"/>
                <w:rtl/>
              </w:rPr>
              <w:t>בעניין:</w:t>
            </w:r>
          </w:p>
        </w:tc>
        <w:tc>
          <w:tcPr>
            <w:tcW w:w="3219" w:type="dxa"/>
            <w:tcBorders>
              <w:top w:val="nil"/>
              <w:left w:val="nil"/>
              <w:bottom w:val="nil"/>
              <w:right w:val="nil"/>
            </w:tcBorders>
            <w:shd w:val="clear" w:color="auto" w:fill="auto"/>
          </w:tcPr>
          <w:p w14:paraId="1422DCCB" w14:textId="77777777" w:rsidR="00D33878" w:rsidRPr="00AE636E" w:rsidRDefault="00D33878" w:rsidP="00D33878">
            <w:pPr>
              <w:suppressLineNumbers/>
              <w:rPr>
                <w:b/>
                <w:bCs/>
              </w:rPr>
            </w:pPr>
            <w:r w:rsidRPr="00AE636E">
              <w:rPr>
                <w:rFonts w:ascii="Arial" w:hAnsi="Arial" w:hint="cs"/>
                <w:b/>
                <w:bCs/>
                <w:sz w:val="26"/>
                <w:szCs w:val="26"/>
                <w:rtl/>
              </w:rPr>
              <w:t>ה</w:t>
            </w:r>
            <w:r w:rsidRPr="00AE636E">
              <w:rPr>
                <w:rFonts w:ascii="Arial" w:hAnsi="Arial"/>
                <w:b/>
                <w:bCs/>
                <w:sz w:val="26"/>
                <w:szCs w:val="26"/>
                <w:rtl/>
              </w:rPr>
              <w:t>מאשימה</w:t>
            </w:r>
          </w:p>
          <w:p w14:paraId="187D1D95" w14:textId="77777777" w:rsidR="00D33878" w:rsidRPr="00AE636E" w:rsidRDefault="00D33878" w:rsidP="0087566E">
            <w:pPr>
              <w:rPr>
                <w:rFonts w:ascii="David" w:hAnsi="David"/>
                <w:b/>
                <w:bCs/>
                <w:sz w:val="26"/>
                <w:szCs w:val="26"/>
              </w:rPr>
            </w:pPr>
          </w:p>
        </w:tc>
        <w:tc>
          <w:tcPr>
            <w:tcW w:w="4678" w:type="dxa"/>
            <w:tcBorders>
              <w:top w:val="nil"/>
              <w:left w:val="nil"/>
              <w:bottom w:val="nil"/>
              <w:right w:val="nil"/>
            </w:tcBorders>
            <w:shd w:val="clear" w:color="auto" w:fill="auto"/>
            <w:vAlign w:val="center"/>
          </w:tcPr>
          <w:p w14:paraId="12E49BB2" w14:textId="77777777" w:rsidR="00D33878" w:rsidRPr="00AE636E" w:rsidRDefault="00D33878" w:rsidP="00D33878">
            <w:pPr>
              <w:suppressLineNumbers/>
              <w:rPr>
                <w:rFonts w:ascii="Arial" w:hAnsi="Arial"/>
                <w:b/>
                <w:bCs/>
                <w:sz w:val="26"/>
                <w:szCs w:val="26"/>
                <w:rtl/>
              </w:rPr>
            </w:pPr>
            <w:r w:rsidRPr="00AE636E">
              <w:rPr>
                <w:rFonts w:ascii="Arial" w:hAnsi="Arial"/>
                <w:b/>
                <w:bCs/>
                <w:sz w:val="26"/>
                <w:szCs w:val="26"/>
                <w:rtl/>
              </w:rPr>
              <w:t>מדינת ישראל</w:t>
            </w:r>
            <w:r w:rsidRPr="00AE636E">
              <w:rPr>
                <w:rFonts w:ascii="Arial" w:hAnsi="Arial" w:hint="cs"/>
                <w:b/>
                <w:bCs/>
                <w:sz w:val="26"/>
                <w:szCs w:val="26"/>
                <w:rtl/>
              </w:rPr>
              <w:t xml:space="preserve">-תביעות נגב </w:t>
            </w:r>
          </w:p>
          <w:p w14:paraId="6735C8D7" w14:textId="77777777" w:rsidR="00D33878" w:rsidRPr="00AE636E" w:rsidRDefault="00D33878" w:rsidP="00D33878">
            <w:pPr>
              <w:suppressLineNumbers/>
              <w:rPr>
                <w:b/>
                <w:bCs/>
              </w:rPr>
            </w:pPr>
            <w:r w:rsidRPr="00AE636E">
              <w:rPr>
                <w:rFonts w:ascii="Arial" w:hAnsi="Arial"/>
                <w:b/>
                <w:bCs/>
                <w:sz w:val="26"/>
                <w:szCs w:val="26"/>
                <w:rtl/>
              </w:rPr>
              <w:t>ע"י ב"כ עוה"ד</w:t>
            </w:r>
            <w:r w:rsidRPr="00AE636E">
              <w:rPr>
                <w:rFonts w:ascii="Arial" w:hAnsi="Arial" w:hint="cs"/>
                <w:b/>
                <w:bCs/>
                <w:sz w:val="26"/>
                <w:szCs w:val="26"/>
                <w:rtl/>
              </w:rPr>
              <w:t xml:space="preserve"> שירה רוג</w:t>
            </w:r>
          </w:p>
          <w:p w14:paraId="1566BD65" w14:textId="77777777" w:rsidR="00D33878" w:rsidRPr="00AE636E" w:rsidRDefault="00D33878" w:rsidP="0087566E">
            <w:pPr>
              <w:rPr>
                <w:rFonts w:ascii="David" w:hAnsi="David"/>
                <w:b/>
                <w:bCs/>
                <w:sz w:val="26"/>
                <w:szCs w:val="26"/>
              </w:rPr>
            </w:pPr>
          </w:p>
        </w:tc>
      </w:tr>
      <w:bookmarkEnd w:id="1"/>
      <w:bookmarkEnd w:id="2"/>
      <w:tr w:rsidR="00D33878" w:rsidRPr="00AE636E" w14:paraId="4A6457FC" w14:textId="77777777" w:rsidTr="00D33878">
        <w:trPr>
          <w:trHeight w:val="355"/>
          <w:jc w:val="center"/>
        </w:trPr>
        <w:tc>
          <w:tcPr>
            <w:tcW w:w="923" w:type="dxa"/>
            <w:tcBorders>
              <w:top w:val="nil"/>
              <w:left w:val="nil"/>
              <w:bottom w:val="nil"/>
              <w:right w:val="nil"/>
            </w:tcBorders>
            <w:shd w:val="clear" w:color="auto" w:fill="auto"/>
          </w:tcPr>
          <w:p w14:paraId="40F93CDA" w14:textId="77777777" w:rsidR="00D33878" w:rsidRPr="00AE636E" w:rsidRDefault="00D33878" w:rsidP="00D3387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4A056A8" w14:textId="77777777" w:rsidR="00D33878" w:rsidRPr="00AE636E" w:rsidRDefault="00D33878" w:rsidP="00D33878">
            <w:pPr>
              <w:jc w:val="center"/>
              <w:rPr>
                <w:rFonts w:ascii="David" w:hAnsi="David"/>
                <w:b/>
                <w:bCs/>
                <w:sz w:val="26"/>
                <w:szCs w:val="26"/>
                <w:rtl/>
              </w:rPr>
            </w:pPr>
          </w:p>
          <w:p w14:paraId="06292E3F" w14:textId="77777777" w:rsidR="00D33878" w:rsidRPr="00AE636E" w:rsidRDefault="00D33878" w:rsidP="00D33878">
            <w:pPr>
              <w:jc w:val="center"/>
              <w:rPr>
                <w:rFonts w:ascii="David" w:hAnsi="David"/>
                <w:b/>
                <w:bCs/>
                <w:sz w:val="26"/>
                <w:szCs w:val="26"/>
                <w:rtl/>
              </w:rPr>
            </w:pPr>
            <w:r w:rsidRPr="00AE636E">
              <w:rPr>
                <w:rFonts w:ascii="David" w:hAnsi="David"/>
                <w:b/>
                <w:bCs/>
                <w:sz w:val="26"/>
                <w:szCs w:val="26"/>
                <w:rtl/>
              </w:rPr>
              <w:t>נגד</w:t>
            </w:r>
          </w:p>
          <w:p w14:paraId="74DFD7BD" w14:textId="77777777" w:rsidR="00D33878" w:rsidRPr="00AE636E" w:rsidRDefault="00D33878" w:rsidP="00D33878">
            <w:pPr>
              <w:jc w:val="both"/>
              <w:rPr>
                <w:rFonts w:ascii="David" w:hAnsi="David"/>
                <w:b/>
                <w:bCs/>
                <w:sz w:val="26"/>
                <w:szCs w:val="26"/>
              </w:rPr>
            </w:pPr>
          </w:p>
        </w:tc>
      </w:tr>
      <w:tr w:rsidR="00D33878" w:rsidRPr="00AE636E" w14:paraId="38367D4B" w14:textId="77777777" w:rsidTr="00D33878">
        <w:trPr>
          <w:trHeight w:val="355"/>
          <w:jc w:val="center"/>
        </w:trPr>
        <w:tc>
          <w:tcPr>
            <w:tcW w:w="923" w:type="dxa"/>
            <w:tcBorders>
              <w:top w:val="nil"/>
              <w:left w:val="nil"/>
              <w:bottom w:val="nil"/>
              <w:right w:val="nil"/>
            </w:tcBorders>
            <w:shd w:val="clear" w:color="auto" w:fill="auto"/>
          </w:tcPr>
          <w:p w14:paraId="06902ECD" w14:textId="77777777" w:rsidR="00D33878" w:rsidRPr="00AE636E" w:rsidRDefault="00D33878" w:rsidP="0087566E">
            <w:pPr>
              <w:rPr>
                <w:rFonts w:ascii="David" w:hAnsi="David"/>
                <w:b/>
                <w:bCs/>
                <w:sz w:val="26"/>
                <w:szCs w:val="26"/>
                <w:rtl/>
              </w:rPr>
            </w:pPr>
          </w:p>
        </w:tc>
        <w:tc>
          <w:tcPr>
            <w:tcW w:w="3219" w:type="dxa"/>
            <w:tcBorders>
              <w:top w:val="nil"/>
              <w:left w:val="nil"/>
              <w:bottom w:val="nil"/>
              <w:right w:val="nil"/>
            </w:tcBorders>
            <w:shd w:val="clear" w:color="auto" w:fill="auto"/>
          </w:tcPr>
          <w:p w14:paraId="64601030" w14:textId="77777777" w:rsidR="00D33878" w:rsidRPr="00AE636E" w:rsidRDefault="00D33878" w:rsidP="0087566E">
            <w:pPr>
              <w:rPr>
                <w:rFonts w:ascii="Arial" w:hAnsi="Arial"/>
                <w:b/>
                <w:bCs/>
                <w:sz w:val="26"/>
                <w:szCs w:val="26"/>
                <w:rtl/>
              </w:rPr>
            </w:pPr>
            <w:r w:rsidRPr="00AE636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459F799" w14:textId="77777777" w:rsidR="00D33878" w:rsidRPr="00AE636E" w:rsidRDefault="00D33878" w:rsidP="00D33878">
            <w:pPr>
              <w:suppressLineNumbers/>
              <w:rPr>
                <w:rFonts w:ascii="Arial" w:hAnsi="Arial"/>
                <w:b/>
                <w:bCs/>
                <w:sz w:val="26"/>
                <w:szCs w:val="26"/>
                <w:rtl/>
              </w:rPr>
            </w:pPr>
            <w:r w:rsidRPr="00AE636E">
              <w:rPr>
                <w:rFonts w:ascii="Arial" w:hAnsi="Arial"/>
                <w:b/>
                <w:bCs/>
                <w:sz w:val="26"/>
                <w:szCs w:val="26"/>
                <w:rtl/>
              </w:rPr>
              <w:t>אלעזר סהר אבקסיס</w:t>
            </w:r>
            <w:r w:rsidRPr="00AE636E">
              <w:rPr>
                <w:rFonts w:ascii="Arial" w:hAnsi="Arial" w:hint="cs"/>
                <w:b/>
                <w:bCs/>
                <w:sz w:val="26"/>
                <w:szCs w:val="26"/>
                <w:rtl/>
              </w:rPr>
              <w:t xml:space="preserve">-בעצמו </w:t>
            </w:r>
          </w:p>
          <w:p w14:paraId="1A7C9395" w14:textId="77777777" w:rsidR="00D33878" w:rsidRPr="00AE636E" w:rsidRDefault="00D33878" w:rsidP="00D33878">
            <w:pPr>
              <w:suppressLineNumbers/>
              <w:rPr>
                <w:b/>
                <w:bCs/>
              </w:rPr>
            </w:pPr>
            <w:r w:rsidRPr="00AE636E">
              <w:rPr>
                <w:rFonts w:ascii="Arial" w:hAnsi="Arial"/>
                <w:b/>
                <w:bCs/>
                <w:sz w:val="26"/>
                <w:szCs w:val="26"/>
                <w:rtl/>
              </w:rPr>
              <w:t>ע"י ב"כ עוה"ד</w:t>
            </w:r>
            <w:r w:rsidRPr="00AE636E">
              <w:rPr>
                <w:rFonts w:ascii="Arial" w:hAnsi="Arial" w:hint="cs"/>
                <w:b/>
                <w:bCs/>
                <w:sz w:val="26"/>
                <w:szCs w:val="26"/>
                <w:rtl/>
              </w:rPr>
              <w:t xml:space="preserve"> מירב מזרחי</w:t>
            </w:r>
          </w:p>
        </w:tc>
      </w:tr>
    </w:tbl>
    <w:p w14:paraId="1D7168A3" w14:textId="77777777" w:rsidR="00E15F58" w:rsidRPr="00E15F58" w:rsidRDefault="00E15F58" w:rsidP="00E15F58">
      <w:pPr>
        <w:spacing w:before="120" w:after="120" w:line="240" w:lineRule="exact"/>
        <w:ind w:left="283" w:hanging="283"/>
        <w:jc w:val="both"/>
        <w:rPr>
          <w:rFonts w:ascii="FrankRuehl" w:hAnsi="FrankRuehl" w:cs="FrankRuehl"/>
          <w:rtl/>
        </w:rPr>
      </w:pPr>
    </w:p>
    <w:p w14:paraId="22C7E625" w14:textId="77777777" w:rsidR="00836EF2" w:rsidRPr="00836EF2" w:rsidRDefault="00836EF2" w:rsidP="00836EF2">
      <w:pPr>
        <w:spacing w:before="120" w:after="120" w:line="240" w:lineRule="exact"/>
        <w:ind w:left="283" w:hanging="283"/>
        <w:jc w:val="both"/>
        <w:rPr>
          <w:rFonts w:ascii="FrankRuehl" w:hAnsi="FrankRuehl" w:cs="FrankRuehl"/>
          <w:rtl/>
        </w:rPr>
      </w:pPr>
    </w:p>
    <w:p w14:paraId="69D4E45E" w14:textId="77777777" w:rsidR="007B4CB8" w:rsidRDefault="007B4CB8" w:rsidP="007B4CB8">
      <w:pPr>
        <w:rPr>
          <w:sz w:val="26"/>
          <w:szCs w:val="26"/>
          <w:rtl/>
        </w:rPr>
      </w:pPr>
      <w:bookmarkStart w:id="3" w:name="LawTable"/>
      <w:bookmarkEnd w:id="3"/>
    </w:p>
    <w:p w14:paraId="2749DC91" w14:textId="77777777" w:rsidR="007B4CB8" w:rsidRPr="007B4CB8" w:rsidRDefault="007B4CB8" w:rsidP="007B4CB8">
      <w:pPr>
        <w:spacing w:before="120" w:after="120" w:line="240" w:lineRule="exact"/>
        <w:ind w:left="283" w:hanging="283"/>
        <w:jc w:val="both"/>
        <w:rPr>
          <w:rFonts w:ascii="FrankRuehl" w:hAnsi="FrankRuehl" w:cs="FrankRuehl"/>
          <w:rtl/>
        </w:rPr>
      </w:pPr>
    </w:p>
    <w:p w14:paraId="579F6829" w14:textId="77777777" w:rsidR="007B4CB8" w:rsidRPr="007B4CB8" w:rsidRDefault="007B4CB8" w:rsidP="007B4CB8">
      <w:pPr>
        <w:spacing w:before="120" w:after="120" w:line="240" w:lineRule="exact"/>
        <w:ind w:left="283" w:hanging="283"/>
        <w:jc w:val="both"/>
        <w:rPr>
          <w:rFonts w:ascii="FrankRuehl" w:hAnsi="FrankRuehl" w:cs="FrankRuehl"/>
          <w:rtl/>
        </w:rPr>
      </w:pPr>
    </w:p>
    <w:p w14:paraId="196BE3A9" w14:textId="77777777" w:rsidR="007B4CB8" w:rsidRPr="007B4CB8" w:rsidRDefault="007B4CB8" w:rsidP="007B4CB8">
      <w:pPr>
        <w:spacing w:before="120" w:after="120" w:line="240" w:lineRule="exact"/>
        <w:ind w:left="283" w:hanging="283"/>
        <w:jc w:val="both"/>
        <w:rPr>
          <w:rFonts w:ascii="FrankRuehl" w:hAnsi="FrankRuehl" w:cs="FrankRuehl"/>
          <w:rtl/>
        </w:rPr>
      </w:pPr>
      <w:r w:rsidRPr="007B4CB8">
        <w:rPr>
          <w:rFonts w:ascii="FrankRuehl" w:hAnsi="FrankRuehl" w:cs="FrankRuehl"/>
          <w:rtl/>
        </w:rPr>
        <w:t xml:space="preserve">חקיקה שאוזכרה: </w:t>
      </w:r>
    </w:p>
    <w:p w14:paraId="5B097A0C" w14:textId="77777777" w:rsidR="007B4CB8" w:rsidRPr="007B4CB8" w:rsidRDefault="007B4CB8" w:rsidP="007B4CB8">
      <w:pPr>
        <w:spacing w:before="120" w:after="120" w:line="240" w:lineRule="exact"/>
        <w:ind w:left="283" w:hanging="283"/>
        <w:jc w:val="both"/>
        <w:rPr>
          <w:rFonts w:ascii="FrankRuehl" w:hAnsi="FrankRuehl" w:cs="FrankRuehl"/>
          <w:rtl/>
        </w:rPr>
      </w:pPr>
      <w:hyperlink r:id="rId7" w:history="1">
        <w:r w:rsidRPr="007B4CB8">
          <w:rPr>
            <w:rFonts w:ascii="FrankRuehl" w:hAnsi="FrankRuehl" w:cs="FrankRuehl"/>
            <w:color w:val="0000FF"/>
            <w:rtl/>
          </w:rPr>
          <w:t>פקודת הסמים המסוכנים [נוסח חדש], תשל"ג-1973</w:t>
        </w:r>
      </w:hyperlink>
      <w:r w:rsidRPr="007B4CB8">
        <w:rPr>
          <w:rFonts w:ascii="FrankRuehl" w:hAnsi="FrankRuehl" w:cs="FrankRuehl"/>
          <w:rtl/>
        </w:rPr>
        <w:t xml:space="preserve">: סע'  </w:t>
      </w:r>
      <w:hyperlink r:id="rId8" w:history="1">
        <w:r w:rsidRPr="007B4CB8">
          <w:rPr>
            <w:rFonts w:ascii="FrankRuehl" w:hAnsi="FrankRuehl" w:cs="FrankRuehl"/>
            <w:color w:val="0000FF"/>
            <w:rtl/>
          </w:rPr>
          <w:t>13</w:t>
        </w:r>
      </w:hyperlink>
      <w:r w:rsidRPr="007B4CB8">
        <w:rPr>
          <w:rFonts w:ascii="FrankRuehl" w:hAnsi="FrankRuehl" w:cs="FrankRuehl"/>
          <w:rtl/>
        </w:rPr>
        <w:t xml:space="preserve">, </w:t>
      </w:r>
      <w:hyperlink r:id="rId9" w:history="1">
        <w:r w:rsidRPr="007B4CB8">
          <w:rPr>
            <w:rFonts w:ascii="FrankRuehl" w:hAnsi="FrankRuehl" w:cs="FrankRuehl"/>
            <w:color w:val="0000FF"/>
            <w:rtl/>
          </w:rPr>
          <w:t>19א</w:t>
        </w:r>
      </w:hyperlink>
    </w:p>
    <w:p w14:paraId="159C0C48" w14:textId="77777777" w:rsidR="007B4CB8" w:rsidRPr="007B4CB8" w:rsidRDefault="007B4CB8" w:rsidP="007B4CB8">
      <w:pPr>
        <w:rPr>
          <w:sz w:val="26"/>
          <w:szCs w:val="26"/>
          <w:rtl/>
        </w:rPr>
      </w:pPr>
      <w:bookmarkStart w:id="4" w:name="LawTable_End"/>
      <w:bookmarkEnd w:id="4"/>
    </w:p>
    <w:p w14:paraId="1E8FEB8B" w14:textId="77777777" w:rsidR="00D33878" w:rsidRPr="00836EF2" w:rsidRDefault="00D33878" w:rsidP="00836EF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3878" w14:paraId="5DC7EC39" w14:textId="77777777" w:rsidTr="00D33878">
        <w:trPr>
          <w:trHeight w:val="355"/>
          <w:jc w:val="center"/>
        </w:trPr>
        <w:tc>
          <w:tcPr>
            <w:tcW w:w="8820" w:type="dxa"/>
            <w:tcBorders>
              <w:top w:val="nil"/>
              <w:left w:val="nil"/>
              <w:bottom w:val="nil"/>
              <w:right w:val="nil"/>
            </w:tcBorders>
            <w:shd w:val="clear" w:color="auto" w:fill="auto"/>
          </w:tcPr>
          <w:p w14:paraId="124BEE9E" w14:textId="77777777" w:rsidR="00AE636E" w:rsidRPr="00AE636E" w:rsidRDefault="00AE636E" w:rsidP="00AE636E">
            <w:pPr>
              <w:jc w:val="center"/>
              <w:rPr>
                <w:rFonts w:ascii="David" w:hAnsi="David"/>
                <w:b/>
                <w:bCs/>
                <w:sz w:val="32"/>
                <w:szCs w:val="32"/>
                <w:u w:val="single"/>
                <w:rtl/>
              </w:rPr>
            </w:pPr>
            <w:bookmarkStart w:id="5" w:name="PsakDin" w:colFirst="0" w:colLast="0"/>
            <w:bookmarkEnd w:id="0"/>
            <w:r w:rsidRPr="00AE636E">
              <w:rPr>
                <w:rFonts w:ascii="David" w:hAnsi="David"/>
                <w:b/>
                <w:bCs/>
                <w:sz w:val="32"/>
                <w:szCs w:val="32"/>
                <w:u w:val="single"/>
                <w:rtl/>
              </w:rPr>
              <w:t>גזר דין</w:t>
            </w:r>
          </w:p>
          <w:p w14:paraId="060DE2F1" w14:textId="77777777" w:rsidR="00D33878" w:rsidRPr="00AE636E" w:rsidRDefault="00D33878" w:rsidP="00AE636E">
            <w:pPr>
              <w:jc w:val="center"/>
              <w:rPr>
                <w:rFonts w:ascii="David" w:hAnsi="David"/>
                <w:bCs/>
                <w:sz w:val="32"/>
                <w:szCs w:val="32"/>
                <w:u w:val="single"/>
                <w:rtl/>
              </w:rPr>
            </w:pPr>
          </w:p>
        </w:tc>
      </w:tr>
      <w:bookmarkEnd w:id="5"/>
    </w:tbl>
    <w:p w14:paraId="59BE3B25" w14:textId="77777777" w:rsidR="00D33878" w:rsidRPr="000F2247" w:rsidRDefault="00D33878" w:rsidP="00D33878">
      <w:pPr>
        <w:rPr>
          <w:rFonts w:ascii="Arial" w:hAnsi="Arial"/>
          <w:b/>
          <w:bCs/>
          <w:sz w:val="26"/>
          <w:szCs w:val="26"/>
          <w:rtl/>
        </w:rPr>
      </w:pPr>
    </w:p>
    <w:p w14:paraId="71EFDE9E" w14:textId="77777777" w:rsidR="00D33878" w:rsidRDefault="00D33878" w:rsidP="00D33878">
      <w:pPr>
        <w:widowControl w:val="0"/>
        <w:spacing w:before="240" w:line="360" w:lineRule="auto"/>
        <w:jc w:val="both"/>
        <w:rPr>
          <w:rFonts w:ascii="David" w:hAnsi="David"/>
          <w:b/>
          <w:bCs/>
          <w:sz w:val="28"/>
          <w:szCs w:val="28"/>
          <w:u w:val="single"/>
        </w:rPr>
      </w:pPr>
      <w:r>
        <w:rPr>
          <w:rFonts w:ascii="David" w:hAnsi="David"/>
          <w:b/>
          <w:bCs/>
          <w:sz w:val="28"/>
          <w:szCs w:val="28"/>
          <w:u w:val="single"/>
          <w:rtl/>
        </w:rPr>
        <w:t xml:space="preserve">רקע עובדתי </w:t>
      </w:r>
    </w:p>
    <w:p w14:paraId="1A3C4DFC" w14:textId="77777777" w:rsidR="00D33878" w:rsidRDefault="00D33878" w:rsidP="00D33878">
      <w:pPr>
        <w:pStyle w:val="aa"/>
        <w:numPr>
          <w:ilvl w:val="0"/>
          <w:numId w:val="1"/>
        </w:numPr>
        <w:spacing w:line="360" w:lineRule="auto"/>
        <w:ind w:left="360"/>
        <w:jc w:val="both"/>
        <w:rPr>
          <w:rFonts w:ascii="David" w:hAnsi="David" w:cs="David"/>
          <w:sz w:val="24"/>
          <w:szCs w:val="24"/>
        </w:rPr>
      </w:pPr>
      <w:bookmarkStart w:id="6" w:name="ABSTRACT_START"/>
      <w:bookmarkEnd w:id="6"/>
      <w:r>
        <w:rPr>
          <w:rFonts w:ascii="David" w:hAnsi="David" w:cs="David"/>
          <w:sz w:val="24"/>
          <w:szCs w:val="24"/>
          <w:rtl/>
        </w:rPr>
        <w:t>הנאשם הודה והורשע במסגרת הסדר בעבירת</w:t>
      </w:r>
      <w:r>
        <w:rPr>
          <w:rFonts w:ascii="David" w:hAnsi="David" w:cs="David"/>
          <w:b/>
          <w:bCs/>
          <w:sz w:val="24"/>
          <w:szCs w:val="24"/>
          <w:rtl/>
        </w:rPr>
        <w:t xml:space="preserve"> הספקת סם מסוכן </w:t>
      </w:r>
      <w:r>
        <w:rPr>
          <w:rFonts w:ascii="David" w:hAnsi="David" w:cs="David"/>
          <w:sz w:val="24"/>
          <w:szCs w:val="24"/>
          <w:rtl/>
        </w:rPr>
        <w:t xml:space="preserve">-  עבירה לפי </w:t>
      </w:r>
      <w:hyperlink r:id="rId10" w:history="1">
        <w:r w:rsidR="00E15F58" w:rsidRPr="00E15F58">
          <w:rPr>
            <w:rStyle w:val="Hyperlink"/>
            <w:rFonts w:ascii="David" w:hAnsi="David" w:cs="David"/>
            <w:sz w:val="24"/>
            <w:szCs w:val="24"/>
            <w:rtl/>
          </w:rPr>
          <w:t>סעיף 13</w:t>
        </w:r>
      </w:hyperlink>
      <w:r>
        <w:rPr>
          <w:rFonts w:ascii="David" w:hAnsi="David" w:cs="David"/>
          <w:sz w:val="24"/>
          <w:szCs w:val="24"/>
          <w:rtl/>
        </w:rPr>
        <w:t xml:space="preserve"> יחד עם </w:t>
      </w:r>
      <w:hyperlink r:id="rId11" w:history="1">
        <w:r w:rsidR="00E15F58" w:rsidRPr="00E15F58">
          <w:rPr>
            <w:rStyle w:val="Hyperlink"/>
            <w:rFonts w:ascii="David" w:hAnsi="David" w:cs="David"/>
            <w:sz w:val="24"/>
            <w:szCs w:val="24"/>
            <w:rtl/>
          </w:rPr>
          <w:t>סעיף 19א</w:t>
        </w:r>
      </w:hyperlink>
      <w:r>
        <w:rPr>
          <w:rFonts w:ascii="David" w:hAnsi="David" w:cs="David"/>
          <w:sz w:val="24"/>
          <w:szCs w:val="24"/>
          <w:rtl/>
        </w:rPr>
        <w:t xml:space="preserve"> ל</w:t>
      </w:r>
      <w:hyperlink r:id="rId12" w:history="1">
        <w:r w:rsidR="00AE636E" w:rsidRPr="00AE636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w:t>
      </w:r>
      <w:bookmarkStart w:id="7" w:name="ABSTRACT_END"/>
      <w:bookmarkEnd w:id="7"/>
      <w:r>
        <w:rPr>
          <w:rFonts w:ascii="David" w:hAnsi="David" w:cs="David"/>
          <w:sz w:val="24"/>
          <w:szCs w:val="24"/>
          <w:rtl/>
        </w:rPr>
        <w:t>(להלן: "פקודת הסמים").</w:t>
      </w:r>
    </w:p>
    <w:p w14:paraId="16887652" w14:textId="77777777" w:rsidR="00D33878" w:rsidRDefault="00D33878" w:rsidP="00D33878">
      <w:pPr>
        <w:pStyle w:val="aa"/>
        <w:spacing w:line="360" w:lineRule="auto"/>
        <w:ind w:left="360"/>
        <w:jc w:val="both"/>
        <w:rPr>
          <w:rFonts w:ascii="David" w:hAnsi="David" w:cs="David"/>
          <w:sz w:val="24"/>
          <w:szCs w:val="24"/>
        </w:rPr>
      </w:pPr>
    </w:p>
    <w:p w14:paraId="0C2FDCFE" w14:textId="77777777" w:rsidR="00D33878" w:rsidRDefault="00D33878" w:rsidP="00D3387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מכתב האישום המתוקן עולה כי ביום 19.10.19 סיפק הנאשם לאחרים סם מסוכן מסוג </w:t>
      </w:r>
      <w:r>
        <w:rPr>
          <w:rFonts w:ascii="David" w:hAnsi="David" w:cs="David"/>
          <w:sz w:val="24"/>
          <w:szCs w:val="24"/>
        </w:rPr>
        <w:t xml:space="preserve">KETAMINE </w:t>
      </w:r>
      <w:r>
        <w:rPr>
          <w:rFonts w:ascii="David" w:hAnsi="David" w:cs="David"/>
          <w:sz w:val="24"/>
          <w:szCs w:val="24"/>
          <w:rtl/>
        </w:rPr>
        <w:t xml:space="preserve">, בכך שנתן להם להריח את הסם באמצעות שרשרת שעליה תליון של כפית.  </w:t>
      </w:r>
    </w:p>
    <w:p w14:paraId="233DAE67" w14:textId="77777777" w:rsidR="00D33878" w:rsidRDefault="00D33878" w:rsidP="00D33878">
      <w:pPr>
        <w:pStyle w:val="aa"/>
        <w:spacing w:line="360" w:lineRule="auto"/>
        <w:ind w:left="1080"/>
        <w:jc w:val="both"/>
        <w:rPr>
          <w:rFonts w:ascii="David" w:hAnsi="David" w:cs="David"/>
          <w:sz w:val="24"/>
          <w:szCs w:val="24"/>
        </w:rPr>
      </w:pPr>
    </w:p>
    <w:p w14:paraId="10586CC1" w14:textId="77777777" w:rsidR="00D33878" w:rsidRDefault="00D33878" w:rsidP="00D3387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בתאריך 24.6.22 הציגו הצדדים ההסדר דיוני, לפיו הודה והורשע הנאשם במיוחס לו בכתב האישום המתוקן. הוסכם בין הצדדים כי הנאשם יופנה לקבלת תסקיר שירות מבחן ולאחר קבלתו יטענו הצדדים באופן פתוח.</w:t>
      </w:r>
    </w:p>
    <w:p w14:paraId="2B50D898" w14:textId="77777777" w:rsidR="00D33878" w:rsidRDefault="00D33878" w:rsidP="00D33878">
      <w:pPr>
        <w:pStyle w:val="aa"/>
        <w:rPr>
          <w:rFonts w:ascii="David" w:hAnsi="David" w:cs="David"/>
          <w:sz w:val="24"/>
          <w:szCs w:val="24"/>
        </w:rPr>
      </w:pPr>
    </w:p>
    <w:p w14:paraId="579206B3" w14:textId="77777777" w:rsidR="00D33878" w:rsidRDefault="00D33878" w:rsidP="00D33878">
      <w:pPr>
        <w:rPr>
          <w:rFonts w:ascii="David" w:hAnsi="David"/>
          <w:sz w:val="28"/>
          <w:szCs w:val="28"/>
          <w:rtl/>
        </w:rPr>
      </w:pPr>
      <w:r>
        <w:rPr>
          <w:rFonts w:ascii="David" w:hAnsi="David"/>
          <w:b/>
          <w:bCs/>
          <w:sz w:val="28"/>
          <w:szCs w:val="28"/>
          <w:u w:val="single"/>
          <w:rtl/>
        </w:rPr>
        <w:t xml:space="preserve">תסקירי שירות המבחן  </w:t>
      </w:r>
    </w:p>
    <w:p w14:paraId="1817E5CF" w14:textId="77777777" w:rsidR="00D33878" w:rsidRDefault="00D33878" w:rsidP="00D33878">
      <w:pPr>
        <w:pStyle w:val="aa"/>
        <w:rPr>
          <w:rFonts w:ascii="David" w:hAnsi="David" w:cs="David"/>
          <w:b/>
          <w:bCs/>
          <w:sz w:val="24"/>
          <w:szCs w:val="24"/>
          <w:u w:val="single"/>
          <w:rtl/>
        </w:rPr>
      </w:pPr>
    </w:p>
    <w:p w14:paraId="67D7F570"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מתסקיר שירות המבחן מיום 12.4.22 עלה כי הנאשם לא יצר קשר עם שירות המבחן, ולמרות שזומן באמצעות אמו, בת זוגו ובאת כוחו, לא התייצב לפגישות. </w:t>
      </w:r>
    </w:p>
    <w:p w14:paraId="62EFAF37" w14:textId="77777777" w:rsidR="00D33878" w:rsidRDefault="00D33878" w:rsidP="00D33878">
      <w:pPr>
        <w:pStyle w:val="aa"/>
        <w:spacing w:line="360" w:lineRule="auto"/>
        <w:ind w:left="360"/>
        <w:jc w:val="both"/>
        <w:rPr>
          <w:rFonts w:ascii="David" w:hAnsi="David" w:cs="David"/>
          <w:sz w:val="24"/>
          <w:szCs w:val="24"/>
        </w:rPr>
      </w:pPr>
    </w:p>
    <w:p w14:paraId="2021AF8B" w14:textId="77777777" w:rsidR="00D33878" w:rsidRDefault="00D33878" w:rsidP="00D3387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מתסקיר שירות המבחן מיום 22.9.22 עלה כי שירות המבחן יצר קשר שוב עם הנאשם וזימנו לפגישה, אך הנאשם לא הגיע אליה ואף לא יצר קשר עם שירות המבחן. </w:t>
      </w:r>
    </w:p>
    <w:p w14:paraId="475823D0" w14:textId="77777777" w:rsidR="00D33878" w:rsidRDefault="00D33878" w:rsidP="00D33878">
      <w:pPr>
        <w:pStyle w:val="aa"/>
        <w:rPr>
          <w:rFonts w:ascii="David" w:hAnsi="David" w:cs="David"/>
          <w:sz w:val="24"/>
          <w:szCs w:val="24"/>
        </w:rPr>
      </w:pPr>
    </w:p>
    <w:p w14:paraId="1B62C4DF" w14:textId="77777777" w:rsidR="00D33878" w:rsidRDefault="00D33878" w:rsidP="00D33878">
      <w:pPr>
        <w:spacing w:line="360" w:lineRule="auto"/>
        <w:jc w:val="both"/>
        <w:rPr>
          <w:rFonts w:ascii="David" w:hAnsi="David"/>
          <w:bCs/>
          <w:sz w:val="28"/>
          <w:szCs w:val="28"/>
          <w:u w:val="single"/>
          <w:rtl/>
        </w:rPr>
      </w:pPr>
      <w:r>
        <w:rPr>
          <w:rFonts w:ascii="David" w:hAnsi="David"/>
          <w:bCs/>
          <w:sz w:val="28"/>
          <w:szCs w:val="28"/>
          <w:u w:val="single"/>
          <w:rtl/>
        </w:rPr>
        <w:t>טיעוני הצדדים</w:t>
      </w:r>
    </w:p>
    <w:p w14:paraId="37275E7A"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ב"כ המאשימה תיאר את חומרת העבירות ועמד על הפגיעה בערכים המוגנים. עתר למתחם ענישה שבין 4 חודשי מאסר שיכול וירוצו בדרך של עבודות שירות ועד 12 חודשי מאסר מאחורי סורג ובריח. עתר לעונש במחצית המתחם, על אף שהנאשם נעדר עבר פלילי, זאת נוכח התנהלותו מול שירות המבחן. כמו כן עתר לענישה נלווית בדמות מאסר על תנאי, קנס והתחייבות.</w:t>
      </w:r>
    </w:p>
    <w:p w14:paraId="7C604263" w14:textId="77777777" w:rsidR="00D33878" w:rsidRDefault="00D33878" w:rsidP="00D33878">
      <w:pPr>
        <w:pStyle w:val="aa"/>
        <w:spacing w:line="360" w:lineRule="auto"/>
        <w:ind w:left="360"/>
        <w:jc w:val="both"/>
        <w:rPr>
          <w:rFonts w:ascii="David" w:hAnsi="David" w:cs="David"/>
          <w:sz w:val="24"/>
          <w:szCs w:val="24"/>
        </w:rPr>
      </w:pPr>
    </w:p>
    <w:p w14:paraId="13DFC887" w14:textId="77777777" w:rsidR="00D33878" w:rsidRDefault="00D33878" w:rsidP="00D3387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ב"כ הנאשם ציינה כי זו הסתבכותו היחידה של הנאשם עם החוק. הפנתה לכך שכתב האישום תוקן עקב קשיים ראייתיים. הפנתה לכך שהעבירה משנת 2019. טענה כי הנאשם סיפק את הסמים לחבריו במועדון הפורום.  עתרה לעונש הצופה פני עתיד ולחלופין לחודש מאסר שיכול וירוצה בעבודות שירות. </w:t>
      </w:r>
    </w:p>
    <w:p w14:paraId="0B1CA090" w14:textId="77777777" w:rsidR="00D33878" w:rsidRDefault="00D33878" w:rsidP="00D33878">
      <w:pPr>
        <w:pStyle w:val="aa"/>
        <w:rPr>
          <w:rFonts w:ascii="David" w:hAnsi="David" w:cs="David"/>
          <w:sz w:val="24"/>
          <w:szCs w:val="24"/>
        </w:rPr>
      </w:pPr>
    </w:p>
    <w:p w14:paraId="64486CA8"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הנאשם מסר כי מצטער על מעשיו ולא ידע שזה אסור בחוק. ציין כי עתיד להתחיל ללמוד תיווך ואף מסר כי בת זוגו עתידה ללדת בקרוב.</w:t>
      </w:r>
    </w:p>
    <w:p w14:paraId="497D59A6" w14:textId="77777777" w:rsidR="00D33878" w:rsidRDefault="00D33878" w:rsidP="00D33878">
      <w:pPr>
        <w:spacing w:line="360" w:lineRule="auto"/>
        <w:jc w:val="both"/>
        <w:rPr>
          <w:rFonts w:ascii="David" w:hAnsi="David"/>
          <w:bCs/>
          <w:sz w:val="28"/>
          <w:szCs w:val="28"/>
          <w:u w:val="single"/>
          <w:rtl/>
        </w:rPr>
      </w:pPr>
    </w:p>
    <w:p w14:paraId="68E50F5E" w14:textId="77777777" w:rsidR="00D33878" w:rsidRDefault="00D33878" w:rsidP="00D33878">
      <w:pPr>
        <w:spacing w:line="360" w:lineRule="auto"/>
        <w:jc w:val="both"/>
        <w:rPr>
          <w:rFonts w:ascii="David" w:hAnsi="David"/>
          <w:bCs/>
          <w:sz w:val="28"/>
          <w:szCs w:val="28"/>
          <w:u w:val="single"/>
          <w:rtl/>
        </w:rPr>
      </w:pPr>
      <w:r>
        <w:rPr>
          <w:rFonts w:ascii="David" w:hAnsi="David"/>
          <w:bCs/>
          <w:sz w:val="28"/>
          <w:szCs w:val="28"/>
          <w:u w:val="single"/>
          <w:rtl/>
        </w:rPr>
        <w:t xml:space="preserve">קביעת מתחם העונש ההולם </w:t>
      </w:r>
    </w:p>
    <w:p w14:paraId="368B6FBA" w14:textId="77777777" w:rsidR="00D33878" w:rsidRDefault="00D33878" w:rsidP="00D33878">
      <w:pPr>
        <w:pStyle w:val="aa"/>
        <w:numPr>
          <w:ilvl w:val="0"/>
          <w:numId w:val="1"/>
        </w:numPr>
        <w:spacing w:line="360" w:lineRule="auto"/>
        <w:ind w:left="360"/>
        <w:jc w:val="both"/>
        <w:rPr>
          <w:rFonts w:ascii="David" w:hAnsi="David" w:cs="David"/>
          <w:b/>
          <w:bCs/>
          <w:sz w:val="24"/>
          <w:szCs w:val="24"/>
          <w:rtl/>
        </w:rPr>
      </w:pPr>
      <w:r>
        <w:rPr>
          <w:rFonts w:ascii="David" w:hAnsi="David" w:cs="David"/>
          <w:sz w:val="24"/>
          <w:szCs w:val="24"/>
          <w:rtl/>
        </w:rPr>
        <w:t>הערך המוגן בעבירות סמים הינו ההגנה מפני הנזקים הישירים והעקיפים אשר נגרמים לחברה בכללותה עקב השימוש בסמים</w:t>
      </w:r>
      <w:r>
        <w:rPr>
          <w:rFonts w:cs="David"/>
          <w:sz w:val="24"/>
          <w:szCs w:val="24"/>
          <w:rtl/>
        </w:rPr>
        <w:t xml:space="preserve">. שימוש ממושך בסם מסוכן עלול לגרום לפגיעה גופנית ונפשית של המשתמש בו, כזו שתצריך טיפול רפואי שעלותו נופלת על החברה. </w:t>
      </w:r>
      <w:r>
        <w:rPr>
          <w:rFonts w:ascii="David" w:hAnsi="David" w:cs="David"/>
          <w:sz w:val="24"/>
          <w:szCs w:val="24"/>
          <w:rtl/>
        </w:rPr>
        <w:t xml:space="preserve">בית המשפט העליון עמד לא אחת על ההשלכות הקשות של עבירות הסמים. ראו למשל </w:t>
      </w:r>
      <w:hyperlink w:history="1">
        <w:r w:rsidRPr="00AE636E">
          <w:rPr>
            <w:rFonts w:cs="David"/>
            <w:color w:val="000000"/>
            <w:sz w:val="24"/>
            <w:szCs w:val="24"/>
            <w:rtl/>
            <w:lang w:eastAsia="he-IL"/>
          </w:rPr>
          <w:t>ע"פ 3117/12</w:t>
        </w:r>
      </w:hyperlink>
      <w:r>
        <w:rPr>
          <w:rFonts w:cs="David"/>
          <w:sz w:val="24"/>
          <w:szCs w:val="24"/>
          <w:rtl/>
          <w:lang w:eastAsia="he-IL"/>
        </w:rPr>
        <w:t xml:space="preserve"> </w:t>
      </w:r>
      <w:r>
        <w:rPr>
          <w:rFonts w:cs="David" w:hint="cs"/>
          <w:b/>
          <w:bCs/>
          <w:sz w:val="24"/>
          <w:szCs w:val="24"/>
          <w:rtl/>
          <w:lang w:eastAsia="he-IL"/>
        </w:rPr>
        <w:t xml:space="preserve">ארביב נ' מדינת ישראל. </w:t>
      </w:r>
      <w:r>
        <w:rPr>
          <w:rFonts w:cs="David" w:hint="cs"/>
          <w:sz w:val="24"/>
          <w:szCs w:val="24"/>
          <w:rtl/>
          <w:lang w:eastAsia="he-IL"/>
        </w:rPr>
        <w:t>בית המשפט העליון</w:t>
      </w:r>
      <w:r>
        <w:rPr>
          <w:rFonts w:cs="David" w:hint="cs"/>
          <w:b/>
          <w:bCs/>
          <w:sz w:val="24"/>
          <w:szCs w:val="24"/>
          <w:rtl/>
          <w:lang w:eastAsia="he-IL"/>
        </w:rPr>
        <w:t xml:space="preserve"> </w:t>
      </w:r>
      <w:r>
        <w:rPr>
          <w:rFonts w:cs="David" w:hint="cs"/>
          <w:sz w:val="24"/>
          <w:szCs w:val="24"/>
          <w:rtl/>
          <w:lang w:eastAsia="he-IL"/>
        </w:rPr>
        <w:t>אף עמד</w:t>
      </w:r>
      <w:r>
        <w:rPr>
          <w:rFonts w:cs="David" w:hint="cs"/>
          <w:b/>
          <w:bCs/>
          <w:sz w:val="24"/>
          <w:szCs w:val="24"/>
          <w:rtl/>
          <w:lang w:eastAsia="he-IL"/>
        </w:rPr>
        <w:t xml:space="preserve"> </w:t>
      </w:r>
      <w:r>
        <w:rPr>
          <w:rFonts w:ascii="David" w:hAnsi="David" w:cs="David"/>
          <w:sz w:val="24"/>
          <w:szCs w:val="24"/>
          <w:rtl/>
        </w:rPr>
        <w:t xml:space="preserve">על הצורך להילחם בנגע הסמים, ובעניין זה ראו למשל </w:t>
      </w:r>
      <w:hyperlink r:id="rId13" w:history="1">
        <w:r w:rsidR="00AE636E" w:rsidRPr="00AE636E">
          <w:rPr>
            <w:rFonts w:ascii="David" w:hAnsi="David" w:cs="David"/>
            <w:color w:val="0000FF"/>
            <w:sz w:val="24"/>
            <w:szCs w:val="24"/>
            <w:u w:val="single"/>
            <w:rtl/>
          </w:rPr>
          <w:t>ע"פ 3172/13</w:t>
        </w:r>
      </w:hyperlink>
      <w:r>
        <w:rPr>
          <w:rFonts w:ascii="David" w:hAnsi="David" w:cs="David"/>
          <w:b/>
          <w:bCs/>
          <w:sz w:val="24"/>
          <w:szCs w:val="24"/>
          <w:rtl/>
        </w:rPr>
        <w:t xml:space="preserve"> סואעד נ' מדינת ישראל. </w:t>
      </w:r>
    </w:p>
    <w:p w14:paraId="1E49FF99" w14:textId="77777777" w:rsidR="00D33878" w:rsidRDefault="00D33878" w:rsidP="00D33878">
      <w:pPr>
        <w:pStyle w:val="aa"/>
        <w:spacing w:line="360" w:lineRule="auto"/>
        <w:ind w:left="360"/>
        <w:jc w:val="both"/>
        <w:rPr>
          <w:rFonts w:ascii="David" w:hAnsi="David" w:cs="David"/>
          <w:sz w:val="24"/>
          <w:szCs w:val="24"/>
        </w:rPr>
      </w:pPr>
    </w:p>
    <w:p w14:paraId="17DF5FEF" w14:textId="77777777" w:rsidR="00D33878" w:rsidRDefault="00D33878" w:rsidP="00D33878">
      <w:pPr>
        <w:pStyle w:val="aa"/>
        <w:numPr>
          <w:ilvl w:val="0"/>
          <w:numId w:val="1"/>
        </w:numPr>
        <w:spacing w:line="360" w:lineRule="auto"/>
        <w:ind w:left="360"/>
        <w:jc w:val="both"/>
        <w:rPr>
          <w:rFonts w:ascii="David" w:hAnsi="David" w:cs="David"/>
          <w:sz w:val="24"/>
          <w:szCs w:val="24"/>
        </w:rPr>
      </w:pPr>
      <w:r>
        <w:rPr>
          <w:rFonts w:ascii="David" w:hAnsi="David" w:cs="David"/>
          <w:b/>
          <w:bCs/>
          <w:sz w:val="24"/>
          <w:szCs w:val="24"/>
          <w:rtl/>
        </w:rPr>
        <w:t>מידת הפגיעה בערך המוגן</w:t>
      </w:r>
      <w:r>
        <w:rPr>
          <w:rFonts w:ascii="David" w:hAnsi="David" w:cs="David"/>
          <w:sz w:val="24"/>
          <w:szCs w:val="24"/>
          <w:rtl/>
        </w:rPr>
        <w:t xml:space="preserve"> בעבירות שביצע הנאשם הינה ברף הבינוני, משום שמחד גיסא מדובר בסם שאינו קל והנאשם סיפק אותו למספר אחרים במהלך בילוי במועדון. מאידך גיסא, מדובר בכמות לא ידועה ואף אין אינדיקציה להספקה מסחרית, כי אם הספקה על רקע חברי. </w:t>
      </w:r>
      <w:r>
        <w:rPr>
          <w:rFonts w:ascii="David" w:hAnsi="David" w:cs="David"/>
          <w:sz w:val="24"/>
          <w:szCs w:val="24"/>
          <w:rtl/>
        </w:rPr>
        <w:lastRenderedPageBreak/>
        <w:t xml:space="preserve">יודגש כי הספקה על רקע חברי לא מקטינה את הסיכון הנשקף לאלו הצורכים את הסמים, חברים טובים ככל שיהיו, אך מלמדת על כך שהנאשם לא ביצע את העבירות לשם בצע כסף. </w:t>
      </w:r>
    </w:p>
    <w:p w14:paraId="6F701502" w14:textId="77777777" w:rsidR="00D33878" w:rsidRDefault="00D33878" w:rsidP="00D33878">
      <w:pPr>
        <w:pStyle w:val="aa"/>
        <w:rPr>
          <w:rFonts w:ascii="David" w:hAnsi="David" w:cs="David"/>
          <w:sz w:val="24"/>
          <w:szCs w:val="24"/>
        </w:rPr>
      </w:pPr>
    </w:p>
    <w:p w14:paraId="39E2EEFB"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במסגרת בחינת </w:t>
      </w:r>
      <w:r>
        <w:rPr>
          <w:rFonts w:ascii="David" w:hAnsi="David" w:cs="David"/>
          <w:b/>
          <w:bCs/>
          <w:sz w:val="24"/>
          <w:szCs w:val="24"/>
          <w:rtl/>
        </w:rPr>
        <w:t>הנסיבות הקשורות בביצוע העבירה</w:t>
      </w:r>
      <w:r>
        <w:rPr>
          <w:rFonts w:ascii="David" w:hAnsi="David" w:cs="David"/>
          <w:sz w:val="24"/>
          <w:szCs w:val="24"/>
          <w:rtl/>
        </w:rPr>
        <w:t>, יש לתת את הדעת לכך שהנאשם לא רק החזיק סם מסוכן, אלא אף סיפק אותו לאחרים. עוד יש לזכור כי על בית המשפט לבחון לא רק את הנזק שנגרם אלא אף את הנזק שעלול היה להיגרם. ובבחינת פוטנציאל הנזק הרי שבשים לכך שלא מדובר בסם קל, פוטנציאל הנזק רב.  ודוק, יהא המניע אשר יהא, אספקת סם מסוכן לאחרים טומנת בחובה נזק פוטנציאלי משמעותי, אותו על בית המשפט לשקול במלוא החומרה בבואו לקבוע את עונשו של הנאשם.</w:t>
      </w:r>
    </w:p>
    <w:p w14:paraId="51F6D365" w14:textId="77777777" w:rsidR="00D33878" w:rsidRDefault="00D33878" w:rsidP="00D33878">
      <w:pPr>
        <w:pStyle w:val="aa"/>
        <w:rPr>
          <w:rFonts w:ascii="David" w:hAnsi="David" w:cs="David"/>
          <w:sz w:val="24"/>
          <w:szCs w:val="24"/>
        </w:rPr>
      </w:pPr>
    </w:p>
    <w:p w14:paraId="0518BD16"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בבחינת </w:t>
      </w:r>
      <w:r>
        <w:rPr>
          <w:rFonts w:ascii="David" w:hAnsi="David" w:cs="David"/>
          <w:b/>
          <w:bCs/>
          <w:sz w:val="24"/>
          <w:szCs w:val="24"/>
          <w:rtl/>
        </w:rPr>
        <w:t>מדיניות הענישה</w:t>
      </w:r>
      <w:r>
        <w:rPr>
          <w:rFonts w:ascii="David" w:hAnsi="David" w:cs="David"/>
          <w:sz w:val="24"/>
          <w:szCs w:val="24"/>
          <w:rtl/>
        </w:rPr>
        <w:t xml:space="preserve"> הנוהגת עולה כי כאשר מדובר בהחזקה של סמים קשים, בכמויות קטנות, תחתית המתחם יכולה להגיע למספר חודשי עבודות השירות. ראו למשל </w:t>
      </w:r>
      <w:r>
        <w:rPr>
          <w:rFonts w:ascii="David" w:hAnsi="David" w:cs="David"/>
          <w:sz w:val="24"/>
          <w:szCs w:val="24"/>
        </w:rPr>
        <w:t xml:space="preserve"> </w:t>
      </w:r>
      <w:r>
        <w:rPr>
          <w:rFonts w:cs="David"/>
          <w:sz w:val="24"/>
          <w:szCs w:val="24"/>
          <w:rtl/>
        </w:rPr>
        <w:t xml:space="preserve">ע"פ 1473/18 </w:t>
      </w:r>
      <w:r>
        <w:rPr>
          <w:rFonts w:cs="David"/>
          <w:b/>
          <w:bCs/>
          <w:sz w:val="24"/>
          <w:szCs w:val="24"/>
          <w:rtl/>
        </w:rPr>
        <w:t>אוחיון נ' מדינת ישראל,</w:t>
      </w:r>
      <w:r>
        <w:rPr>
          <w:rFonts w:cs="David"/>
          <w:sz w:val="24"/>
          <w:szCs w:val="24"/>
          <w:rtl/>
        </w:rPr>
        <w:t xml:space="preserve"> שם החזיק הנאשם סם מסוכן מסוג קוקאין במשקל 1.688 ג' וכן יחידת סם קוקאין במשקל 0.4185 ג'. בית משפט השלום הטיל עונש מותנה, ואילו בית המשפט המחוזי קבע מתחם עונש של 6-12 ח' מאסר, אך החליט לחרוג מן המתחם ולהטיל שני חודשי מאסר שירוצו בעבודות שירות, על אף שהנאשם לא עבר הליך טיפול סדור. עוד ראו ת"פ 27076-04-3 </w:t>
      </w:r>
      <w:r>
        <w:rPr>
          <w:rFonts w:cs="David"/>
          <w:b/>
          <w:bCs/>
          <w:sz w:val="24"/>
          <w:szCs w:val="24"/>
          <w:rtl/>
        </w:rPr>
        <w:t xml:space="preserve">מדינת ישראל נ' לפיגל </w:t>
      </w:r>
      <w:r>
        <w:rPr>
          <w:rFonts w:cs="David"/>
          <w:sz w:val="24"/>
          <w:szCs w:val="24"/>
          <w:rtl/>
        </w:rPr>
        <w:t xml:space="preserve">שם נקבע מתחם עונש של 5-15 ח' מאסר בעניינו של נאשם שהחזיק 1.25 ג' קוקאין ו-0.844 ג' הרואין. </w:t>
      </w:r>
      <w:r>
        <w:rPr>
          <w:rFonts w:ascii="David" w:hAnsi="David" w:cs="David"/>
          <w:sz w:val="24"/>
          <w:szCs w:val="24"/>
          <w:rtl/>
        </w:rPr>
        <w:t xml:space="preserve"> </w:t>
      </w:r>
    </w:p>
    <w:p w14:paraId="211A9DFB" w14:textId="77777777" w:rsidR="00D33878" w:rsidRDefault="00D33878" w:rsidP="00D33878">
      <w:pPr>
        <w:pStyle w:val="aa"/>
        <w:rPr>
          <w:rFonts w:ascii="David" w:hAnsi="David" w:cs="David"/>
          <w:sz w:val="24"/>
          <w:szCs w:val="24"/>
        </w:rPr>
      </w:pPr>
    </w:p>
    <w:p w14:paraId="152B6760"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cs="David"/>
          <w:sz w:val="24"/>
          <w:szCs w:val="24"/>
          <w:rtl/>
        </w:rPr>
        <w:t xml:space="preserve">ביחס לעבירות סחר בסם מסוכן מצאתי לציין את </w:t>
      </w:r>
      <w:hyperlink r:id="rId14" w:history="1">
        <w:r w:rsidR="00AE636E" w:rsidRPr="00AE636E">
          <w:rPr>
            <w:rFonts w:ascii="David" w:hAnsi="David" w:cs="David"/>
            <w:color w:val="0000FF"/>
            <w:sz w:val="24"/>
            <w:szCs w:val="24"/>
            <w:u w:val="single"/>
            <w:rtl/>
          </w:rPr>
          <w:t>רע"פ 7275/11</w:t>
        </w:r>
      </w:hyperlink>
      <w:r>
        <w:rPr>
          <w:rFonts w:ascii="David" w:hAnsi="David" w:cs="David"/>
          <w:sz w:val="24"/>
          <w:szCs w:val="24"/>
          <w:rtl/>
        </w:rPr>
        <w:t xml:space="preserve"> </w:t>
      </w:r>
      <w:r>
        <w:rPr>
          <w:rFonts w:ascii="David" w:hAnsi="David" w:cs="David"/>
          <w:b/>
          <w:bCs/>
          <w:sz w:val="24"/>
          <w:szCs w:val="24"/>
          <w:rtl/>
        </w:rPr>
        <w:t xml:space="preserve">נאסר נ' מדינת ישראל </w:t>
      </w:r>
      <w:r>
        <w:rPr>
          <w:rFonts w:ascii="David" w:hAnsi="David" w:cs="David"/>
          <w:sz w:val="24"/>
          <w:szCs w:val="24"/>
          <w:rtl/>
        </w:rPr>
        <w:t>שם דחה בית המשפט העליון בקשת רשות ערעור של נאשם שהורשע בעבירות סחר בסמים לסוכן משטרתי במספר מקרים, הנאשם היה נעדר עבר פלילי והוא נדון ל- 5 חודשי מאסר בפועל. ב</w:t>
      </w:r>
      <w:hyperlink r:id="rId15" w:history="1">
        <w:r w:rsidR="00AE636E" w:rsidRPr="00AE636E">
          <w:rPr>
            <w:rFonts w:ascii="David" w:hAnsi="David" w:cs="David"/>
            <w:color w:val="0000FF"/>
            <w:sz w:val="24"/>
            <w:szCs w:val="24"/>
            <w:u w:val="single"/>
            <w:rtl/>
          </w:rPr>
          <w:t>רע"פ 5712/16</w:t>
        </w:r>
      </w:hyperlink>
      <w:r>
        <w:rPr>
          <w:rFonts w:ascii="David" w:hAnsi="David" w:cs="David"/>
          <w:b/>
          <w:bCs/>
          <w:sz w:val="24"/>
          <w:szCs w:val="24"/>
          <w:rtl/>
        </w:rPr>
        <w:t xml:space="preserve"> אייזנבאך נ' מדינת ישראל</w:t>
      </w:r>
      <w:r>
        <w:rPr>
          <w:rFonts w:ascii="David" w:hAnsi="David" w:cs="David"/>
          <w:sz w:val="24"/>
          <w:szCs w:val="24"/>
          <w:rtl/>
        </w:rPr>
        <w:t xml:space="preserve"> הורשע הנאשם בארבע עבירות של סחר בסמים מסוג קנבוס בסכומים של כמה מאות שקלים. בית המשפט הטיל על הנאשם מאסר לתקופה של 8 חודשים. בקשתו של הנאשם לרשות ערעור נדחתה. ב</w:t>
      </w:r>
      <w:hyperlink r:id="rId16" w:history="1">
        <w:r w:rsidR="00AE636E" w:rsidRPr="00AE636E">
          <w:rPr>
            <w:rFonts w:ascii="David" w:hAnsi="David" w:cs="David"/>
            <w:color w:val="0000FF"/>
            <w:sz w:val="24"/>
            <w:szCs w:val="24"/>
            <w:u w:val="single"/>
            <w:rtl/>
          </w:rPr>
          <w:t>ת"פ (ב"ש) 13757-10-19</w:t>
        </w:r>
      </w:hyperlink>
      <w:r>
        <w:rPr>
          <w:rFonts w:ascii="David" w:hAnsi="David" w:cs="David"/>
          <w:sz w:val="24"/>
          <w:szCs w:val="24"/>
          <w:rtl/>
        </w:rPr>
        <w:t xml:space="preserve"> </w:t>
      </w:r>
      <w:r>
        <w:rPr>
          <w:rFonts w:ascii="David" w:hAnsi="David" w:cs="David"/>
          <w:b/>
          <w:bCs/>
          <w:sz w:val="24"/>
          <w:szCs w:val="24"/>
          <w:rtl/>
        </w:rPr>
        <w:t>מדינת ישראל נ' אסד</w:t>
      </w:r>
      <w:r>
        <w:rPr>
          <w:rFonts w:ascii="David" w:hAnsi="David" w:cs="David"/>
          <w:sz w:val="24"/>
          <w:szCs w:val="24"/>
          <w:rtl/>
        </w:rPr>
        <w:t xml:space="preserve">, הורשע נאשם בעסקה יחידה בסם קנבוס במשקל 13 גרם קבע בית המשפט מתחם ענישה הנע בין מספר חודשי עבודות שירות ועד 8 חודשי מאסר בפועל. </w:t>
      </w:r>
    </w:p>
    <w:p w14:paraId="3D298266" w14:textId="77777777" w:rsidR="00D33878" w:rsidRDefault="00D33878" w:rsidP="00D33878">
      <w:pPr>
        <w:pStyle w:val="aa"/>
        <w:rPr>
          <w:rFonts w:ascii="David" w:hAnsi="David" w:cs="David"/>
          <w:sz w:val="24"/>
          <w:szCs w:val="24"/>
        </w:rPr>
      </w:pPr>
    </w:p>
    <w:p w14:paraId="7C7C698E"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ביחס לעבירת אספקת סם ראו </w:t>
      </w:r>
      <w:hyperlink r:id="rId17" w:history="1">
        <w:r w:rsidR="00AE636E" w:rsidRPr="00AE636E">
          <w:rPr>
            <w:rFonts w:ascii="David" w:hAnsi="David" w:cs="David"/>
            <w:color w:val="0000FF"/>
            <w:sz w:val="24"/>
            <w:szCs w:val="24"/>
            <w:u w:val="single"/>
            <w:rtl/>
          </w:rPr>
          <w:t>ת"פ (ב"ש) 2003-15</w:t>
        </w:r>
      </w:hyperlink>
      <w:r>
        <w:rPr>
          <w:rFonts w:ascii="David" w:hAnsi="David" w:cs="David"/>
          <w:sz w:val="24"/>
          <w:szCs w:val="24"/>
          <w:rtl/>
        </w:rPr>
        <w:t xml:space="preserve"> </w:t>
      </w:r>
      <w:r>
        <w:rPr>
          <w:rFonts w:ascii="David" w:hAnsi="David" w:cs="David"/>
          <w:b/>
          <w:bCs/>
          <w:sz w:val="24"/>
          <w:szCs w:val="24"/>
          <w:rtl/>
        </w:rPr>
        <w:t xml:space="preserve">מדינת ישראל נ' </w:t>
      </w:r>
      <w:r>
        <w:rPr>
          <w:rFonts w:ascii="David" w:hAnsi="David" w:cs="David"/>
          <w:b/>
          <w:bCs/>
        </w:rPr>
        <w:t>CHENCHOM</w:t>
      </w:r>
      <w:r>
        <w:rPr>
          <w:rFonts w:ascii="David" w:hAnsi="David" w:cs="David"/>
          <w:sz w:val="24"/>
          <w:szCs w:val="24"/>
          <w:rtl/>
        </w:rPr>
        <w:t>. שם הנאשם הורשע באחזקת סם מסוג מתאמפטאמין במשקל של 0.54 גרם, ובהספקה של 0.24 גרם. בית המשפט קבע מתחם ענישה הנע בין 10-24 חודשי מאסר וגזר על הנאשם 10 חודשי מאסר בפועל.</w:t>
      </w:r>
    </w:p>
    <w:p w14:paraId="4BEA5902" w14:textId="77777777" w:rsidR="00D33878" w:rsidRDefault="00D33878" w:rsidP="00D33878">
      <w:pPr>
        <w:pStyle w:val="aa"/>
        <w:spacing w:line="360" w:lineRule="auto"/>
        <w:ind w:left="360"/>
        <w:jc w:val="both"/>
        <w:rPr>
          <w:rFonts w:ascii="David" w:hAnsi="David" w:cs="David"/>
          <w:b/>
          <w:bCs/>
          <w:sz w:val="24"/>
          <w:szCs w:val="24"/>
        </w:rPr>
      </w:pPr>
    </w:p>
    <w:p w14:paraId="78657545" w14:textId="77777777" w:rsidR="00D33878" w:rsidRDefault="00D33878" w:rsidP="00D33878">
      <w:pPr>
        <w:pStyle w:val="aa"/>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לאור כל המפורט לעיל, מצאתי כי מתחם העונש ההולם נע בין 3 חודשי מאסר בפועל שיכול וירוצו בעבודות שירות ועד 12 חודשי מאסר בפועל מאחורי סורג ובריח. </w:t>
      </w:r>
    </w:p>
    <w:p w14:paraId="6750C635" w14:textId="77777777" w:rsidR="00D33878" w:rsidRDefault="00D33878" w:rsidP="00D33878">
      <w:pPr>
        <w:pStyle w:val="aa"/>
        <w:spacing w:line="360" w:lineRule="auto"/>
        <w:ind w:left="360"/>
        <w:jc w:val="both"/>
        <w:rPr>
          <w:rFonts w:ascii="David" w:hAnsi="David" w:cs="David"/>
          <w:sz w:val="24"/>
          <w:szCs w:val="24"/>
        </w:rPr>
      </w:pPr>
    </w:p>
    <w:p w14:paraId="20D0E00F" w14:textId="77777777" w:rsidR="00D33878" w:rsidRDefault="00D33878" w:rsidP="00D33878">
      <w:pPr>
        <w:spacing w:line="360" w:lineRule="auto"/>
        <w:rPr>
          <w:rFonts w:ascii="David" w:hAnsi="David"/>
          <w:bCs/>
          <w:sz w:val="28"/>
          <w:szCs w:val="28"/>
          <w:u w:val="single"/>
        </w:rPr>
      </w:pPr>
      <w:r>
        <w:rPr>
          <w:rFonts w:ascii="David" w:hAnsi="David"/>
          <w:bCs/>
          <w:sz w:val="28"/>
          <w:szCs w:val="28"/>
          <w:u w:val="single"/>
          <w:rtl/>
        </w:rPr>
        <w:t>גזירת העונש המתאים לנאשם</w:t>
      </w:r>
    </w:p>
    <w:p w14:paraId="08305C25" w14:textId="77777777" w:rsidR="00D33878" w:rsidRDefault="00D33878" w:rsidP="00D33878">
      <w:pPr>
        <w:pStyle w:val="aa"/>
        <w:spacing w:line="360" w:lineRule="auto"/>
        <w:ind w:left="360"/>
        <w:jc w:val="both"/>
        <w:rPr>
          <w:rFonts w:ascii="David" w:hAnsi="David" w:cs="David"/>
          <w:sz w:val="24"/>
          <w:szCs w:val="24"/>
        </w:rPr>
      </w:pPr>
    </w:p>
    <w:p w14:paraId="424BAFDD"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בגזירת העונש המתאים לנאשם, בגדרי מתחם העונש ההולם, יש להתחשב </w:t>
      </w:r>
      <w:r>
        <w:rPr>
          <w:rFonts w:ascii="David" w:hAnsi="David" w:cs="David"/>
          <w:b/>
          <w:bCs/>
          <w:sz w:val="24"/>
          <w:szCs w:val="24"/>
          <w:rtl/>
        </w:rPr>
        <w:t>בנסיבות שאינן קשורות בביצוע העבירה</w:t>
      </w:r>
      <w:r>
        <w:rPr>
          <w:rFonts w:ascii="David" w:hAnsi="David" w:cs="David"/>
          <w:sz w:val="24"/>
          <w:szCs w:val="24"/>
          <w:rtl/>
        </w:rPr>
        <w:t xml:space="preserve">. במסגרת זו מן הראוי לתת את הדעת לכך שמדובר בנאשם שהודה במיוחס לו. עוד נתתי דעתי לחלוף הזמן מעת ביצוע העבירות. מנגד, נתתי דעתי לכך שהנאשם לא שיתף פעולה עם שירות המבחן ולא פעל לשיקומו.  </w:t>
      </w:r>
    </w:p>
    <w:p w14:paraId="6CA68281" w14:textId="77777777" w:rsidR="00D33878" w:rsidRDefault="00D33878" w:rsidP="00D33878">
      <w:pPr>
        <w:pStyle w:val="aa"/>
        <w:spacing w:line="360" w:lineRule="auto"/>
        <w:ind w:left="360"/>
        <w:jc w:val="both"/>
        <w:rPr>
          <w:rFonts w:ascii="David" w:hAnsi="David" w:cs="David"/>
          <w:sz w:val="24"/>
          <w:szCs w:val="24"/>
        </w:rPr>
      </w:pPr>
    </w:p>
    <w:p w14:paraId="4AE98B2B"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באיזון בין השיקולים השונים, וגם אם באופן רגיל, ייתכן והיה ניתן לקבוע את עונשו של הנאשם ברף הבינוני-נמוך של המתחם, הרי שנוכח חלוף הזמן, העובדה שהנאשם נעדר עבר פלילי, לא הסתבך מאז ביצוע העבירות וחי חיים נורמטיביים, אטיל על הנאשם עונש ברף הנמוך של המתחם, גם אם לא בתחתיתו ממש. </w:t>
      </w:r>
    </w:p>
    <w:p w14:paraId="7C8CD7A5" w14:textId="77777777" w:rsidR="00D33878" w:rsidRDefault="00D33878" w:rsidP="00D33878">
      <w:pPr>
        <w:pStyle w:val="aa"/>
        <w:rPr>
          <w:rFonts w:ascii="David" w:hAnsi="David" w:cs="David"/>
          <w:sz w:val="24"/>
          <w:szCs w:val="24"/>
        </w:rPr>
      </w:pPr>
    </w:p>
    <w:p w14:paraId="4239CBC7" w14:textId="77777777" w:rsidR="00D33878" w:rsidRDefault="00D33878" w:rsidP="00D33878">
      <w:pPr>
        <w:pStyle w:val="aa"/>
        <w:numPr>
          <w:ilvl w:val="0"/>
          <w:numId w:val="1"/>
        </w:numPr>
        <w:spacing w:line="360" w:lineRule="auto"/>
        <w:ind w:left="360"/>
        <w:jc w:val="both"/>
        <w:rPr>
          <w:rFonts w:ascii="David" w:hAnsi="David" w:cs="David"/>
          <w:sz w:val="24"/>
          <w:szCs w:val="24"/>
          <w:rtl/>
        </w:rPr>
      </w:pPr>
      <w:r>
        <w:rPr>
          <w:rFonts w:ascii="David" w:hAnsi="David" w:cs="David"/>
          <w:sz w:val="24"/>
          <w:szCs w:val="24"/>
          <w:rtl/>
        </w:rPr>
        <w:t>אשר על-כן, הריני גוזר על הנאשם את העונשים הבאים:</w:t>
      </w:r>
    </w:p>
    <w:p w14:paraId="3E4B6E6E" w14:textId="77777777" w:rsidR="00D33878" w:rsidRDefault="00D33878" w:rsidP="00D33878">
      <w:pPr>
        <w:pStyle w:val="aa"/>
        <w:spacing w:line="360" w:lineRule="auto"/>
        <w:ind w:left="360"/>
        <w:jc w:val="both"/>
        <w:rPr>
          <w:rFonts w:ascii="David" w:hAnsi="David" w:cs="David"/>
          <w:sz w:val="24"/>
          <w:szCs w:val="24"/>
        </w:rPr>
      </w:pPr>
    </w:p>
    <w:p w14:paraId="6ED84355" w14:textId="77777777" w:rsidR="00D33878" w:rsidRDefault="00D33878" w:rsidP="00D33878">
      <w:pPr>
        <w:pStyle w:val="aa"/>
        <w:numPr>
          <w:ilvl w:val="0"/>
          <w:numId w:val="2"/>
        </w:numPr>
        <w:spacing w:line="360" w:lineRule="auto"/>
        <w:ind w:left="720"/>
        <w:jc w:val="both"/>
        <w:rPr>
          <w:rFonts w:ascii="David" w:hAnsi="David" w:cs="David"/>
          <w:sz w:val="24"/>
          <w:szCs w:val="24"/>
        </w:rPr>
      </w:pPr>
      <w:r>
        <w:rPr>
          <w:rFonts w:ascii="David" w:hAnsi="David" w:cs="David"/>
          <w:sz w:val="24"/>
          <w:szCs w:val="24"/>
          <w:rtl/>
        </w:rPr>
        <w:t>4 חודשי מאסר בפועל שירוצו בעבודות שירות באולם הקונכיה ומגרשי ספורט – חברת כיוונים ברחוב האצ"ל 2.</w:t>
      </w:r>
    </w:p>
    <w:p w14:paraId="799BF7C1" w14:textId="77777777" w:rsidR="00D33878" w:rsidRDefault="00D33878" w:rsidP="00D33878">
      <w:pPr>
        <w:pStyle w:val="aa"/>
        <w:spacing w:line="360" w:lineRule="auto"/>
        <w:jc w:val="both"/>
        <w:rPr>
          <w:rFonts w:ascii="David" w:hAnsi="David" w:cs="David"/>
          <w:sz w:val="24"/>
          <w:szCs w:val="24"/>
        </w:rPr>
      </w:pPr>
    </w:p>
    <w:p w14:paraId="6F7CAC42" w14:textId="77777777" w:rsidR="00D33878" w:rsidRDefault="00D33878" w:rsidP="00D33878">
      <w:pPr>
        <w:pStyle w:val="aa"/>
        <w:numPr>
          <w:ilvl w:val="0"/>
          <w:numId w:val="2"/>
        </w:numPr>
        <w:spacing w:line="360" w:lineRule="auto"/>
        <w:ind w:left="720"/>
        <w:jc w:val="both"/>
        <w:rPr>
          <w:rFonts w:ascii="David" w:hAnsi="David" w:cs="David"/>
          <w:sz w:val="24"/>
          <w:szCs w:val="24"/>
        </w:rPr>
      </w:pPr>
      <w:r>
        <w:rPr>
          <w:rFonts w:ascii="David" w:hAnsi="David" w:cs="David"/>
          <w:sz w:val="24"/>
          <w:szCs w:val="24"/>
          <w:rtl/>
        </w:rPr>
        <w:t>אני מזהיר את הנאשם, כי עליו לנהוג בהתאם לכללים ולתנאים שיקבע הממונה על עבודות השירות, ושאם לא יעשה כן, יכול ויופסקו עבודות השירות, והוא יידרש לרצות את יתרת עונשו בכלא.</w:t>
      </w:r>
    </w:p>
    <w:p w14:paraId="1CE957A4" w14:textId="77777777" w:rsidR="00D33878" w:rsidRDefault="00D33878" w:rsidP="00D33878">
      <w:pPr>
        <w:pStyle w:val="aa"/>
        <w:spacing w:line="360" w:lineRule="auto"/>
        <w:jc w:val="both"/>
        <w:rPr>
          <w:rFonts w:ascii="David" w:hAnsi="David" w:cs="David"/>
          <w:sz w:val="24"/>
          <w:szCs w:val="24"/>
        </w:rPr>
      </w:pPr>
    </w:p>
    <w:p w14:paraId="3ED3E534" w14:textId="77777777" w:rsidR="00D33878" w:rsidRDefault="00D33878" w:rsidP="00D33878">
      <w:pPr>
        <w:pStyle w:val="aa"/>
        <w:numPr>
          <w:ilvl w:val="0"/>
          <w:numId w:val="2"/>
        </w:numPr>
        <w:spacing w:line="360" w:lineRule="auto"/>
        <w:ind w:left="720"/>
        <w:jc w:val="both"/>
        <w:rPr>
          <w:rFonts w:ascii="David" w:hAnsi="David" w:cs="David"/>
          <w:sz w:val="24"/>
          <w:szCs w:val="24"/>
          <w:rtl/>
        </w:rPr>
      </w:pPr>
      <w:r>
        <w:rPr>
          <w:rFonts w:ascii="David" w:hAnsi="David" w:cs="David"/>
          <w:sz w:val="24"/>
          <w:szCs w:val="24"/>
          <w:rtl/>
        </w:rPr>
        <w:t xml:space="preserve">3 חודשי מאסר מותנה למשך 3 שנים מהיום. מאסר זה יופעל במידה והנאשם יעבור במשך תקופת התנאי עבירת סמים מסוג עוון.  </w:t>
      </w:r>
    </w:p>
    <w:p w14:paraId="620CBF53" w14:textId="77777777" w:rsidR="00D33878" w:rsidRDefault="00D33878" w:rsidP="00D33878">
      <w:pPr>
        <w:pStyle w:val="aa"/>
        <w:rPr>
          <w:rFonts w:ascii="David" w:hAnsi="David" w:cs="David"/>
          <w:sz w:val="24"/>
          <w:szCs w:val="24"/>
        </w:rPr>
      </w:pPr>
    </w:p>
    <w:p w14:paraId="1E14BF47" w14:textId="77777777" w:rsidR="00D33878" w:rsidRDefault="00D33878" w:rsidP="00D33878">
      <w:pPr>
        <w:pStyle w:val="aa"/>
        <w:numPr>
          <w:ilvl w:val="0"/>
          <w:numId w:val="2"/>
        </w:numPr>
        <w:spacing w:line="360" w:lineRule="auto"/>
        <w:ind w:left="720"/>
        <w:jc w:val="both"/>
        <w:rPr>
          <w:rFonts w:ascii="David" w:hAnsi="David" w:cs="David"/>
          <w:sz w:val="24"/>
          <w:szCs w:val="24"/>
          <w:rtl/>
        </w:rPr>
      </w:pPr>
      <w:r>
        <w:rPr>
          <w:rFonts w:ascii="David" w:hAnsi="David" w:cs="David"/>
          <w:sz w:val="24"/>
          <w:szCs w:val="24"/>
          <w:rtl/>
        </w:rPr>
        <w:t>6 חודשי מאסר מותנה למשך 3 שנים מהיום. מאסר זה יופעל במידה והנאשם יעבור במשך תקופת התנאי עבירת סמים מסוג פשע.</w:t>
      </w:r>
    </w:p>
    <w:p w14:paraId="1CFABE64" w14:textId="77777777" w:rsidR="00D33878" w:rsidRDefault="00D33878" w:rsidP="00D33878">
      <w:pPr>
        <w:pStyle w:val="aa"/>
        <w:ind w:left="0"/>
        <w:rPr>
          <w:rFonts w:ascii="David" w:hAnsi="David" w:cs="David"/>
          <w:sz w:val="24"/>
          <w:szCs w:val="24"/>
        </w:rPr>
      </w:pPr>
    </w:p>
    <w:p w14:paraId="5A66D3A0" w14:textId="77777777" w:rsidR="00D33878" w:rsidRDefault="00D33878" w:rsidP="00D33878">
      <w:pPr>
        <w:pStyle w:val="aa"/>
        <w:numPr>
          <w:ilvl w:val="0"/>
          <w:numId w:val="2"/>
        </w:numPr>
        <w:spacing w:line="360" w:lineRule="auto"/>
        <w:ind w:left="720"/>
        <w:jc w:val="both"/>
        <w:rPr>
          <w:rFonts w:ascii="David" w:hAnsi="David" w:cs="David"/>
          <w:sz w:val="24"/>
          <w:szCs w:val="24"/>
          <w:rtl/>
        </w:rPr>
      </w:pPr>
      <w:r>
        <w:rPr>
          <w:rFonts w:ascii="David" w:hAnsi="David" w:cs="David"/>
          <w:sz w:val="24"/>
          <w:szCs w:val="24"/>
          <w:rtl/>
        </w:rPr>
        <w:t>קנס בסך 2,000 ₪, או 5 ימי מאסר תחתם, אשר ישולם בחמישה תשלומים חודשיים שווים החל מיום 1.7.23 ובכל ראשון לחודש שלאחריו.</w:t>
      </w:r>
    </w:p>
    <w:p w14:paraId="35D17E09" w14:textId="77777777" w:rsidR="00D33878" w:rsidRDefault="00D33878" w:rsidP="00D33878">
      <w:pPr>
        <w:pStyle w:val="aa"/>
        <w:spacing w:line="360" w:lineRule="auto"/>
        <w:ind w:left="0"/>
        <w:jc w:val="both"/>
        <w:rPr>
          <w:rFonts w:ascii="David" w:hAnsi="David" w:cs="David"/>
          <w:sz w:val="24"/>
          <w:szCs w:val="24"/>
        </w:rPr>
      </w:pPr>
    </w:p>
    <w:p w14:paraId="40DD021A" w14:textId="77777777" w:rsidR="00D33878" w:rsidRPr="00B92551" w:rsidRDefault="00D33878" w:rsidP="00D33878">
      <w:pPr>
        <w:spacing w:line="360" w:lineRule="auto"/>
        <w:jc w:val="both"/>
        <w:rPr>
          <w:rFonts w:ascii="David" w:hAnsi="David"/>
          <w:b/>
          <w:bCs/>
        </w:rPr>
      </w:pPr>
      <w:r w:rsidRPr="00B92551">
        <w:rPr>
          <w:rFonts w:ascii="David" w:hAnsi="David"/>
          <w:b/>
          <w:bCs/>
          <w:rtl/>
        </w:rPr>
        <w:t xml:space="preserve">הסמים, יושמדו. </w:t>
      </w:r>
    </w:p>
    <w:p w14:paraId="79A66952" w14:textId="77777777" w:rsidR="00D33878" w:rsidRPr="00D33878" w:rsidRDefault="00AE636E" w:rsidP="00D33878">
      <w:pPr>
        <w:spacing w:line="360" w:lineRule="auto"/>
        <w:jc w:val="both"/>
        <w:rPr>
          <w:rFonts w:ascii="Calibri" w:hAnsi="Calibri" w:cs="Arial"/>
          <w:b/>
          <w:bCs/>
          <w:sz w:val="22"/>
          <w:szCs w:val="22"/>
          <w:rtl/>
        </w:rPr>
      </w:pPr>
      <w:r w:rsidRPr="00AE636E">
        <w:rPr>
          <w:rFonts w:ascii="David" w:hAnsi="David"/>
          <w:b/>
          <w:bCs/>
          <w:color w:val="FFFFFF"/>
          <w:sz w:val="2"/>
          <w:szCs w:val="2"/>
          <w:rtl/>
        </w:rPr>
        <w:t>5129371</w:t>
      </w:r>
      <w:r w:rsidR="00D33878" w:rsidRPr="00B92551">
        <w:rPr>
          <w:rFonts w:ascii="David" w:hAnsi="David"/>
          <w:b/>
          <w:bCs/>
          <w:rtl/>
        </w:rPr>
        <w:t xml:space="preserve">הודעה זכות ערעור לבית-המשפט המחוזי תוך 45 ימים. </w:t>
      </w:r>
    </w:p>
    <w:p w14:paraId="002372BE" w14:textId="77777777" w:rsidR="00D33878" w:rsidRPr="00AE636E" w:rsidRDefault="00AE636E" w:rsidP="00D33878">
      <w:pPr>
        <w:rPr>
          <w:rFonts w:ascii="Arial" w:hAnsi="Arial"/>
          <w:b/>
          <w:bCs/>
          <w:color w:val="FFFFFF"/>
          <w:sz w:val="2"/>
          <w:szCs w:val="2"/>
          <w:rtl/>
        </w:rPr>
      </w:pPr>
      <w:r w:rsidRPr="00AE636E">
        <w:rPr>
          <w:rFonts w:ascii="Arial" w:hAnsi="Arial"/>
          <w:b/>
          <w:bCs/>
          <w:color w:val="FFFFFF"/>
          <w:sz w:val="2"/>
          <w:szCs w:val="2"/>
          <w:rtl/>
        </w:rPr>
        <w:t>54678313</w:t>
      </w:r>
    </w:p>
    <w:p w14:paraId="6AF5918D" w14:textId="77777777" w:rsidR="00D33878" w:rsidRPr="000F2247" w:rsidRDefault="00D33878" w:rsidP="00D33878">
      <w:pPr>
        <w:rPr>
          <w:rFonts w:ascii="Arial" w:hAnsi="Arial"/>
          <w:b/>
          <w:bCs/>
          <w:sz w:val="26"/>
          <w:szCs w:val="26"/>
          <w:rtl/>
        </w:rPr>
      </w:pPr>
    </w:p>
    <w:p w14:paraId="69DDC6B5" w14:textId="77777777" w:rsidR="00D33878" w:rsidRPr="000F2247" w:rsidRDefault="00AE636E" w:rsidP="00D3387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שבט תשפ"ג, 06 פברואר 2023, במעמד הצדדים. </w:t>
      </w:r>
      <w:bookmarkEnd w:id="8"/>
      <w:r w:rsidR="00D33878">
        <w:rPr>
          <w:rFonts w:ascii="Arial" w:hAnsi="Arial"/>
          <w:b/>
          <w:bCs/>
          <w:sz w:val="26"/>
          <w:szCs w:val="26"/>
          <w:rtl/>
        </w:rPr>
        <w:tab/>
      </w:r>
      <w:r w:rsidR="00D33878">
        <w:rPr>
          <w:rFonts w:ascii="Arial" w:hAnsi="Arial"/>
          <w:b/>
          <w:bCs/>
          <w:sz w:val="26"/>
          <w:szCs w:val="26"/>
          <w:rtl/>
        </w:rPr>
        <w:tab/>
      </w:r>
      <w:r w:rsidR="00D33878">
        <w:rPr>
          <w:rFonts w:ascii="Arial" w:hAnsi="Arial"/>
          <w:b/>
          <w:bCs/>
          <w:sz w:val="26"/>
          <w:szCs w:val="26"/>
          <w:rtl/>
        </w:rPr>
        <w:tab/>
      </w:r>
      <w:r w:rsidR="00D33878">
        <w:rPr>
          <w:rFonts w:ascii="Arial" w:hAnsi="Arial"/>
          <w:b/>
          <w:bCs/>
          <w:sz w:val="26"/>
          <w:szCs w:val="26"/>
          <w:rtl/>
        </w:rPr>
        <w:tab/>
      </w:r>
      <w:r w:rsidR="00D33878">
        <w:rPr>
          <w:rFonts w:ascii="Arial" w:hAnsi="Arial"/>
          <w:b/>
          <w:bCs/>
          <w:sz w:val="26"/>
          <w:szCs w:val="26"/>
          <w:rtl/>
        </w:rPr>
        <w:tab/>
      </w:r>
      <w:r w:rsidR="00D33878">
        <w:rPr>
          <w:rFonts w:ascii="Arial" w:hAnsi="Arial"/>
          <w:b/>
          <w:bCs/>
          <w:sz w:val="26"/>
          <w:szCs w:val="26"/>
          <w:rtl/>
        </w:rPr>
        <w:tab/>
      </w:r>
      <w:r w:rsidR="00D33878">
        <w:rPr>
          <w:rFonts w:ascii="Arial" w:hAnsi="Arial"/>
          <w:b/>
          <w:bCs/>
          <w:sz w:val="26"/>
          <w:szCs w:val="26"/>
          <w:rtl/>
        </w:rPr>
        <w:tab/>
      </w:r>
      <w:r w:rsidR="00D33878">
        <w:rPr>
          <w:rFonts w:ascii="Arial" w:hAnsi="Arial" w:hint="cs"/>
          <w:b/>
          <w:bCs/>
          <w:sz w:val="26"/>
          <w:szCs w:val="26"/>
          <w:rtl/>
        </w:rPr>
        <w:t xml:space="preserve">         </w:t>
      </w:r>
    </w:p>
    <w:p w14:paraId="7C1CF8F9" w14:textId="77777777" w:rsidR="00D33878" w:rsidRPr="000F2247" w:rsidRDefault="00D33878" w:rsidP="00AE636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E8865E2" w14:textId="77777777" w:rsidR="00D33878" w:rsidRPr="000F2247" w:rsidRDefault="00D33878" w:rsidP="00D33878">
      <w:pPr>
        <w:jc w:val="center"/>
        <w:rPr>
          <w:rFonts w:ascii="Arial" w:hAnsi="Arial"/>
          <w:b/>
          <w:bCs/>
          <w:sz w:val="26"/>
          <w:szCs w:val="26"/>
          <w:rtl/>
        </w:rPr>
      </w:pPr>
    </w:p>
    <w:p w14:paraId="51B99200" w14:textId="77777777" w:rsidR="00043030" w:rsidRPr="00AE636E" w:rsidRDefault="00043030" w:rsidP="00AE636E">
      <w:pPr>
        <w:keepNext/>
        <w:rPr>
          <w:rFonts w:ascii="David" w:hAnsi="David"/>
          <w:color w:val="000000"/>
          <w:sz w:val="22"/>
          <w:szCs w:val="22"/>
          <w:rtl/>
        </w:rPr>
      </w:pPr>
    </w:p>
    <w:p w14:paraId="5722F06D" w14:textId="77777777" w:rsidR="00AE636E" w:rsidRPr="00AE636E" w:rsidRDefault="00AE636E" w:rsidP="00AE636E">
      <w:pPr>
        <w:keepNext/>
        <w:rPr>
          <w:rFonts w:ascii="David" w:hAnsi="David"/>
          <w:color w:val="000000"/>
          <w:sz w:val="22"/>
          <w:szCs w:val="22"/>
          <w:rtl/>
        </w:rPr>
      </w:pPr>
      <w:r w:rsidRPr="00AE636E">
        <w:rPr>
          <w:rFonts w:ascii="David" w:hAnsi="David"/>
          <w:color w:val="000000"/>
          <w:sz w:val="22"/>
          <w:szCs w:val="22"/>
          <w:rtl/>
        </w:rPr>
        <w:t>יניב בן הרוש 54678313</w:t>
      </w:r>
    </w:p>
    <w:p w14:paraId="726E6B0C" w14:textId="77777777" w:rsidR="00AE636E" w:rsidRDefault="00AE636E" w:rsidP="00AE636E">
      <w:r w:rsidRPr="00AE636E">
        <w:rPr>
          <w:color w:val="000000"/>
          <w:rtl/>
        </w:rPr>
        <w:t>נוסח מסמך זה כפוף לשינויי ניסוח ועריכה</w:t>
      </w:r>
    </w:p>
    <w:p w14:paraId="110DA951" w14:textId="77777777" w:rsidR="00AE636E" w:rsidRDefault="00AE636E" w:rsidP="00AE636E">
      <w:pPr>
        <w:rPr>
          <w:rtl/>
        </w:rPr>
      </w:pPr>
    </w:p>
    <w:p w14:paraId="542548F0" w14:textId="77777777" w:rsidR="00AE636E" w:rsidRDefault="00AE636E" w:rsidP="00AE636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356C0817" w14:textId="77777777" w:rsidR="00AE636E" w:rsidRPr="00AE636E" w:rsidRDefault="00AE636E" w:rsidP="00AE636E">
      <w:pPr>
        <w:jc w:val="center"/>
        <w:rPr>
          <w:color w:val="0000FF"/>
          <w:u w:val="single"/>
        </w:rPr>
      </w:pPr>
    </w:p>
    <w:sectPr w:rsidR="00AE636E" w:rsidRPr="00AE636E" w:rsidSect="00AE636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46146" w14:textId="77777777" w:rsidR="00AB311A" w:rsidRDefault="00AB311A" w:rsidP="001E1FFE">
      <w:r>
        <w:separator/>
      </w:r>
    </w:p>
  </w:endnote>
  <w:endnote w:type="continuationSeparator" w:id="0">
    <w:p w14:paraId="22F6C550" w14:textId="77777777" w:rsidR="00AB311A" w:rsidRDefault="00AB311A" w:rsidP="001E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DAAD3" w14:textId="77777777" w:rsidR="00AE636E" w:rsidRDefault="00AE636E" w:rsidP="00AE63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BF30C1" w14:textId="77777777" w:rsidR="0087566E" w:rsidRPr="00AE636E" w:rsidRDefault="00AE636E" w:rsidP="00AE63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8BA05" w14:textId="77777777" w:rsidR="00AE636E" w:rsidRDefault="00AE636E" w:rsidP="00AE63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1C20">
      <w:rPr>
        <w:rFonts w:ascii="FrankRuehl" w:hAnsi="FrankRuehl" w:cs="FrankRuehl"/>
        <w:noProof/>
        <w:rtl/>
      </w:rPr>
      <w:t>1</w:t>
    </w:r>
    <w:r>
      <w:rPr>
        <w:rFonts w:ascii="FrankRuehl" w:hAnsi="FrankRuehl" w:cs="FrankRuehl"/>
        <w:rtl/>
      </w:rPr>
      <w:fldChar w:fldCharType="end"/>
    </w:r>
  </w:p>
  <w:p w14:paraId="0FB515B4" w14:textId="77777777" w:rsidR="0087566E" w:rsidRPr="00AE636E" w:rsidRDefault="00AE636E" w:rsidP="00AE63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F28A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76266" w14:textId="77777777" w:rsidR="00AB311A" w:rsidRDefault="00AB311A" w:rsidP="001E1FFE">
      <w:r>
        <w:separator/>
      </w:r>
    </w:p>
  </w:footnote>
  <w:footnote w:type="continuationSeparator" w:id="0">
    <w:p w14:paraId="2F558796" w14:textId="77777777" w:rsidR="00AB311A" w:rsidRDefault="00AB311A" w:rsidP="001E1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5826C" w14:textId="77777777" w:rsidR="00AE636E" w:rsidRPr="00AE636E" w:rsidRDefault="00AE636E" w:rsidP="00AE63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8707-03-20</w:t>
    </w:r>
    <w:r>
      <w:rPr>
        <w:rFonts w:ascii="David" w:hAnsi="David"/>
        <w:color w:val="000000"/>
        <w:sz w:val="22"/>
        <w:szCs w:val="22"/>
        <w:rtl/>
      </w:rPr>
      <w:tab/>
      <w:t xml:space="preserve"> מדינת ישראל-תביעות נגב נ' אלעזר סהר אבקסיס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1FC67" w14:textId="77777777" w:rsidR="00AE636E" w:rsidRPr="00AE636E" w:rsidRDefault="00AE636E" w:rsidP="00AE63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8707-03-20</w:t>
    </w:r>
    <w:r>
      <w:rPr>
        <w:rFonts w:ascii="David" w:hAnsi="David"/>
        <w:color w:val="000000"/>
        <w:sz w:val="22"/>
        <w:szCs w:val="22"/>
        <w:rtl/>
      </w:rPr>
      <w:tab/>
      <w:t xml:space="preserve"> מדינת ישראל-תביעות נגב נ' אלעזר סהר אבקסיס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7630E"/>
    <w:multiLevelType w:val="hybridMultilevel"/>
    <w:tmpl w:val="A67A35C0"/>
    <w:lvl w:ilvl="0" w:tplc="9D2640FC">
      <w:start w:val="1"/>
      <w:numFmt w:val="hebrew1"/>
      <w:lvlText w:val="%1."/>
      <w:lvlJc w:val="left"/>
      <w:pPr>
        <w:ind w:left="1440" w:hanging="360"/>
      </w:pPr>
      <w:rPr>
        <w:rFonts w:ascii="David" w:eastAsia="Calibri" w:hAnsi="David" w:cs="David"/>
        <w:b/>
        <w:bCs/>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542A63"/>
    <w:multiLevelType w:val="hybridMultilevel"/>
    <w:tmpl w:val="4BD80E84"/>
    <w:lvl w:ilvl="0" w:tplc="3B70B7FC">
      <w:start w:val="1"/>
      <w:numFmt w:val="decimal"/>
      <w:lvlText w:val="%1."/>
      <w:lvlJc w:val="left"/>
      <w:pPr>
        <w:ind w:left="720" w:hanging="360"/>
      </w:pPr>
      <w:rPr>
        <w:b/>
        <w:bCs/>
        <w:sz w:val="24"/>
        <w:szCs w:val="24"/>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1136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9049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3878"/>
    <w:rsid w:val="00043030"/>
    <w:rsid w:val="000C75C6"/>
    <w:rsid w:val="00102F20"/>
    <w:rsid w:val="001B5A3B"/>
    <w:rsid w:val="001E1FFE"/>
    <w:rsid w:val="003813DE"/>
    <w:rsid w:val="007B4CB8"/>
    <w:rsid w:val="00822853"/>
    <w:rsid w:val="00836EF2"/>
    <w:rsid w:val="0087566E"/>
    <w:rsid w:val="00AB311A"/>
    <w:rsid w:val="00AE636E"/>
    <w:rsid w:val="00D33878"/>
    <w:rsid w:val="00D36C78"/>
    <w:rsid w:val="00E15F58"/>
    <w:rsid w:val="00EE3268"/>
    <w:rsid w:val="00FD1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A2BF2"/>
  <w15:chartTrackingRefBased/>
  <w15:docId w15:val="{49C30647-F74E-44D8-9A29-120BC903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387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878"/>
    <w:pPr>
      <w:tabs>
        <w:tab w:val="center" w:pos="4153"/>
        <w:tab w:val="right" w:pos="8306"/>
      </w:tabs>
    </w:pPr>
  </w:style>
  <w:style w:type="character" w:customStyle="1" w:styleId="a4">
    <w:name w:val="כותרת עליונה תו"/>
    <w:link w:val="a3"/>
    <w:rsid w:val="00D33878"/>
    <w:rPr>
      <w:rFonts w:ascii="Times New Roman" w:eastAsia="Times New Roman" w:hAnsi="Times New Roman" w:cs="David"/>
      <w:sz w:val="24"/>
      <w:szCs w:val="24"/>
    </w:rPr>
  </w:style>
  <w:style w:type="paragraph" w:styleId="a5">
    <w:name w:val="footer"/>
    <w:basedOn w:val="a"/>
    <w:link w:val="a6"/>
    <w:rsid w:val="00D33878"/>
    <w:pPr>
      <w:tabs>
        <w:tab w:val="center" w:pos="4153"/>
        <w:tab w:val="right" w:pos="8306"/>
      </w:tabs>
    </w:pPr>
  </w:style>
  <w:style w:type="character" w:customStyle="1" w:styleId="a6">
    <w:name w:val="כותרת תחתונה תו"/>
    <w:link w:val="a5"/>
    <w:rsid w:val="00D33878"/>
    <w:rPr>
      <w:rFonts w:ascii="Times New Roman" w:eastAsia="Times New Roman" w:hAnsi="Times New Roman" w:cs="David"/>
      <w:sz w:val="24"/>
      <w:szCs w:val="24"/>
    </w:rPr>
  </w:style>
  <w:style w:type="table" w:styleId="a7">
    <w:name w:val="Table Grid"/>
    <w:basedOn w:val="a1"/>
    <w:rsid w:val="00D338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3878"/>
  </w:style>
  <w:style w:type="character" w:customStyle="1" w:styleId="a9">
    <w:name w:val="פיסקת רשימה תו"/>
    <w:link w:val="aa"/>
    <w:locked/>
    <w:rsid w:val="00D33878"/>
  </w:style>
  <w:style w:type="paragraph" w:styleId="aa">
    <w:name w:val="List Paragraph"/>
    <w:basedOn w:val="a"/>
    <w:link w:val="a9"/>
    <w:qFormat/>
    <w:rsid w:val="00D33878"/>
    <w:pPr>
      <w:spacing w:after="160" w:line="256" w:lineRule="auto"/>
      <w:ind w:left="720"/>
      <w:contextualSpacing/>
    </w:pPr>
    <w:rPr>
      <w:rFonts w:ascii="Calibri" w:eastAsia="Calibri" w:hAnsi="Calibri" w:cs="Arial"/>
      <w:sz w:val="22"/>
      <w:szCs w:val="22"/>
    </w:rPr>
  </w:style>
  <w:style w:type="character" w:styleId="Hyperlink">
    <w:name w:val="Hyperlink"/>
    <w:rsid w:val="00AE6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698752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484186" TargetMode="External"/><Relationship Id="rId2" Type="http://schemas.openxmlformats.org/officeDocument/2006/relationships/styles" Target="styles.xml"/><Relationship Id="rId16" Type="http://schemas.openxmlformats.org/officeDocument/2006/relationships/hyperlink" Target="http://www.nevo.co.il/case/2609294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477472" TargetMode="External"/><Relationship Id="rId23"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560075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6875</CharactersWithSpaces>
  <SharedDoc>false</SharedDoc>
  <HLinks>
    <vt:vector size="72" baseType="variant">
      <vt:variant>
        <vt:i4>393283</vt:i4>
      </vt:variant>
      <vt:variant>
        <vt:i4>36</vt:i4>
      </vt:variant>
      <vt:variant>
        <vt:i4>0</vt:i4>
      </vt:variant>
      <vt:variant>
        <vt:i4>5</vt:i4>
      </vt:variant>
      <vt:variant>
        <vt:lpwstr>http://www.nevo.co.il/advertisements/nevo-100.doc</vt:lpwstr>
      </vt:variant>
      <vt:variant>
        <vt:lpwstr/>
      </vt:variant>
      <vt:variant>
        <vt:i4>3801213</vt:i4>
      </vt:variant>
      <vt:variant>
        <vt:i4>33</vt:i4>
      </vt:variant>
      <vt:variant>
        <vt:i4>0</vt:i4>
      </vt:variant>
      <vt:variant>
        <vt:i4>5</vt:i4>
      </vt:variant>
      <vt:variant>
        <vt:lpwstr>http://www.nevo.co.il/case/20484186</vt:lpwstr>
      </vt:variant>
      <vt:variant>
        <vt:lpwstr/>
      </vt:variant>
      <vt:variant>
        <vt:i4>3407986</vt:i4>
      </vt:variant>
      <vt:variant>
        <vt:i4>30</vt:i4>
      </vt:variant>
      <vt:variant>
        <vt:i4>0</vt:i4>
      </vt:variant>
      <vt:variant>
        <vt:i4>5</vt:i4>
      </vt:variant>
      <vt:variant>
        <vt:lpwstr>http://www.nevo.co.il/case/26092940</vt:lpwstr>
      </vt:variant>
      <vt:variant>
        <vt:lpwstr/>
      </vt:variant>
      <vt:variant>
        <vt:i4>3539062</vt:i4>
      </vt:variant>
      <vt:variant>
        <vt:i4>27</vt:i4>
      </vt:variant>
      <vt:variant>
        <vt:i4>0</vt:i4>
      </vt:variant>
      <vt:variant>
        <vt:i4>5</vt:i4>
      </vt:variant>
      <vt:variant>
        <vt:lpwstr>http://www.nevo.co.il/case/21477472</vt:lpwstr>
      </vt:variant>
      <vt:variant>
        <vt:lpwstr/>
      </vt:variant>
      <vt:variant>
        <vt:i4>3342455</vt:i4>
      </vt:variant>
      <vt:variant>
        <vt:i4>24</vt:i4>
      </vt:variant>
      <vt:variant>
        <vt:i4>0</vt:i4>
      </vt:variant>
      <vt:variant>
        <vt:i4>5</vt:i4>
      </vt:variant>
      <vt:variant>
        <vt:lpwstr>http://www.nevo.co.il/case/5600751</vt:lpwstr>
      </vt:variant>
      <vt:variant>
        <vt:lpwstr/>
      </vt:variant>
      <vt:variant>
        <vt:i4>3801208</vt:i4>
      </vt:variant>
      <vt:variant>
        <vt:i4>21</vt:i4>
      </vt:variant>
      <vt:variant>
        <vt:i4>0</vt:i4>
      </vt:variant>
      <vt:variant>
        <vt:i4>5</vt:i4>
      </vt:variant>
      <vt:variant>
        <vt:lpwstr>http://www.nevo.co.il/case/6987521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8707</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אלעזר סהר אבקסיס</vt:lpwstr>
  </property>
  <property fmtid="{D5CDD505-2E9C-101B-9397-08002B2CF9AE}" pid="10" name="LAWYER">
    <vt:lpwstr>שירה רוג;מירב מזרחי</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20230206</vt:lpwstr>
  </property>
  <property fmtid="{D5CDD505-2E9C-101B-9397-08002B2CF9AE}" pid="14" name="TYPE_N_DATE">
    <vt:lpwstr>38020230206</vt:lpwstr>
  </property>
  <property fmtid="{D5CDD505-2E9C-101B-9397-08002B2CF9AE}" pid="15" name="WORDNUMPAGES">
    <vt:lpwstr>5</vt:lpwstr>
  </property>
  <property fmtid="{D5CDD505-2E9C-101B-9397-08002B2CF9AE}" pid="16" name="TYPE_ABS_DATE">
    <vt:lpwstr>380020230206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6987521;5600751;21477472;26092940;20484186</vt:lpwstr>
  </property>
  <property fmtid="{D5CDD505-2E9C-101B-9397-08002B2CF9AE}" pid="36" name="LAWLISTTMP1">
    <vt:lpwstr>4216/013;019a</vt:lpwstr>
  </property>
</Properties>
</file>