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A115EA" w:rsidRPr="00300315" w14:paraId="4A969100" w14:textId="77777777" w:rsidTr="00302076">
        <w:trPr>
          <w:trHeight w:hRule="exact" w:val="418"/>
          <w:jc w:val="center"/>
        </w:trPr>
        <w:tc>
          <w:tcPr>
            <w:tcW w:w="8721" w:type="dxa"/>
            <w:gridSpan w:val="2"/>
          </w:tcPr>
          <w:p w14:paraId="4114809B" w14:textId="77777777" w:rsidR="00A115EA" w:rsidRPr="00300315" w:rsidRDefault="00A115EA" w:rsidP="00D00B0A">
            <w:pPr>
              <w:pStyle w:val="a3"/>
              <w:jc w:val="center"/>
              <w:rPr>
                <w:rFonts w:ascii="Tahoma" w:hAnsi="Tahoma" w:cs="Tahoma"/>
                <w:color w:val="000080"/>
                <w:rtl/>
              </w:rPr>
            </w:pPr>
            <w:r w:rsidRPr="00300315">
              <w:rPr>
                <w:rFonts w:ascii="Tahoma" w:hAnsi="Tahoma" w:cs="Tahoma"/>
                <w:b/>
                <w:bCs/>
                <w:color w:val="000080"/>
                <w:rtl/>
              </w:rPr>
              <w:t>בית משפט השלום בקריות</w:t>
            </w:r>
          </w:p>
        </w:tc>
      </w:tr>
      <w:tr w:rsidR="00A115EA" w:rsidRPr="00300315" w14:paraId="2C3B363A" w14:textId="77777777" w:rsidTr="00302076">
        <w:trPr>
          <w:trHeight w:val="337"/>
          <w:jc w:val="center"/>
        </w:trPr>
        <w:tc>
          <w:tcPr>
            <w:tcW w:w="5056" w:type="dxa"/>
          </w:tcPr>
          <w:p w14:paraId="0D458CE9" w14:textId="77777777" w:rsidR="00A115EA" w:rsidRPr="00300315" w:rsidRDefault="00A115EA" w:rsidP="00D00B0A">
            <w:pPr>
              <w:rPr>
                <w:rFonts w:cs="FrankRuehl"/>
                <w:sz w:val="28"/>
                <w:szCs w:val="28"/>
                <w:rtl/>
              </w:rPr>
            </w:pPr>
            <w:r w:rsidRPr="00300315">
              <w:rPr>
                <w:rFonts w:cs="FrankRuehl"/>
                <w:sz w:val="28"/>
                <w:szCs w:val="28"/>
                <w:rtl/>
              </w:rPr>
              <w:t>ת"פ</w:t>
            </w:r>
            <w:r w:rsidRPr="00300315">
              <w:rPr>
                <w:rFonts w:cs="FrankRuehl" w:hint="cs"/>
                <w:sz w:val="28"/>
                <w:szCs w:val="28"/>
                <w:rtl/>
              </w:rPr>
              <w:t xml:space="preserve"> </w:t>
            </w:r>
            <w:hyperlink r:id="rId7" w:history="1">
              <w:r w:rsidR="00885675" w:rsidRPr="00885675">
                <w:rPr>
                  <w:rFonts w:cs="FrankRuehl"/>
                  <w:color w:val="0000FF"/>
                  <w:sz w:val="28"/>
                  <w:szCs w:val="28"/>
                  <w:u w:val="single"/>
                  <w:rtl/>
                </w:rPr>
                <w:t xml:space="preserve">988-03-20 </w:t>
              </w:r>
            </w:hyperlink>
            <w:r w:rsidRPr="00300315">
              <w:rPr>
                <w:rFonts w:cs="FrankRuehl" w:hint="cs"/>
                <w:sz w:val="28"/>
                <w:szCs w:val="28"/>
                <w:rtl/>
              </w:rPr>
              <w:t xml:space="preserve"> </w:t>
            </w:r>
            <w:r w:rsidRPr="00300315">
              <w:rPr>
                <w:rFonts w:cs="FrankRuehl"/>
                <w:sz w:val="28"/>
                <w:szCs w:val="28"/>
                <w:rtl/>
              </w:rPr>
              <w:t>משטרת ישראל תביעות- שלוחת זבולון נ' לוי(עציר)</w:t>
            </w:r>
          </w:p>
          <w:p w14:paraId="403B8D4D" w14:textId="77777777" w:rsidR="00A115EA" w:rsidRPr="00300315" w:rsidRDefault="00A115EA" w:rsidP="00D00B0A">
            <w:pPr>
              <w:pStyle w:val="a3"/>
              <w:rPr>
                <w:rFonts w:cs="FrankRuehl"/>
                <w:sz w:val="28"/>
                <w:szCs w:val="28"/>
                <w:rtl/>
              </w:rPr>
            </w:pPr>
          </w:p>
        </w:tc>
        <w:tc>
          <w:tcPr>
            <w:tcW w:w="3665" w:type="dxa"/>
          </w:tcPr>
          <w:p w14:paraId="47A8A7D3" w14:textId="77777777" w:rsidR="00A115EA" w:rsidRPr="00300315" w:rsidRDefault="00A115EA" w:rsidP="00D00B0A">
            <w:pPr>
              <w:pStyle w:val="a3"/>
              <w:jc w:val="right"/>
              <w:rPr>
                <w:rFonts w:cs="FrankRuehl"/>
                <w:sz w:val="28"/>
                <w:szCs w:val="28"/>
                <w:rtl/>
              </w:rPr>
            </w:pPr>
          </w:p>
        </w:tc>
      </w:tr>
    </w:tbl>
    <w:p w14:paraId="769C0A1C" w14:textId="77777777" w:rsidR="00A115EA" w:rsidRPr="00300315" w:rsidRDefault="00A115EA" w:rsidP="00A115EA">
      <w:pPr>
        <w:pStyle w:val="a3"/>
        <w:rPr>
          <w:rtl/>
        </w:rPr>
      </w:pPr>
      <w:r w:rsidRPr="00300315">
        <w:rPr>
          <w:rFonts w:hint="cs"/>
          <w:rtl/>
        </w:rPr>
        <w:t xml:space="preserve"> </w:t>
      </w:r>
    </w:p>
    <w:p w14:paraId="5B3CD978" w14:textId="77777777" w:rsidR="00A115EA" w:rsidRPr="00300315" w:rsidRDefault="00A115EA" w:rsidP="00A115EA">
      <w:pPr>
        <w:rPr>
          <w:rtl/>
        </w:rPr>
      </w:pPr>
    </w:p>
    <w:p w14:paraId="486FAFD4" w14:textId="77777777" w:rsidR="00A115EA" w:rsidRPr="00300315" w:rsidRDefault="00A115EA" w:rsidP="00A115E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115EA" w:rsidRPr="00300315" w14:paraId="1875D672" w14:textId="77777777" w:rsidTr="00A115EA">
        <w:trPr>
          <w:trHeight w:val="295"/>
          <w:jc w:val="center"/>
        </w:trPr>
        <w:tc>
          <w:tcPr>
            <w:tcW w:w="923" w:type="dxa"/>
            <w:tcBorders>
              <w:top w:val="nil"/>
              <w:left w:val="nil"/>
              <w:bottom w:val="nil"/>
              <w:right w:val="nil"/>
            </w:tcBorders>
            <w:shd w:val="clear" w:color="auto" w:fill="auto"/>
          </w:tcPr>
          <w:p w14:paraId="7FB92CAE" w14:textId="77777777" w:rsidR="00A115EA" w:rsidRPr="00300315" w:rsidRDefault="00A115EA" w:rsidP="00A115EA">
            <w:pPr>
              <w:jc w:val="both"/>
              <w:rPr>
                <w:rFonts w:ascii="David" w:hAnsi="David"/>
                <w:b/>
                <w:bCs/>
              </w:rPr>
            </w:pPr>
            <w:r w:rsidRPr="00300315">
              <w:rPr>
                <w:rFonts w:ascii="David" w:hAnsi="David"/>
                <w:b/>
                <w:bCs/>
                <w:rtl/>
              </w:rPr>
              <w:t xml:space="preserve">בפני </w:t>
            </w:r>
          </w:p>
        </w:tc>
        <w:tc>
          <w:tcPr>
            <w:tcW w:w="7897" w:type="dxa"/>
            <w:gridSpan w:val="2"/>
            <w:tcBorders>
              <w:top w:val="nil"/>
              <w:left w:val="nil"/>
              <w:bottom w:val="nil"/>
              <w:right w:val="nil"/>
            </w:tcBorders>
            <w:shd w:val="clear" w:color="auto" w:fill="auto"/>
          </w:tcPr>
          <w:p w14:paraId="7DF41927" w14:textId="77777777" w:rsidR="00A115EA" w:rsidRPr="00300315" w:rsidRDefault="00A115EA" w:rsidP="00A115EA">
            <w:pPr>
              <w:jc w:val="both"/>
              <w:rPr>
                <w:rFonts w:ascii="David" w:hAnsi="David"/>
                <w:b/>
                <w:bCs/>
              </w:rPr>
            </w:pPr>
            <w:r w:rsidRPr="00300315">
              <w:rPr>
                <w:rFonts w:ascii="David" w:hAnsi="David"/>
                <w:b/>
                <w:bCs/>
                <w:rtl/>
              </w:rPr>
              <w:t xml:space="preserve">כב' השופט יוסי טורס , סגן הנשיא </w:t>
            </w:r>
          </w:p>
        </w:tc>
      </w:tr>
      <w:tr w:rsidR="00A115EA" w:rsidRPr="00300315" w14:paraId="1027FA2B" w14:textId="77777777" w:rsidTr="00A115EA">
        <w:trPr>
          <w:trHeight w:val="355"/>
          <w:jc w:val="center"/>
        </w:trPr>
        <w:tc>
          <w:tcPr>
            <w:tcW w:w="923" w:type="dxa"/>
            <w:tcBorders>
              <w:top w:val="nil"/>
              <w:left w:val="nil"/>
              <w:bottom w:val="nil"/>
              <w:right w:val="nil"/>
            </w:tcBorders>
            <w:shd w:val="clear" w:color="auto" w:fill="auto"/>
          </w:tcPr>
          <w:p w14:paraId="7BB08ED4" w14:textId="77777777" w:rsidR="00A115EA" w:rsidRPr="00300315" w:rsidRDefault="00A115EA" w:rsidP="00A115EA">
            <w:pPr>
              <w:jc w:val="both"/>
              <w:rPr>
                <w:rFonts w:ascii="David" w:hAnsi="David"/>
                <w:b/>
                <w:bCs/>
                <w:rtl/>
              </w:rPr>
            </w:pPr>
            <w:bookmarkStart w:id="0" w:name="FirstAppellant"/>
            <w:bookmarkStart w:id="1" w:name="LastJudge"/>
            <w:bookmarkEnd w:id="1"/>
          </w:p>
          <w:p w14:paraId="3F645CCB" w14:textId="77777777" w:rsidR="00A115EA" w:rsidRPr="00300315" w:rsidRDefault="00A115EA" w:rsidP="00A115EA">
            <w:pPr>
              <w:jc w:val="both"/>
              <w:rPr>
                <w:rFonts w:ascii="David" w:hAnsi="David"/>
                <w:b/>
                <w:bCs/>
              </w:rPr>
            </w:pPr>
            <w:r w:rsidRPr="00300315">
              <w:rPr>
                <w:rFonts w:ascii="David" w:hAnsi="David"/>
                <w:b/>
                <w:bCs/>
                <w:rtl/>
              </w:rPr>
              <w:t>בעניין:</w:t>
            </w:r>
          </w:p>
        </w:tc>
        <w:tc>
          <w:tcPr>
            <w:tcW w:w="4126" w:type="dxa"/>
            <w:tcBorders>
              <w:top w:val="nil"/>
              <w:left w:val="nil"/>
              <w:bottom w:val="nil"/>
              <w:right w:val="nil"/>
            </w:tcBorders>
            <w:shd w:val="clear" w:color="auto" w:fill="auto"/>
          </w:tcPr>
          <w:p w14:paraId="0848A24E" w14:textId="77777777" w:rsidR="00A115EA" w:rsidRPr="00300315" w:rsidRDefault="00A115EA" w:rsidP="00D00B0A">
            <w:pPr>
              <w:rPr>
                <w:rFonts w:ascii="David" w:hAnsi="David"/>
                <w:b/>
                <w:bCs/>
              </w:rPr>
            </w:pPr>
            <w:r w:rsidRPr="00300315">
              <w:rPr>
                <w:rFonts w:ascii="David" w:hAnsi="David"/>
                <w:b/>
                <w:bCs/>
                <w:rtl/>
              </w:rPr>
              <w:br/>
              <w:t>משטרת ישראל תביעות- שלוחת זבולון</w:t>
            </w:r>
          </w:p>
        </w:tc>
        <w:tc>
          <w:tcPr>
            <w:tcW w:w="3771" w:type="dxa"/>
            <w:tcBorders>
              <w:top w:val="nil"/>
              <w:left w:val="nil"/>
              <w:bottom w:val="nil"/>
              <w:right w:val="nil"/>
            </w:tcBorders>
            <w:shd w:val="clear" w:color="auto" w:fill="auto"/>
          </w:tcPr>
          <w:p w14:paraId="6587338B" w14:textId="77777777" w:rsidR="00A115EA" w:rsidRPr="00300315" w:rsidRDefault="00A115EA" w:rsidP="00A115EA">
            <w:pPr>
              <w:jc w:val="both"/>
              <w:rPr>
                <w:rFonts w:ascii="David" w:hAnsi="David"/>
                <w:b/>
                <w:bCs/>
                <w:rtl/>
              </w:rPr>
            </w:pPr>
          </w:p>
          <w:p w14:paraId="0ED157F5" w14:textId="77777777" w:rsidR="00A115EA" w:rsidRPr="00300315" w:rsidRDefault="00A115EA" w:rsidP="00A115EA">
            <w:pPr>
              <w:jc w:val="both"/>
              <w:rPr>
                <w:rFonts w:ascii="David" w:hAnsi="David"/>
                <w:b/>
                <w:bCs/>
              </w:rPr>
            </w:pPr>
            <w:r w:rsidRPr="00300315">
              <w:rPr>
                <w:rFonts w:ascii="David" w:hAnsi="David" w:hint="cs"/>
                <w:b/>
                <w:bCs/>
                <w:rtl/>
              </w:rPr>
              <w:t xml:space="preserve">                                                 </w:t>
            </w:r>
            <w:r w:rsidRPr="00300315">
              <w:rPr>
                <w:rFonts w:ascii="David" w:hAnsi="David"/>
                <w:b/>
                <w:bCs/>
                <w:rtl/>
              </w:rPr>
              <w:t>המאשימה</w:t>
            </w:r>
          </w:p>
        </w:tc>
      </w:tr>
      <w:bookmarkEnd w:id="0"/>
      <w:tr w:rsidR="00A115EA" w:rsidRPr="00300315" w14:paraId="77363C65" w14:textId="77777777" w:rsidTr="00A115EA">
        <w:trPr>
          <w:trHeight w:val="355"/>
          <w:jc w:val="center"/>
        </w:trPr>
        <w:tc>
          <w:tcPr>
            <w:tcW w:w="923" w:type="dxa"/>
            <w:tcBorders>
              <w:top w:val="nil"/>
              <w:left w:val="nil"/>
              <w:bottom w:val="nil"/>
              <w:right w:val="nil"/>
            </w:tcBorders>
            <w:shd w:val="clear" w:color="auto" w:fill="auto"/>
          </w:tcPr>
          <w:p w14:paraId="68B504E2" w14:textId="77777777" w:rsidR="00A115EA" w:rsidRPr="00300315" w:rsidRDefault="00A115EA" w:rsidP="00A115EA">
            <w:pPr>
              <w:jc w:val="both"/>
              <w:rPr>
                <w:rFonts w:ascii="David" w:hAnsi="David"/>
                <w:b/>
                <w:bCs/>
                <w:rtl/>
              </w:rPr>
            </w:pPr>
          </w:p>
        </w:tc>
        <w:tc>
          <w:tcPr>
            <w:tcW w:w="4126" w:type="dxa"/>
            <w:tcBorders>
              <w:top w:val="nil"/>
              <w:left w:val="nil"/>
              <w:bottom w:val="nil"/>
              <w:right w:val="nil"/>
            </w:tcBorders>
            <w:shd w:val="clear" w:color="auto" w:fill="auto"/>
          </w:tcPr>
          <w:p w14:paraId="038933F6" w14:textId="77777777" w:rsidR="00A115EA" w:rsidRPr="00300315" w:rsidRDefault="00A115EA" w:rsidP="00A115EA">
            <w:pPr>
              <w:jc w:val="both"/>
              <w:rPr>
                <w:rFonts w:ascii="David" w:hAnsi="David"/>
                <w:b/>
                <w:bCs/>
                <w:rtl/>
              </w:rPr>
            </w:pPr>
          </w:p>
        </w:tc>
        <w:tc>
          <w:tcPr>
            <w:tcW w:w="3771" w:type="dxa"/>
            <w:tcBorders>
              <w:top w:val="nil"/>
              <w:left w:val="nil"/>
              <w:bottom w:val="nil"/>
              <w:right w:val="nil"/>
            </w:tcBorders>
            <w:shd w:val="clear" w:color="auto" w:fill="auto"/>
          </w:tcPr>
          <w:p w14:paraId="419B2063" w14:textId="77777777" w:rsidR="00A115EA" w:rsidRPr="00300315" w:rsidRDefault="00A115EA" w:rsidP="00A115EA">
            <w:pPr>
              <w:jc w:val="right"/>
              <w:rPr>
                <w:rFonts w:ascii="David" w:hAnsi="David"/>
                <w:b/>
                <w:bCs/>
                <w:rtl/>
              </w:rPr>
            </w:pPr>
          </w:p>
        </w:tc>
      </w:tr>
      <w:tr w:rsidR="00A115EA" w:rsidRPr="00300315" w14:paraId="5B60280A" w14:textId="77777777" w:rsidTr="00A115EA">
        <w:trPr>
          <w:trHeight w:val="355"/>
          <w:jc w:val="center"/>
        </w:trPr>
        <w:tc>
          <w:tcPr>
            <w:tcW w:w="923" w:type="dxa"/>
            <w:tcBorders>
              <w:top w:val="nil"/>
              <w:left w:val="nil"/>
              <w:bottom w:val="nil"/>
              <w:right w:val="nil"/>
            </w:tcBorders>
            <w:shd w:val="clear" w:color="auto" w:fill="auto"/>
          </w:tcPr>
          <w:p w14:paraId="76B7E500" w14:textId="77777777" w:rsidR="00A115EA" w:rsidRPr="00300315" w:rsidRDefault="00A115EA" w:rsidP="00A115EA">
            <w:pPr>
              <w:jc w:val="both"/>
              <w:rPr>
                <w:rFonts w:ascii="David" w:hAnsi="David"/>
                <w:b/>
                <w:bCs/>
                <w:rtl/>
              </w:rPr>
            </w:pPr>
          </w:p>
        </w:tc>
        <w:tc>
          <w:tcPr>
            <w:tcW w:w="7897" w:type="dxa"/>
            <w:gridSpan w:val="2"/>
            <w:tcBorders>
              <w:top w:val="nil"/>
              <w:left w:val="nil"/>
              <w:bottom w:val="nil"/>
              <w:right w:val="nil"/>
            </w:tcBorders>
            <w:shd w:val="clear" w:color="auto" w:fill="auto"/>
          </w:tcPr>
          <w:p w14:paraId="07D92A03" w14:textId="77777777" w:rsidR="00A115EA" w:rsidRPr="00300315" w:rsidRDefault="00A115EA" w:rsidP="00A115EA">
            <w:pPr>
              <w:jc w:val="center"/>
              <w:rPr>
                <w:rFonts w:ascii="David" w:hAnsi="David"/>
                <w:b/>
                <w:bCs/>
                <w:rtl/>
              </w:rPr>
            </w:pPr>
          </w:p>
          <w:p w14:paraId="312D760E" w14:textId="77777777" w:rsidR="00A115EA" w:rsidRPr="00300315" w:rsidRDefault="00A115EA" w:rsidP="00A115EA">
            <w:pPr>
              <w:jc w:val="center"/>
              <w:rPr>
                <w:rFonts w:ascii="David" w:hAnsi="David"/>
                <w:b/>
                <w:bCs/>
                <w:rtl/>
              </w:rPr>
            </w:pPr>
            <w:r w:rsidRPr="00300315">
              <w:rPr>
                <w:rFonts w:ascii="David" w:hAnsi="David"/>
                <w:b/>
                <w:bCs/>
                <w:rtl/>
              </w:rPr>
              <w:t>נגד</w:t>
            </w:r>
          </w:p>
          <w:p w14:paraId="3816BD12" w14:textId="77777777" w:rsidR="00A115EA" w:rsidRPr="00300315" w:rsidRDefault="00A115EA" w:rsidP="00A115EA">
            <w:pPr>
              <w:jc w:val="both"/>
              <w:rPr>
                <w:rFonts w:ascii="David" w:hAnsi="David"/>
                <w:b/>
                <w:bCs/>
              </w:rPr>
            </w:pPr>
          </w:p>
        </w:tc>
      </w:tr>
      <w:tr w:rsidR="00A115EA" w:rsidRPr="00300315" w14:paraId="48242A35" w14:textId="77777777" w:rsidTr="00A115EA">
        <w:trPr>
          <w:trHeight w:val="355"/>
          <w:jc w:val="center"/>
        </w:trPr>
        <w:tc>
          <w:tcPr>
            <w:tcW w:w="923" w:type="dxa"/>
            <w:tcBorders>
              <w:top w:val="nil"/>
              <w:left w:val="nil"/>
              <w:bottom w:val="nil"/>
              <w:right w:val="nil"/>
            </w:tcBorders>
            <w:shd w:val="clear" w:color="auto" w:fill="auto"/>
          </w:tcPr>
          <w:p w14:paraId="12ECF2EF" w14:textId="77777777" w:rsidR="00A115EA" w:rsidRPr="00300315" w:rsidRDefault="00A115EA" w:rsidP="00D00B0A">
            <w:pPr>
              <w:rPr>
                <w:rFonts w:ascii="David" w:hAnsi="David"/>
                <w:b/>
                <w:bCs/>
                <w:rtl/>
              </w:rPr>
            </w:pPr>
          </w:p>
        </w:tc>
        <w:tc>
          <w:tcPr>
            <w:tcW w:w="4126" w:type="dxa"/>
            <w:tcBorders>
              <w:top w:val="nil"/>
              <w:left w:val="nil"/>
              <w:bottom w:val="nil"/>
              <w:right w:val="nil"/>
            </w:tcBorders>
            <w:shd w:val="clear" w:color="auto" w:fill="auto"/>
          </w:tcPr>
          <w:p w14:paraId="2730727F" w14:textId="77777777" w:rsidR="00A115EA" w:rsidRPr="00300315" w:rsidRDefault="00A115EA" w:rsidP="00D00B0A">
            <w:pPr>
              <w:rPr>
                <w:rFonts w:ascii="David" w:hAnsi="David"/>
                <w:b/>
                <w:bCs/>
                <w:rtl/>
              </w:rPr>
            </w:pPr>
            <w:r w:rsidRPr="00300315">
              <w:rPr>
                <w:rFonts w:ascii="David" w:hAnsi="David"/>
                <w:b/>
                <w:bCs/>
                <w:rtl/>
              </w:rPr>
              <w:t xml:space="preserve">יוסף לוי </w:t>
            </w:r>
          </w:p>
        </w:tc>
        <w:tc>
          <w:tcPr>
            <w:tcW w:w="3771" w:type="dxa"/>
            <w:tcBorders>
              <w:top w:val="nil"/>
              <w:left w:val="nil"/>
              <w:bottom w:val="nil"/>
              <w:right w:val="nil"/>
            </w:tcBorders>
            <w:shd w:val="clear" w:color="auto" w:fill="auto"/>
          </w:tcPr>
          <w:p w14:paraId="08A54A68" w14:textId="77777777" w:rsidR="00A115EA" w:rsidRPr="00300315" w:rsidRDefault="00A115EA" w:rsidP="00A115EA">
            <w:pPr>
              <w:jc w:val="center"/>
              <w:rPr>
                <w:rFonts w:ascii="David" w:hAnsi="David"/>
                <w:b/>
                <w:bCs/>
              </w:rPr>
            </w:pPr>
            <w:r w:rsidRPr="00300315">
              <w:rPr>
                <w:rFonts w:ascii="David" w:hAnsi="David" w:hint="cs"/>
                <w:b/>
                <w:bCs/>
                <w:rtl/>
              </w:rPr>
              <w:t xml:space="preserve">                                             הנאשם</w:t>
            </w:r>
          </w:p>
        </w:tc>
      </w:tr>
    </w:tbl>
    <w:p w14:paraId="2E741676" w14:textId="77777777" w:rsidR="00885675" w:rsidRPr="00885675" w:rsidRDefault="00885675" w:rsidP="00885675">
      <w:pPr>
        <w:spacing w:before="120" w:after="120" w:line="240" w:lineRule="exact"/>
        <w:ind w:left="283" w:hanging="283"/>
        <w:jc w:val="both"/>
        <w:rPr>
          <w:rFonts w:ascii="FrankRuehl" w:hAnsi="FrankRuehl" w:cs="FrankRuehl"/>
          <w:rtl/>
        </w:rPr>
      </w:pPr>
    </w:p>
    <w:p w14:paraId="368E733A" w14:textId="77777777" w:rsidR="00432307" w:rsidRDefault="00432307" w:rsidP="00432307">
      <w:pPr>
        <w:rPr>
          <w:rFonts w:ascii="David" w:hAnsi="David"/>
          <w:rtl/>
        </w:rPr>
      </w:pPr>
      <w:bookmarkStart w:id="2" w:name="LawTable"/>
      <w:bookmarkEnd w:id="2"/>
    </w:p>
    <w:p w14:paraId="11E7410E" w14:textId="77777777" w:rsidR="00432307" w:rsidRPr="00432307" w:rsidRDefault="00432307" w:rsidP="00432307">
      <w:pPr>
        <w:spacing w:before="120" w:after="120" w:line="240" w:lineRule="exact"/>
        <w:ind w:left="283" w:hanging="283"/>
        <w:jc w:val="both"/>
        <w:rPr>
          <w:rFonts w:ascii="FrankRuehl" w:hAnsi="FrankRuehl" w:cs="FrankRuehl"/>
          <w:rtl/>
        </w:rPr>
      </w:pPr>
    </w:p>
    <w:p w14:paraId="6FB76669" w14:textId="77777777" w:rsidR="00432307" w:rsidRPr="00432307" w:rsidRDefault="00432307" w:rsidP="00432307">
      <w:pPr>
        <w:spacing w:before="120" w:after="120" w:line="240" w:lineRule="exact"/>
        <w:ind w:left="283" w:hanging="283"/>
        <w:jc w:val="both"/>
        <w:rPr>
          <w:rFonts w:ascii="FrankRuehl" w:hAnsi="FrankRuehl" w:cs="FrankRuehl"/>
          <w:rtl/>
        </w:rPr>
      </w:pPr>
    </w:p>
    <w:p w14:paraId="69E0D06A" w14:textId="77777777" w:rsidR="00432307" w:rsidRPr="00432307" w:rsidRDefault="00432307" w:rsidP="00432307">
      <w:pPr>
        <w:spacing w:before="120" w:after="120" w:line="240" w:lineRule="exact"/>
        <w:ind w:left="283" w:hanging="283"/>
        <w:jc w:val="both"/>
        <w:rPr>
          <w:rFonts w:ascii="FrankRuehl" w:hAnsi="FrankRuehl" w:cs="FrankRuehl"/>
          <w:rtl/>
        </w:rPr>
      </w:pPr>
      <w:r w:rsidRPr="00432307">
        <w:rPr>
          <w:rFonts w:ascii="FrankRuehl" w:hAnsi="FrankRuehl" w:cs="FrankRuehl"/>
          <w:rtl/>
        </w:rPr>
        <w:t xml:space="preserve">חקיקה שאוזכרה: </w:t>
      </w:r>
    </w:p>
    <w:p w14:paraId="70A85F87" w14:textId="77777777" w:rsidR="00432307" w:rsidRPr="00432307" w:rsidRDefault="00432307" w:rsidP="00432307">
      <w:pPr>
        <w:spacing w:before="120" w:after="120" w:line="240" w:lineRule="exact"/>
        <w:ind w:left="283" w:hanging="283"/>
        <w:jc w:val="both"/>
        <w:rPr>
          <w:rFonts w:ascii="FrankRuehl" w:hAnsi="FrankRuehl" w:cs="FrankRuehl"/>
          <w:rtl/>
        </w:rPr>
      </w:pPr>
      <w:hyperlink r:id="rId8" w:history="1">
        <w:r w:rsidRPr="00432307">
          <w:rPr>
            <w:rFonts w:ascii="FrankRuehl" w:hAnsi="FrankRuehl" w:cs="FrankRuehl"/>
            <w:color w:val="0000FF"/>
            <w:rtl/>
          </w:rPr>
          <w:t>חוק העונשין, תשל"ז-1977</w:t>
        </w:r>
      </w:hyperlink>
      <w:r w:rsidRPr="00432307">
        <w:rPr>
          <w:rFonts w:ascii="FrankRuehl" w:hAnsi="FrankRuehl" w:cs="FrankRuehl"/>
          <w:rtl/>
        </w:rPr>
        <w:t xml:space="preserve">: סע'  </w:t>
      </w:r>
      <w:hyperlink r:id="rId9" w:history="1">
        <w:r w:rsidRPr="00432307">
          <w:rPr>
            <w:rFonts w:ascii="FrankRuehl" w:hAnsi="FrankRuehl" w:cs="FrankRuehl"/>
            <w:color w:val="0000FF"/>
            <w:rtl/>
          </w:rPr>
          <w:t>40ט'</w:t>
        </w:r>
      </w:hyperlink>
      <w:r w:rsidRPr="00432307">
        <w:rPr>
          <w:rFonts w:ascii="FrankRuehl" w:hAnsi="FrankRuehl" w:cs="FrankRuehl"/>
          <w:rtl/>
        </w:rPr>
        <w:t xml:space="preserve">, </w:t>
      </w:r>
      <w:hyperlink r:id="rId10" w:history="1">
        <w:r w:rsidRPr="00432307">
          <w:rPr>
            <w:rFonts w:ascii="FrankRuehl" w:hAnsi="FrankRuehl" w:cs="FrankRuehl"/>
            <w:color w:val="0000FF"/>
            <w:rtl/>
          </w:rPr>
          <w:t>384</w:t>
        </w:r>
      </w:hyperlink>
      <w:r w:rsidRPr="00432307">
        <w:rPr>
          <w:rFonts w:ascii="FrankRuehl" w:hAnsi="FrankRuehl" w:cs="FrankRuehl"/>
          <w:rtl/>
        </w:rPr>
        <w:t xml:space="preserve">, </w:t>
      </w:r>
      <w:hyperlink r:id="rId11" w:history="1">
        <w:r w:rsidRPr="00432307">
          <w:rPr>
            <w:rFonts w:ascii="FrankRuehl" w:hAnsi="FrankRuehl" w:cs="FrankRuehl"/>
            <w:color w:val="0000FF"/>
            <w:rtl/>
          </w:rPr>
          <w:t>406(ב)</w:t>
        </w:r>
      </w:hyperlink>
      <w:r w:rsidRPr="00432307">
        <w:rPr>
          <w:rFonts w:ascii="FrankRuehl" w:hAnsi="FrankRuehl" w:cs="FrankRuehl"/>
          <w:rtl/>
        </w:rPr>
        <w:t xml:space="preserve">, </w:t>
      </w:r>
      <w:hyperlink r:id="rId12" w:history="1">
        <w:r w:rsidRPr="00432307">
          <w:rPr>
            <w:rFonts w:ascii="FrankRuehl" w:hAnsi="FrankRuehl" w:cs="FrankRuehl"/>
            <w:color w:val="0000FF"/>
            <w:rtl/>
          </w:rPr>
          <w:t>413</w:t>
        </w:r>
      </w:hyperlink>
      <w:r w:rsidRPr="00432307">
        <w:rPr>
          <w:rFonts w:ascii="FrankRuehl" w:hAnsi="FrankRuehl" w:cs="FrankRuehl"/>
          <w:rtl/>
        </w:rPr>
        <w:t xml:space="preserve">, </w:t>
      </w:r>
      <w:hyperlink r:id="rId13" w:history="1">
        <w:r w:rsidRPr="00432307">
          <w:rPr>
            <w:rFonts w:ascii="FrankRuehl" w:hAnsi="FrankRuehl" w:cs="FrankRuehl"/>
            <w:color w:val="0000FF"/>
            <w:rtl/>
          </w:rPr>
          <w:t>413ב</w:t>
        </w:r>
      </w:hyperlink>
      <w:r w:rsidRPr="00432307">
        <w:rPr>
          <w:rFonts w:ascii="FrankRuehl" w:hAnsi="FrankRuehl" w:cs="FrankRuehl"/>
          <w:rtl/>
        </w:rPr>
        <w:t xml:space="preserve">, </w:t>
      </w:r>
      <w:hyperlink r:id="rId14" w:history="1">
        <w:r w:rsidRPr="00432307">
          <w:rPr>
            <w:rFonts w:ascii="FrankRuehl" w:hAnsi="FrankRuehl" w:cs="FrankRuehl"/>
            <w:color w:val="0000FF"/>
            <w:rtl/>
          </w:rPr>
          <w:t>413יב'</w:t>
        </w:r>
      </w:hyperlink>
      <w:r w:rsidRPr="00432307">
        <w:rPr>
          <w:rFonts w:ascii="FrankRuehl" w:hAnsi="FrankRuehl" w:cs="FrankRuehl"/>
          <w:rtl/>
        </w:rPr>
        <w:t xml:space="preserve">, </w:t>
      </w:r>
      <w:hyperlink r:id="rId15" w:history="1">
        <w:r w:rsidRPr="00432307">
          <w:rPr>
            <w:rFonts w:ascii="FrankRuehl" w:hAnsi="FrankRuehl" w:cs="FrankRuehl"/>
            <w:color w:val="0000FF"/>
            <w:rtl/>
          </w:rPr>
          <w:t>499(א)(1)</w:t>
        </w:r>
      </w:hyperlink>
    </w:p>
    <w:p w14:paraId="0665A2E6" w14:textId="77777777" w:rsidR="00432307" w:rsidRPr="00432307" w:rsidRDefault="00432307" w:rsidP="00432307">
      <w:pPr>
        <w:spacing w:before="120" w:after="120" w:line="240" w:lineRule="exact"/>
        <w:ind w:left="283" w:hanging="283"/>
        <w:jc w:val="both"/>
        <w:rPr>
          <w:rFonts w:ascii="FrankRuehl" w:hAnsi="FrankRuehl" w:cs="FrankRuehl"/>
          <w:rtl/>
        </w:rPr>
      </w:pPr>
      <w:hyperlink r:id="rId16" w:history="1">
        <w:r w:rsidRPr="00432307">
          <w:rPr>
            <w:rFonts w:ascii="FrankRuehl" w:hAnsi="FrankRuehl" w:cs="FrankRuehl"/>
            <w:color w:val="0000FF"/>
            <w:rtl/>
          </w:rPr>
          <w:t>פקודת הסמים המסוכנים [נוסח חדש], תשל"ג-1973</w:t>
        </w:r>
      </w:hyperlink>
      <w:r w:rsidRPr="00432307">
        <w:rPr>
          <w:rFonts w:ascii="FrankRuehl" w:hAnsi="FrankRuehl" w:cs="FrankRuehl"/>
          <w:rtl/>
        </w:rPr>
        <w:t xml:space="preserve">: סע'  </w:t>
      </w:r>
      <w:hyperlink r:id="rId17" w:history="1">
        <w:r w:rsidRPr="00432307">
          <w:rPr>
            <w:rFonts w:ascii="FrankRuehl" w:hAnsi="FrankRuehl" w:cs="FrankRuehl"/>
            <w:color w:val="0000FF"/>
            <w:rtl/>
          </w:rPr>
          <w:t>7.א.</w:t>
        </w:r>
      </w:hyperlink>
      <w:r w:rsidRPr="00432307">
        <w:rPr>
          <w:rFonts w:ascii="FrankRuehl" w:hAnsi="FrankRuehl" w:cs="FrankRuehl"/>
          <w:rtl/>
        </w:rPr>
        <w:t xml:space="preserve">, </w:t>
      </w:r>
      <w:hyperlink r:id="rId18" w:history="1">
        <w:r w:rsidRPr="00432307">
          <w:rPr>
            <w:rFonts w:ascii="FrankRuehl" w:hAnsi="FrankRuehl" w:cs="FrankRuehl"/>
            <w:color w:val="0000FF"/>
            <w:rtl/>
          </w:rPr>
          <w:t>7.ג</w:t>
        </w:r>
      </w:hyperlink>
      <w:r w:rsidRPr="00432307">
        <w:rPr>
          <w:rFonts w:ascii="FrankRuehl" w:hAnsi="FrankRuehl" w:cs="FrankRuehl"/>
          <w:rtl/>
        </w:rPr>
        <w:t xml:space="preserve">, </w:t>
      </w:r>
      <w:hyperlink r:id="rId19" w:history="1">
        <w:r w:rsidRPr="00432307">
          <w:rPr>
            <w:rFonts w:ascii="FrankRuehl" w:hAnsi="FrankRuehl" w:cs="FrankRuehl"/>
            <w:color w:val="0000FF"/>
            <w:rtl/>
          </w:rPr>
          <w:t>37א(א)</w:t>
        </w:r>
      </w:hyperlink>
      <w:r w:rsidRPr="00432307">
        <w:rPr>
          <w:rFonts w:ascii="FrankRuehl" w:hAnsi="FrankRuehl" w:cs="FrankRuehl"/>
          <w:rtl/>
        </w:rPr>
        <w:t xml:space="preserve">, </w:t>
      </w:r>
      <w:hyperlink r:id="rId20" w:history="1">
        <w:r w:rsidRPr="00432307">
          <w:rPr>
            <w:rFonts w:ascii="FrankRuehl" w:hAnsi="FrankRuehl" w:cs="FrankRuehl"/>
            <w:color w:val="0000FF"/>
            <w:rtl/>
          </w:rPr>
          <w:t>37א(א1)</w:t>
        </w:r>
      </w:hyperlink>
    </w:p>
    <w:p w14:paraId="042717EB" w14:textId="77777777" w:rsidR="00432307" w:rsidRPr="00432307" w:rsidRDefault="00432307" w:rsidP="00432307">
      <w:pPr>
        <w:rPr>
          <w:rFonts w:ascii="David" w:hAnsi="David"/>
          <w:rtl/>
        </w:rPr>
      </w:pPr>
      <w:bookmarkStart w:id="3" w:name="LawTable_End"/>
      <w:bookmarkEnd w:id="3"/>
    </w:p>
    <w:p w14:paraId="6ACD34FC" w14:textId="77777777" w:rsidR="00A115EA" w:rsidRPr="00885675" w:rsidRDefault="00A115EA" w:rsidP="00885675">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115EA" w:rsidRPr="00730759" w14:paraId="228C8317" w14:textId="77777777" w:rsidTr="00A115EA">
        <w:trPr>
          <w:trHeight w:val="355"/>
          <w:jc w:val="center"/>
        </w:trPr>
        <w:tc>
          <w:tcPr>
            <w:tcW w:w="8820" w:type="dxa"/>
            <w:tcBorders>
              <w:top w:val="nil"/>
              <w:left w:val="nil"/>
              <w:bottom w:val="nil"/>
              <w:right w:val="nil"/>
            </w:tcBorders>
            <w:shd w:val="clear" w:color="auto" w:fill="auto"/>
          </w:tcPr>
          <w:p w14:paraId="5D76A49A" w14:textId="77777777" w:rsidR="00300315" w:rsidRPr="00300315" w:rsidRDefault="00300315" w:rsidP="00300315">
            <w:pPr>
              <w:jc w:val="center"/>
              <w:rPr>
                <w:rFonts w:ascii="David" w:hAnsi="David"/>
                <w:b/>
                <w:bCs/>
                <w:sz w:val="32"/>
                <w:szCs w:val="32"/>
                <w:u w:val="single"/>
                <w:rtl/>
              </w:rPr>
            </w:pPr>
            <w:bookmarkStart w:id="4" w:name="PsakDin" w:colFirst="0" w:colLast="0"/>
            <w:r w:rsidRPr="00300315">
              <w:rPr>
                <w:rFonts w:ascii="David" w:hAnsi="David"/>
                <w:b/>
                <w:bCs/>
                <w:sz w:val="32"/>
                <w:szCs w:val="32"/>
                <w:u w:val="single"/>
                <w:rtl/>
              </w:rPr>
              <w:t>גזר דין</w:t>
            </w:r>
          </w:p>
          <w:p w14:paraId="2B9587EE" w14:textId="77777777" w:rsidR="00A115EA" w:rsidRPr="00300315" w:rsidRDefault="00A115EA" w:rsidP="00300315">
            <w:pPr>
              <w:jc w:val="center"/>
              <w:rPr>
                <w:rFonts w:ascii="David" w:hAnsi="David"/>
                <w:b/>
                <w:bCs/>
                <w:u w:val="single"/>
                <w:rtl/>
              </w:rPr>
            </w:pPr>
          </w:p>
        </w:tc>
      </w:tr>
      <w:bookmarkEnd w:id="4"/>
    </w:tbl>
    <w:p w14:paraId="038DC3BB" w14:textId="77777777" w:rsidR="00A115EA" w:rsidRPr="00B05847" w:rsidRDefault="00A115EA" w:rsidP="00A115EA">
      <w:pPr>
        <w:rPr>
          <w:rFonts w:ascii="Arial" w:hAnsi="Arial"/>
          <w:rtl/>
        </w:rPr>
      </w:pPr>
    </w:p>
    <w:p w14:paraId="709A7D26" w14:textId="77777777" w:rsidR="00A115EA" w:rsidRDefault="00A115EA" w:rsidP="00A115EA">
      <w:pPr>
        <w:ind w:firstLine="360"/>
        <w:rPr>
          <w:b/>
          <w:bCs/>
          <w:u w:val="single"/>
          <w:rtl/>
        </w:rPr>
      </w:pPr>
    </w:p>
    <w:p w14:paraId="71C01F0D" w14:textId="77777777" w:rsidR="00A115EA" w:rsidRDefault="00A115EA" w:rsidP="00A115EA">
      <w:pPr>
        <w:rPr>
          <w:b/>
          <w:bCs/>
          <w:u w:val="single"/>
          <w:rtl/>
        </w:rPr>
      </w:pPr>
      <w:r>
        <w:rPr>
          <w:b/>
          <w:bCs/>
          <w:u w:val="single"/>
          <w:rtl/>
        </w:rPr>
        <w:t>כתב האישום וההליכים</w:t>
      </w:r>
    </w:p>
    <w:p w14:paraId="7274267D" w14:textId="77777777" w:rsidR="00A115EA" w:rsidRDefault="00A115EA" w:rsidP="00A115EA">
      <w:pPr>
        <w:ind w:firstLine="360"/>
        <w:rPr>
          <w:b/>
          <w:bCs/>
          <w:u w:val="single"/>
          <w:rtl/>
        </w:rPr>
      </w:pPr>
    </w:p>
    <w:p w14:paraId="6CF5717C" w14:textId="77777777" w:rsidR="00A115EA" w:rsidRDefault="00A115EA" w:rsidP="00A115EA">
      <w:pPr>
        <w:rPr>
          <w:rFonts w:ascii="Arial" w:hAnsi="Arial"/>
          <w:rtl/>
        </w:rPr>
      </w:pPr>
    </w:p>
    <w:p w14:paraId="1F0F876D" w14:textId="77777777" w:rsidR="00A115EA" w:rsidRDefault="00A115EA" w:rsidP="00A115EA">
      <w:pPr>
        <w:pStyle w:val="a9"/>
        <w:numPr>
          <w:ilvl w:val="0"/>
          <w:numId w:val="1"/>
        </w:numPr>
        <w:spacing w:line="360" w:lineRule="auto"/>
        <w:jc w:val="both"/>
      </w:pPr>
      <w:bookmarkStart w:id="5" w:name="ABSTRACT_START"/>
      <w:bookmarkEnd w:id="5"/>
      <w:r>
        <w:rPr>
          <w:rtl/>
        </w:rPr>
        <w:t>הנאשם הורשע</w:t>
      </w:r>
      <w:r>
        <w:rPr>
          <w:rFonts w:hint="cs"/>
          <w:rtl/>
        </w:rPr>
        <w:t xml:space="preserve"> על פי הודאתו</w:t>
      </w:r>
      <w:r>
        <w:rPr>
          <w:rtl/>
        </w:rPr>
        <w:t xml:space="preserve"> במסגרת הסדר טיעון</w:t>
      </w:r>
      <w:r>
        <w:rPr>
          <w:rFonts w:hint="cs"/>
          <w:rtl/>
        </w:rPr>
        <w:t>,</w:t>
      </w:r>
      <w:r>
        <w:rPr>
          <w:rtl/>
        </w:rPr>
        <w:t xml:space="preserve"> בעבירות של התפרצות לדירה, לפי </w:t>
      </w:r>
      <w:hyperlink r:id="rId21" w:history="1">
        <w:r w:rsidR="00302076" w:rsidRPr="00302076">
          <w:rPr>
            <w:rStyle w:val="Hyperlink"/>
            <w:rtl/>
          </w:rPr>
          <w:t>סעיף 406(ב)</w:t>
        </w:r>
      </w:hyperlink>
      <w:r>
        <w:rPr>
          <w:rtl/>
        </w:rPr>
        <w:t xml:space="preserve"> ל</w:t>
      </w:r>
      <w:hyperlink r:id="rId22" w:history="1">
        <w:r w:rsidR="00300315" w:rsidRPr="00300315">
          <w:rPr>
            <w:color w:val="0000FF"/>
            <w:u w:val="single"/>
            <w:rtl/>
          </w:rPr>
          <w:t>חוק העונשין</w:t>
        </w:r>
      </w:hyperlink>
      <w:r>
        <w:rPr>
          <w:rtl/>
        </w:rPr>
        <w:t>, תשל"ז-1977 (להלן</w:t>
      </w:r>
      <w:r>
        <w:rPr>
          <w:rFonts w:cs="Miriam" w:hint="cs"/>
          <w:rtl/>
        </w:rPr>
        <w:t xml:space="preserve"> </w:t>
      </w:r>
      <w:r>
        <w:rPr>
          <w:rFonts w:cs="Miriam"/>
          <w:rtl/>
        </w:rPr>
        <w:t>–</w:t>
      </w:r>
      <w:r>
        <w:rPr>
          <w:rFonts w:cs="Miriam" w:hint="cs"/>
          <w:rtl/>
        </w:rPr>
        <w:t xml:space="preserve"> </w:t>
      </w:r>
      <w:r w:rsidRPr="002C063D">
        <w:rPr>
          <w:rFonts w:cs="Miriam"/>
          <w:rtl/>
        </w:rPr>
        <w:t>חוק העונשין</w:t>
      </w:r>
      <w:r>
        <w:rPr>
          <w:rtl/>
        </w:rPr>
        <w:t xml:space="preserve">); גניבה, לפי </w:t>
      </w:r>
      <w:hyperlink r:id="rId23" w:history="1">
        <w:r w:rsidR="00302076" w:rsidRPr="00302076">
          <w:rPr>
            <w:rStyle w:val="Hyperlink"/>
            <w:rtl/>
          </w:rPr>
          <w:t>סעיף 384</w:t>
        </w:r>
      </w:hyperlink>
      <w:r>
        <w:rPr>
          <w:rtl/>
        </w:rPr>
        <w:t xml:space="preserve"> לחוק העונשין</w:t>
      </w:r>
      <w:r>
        <w:rPr>
          <w:rFonts w:hint="cs"/>
          <w:rtl/>
        </w:rPr>
        <w:t xml:space="preserve">, גניבת רכב, לפי </w:t>
      </w:r>
      <w:hyperlink r:id="rId24" w:history="1">
        <w:r w:rsidR="00302076" w:rsidRPr="00302076">
          <w:rPr>
            <w:rStyle w:val="Hyperlink"/>
            <w:rFonts w:hint="eastAsia"/>
            <w:rtl/>
          </w:rPr>
          <w:t>סעיף</w:t>
        </w:r>
        <w:r w:rsidR="00302076" w:rsidRPr="00302076">
          <w:rPr>
            <w:rStyle w:val="Hyperlink"/>
            <w:rtl/>
          </w:rPr>
          <w:t xml:space="preserve"> 413ב</w:t>
        </w:r>
      </w:hyperlink>
      <w:r>
        <w:rPr>
          <w:rFonts w:hint="cs"/>
          <w:rtl/>
        </w:rPr>
        <w:t xml:space="preserve"> לחוק העונשין, קשירת קשר לביצוע פשע, לפי </w:t>
      </w:r>
      <w:hyperlink r:id="rId25" w:history="1">
        <w:r w:rsidR="00302076" w:rsidRPr="00302076">
          <w:rPr>
            <w:rStyle w:val="Hyperlink"/>
            <w:rFonts w:hint="eastAsia"/>
            <w:rtl/>
          </w:rPr>
          <w:t>סעיף</w:t>
        </w:r>
        <w:r w:rsidR="00302076" w:rsidRPr="00302076">
          <w:rPr>
            <w:rStyle w:val="Hyperlink"/>
            <w:rtl/>
          </w:rPr>
          <w:t xml:space="preserve"> 499(א)(1)</w:t>
        </w:r>
      </w:hyperlink>
      <w:r>
        <w:rPr>
          <w:rFonts w:hint="cs"/>
          <w:rtl/>
        </w:rPr>
        <w:t xml:space="preserve"> לחוק העונשין והחזקת סמים לצריכה עצמית, לפי </w:t>
      </w:r>
      <w:hyperlink r:id="rId26" w:history="1">
        <w:r w:rsidR="00302076" w:rsidRPr="00302076">
          <w:rPr>
            <w:rStyle w:val="Hyperlink"/>
            <w:rFonts w:hint="eastAsia"/>
            <w:rtl/>
          </w:rPr>
          <w:t>סעיף</w:t>
        </w:r>
        <w:r w:rsidR="00302076" w:rsidRPr="00302076">
          <w:rPr>
            <w:rStyle w:val="Hyperlink"/>
            <w:rtl/>
          </w:rPr>
          <w:t xml:space="preserve"> 7(א)+7(ג)</w:t>
        </w:r>
      </w:hyperlink>
      <w:r>
        <w:rPr>
          <w:rFonts w:hint="cs"/>
          <w:rtl/>
        </w:rPr>
        <w:t xml:space="preserve"> סיפא ל</w:t>
      </w:r>
      <w:hyperlink r:id="rId27" w:history="1">
        <w:r w:rsidR="00300315" w:rsidRPr="00300315">
          <w:rPr>
            <w:color w:val="0000FF"/>
            <w:u w:val="single"/>
            <w:rtl/>
          </w:rPr>
          <w:t>פקודת הסמים המסוכנים</w:t>
        </w:r>
      </w:hyperlink>
      <w:r>
        <w:rPr>
          <w:rFonts w:hint="cs"/>
          <w:rtl/>
        </w:rPr>
        <w:t xml:space="preserve"> (נוסח חדש), תשל"ג-1973 (להלן </w:t>
      </w:r>
      <w:r>
        <w:rPr>
          <w:rtl/>
        </w:rPr>
        <w:t>–</w:t>
      </w:r>
      <w:r>
        <w:rPr>
          <w:rFonts w:hint="cs"/>
          <w:rtl/>
        </w:rPr>
        <w:t xml:space="preserve"> </w:t>
      </w:r>
      <w:r w:rsidRPr="002C063D">
        <w:rPr>
          <w:rFonts w:cs="Miriam" w:hint="cs"/>
          <w:rtl/>
        </w:rPr>
        <w:t>פקודת הסמים</w:t>
      </w:r>
      <w:r>
        <w:rPr>
          <w:rFonts w:hint="cs"/>
          <w:rtl/>
        </w:rPr>
        <w:t xml:space="preserve">). </w:t>
      </w:r>
    </w:p>
    <w:p w14:paraId="31CB314C" w14:textId="77777777" w:rsidR="00A115EA" w:rsidRPr="00357081" w:rsidRDefault="00A115EA" w:rsidP="00A115EA">
      <w:pPr>
        <w:pStyle w:val="a9"/>
        <w:spacing w:line="360" w:lineRule="auto"/>
        <w:ind w:left="0"/>
        <w:jc w:val="both"/>
      </w:pPr>
      <w:bookmarkStart w:id="6" w:name="ABSTRACT_END"/>
      <w:bookmarkEnd w:id="6"/>
    </w:p>
    <w:p w14:paraId="5B2EFC23" w14:textId="77777777" w:rsidR="00A115EA" w:rsidRDefault="00A115EA" w:rsidP="00A115EA">
      <w:pPr>
        <w:pStyle w:val="a9"/>
        <w:numPr>
          <w:ilvl w:val="0"/>
          <w:numId w:val="1"/>
        </w:numPr>
        <w:spacing w:line="360" w:lineRule="auto"/>
        <w:jc w:val="both"/>
      </w:pPr>
      <w:r>
        <w:rPr>
          <w:rFonts w:hint="cs"/>
          <w:rtl/>
        </w:rPr>
        <w:t xml:space="preserve">בהתאם לעובדות כתב האישום המתוקן, קשר הנאשם קשר לביצוע פשע עם קטין במטרה לפרוץ לבית המתלוננים. במסגרת קשירת הקשר, יצרו השניים קשר טלפוני וביום 6.2.20 בין השעות 01:00-07:00, התפרצו לבית המתלוננים דרך חלון הסלון שבמרפסת וגנבו תיק שחור ממותג ובו </w:t>
      </w:r>
      <w:r>
        <w:rPr>
          <w:rFonts w:hint="cs"/>
          <w:rtl/>
        </w:rPr>
        <w:lastRenderedPageBreak/>
        <w:t xml:space="preserve">ארנק שהכיל 300 ₪ במזומן, תלושי קנייה, 6 כרטיסי אשראי, משקפי שמש ומפתחות של רכב. בהמשך, גנבו השניים את הרכב. </w:t>
      </w:r>
    </w:p>
    <w:p w14:paraId="348BA827" w14:textId="77777777" w:rsidR="00A115EA" w:rsidRDefault="00A115EA" w:rsidP="00A115EA">
      <w:pPr>
        <w:pStyle w:val="a9"/>
        <w:rPr>
          <w:rtl/>
        </w:rPr>
      </w:pPr>
    </w:p>
    <w:p w14:paraId="6CBEA70C" w14:textId="77777777" w:rsidR="00A115EA" w:rsidRDefault="00A115EA" w:rsidP="00A115EA">
      <w:pPr>
        <w:pStyle w:val="a9"/>
        <w:spacing w:line="360" w:lineRule="auto"/>
        <w:ind w:left="0" w:firstLine="360"/>
        <w:jc w:val="both"/>
      </w:pPr>
      <w:r>
        <w:rPr>
          <w:rFonts w:hint="cs"/>
          <w:rtl/>
        </w:rPr>
        <w:t>ביום 19.9.20 במהלך חיפוש בביתו של הנאשם נמצא כי הוא מחזיק בסם מסוכן מסוג קנבוס במשקלים של 2.64 גרם נטו ו- 10.65 גרום נטו, וזאת שלא כדין וללא היתר.</w:t>
      </w:r>
    </w:p>
    <w:p w14:paraId="691B711E" w14:textId="77777777" w:rsidR="00A115EA" w:rsidRDefault="00A115EA" w:rsidP="00A115EA">
      <w:pPr>
        <w:pStyle w:val="a9"/>
        <w:spacing w:line="360" w:lineRule="auto"/>
        <w:ind w:left="0"/>
        <w:jc w:val="both"/>
        <w:rPr>
          <w:rtl/>
        </w:rPr>
      </w:pPr>
    </w:p>
    <w:p w14:paraId="5CCF6C2E" w14:textId="77777777" w:rsidR="00A115EA" w:rsidRDefault="00A115EA" w:rsidP="00A115EA">
      <w:pPr>
        <w:spacing w:line="360" w:lineRule="auto"/>
        <w:contextualSpacing/>
        <w:jc w:val="both"/>
        <w:rPr>
          <w:b/>
          <w:bCs/>
          <w:u w:val="single"/>
          <w:rtl/>
        </w:rPr>
      </w:pPr>
      <w:r>
        <w:rPr>
          <w:b/>
          <w:bCs/>
          <w:u w:val="single"/>
          <w:rtl/>
        </w:rPr>
        <w:t>תסקיר שירות המבחן</w:t>
      </w:r>
    </w:p>
    <w:p w14:paraId="1C760A36" w14:textId="77777777" w:rsidR="00A115EA" w:rsidRDefault="00A115EA" w:rsidP="00A115EA">
      <w:pPr>
        <w:pStyle w:val="a9"/>
        <w:spacing w:line="360" w:lineRule="auto"/>
        <w:ind w:left="0"/>
        <w:jc w:val="both"/>
      </w:pPr>
    </w:p>
    <w:p w14:paraId="777289DD" w14:textId="77777777" w:rsidR="00A115EA" w:rsidRDefault="00A115EA" w:rsidP="00A115EA">
      <w:pPr>
        <w:pStyle w:val="a9"/>
        <w:numPr>
          <w:ilvl w:val="0"/>
          <w:numId w:val="1"/>
        </w:numPr>
        <w:spacing w:line="360" w:lineRule="auto"/>
        <w:jc w:val="both"/>
      </w:pPr>
      <w:r>
        <w:rPr>
          <w:rtl/>
        </w:rPr>
        <w:t xml:space="preserve">שירות המבחן הגיש תסקיר על אודות הנאשם. </w:t>
      </w:r>
      <w:r>
        <w:rPr>
          <w:rFonts w:hint="cs"/>
          <w:rtl/>
        </w:rPr>
        <w:t xml:space="preserve">מטעמים של צנעת הפרט, </w:t>
      </w:r>
      <w:r>
        <w:rPr>
          <w:rtl/>
        </w:rPr>
        <w:t>לא אפרט את נסיבות חייו, אך אציין כי מדובר בנסיבות חיים מורכבות</w:t>
      </w:r>
      <w:r>
        <w:rPr>
          <w:rFonts w:hint="cs"/>
          <w:rtl/>
        </w:rPr>
        <w:t xml:space="preserve"> וכי הנאשם אינו מצוי בקשר עם בני משפחתו</w:t>
      </w:r>
      <w:r>
        <w:rPr>
          <w:rtl/>
        </w:rPr>
        <w:t>.</w:t>
      </w:r>
      <w:r>
        <w:rPr>
          <w:rFonts w:hint="cs"/>
          <w:rtl/>
        </w:rPr>
        <w:t xml:space="preserve"> הנאשם כבן 20, רווק ועתיד להתחתן עם זוגתו. הנאשם תיאר בפני שירות המבחן כי הוא צורך סמים מגיל צעיר. </w:t>
      </w:r>
      <w:r>
        <w:rPr>
          <w:rtl/>
        </w:rPr>
        <w:t>בעברו עבירות סמים, רכוש ואלימות</w:t>
      </w:r>
      <w:r>
        <w:rPr>
          <w:rFonts w:hint="cs"/>
          <w:rtl/>
        </w:rPr>
        <w:t xml:space="preserve"> והוא אף ריצה שני מאסרים מאחורי סורג ובריח. בהתייחסותו לעבירות הודה הנאשם בביצוען והביע צער על התנהלותו. עם זאת, שירות המבחן התרשם כי הנאשם נוטה לצמצם את אחריותו למעשים וכי הוא מבטא רצון לשינוי דרכיו באופן הצהרתי בלבד ומתנגד לטיפול במסגרת קהילה סגורה. שירות המבחן התרשם כי לנאשם קשיים בולטים בשמירה על גבולות וקבלת סמכות, וכי קיימת אצלו נטייה להתנהגות אימפולסיבית שמובילה להסתבכות בפלילים. משכך סבר שירות המבחן שקיים סיכון גבוה להתנהגות עוברת חוק בעתיד. לאור מכלול הנסיבות, נמנע שירות המבחן מהמלצה טיפולית בעניינו של הנאשם, תוך שציין כי נוכח היעדר מעגלי תמיכה מספקים כמו גם היעדר מוטיבציה לשיקום, קיים סיכוי נמוך לקדם אופק שיקומי מחוץ לכותלי הכלא. </w:t>
      </w:r>
    </w:p>
    <w:p w14:paraId="001FD1BC" w14:textId="77777777" w:rsidR="00A115EA" w:rsidRPr="006037D1" w:rsidRDefault="00A115EA" w:rsidP="00A115EA">
      <w:pPr>
        <w:pStyle w:val="a9"/>
        <w:spacing w:line="360" w:lineRule="auto"/>
        <w:ind w:left="0"/>
        <w:jc w:val="both"/>
        <w:rPr>
          <w:rtl/>
        </w:rPr>
      </w:pPr>
    </w:p>
    <w:p w14:paraId="5FBDC2E1" w14:textId="77777777" w:rsidR="00A115EA" w:rsidRDefault="00A115EA" w:rsidP="00A115EA">
      <w:pPr>
        <w:spacing w:line="360" w:lineRule="auto"/>
        <w:contextualSpacing/>
        <w:jc w:val="both"/>
        <w:rPr>
          <w:b/>
          <w:bCs/>
          <w:u w:val="single"/>
          <w:rtl/>
        </w:rPr>
      </w:pPr>
      <w:r>
        <w:rPr>
          <w:b/>
          <w:bCs/>
          <w:u w:val="single"/>
          <w:rtl/>
        </w:rPr>
        <w:t>טיעוני הצדדים לעונש והראיות</w:t>
      </w:r>
    </w:p>
    <w:p w14:paraId="0DEA2AAD" w14:textId="77777777" w:rsidR="00A115EA" w:rsidRPr="00821AEB" w:rsidRDefault="00A115EA" w:rsidP="00A115EA">
      <w:pPr>
        <w:spacing w:line="360" w:lineRule="auto"/>
        <w:jc w:val="both"/>
        <w:rPr>
          <w:b/>
          <w:bCs/>
          <w:u w:val="single"/>
        </w:rPr>
      </w:pPr>
    </w:p>
    <w:p w14:paraId="6B73F727" w14:textId="77777777" w:rsidR="00A115EA" w:rsidRDefault="00A115EA" w:rsidP="00A115EA">
      <w:pPr>
        <w:pStyle w:val="a9"/>
        <w:numPr>
          <w:ilvl w:val="0"/>
          <w:numId w:val="1"/>
        </w:numPr>
        <w:spacing w:line="360" w:lineRule="auto"/>
        <w:jc w:val="both"/>
      </w:pPr>
      <w:r>
        <w:rPr>
          <w:rtl/>
        </w:rPr>
        <w:t xml:space="preserve">ב"כ המאשימה </w:t>
      </w:r>
      <w:r>
        <w:rPr>
          <w:rFonts w:hint="cs"/>
          <w:rtl/>
        </w:rPr>
        <w:t>ציין</w:t>
      </w:r>
      <w:r>
        <w:rPr>
          <w:rtl/>
        </w:rPr>
        <w:t xml:space="preserve"> את חומרת העבירות ואת נסיבות ביצוען. נטען כי מדובר בפריצה מתוכננת היטב, בשעת לילה מאוחרת, </w:t>
      </w:r>
      <w:r>
        <w:rPr>
          <w:rFonts w:hint="cs"/>
          <w:rtl/>
        </w:rPr>
        <w:t>בה קיים סיכון ממשי לשלום שוכני הבית שלרוב נמצאים בביתם בשעות הלילה.</w:t>
      </w:r>
      <w:r>
        <w:rPr>
          <w:rtl/>
        </w:rPr>
        <w:t xml:space="preserve"> ביחס לערכים המוגנים שנפגעו נטען כי מדובר בפגיעה בזכות הקניין והזכות לשלוות נפש וביטחון.</w:t>
      </w:r>
      <w:r w:rsidRPr="00E10590">
        <w:rPr>
          <w:rtl/>
        </w:rPr>
        <w:t xml:space="preserve"> </w:t>
      </w:r>
      <w:r>
        <w:rPr>
          <w:rFonts w:hint="cs"/>
          <w:rtl/>
        </w:rPr>
        <w:t xml:space="preserve">נטען כי יש לראות במעשי הנאשם כאירוע אחד ולקבוע מתחם הכולל את כל העבירות בהן הורשע. </w:t>
      </w:r>
      <w:r>
        <w:rPr>
          <w:rtl/>
        </w:rPr>
        <w:t>לאור כך עתרה המאשימה למתחם עונש הנע בין</w:t>
      </w:r>
      <w:r>
        <w:rPr>
          <w:rFonts w:hint="cs"/>
          <w:rtl/>
        </w:rPr>
        <w:t xml:space="preserve"> 20 חודשי מאסר בפועל ועד 40 חודשי מאסר בפועל. </w:t>
      </w:r>
      <w:r>
        <w:rPr>
          <w:rtl/>
        </w:rPr>
        <w:t>ביחס לעונש שיש להטיל על הנאשם צוין כי לחובתו עבר פלילי מכביד</w:t>
      </w:r>
      <w:r>
        <w:rPr>
          <w:rFonts w:hint="cs"/>
          <w:rtl/>
        </w:rPr>
        <w:t xml:space="preserve"> וכי אף ריצה שני מאסרים מאחורי סורג ובריח. </w:t>
      </w:r>
      <w:r>
        <w:rPr>
          <w:rtl/>
        </w:rPr>
        <w:t>המאשימה עתרה להשית על הנאשם</w:t>
      </w:r>
      <w:r>
        <w:rPr>
          <w:rFonts w:hint="cs"/>
          <w:rtl/>
        </w:rPr>
        <w:t xml:space="preserve"> עונש שלא יפחת מ-24 חודשי מאסר בפועל, מאסר על תנאי, פסילה, קנס ופיצוי. </w:t>
      </w:r>
    </w:p>
    <w:p w14:paraId="5ADD77DF" w14:textId="77777777" w:rsidR="00A115EA" w:rsidRDefault="00A115EA" w:rsidP="00A115EA">
      <w:pPr>
        <w:pStyle w:val="a9"/>
        <w:spacing w:line="360" w:lineRule="auto"/>
        <w:ind w:left="0"/>
        <w:jc w:val="both"/>
      </w:pPr>
    </w:p>
    <w:p w14:paraId="7D4C84A5" w14:textId="77777777" w:rsidR="00A115EA" w:rsidRDefault="00A115EA" w:rsidP="00A115EA">
      <w:pPr>
        <w:pStyle w:val="a9"/>
        <w:numPr>
          <w:ilvl w:val="0"/>
          <w:numId w:val="1"/>
        </w:numPr>
        <w:spacing w:line="360" w:lineRule="auto"/>
        <w:jc w:val="both"/>
      </w:pPr>
      <w:r>
        <w:rPr>
          <w:rtl/>
        </w:rPr>
        <w:t xml:space="preserve">ב"כ הנאשם טען כי הנאשם קיבל אחריות מלאה למעשיו, הודה ובכך גם חסך זמן שיפוטי. ביחס לביצוע העבירות נטען כי לא מדובר ברף גבוה של חומרה; </w:t>
      </w:r>
      <w:r>
        <w:rPr>
          <w:rFonts w:hint="cs"/>
          <w:rtl/>
        </w:rPr>
        <w:t xml:space="preserve">כי </w:t>
      </w:r>
      <w:r>
        <w:rPr>
          <w:rtl/>
        </w:rPr>
        <w:t xml:space="preserve">העבירות לא בוצעו בתחכום רב; </w:t>
      </w:r>
      <w:r>
        <w:rPr>
          <w:rFonts w:hint="cs"/>
          <w:rtl/>
        </w:rPr>
        <w:t xml:space="preserve">כי קשירת הקשר התבטאה בשיחת טלפון יחידה בין הנאשם לקטין; כי לא נעשה שימוש בכלי </w:t>
      </w:r>
      <w:r>
        <w:rPr>
          <w:rFonts w:hint="cs"/>
          <w:rtl/>
        </w:rPr>
        <w:lastRenderedPageBreak/>
        <w:t xml:space="preserve">פריצה; </w:t>
      </w:r>
      <w:r>
        <w:rPr>
          <w:rtl/>
        </w:rPr>
        <w:t>ו</w:t>
      </w:r>
      <w:r>
        <w:rPr>
          <w:rFonts w:hint="cs"/>
          <w:rtl/>
        </w:rPr>
        <w:t xml:space="preserve">כי </w:t>
      </w:r>
      <w:r>
        <w:rPr>
          <w:rtl/>
        </w:rPr>
        <w:t>הרכוש שנגנב</w:t>
      </w:r>
      <w:r>
        <w:rPr>
          <w:rFonts w:hint="cs"/>
          <w:rtl/>
        </w:rPr>
        <w:t xml:space="preserve"> מסתכם במאות שקלים בודדים. ביחס לרכב, נטען כי הוחזר ולא נגרם לו כל נזק. </w:t>
      </w:r>
      <w:r>
        <w:rPr>
          <w:rtl/>
        </w:rPr>
        <w:t xml:space="preserve">לאור כך נטען למתחם </w:t>
      </w:r>
      <w:r>
        <w:rPr>
          <w:rFonts w:hint="cs"/>
          <w:rtl/>
        </w:rPr>
        <w:t>המתחיל ב-6 חודשי מאסר שניתן לשאת בדרך של עבודות שירות. ביחס לעונש בתוך המתחם, נטען שמדובר בנאשם בעל נסיבות חיים קשות שאינו נמצא בקשר עם בני משפחתו והוא</w:t>
      </w:r>
      <w:r>
        <w:rPr>
          <w:rtl/>
        </w:rPr>
        <w:t xml:space="preserve"> מצוי במעצר ארוך בשל כך</w:t>
      </w:r>
      <w:r>
        <w:rPr>
          <w:rFonts w:hint="cs"/>
          <w:rtl/>
        </w:rPr>
        <w:t xml:space="preserve"> שלא נמצאה עבורו חלופת מעצר. כן נטען שמדובר באדם צעיר, שזהותו אינה מגובשת והוא נעדר כל תמיכה משפחתית. לאור כך, עתרה ההגנה לעונש </w:t>
      </w:r>
      <w:r>
        <w:rPr>
          <w:rtl/>
        </w:rPr>
        <w:t>ברף התחתון של מתחם הענישה</w:t>
      </w:r>
      <w:r>
        <w:rPr>
          <w:rFonts w:hint="cs"/>
          <w:rtl/>
        </w:rPr>
        <w:t xml:space="preserve">. כן ביקשה להימנע מפסילת רישיונו של הנאשם. </w:t>
      </w:r>
    </w:p>
    <w:p w14:paraId="7B899796" w14:textId="77777777" w:rsidR="00A115EA" w:rsidRPr="00F17CC1" w:rsidRDefault="00A115EA" w:rsidP="00A115EA">
      <w:pPr>
        <w:pStyle w:val="a9"/>
        <w:spacing w:line="360" w:lineRule="auto"/>
        <w:ind w:left="0"/>
        <w:jc w:val="both"/>
      </w:pPr>
    </w:p>
    <w:p w14:paraId="68895A30" w14:textId="77777777" w:rsidR="00A115EA" w:rsidRDefault="00A115EA" w:rsidP="00A115EA">
      <w:pPr>
        <w:pStyle w:val="a9"/>
        <w:numPr>
          <w:ilvl w:val="0"/>
          <w:numId w:val="1"/>
        </w:numPr>
        <w:spacing w:line="360" w:lineRule="auto"/>
        <w:jc w:val="both"/>
      </w:pPr>
      <w:r>
        <w:rPr>
          <w:rtl/>
        </w:rPr>
        <w:t>הנאשם בדברו האחרון הביע חרטה על מעשיו,</w:t>
      </w:r>
      <w:r>
        <w:rPr>
          <w:rFonts w:hint="cs"/>
          <w:rtl/>
        </w:rPr>
        <w:t xml:space="preserve"> וציין את הקשיים עימם הוא מתמודד.</w:t>
      </w:r>
    </w:p>
    <w:p w14:paraId="7855D7A6" w14:textId="77777777" w:rsidR="00A115EA" w:rsidRDefault="00A115EA" w:rsidP="00A115EA">
      <w:pPr>
        <w:pStyle w:val="a9"/>
        <w:spacing w:line="360" w:lineRule="auto"/>
        <w:ind w:left="0"/>
        <w:jc w:val="both"/>
        <w:rPr>
          <w:rtl/>
        </w:rPr>
      </w:pPr>
    </w:p>
    <w:p w14:paraId="103EF0F2" w14:textId="77777777" w:rsidR="00A115EA" w:rsidRDefault="00A115EA" w:rsidP="00A115EA">
      <w:pPr>
        <w:spacing w:line="360" w:lineRule="auto"/>
        <w:contextualSpacing/>
        <w:jc w:val="both"/>
        <w:rPr>
          <w:b/>
          <w:bCs/>
          <w:u w:val="single"/>
          <w:rtl/>
        </w:rPr>
      </w:pPr>
      <w:r>
        <w:rPr>
          <w:b/>
          <w:bCs/>
          <w:u w:val="single"/>
          <w:rtl/>
        </w:rPr>
        <w:t>דיון והכרעה</w:t>
      </w:r>
    </w:p>
    <w:p w14:paraId="59AE2E48" w14:textId="77777777" w:rsidR="00A115EA" w:rsidRPr="00B338FA" w:rsidRDefault="00A115EA" w:rsidP="00A115EA">
      <w:pPr>
        <w:spacing w:line="360" w:lineRule="auto"/>
        <w:contextualSpacing/>
        <w:jc w:val="both"/>
        <w:rPr>
          <w:b/>
          <w:bCs/>
          <w:u w:val="single"/>
          <w:rtl/>
        </w:rPr>
      </w:pPr>
      <w:r>
        <w:rPr>
          <w:b/>
          <w:bCs/>
          <w:u w:val="single"/>
          <w:rtl/>
        </w:rPr>
        <w:t>מתחם העונש ההולם</w:t>
      </w:r>
    </w:p>
    <w:p w14:paraId="0A326D1B" w14:textId="77777777" w:rsidR="00A115EA" w:rsidRPr="00B338FA" w:rsidRDefault="00A115EA" w:rsidP="00A115EA">
      <w:pPr>
        <w:spacing w:line="360" w:lineRule="auto"/>
        <w:ind w:firstLine="360"/>
        <w:contextualSpacing/>
        <w:jc w:val="both"/>
        <w:rPr>
          <w:b/>
          <w:bCs/>
          <w:u w:val="single"/>
        </w:rPr>
      </w:pPr>
    </w:p>
    <w:p w14:paraId="4B905C55" w14:textId="77777777" w:rsidR="00A115EA" w:rsidRDefault="00A115EA" w:rsidP="00A115EA">
      <w:pPr>
        <w:pStyle w:val="a9"/>
        <w:numPr>
          <w:ilvl w:val="0"/>
          <w:numId w:val="1"/>
        </w:numPr>
        <w:spacing w:line="360" w:lineRule="auto"/>
        <w:jc w:val="both"/>
      </w:pPr>
      <w:r w:rsidRPr="00CF60BB">
        <w:rPr>
          <w:rtl/>
        </w:rPr>
        <w:t>בהתאם לתיקון 113 ל</w:t>
      </w:r>
      <w:hyperlink r:id="rId28" w:history="1">
        <w:r w:rsidR="00300315" w:rsidRPr="00300315">
          <w:rPr>
            <w:color w:val="0000FF"/>
            <w:u w:val="single"/>
            <w:rtl/>
          </w:rPr>
          <w:t>חוק העונשין</w:t>
        </w:r>
      </w:hyperlink>
      <w:r w:rsidRPr="00CF60BB">
        <w:rPr>
          <w:rtl/>
        </w:rPr>
        <w:t xml:space="preserve"> על בית המשפט לקבוע את מתחם הענישה ההולם את העבירה בנסיבותיה. לאחר קביעת המתחם יש להחליט אם ראוי לסטות ממנו, לקולה או לחומרה, שאחרת ייגזר העונש בגדרי המתחם שנקבע. בעת קביעת מתחם העונש ההולם מתחשב בית המשפט בעקרון המנחה בענישה – הלימה, בערך החברתי שנפגע, במידת הפגיעה בו, במדיניות הענישה הנוהגת ובנסיבות הקשורות בביצוע העבירה, </w:t>
      </w:r>
      <w:r>
        <w:rPr>
          <w:rtl/>
        </w:rPr>
        <w:t>כאמור</w:t>
      </w:r>
      <w:r w:rsidRPr="00CF60BB">
        <w:rPr>
          <w:rtl/>
        </w:rPr>
        <w:t xml:space="preserve"> </w:t>
      </w:r>
      <w:hyperlink r:id="rId29" w:history="1">
        <w:r w:rsidR="00302076" w:rsidRPr="00302076">
          <w:rPr>
            <w:rStyle w:val="Hyperlink"/>
            <w:rtl/>
          </w:rPr>
          <w:t>בסעיף 40ט'</w:t>
        </w:r>
      </w:hyperlink>
      <w:r w:rsidRPr="00CF60BB">
        <w:rPr>
          <w:rtl/>
        </w:rPr>
        <w:t xml:space="preserve"> ל</w:t>
      </w:r>
      <w:hyperlink r:id="rId30" w:history="1">
        <w:r w:rsidR="00300315" w:rsidRPr="00300315">
          <w:rPr>
            <w:color w:val="0000FF"/>
            <w:u w:val="single"/>
            <w:rtl/>
          </w:rPr>
          <w:t>חוק העונשין</w:t>
        </w:r>
      </w:hyperlink>
      <w:r w:rsidRPr="00CF60BB">
        <w:rPr>
          <w:rtl/>
        </w:rPr>
        <w:t>.</w:t>
      </w:r>
      <w:r>
        <w:rPr>
          <w:rFonts w:hint="cs"/>
          <w:rtl/>
        </w:rPr>
        <w:t xml:space="preserve"> שני הצדדים עתרו למתחם אחד ועמדה זו מקבלת עלי בהתאם למבחן הקשר ההדוק (</w:t>
      </w:r>
      <w:hyperlink r:id="rId31" w:history="1">
        <w:r w:rsidR="00300315" w:rsidRPr="00300315">
          <w:rPr>
            <w:rFonts w:ascii="David" w:hAnsi="David"/>
            <w:color w:val="0000FF"/>
            <w:u w:val="single"/>
            <w:rtl/>
          </w:rPr>
          <w:t>ע"פ 4910/13</w:t>
        </w:r>
      </w:hyperlink>
      <w:r>
        <w:rPr>
          <w:rFonts w:ascii="David" w:hAnsi="David"/>
          <w:rtl/>
        </w:rPr>
        <w:t xml:space="preserve"> </w:t>
      </w:r>
      <w:r>
        <w:rPr>
          <w:rFonts w:ascii="David" w:hAnsi="David"/>
          <w:b/>
          <w:bCs/>
          <w:rtl/>
        </w:rPr>
        <w:t>ג'אבר נ' מדינת ישראל</w:t>
      </w:r>
      <w:r>
        <w:rPr>
          <w:rFonts w:ascii="David" w:hAnsi="David"/>
          <w:rtl/>
        </w:rPr>
        <w:t xml:space="preserve"> (29.10.2014))</w:t>
      </w:r>
      <w:r>
        <w:rPr>
          <w:rFonts w:hint="cs"/>
          <w:rtl/>
        </w:rPr>
        <w:t>.</w:t>
      </w:r>
    </w:p>
    <w:p w14:paraId="7C32F334" w14:textId="77777777" w:rsidR="00A115EA" w:rsidRPr="00F17CC1" w:rsidRDefault="00A115EA" w:rsidP="00A115EA">
      <w:pPr>
        <w:pStyle w:val="a9"/>
        <w:spacing w:line="360" w:lineRule="auto"/>
        <w:ind w:left="0"/>
        <w:jc w:val="both"/>
      </w:pPr>
    </w:p>
    <w:p w14:paraId="49A91949" w14:textId="77777777" w:rsidR="00A115EA" w:rsidRPr="00967A6A" w:rsidRDefault="00A115EA" w:rsidP="00A115EA">
      <w:pPr>
        <w:pStyle w:val="a9"/>
        <w:numPr>
          <w:ilvl w:val="0"/>
          <w:numId w:val="1"/>
        </w:numPr>
        <w:spacing w:line="360" w:lineRule="auto"/>
        <w:jc w:val="both"/>
        <w:rPr>
          <w:rtl/>
        </w:rPr>
      </w:pPr>
      <w:r w:rsidRPr="00967A6A">
        <w:rPr>
          <w:rFonts w:ascii="David" w:hAnsi="David"/>
          <w:b/>
          <w:bCs/>
          <w:rtl/>
        </w:rPr>
        <w:t xml:space="preserve">הערכים המוגנים בבסיס העבירות של התפרצות לבית מגורים וגניבה - </w:t>
      </w:r>
      <w:r w:rsidRPr="00967A6A">
        <w:rPr>
          <w:rFonts w:ascii="David" w:hAnsi="David"/>
          <w:rtl/>
        </w:rPr>
        <w:t>פריצה לדירת מגורים וגניבה ממנה פוגעת בקניינם של הבעלים וכן גורמת לפגיעה קשה בשלוות נפשם ובזכותם לחוש בטוחים בביתם. לעניין זה יפים דבריו של בית המשפט העליון  ב</w:t>
      </w:r>
      <w:hyperlink r:id="rId32" w:history="1">
        <w:r w:rsidR="00300315" w:rsidRPr="00300315">
          <w:rPr>
            <w:rFonts w:ascii="David" w:hAnsi="David"/>
            <w:color w:val="0000FF"/>
            <w:u w:val="single"/>
            <w:rtl/>
          </w:rPr>
          <w:t>ע"פ 7453/08</w:t>
        </w:r>
      </w:hyperlink>
      <w:r w:rsidRPr="00967A6A">
        <w:rPr>
          <w:rFonts w:ascii="David" w:hAnsi="David"/>
          <w:b/>
          <w:bCs/>
          <w:rtl/>
        </w:rPr>
        <w:t xml:space="preserve"> מדינת ישראל נ' אואזנה</w:t>
      </w:r>
      <w:r w:rsidRPr="00967A6A">
        <w:rPr>
          <w:rFonts w:ascii="David" w:hAnsi="David"/>
          <w:rtl/>
        </w:rPr>
        <w:t xml:space="preserve"> (31.12.</w:t>
      </w:r>
      <w:r>
        <w:rPr>
          <w:rFonts w:ascii="David" w:hAnsi="David" w:hint="cs"/>
          <w:rtl/>
        </w:rPr>
        <w:t>20</w:t>
      </w:r>
      <w:r w:rsidRPr="00967A6A">
        <w:rPr>
          <w:rFonts w:ascii="David" w:hAnsi="David"/>
          <w:rtl/>
        </w:rPr>
        <w:t xml:space="preserve">08): </w:t>
      </w:r>
    </w:p>
    <w:p w14:paraId="773BE80C" w14:textId="77777777" w:rsidR="00A115EA" w:rsidRDefault="00A115EA" w:rsidP="00A115EA">
      <w:pPr>
        <w:pStyle w:val="a9"/>
        <w:ind w:left="1134" w:right="1134"/>
        <w:jc w:val="both"/>
        <w:rPr>
          <w:rFonts w:ascii="David" w:hAnsi="David" w:cs="Miriam"/>
          <w:rtl/>
        </w:rPr>
      </w:pPr>
      <w:r w:rsidRPr="00581A39">
        <w:rPr>
          <w:rFonts w:ascii="David" w:hAnsi="David" w:cs="Miriam"/>
          <w:rtl/>
        </w:rPr>
        <w:t xml:space="preserve">"לגישתי, כינוי עבירות של פריצה וגניבה מבתים, רק כ"עבירות נגד הרכוש" (כפי שמקובל לקרוא לעבירות מסוג זה), הינה הגדרה מוטעית. זאת מאחר שפריצה לביתו של אדם, טומנת בחובה לעיתים קרובות לא רק נזק כלכלי רב, אלא גם צער ועוגמת הנפש הנגרמים לקרבנות של עבירות אלה. הנה כי כן, אין מדובר בעבירות נגד רכוש גרידא, אלא בעבירות המפרות את פרטיותו של האדם בצורה הגבוהה ביותר. זאת ועוד הגדרת עבירות אלו כ"עבירות רכוש", נותנת תחושה מצמצמת וקונוטציה שגויה – לסובבים, באשר למהות העבירות שהתבצעו, הפוגעות במהות המתמצית באמירה: "ביתו של אדם – מבצרו". ברגע שביתו של אדם נפרץ, תחושת חוסר אונים וחוסר ביטחון ממלאת את ליבו. הנה כי כן, הפריצה אינה רק לבית – מבחינה פיזית, אלא בעיקרה חדירה לתוך התא האישי-משפחתי השמור ביותר של האדם". </w:t>
      </w:r>
    </w:p>
    <w:p w14:paraId="50420F17" w14:textId="77777777" w:rsidR="00A115EA" w:rsidRPr="00967A6A" w:rsidRDefault="00A115EA" w:rsidP="00A115EA">
      <w:pPr>
        <w:pStyle w:val="a9"/>
        <w:spacing w:line="360" w:lineRule="auto"/>
        <w:ind w:left="0"/>
        <w:jc w:val="both"/>
      </w:pPr>
    </w:p>
    <w:p w14:paraId="1149D394" w14:textId="77777777" w:rsidR="00A115EA" w:rsidRPr="0076310C" w:rsidRDefault="00A115EA" w:rsidP="00A115EA">
      <w:pPr>
        <w:pStyle w:val="a9"/>
        <w:numPr>
          <w:ilvl w:val="0"/>
          <w:numId w:val="1"/>
        </w:numPr>
        <w:spacing w:line="360" w:lineRule="auto"/>
        <w:jc w:val="both"/>
      </w:pPr>
      <w:r>
        <w:rPr>
          <w:rFonts w:hint="cs"/>
          <w:rtl/>
        </w:rPr>
        <w:t xml:space="preserve">בעניין גניבת הרכב </w:t>
      </w:r>
      <w:r>
        <w:rPr>
          <w:rtl/>
        </w:rPr>
        <w:t>יש מקום להזכיר גם ערך נוסף שעלול להיפגע והוא שלום הציבור ובטחונו, וזאת בשל כך ש</w:t>
      </w:r>
      <w:r>
        <w:rPr>
          <w:rFonts w:cs="Miriam"/>
          <w:rtl/>
        </w:rPr>
        <w:t>"גניבת רכב עלולה, בהאידנא, להפוך חיש מהר למרדף משטרתי על כל הסכנות הכרוכות בכך"</w:t>
      </w:r>
      <w:r>
        <w:rPr>
          <w:rtl/>
        </w:rPr>
        <w:t xml:space="preserve"> (</w:t>
      </w:r>
      <w:hyperlink r:id="rId33" w:history="1">
        <w:r w:rsidR="00300315" w:rsidRPr="00300315">
          <w:rPr>
            <w:color w:val="0000FF"/>
            <w:u w:val="single"/>
            <w:rtl/>
          </w:rPr>
          <w:t>בש"פ 45/00</w:t>
        </w:r>
      </w:hyperlink>
      <w:r>
        <w:rPr>
          <w:rtl/>
        </w:rPr>
        <w:t xml:space="preserve"> </w:t>
      </w:r>
      <w:r>
        <w:rPr>
          <w:b/>
          <w:bCs/>
          <w:rtl/>
        </w:rPr>
        <w:t>מסארוה נ' מדינת ישרא</w:t>
      </w:r>
      <w:r>
        <w:rPr>
          <w:rtl/>
        </w:rPr>
        <w:t xml:space="preserve">ל (8.1.2010); וראו גם: </w:t>
      </w:r>
      <w:hyperlink r:id="rId34" w:history="1">
        <w:r w:rsidR="00300315" w:rsidRPr="00300315">
          <w:rPr>
            <w:color w:val="0000FF"/>
            <w:u w:val="single"/>
            <w:rtl/>
          </w:rPr>
          <w:t>בש"פ 4638/13</w:t>
        </w:r>
      </w:hyperlink>
      <w:r>
        <w:rPr>
          <w:rtl/>
        </w:rPr>
        <w:t xml:space="preserve"> </w:t>
      </w:r>
      <w:r>
        <w:rPr>
          <w:b/>
          <w:bCs/>
          <w:rtl/>
        </w:rPr>
        <w:t>אדקידק מוחמד נ' מדינת ישראל</w:t>
      </w:r>
      <w:r>
        <w:rPr>
          <w:rtl/>
        </w:rPr>
        <w:t xml:space="preserve"> (3.7.</w:t>
      </w:r>
      <w:r>
        <w:rPr>
          <w:rFonts w:hint="cs"/>
          <w:rtl/>
        </w:rPr>
        <w:t>20</w:t>
      </w:r>
      <w:r>
        <w:rPr>
          <w:rtl/>
        </w:rPr>
        <w:t>13)).</w:t>
      </w:r>
    </w:p>
    <w:p w14:paraId="58468FA8" w14:textId="77777777" w:rsidR="00A115EA" w:rsidRPr="0076310C" w:rsidRDefault="00A115EA" w:rsidP="00A115EA">
      <w:pPr>
        <w:pStyle w:val="a9"/>
        <w:spacing w:line="360" w:lineRule="auto"/>
        <w:ind w:left="0"/>
        <w:jc w:val="both"/>
      </w:pPr>
    </w:p>
    <w:p w14:paraId="26021765" w14:textId="77777777" w:rsidR="00A115EA" w:rsidRDefault="00A115EA" w:rsidP="00A115EA">
      <w:pPr>
        <w:pStyle w:val="a9"/>
        <w:numPr>
          <w:ilvl w:val="0"/>
          <w:numId w:val="1"/>
        </w:numPr>
        <w:spacing w:line="360" w:lineRule="auto"/>
        <w:jc w:val="both"/>
      </w:pPr>
      <w:r w:rsidRPr="004C1112">
        <w:rPr>
          <w:b/>
          <w:bCs/>
          <w:rtl/>
        </w:rPr>
        <w:t xml:space="preserve">נסיבות ביצוע </w:t>
      </w:r>
      <w:r>
        <w:rPr>
          <w:b/>
          <w:bCs/>
          <w:rtl/>
        </w:rPr>
        <w:t>העביר</w:t>
      </w:r>
      <w:r>
        <w:rPr>
          <w:rFonts w:hint="cs"/>
          <w:b/>
          <w:bCs/>
          <w:rtl/>
        </w:rPr>
        <w:t>ות</w:t>
      </w:r>
      <w:r w:rsidRPr="004C1112">
        <w:rPr>
          <w:b/>
          <w:bCs/>
          <w:rtl/>
        </w:rPr>
        <w:t xml:space="preserve">: </w:t>
      </w:r>
      <w:r w:rsidRPr="00586CA9">
        <w:rPr>
          <w:rtl/>
        </w:rPr>
        <w:t xml:space="preserve"> ההתפרצות בוצעה בשע</w:t>
      </w:r>
      <w:r>
        <w:rPr>
          <w:rFonts w:hint="cs"/>
          <w:rtl/>
        </w:rPr>
        <w:t>ו</w:t>
      </w:r>
      <w:r w:rsidRPr="00586CA9">
        <w:rPr>
          <w:rtl/>
        </w:rPr>
        <w:t>ת בה</w:t>
      </w:r>
      <w:r>
        <w:rPr>
          <w:rFonts w:hint="cs"/>
          <w:rtl/>
        </w:rPr>
        <w:t>ן</w:t>
      </w:r>
      <w:r w:rsidRPr="00586CA9">
        <w:rPr>
          <w:rtl/>
        </w:rPr>
        <w:t xml:space="preserve"> לרוב מצויים בעלי הבית בביתם. לאור כך קיים סיכון ממשי להיתקלות באנשים</w:t>
      </w:r>
      <w:r>
        <w:rPr>
          <w:rtl/>
        </w:rPr>
        <w:t xml:space="preserve"> המצויים בדירה ומכאן </w:t>
      </w:r>
      <w:r>
        <w:rPr>
          <w:rFonts w:hint="cs"/>
          <w:rtl/>
        </w:rPr>
        <w:t xml:space="preserve">שהאירוע גילם סכנה ממשית </w:t>
      </w:r>
      <w:r>
        <w:rPr>
          <w:rtl/>
        </w:rPr>
        <w:t>לפגיעה בגוף</w:t>
      </w:r>
      <w:r>
        <w:rPr>
          <w:rFonts w:hint="cs"/>
          <w:rtl/>
        </w:rPr>
        <w:t xml:space="preserve"> ובנפש</w:t>
      </w:r>
      <w:r>
        <w:rPr>
          <w:rtl/>
        </w:rPr>
        <w:t xml:space="preserve">. מדובר </w:t>
      </w:r>
      <w:r>
        <w:rPr>
          <w:rFonts w:hint="cs"/>
          <w:rtl/>
        </w:rPr>
        <w:t xml:space="preserve">גם </w:t>
      </w:r>
      <w:r>
        <w:rPr>
          <w:rtl/>
        </w:rPr>
        <w:t xml:space="preserve">באירוע </w:t>
      </w:r>
      <w:r>
        <w:rPr>
          <w:rFonts w:hint="cs"/>
          <w:rtl/>
        </w:rPr>
        <w:t>מתוכנן, במסגרתו קשר הנאשם קשר עם קטין במטרה לפרוץ לבית המתלוננים.</w:t>
      </w:r>
      <w:r>
        <w:rPr>
          <w:rtl/>
        </w:rPr>
        <w:t xml:space="preserve"> </w:t>
      </w:r>
      <w:r>
        <w:rPr>
          <w:rFonts w:hint="cs"/>
          <w:rtl/>
        </w:rPr>
        <w:t xml:space="preserve">עם זאת, </w:t>
      </w:r>
      <w:r>
        <w:rPr>
          <w:rtl/>
        </w:rPr>
        <w:t>לא מדובר בעבירות שבוצעו אגב אלימות או שימוש בכלים, אלא בהזזת חלון</w:t>
      </w:r>
      <w:r>
        <w:rPr>
          <w:rFonts w:hint="cs"/>
          <w:rtl/>
        </w:rPr>
        <w:t xml:space="preserve">. </w:t>
      </w:r>
      <w:r>
        <w:rPr>
          <w:rtl/>
        </w:rPr>
        <w:t>ביחס לנזק שנגרם מביצוע העבירה אציין כי הנאשם גנב</w:t>
      </w:r>
      <w:r>
        <w:rPr>
          <w:rFonts w:ascii="David" w:hAnsi="David"/>
          <w:rtl/>
        </w:rPr>
        <w:t xml:space="preserve"> מבית</w:t>
      </w:r>
      <w:r>
        <w:rPr>
          <w:rFonts w:hint="cs"/>
          <w:rtl/>
        </w:rPr>
        <w:t xml:space="preserve"> המתלוננים רכוש בשווי מאות שקלים, שלא שב למתלוננים עד היום, ורכב שהוחזר. </w:t>
      </w:r>
    </w:p>
    <w:p w14:paraId="39483EBB" w14:textId="77777777" w:rsidR="00A115EA" w:rsidRPr="00906067" w:rsidRDefault="00A115EA" w:rsidP="00A115EA">
      <w:pPr>
        <w:pStyle w:val="a9"/>
        <w:spacing w:line="360" w:lineRule="auto"/>
        <w:ind w:left="0"/>
        <w:jc w:val="both"/>
      </w:pPr>
    </w:p>
    <w:p w14:paraId="239B58E3" w14:textId="77777777" w:rsidR="00A115EA" w:rsidRDefault="00A115EA" w:rsidP="00A115EA">
      <w:pPr>
        <w:pStyle w:val="a9"/>
        <w:numPr>
          <w:ilvl w:val="0"/>
          <w:numId w:val="1"/>
        </w:numPr>
        <w:spacing w:line="360" w:lineRule="auto"/>
        <w:jc w:val="both"/>
        <w:rPr>
          <w:b/>
          <w:bCs/>
        </w:rPr>
      </w:pPr>
      <w:r w:rsidRPr="00964A69">
        <w:rPr>
          <w:rFonts w:ascii="David" w:hAnsi="David"/>
          <w:b/>
          <w:bCs/>
          <w:u w:val="single"/>
          <w:rtl/>
        </w:rPr>
        <w:t>מדיניות הענישה-</w:t>
      </w:r>
      <w:r w:rsidRPr="00964A69">
        <w:rPr>
          <w:rFonts w:ascii="David" w:hAnsi="David"/>
          <w:rtl/>
        </w:rPr>
        <w:t xml:space="preserve"> </w:t>
      </w:r>
      <w:r>
        <w:rPr>
          <w:rtl/>
        </w:rPr>
        <w:t xml:space="preserve">לא אחת נקבע </w:t>
      </w:r>
      <w:r w:rsidRPr="00D47700">
        <w:rPr>
          <w:rtl/>
        </w:rPr>
        <w:t xml:space="preserve">כי יש להחמיר בעונשם של עברייני הרכוש, </w:t>
      </w:r>
      <w:r>
        <w:rPr>
          <w:rtl/>
        </w:rPr>
        <w:t xml:space="preserve">לרבות </w:t>
      </w:r>
      <w:r w:rsidRPr="00D47700">
        <w:rPr>
          <w:rtl/>
        </w:rPr>
        <w:t>אלה המתפרצים לבתיהם של אחרים</w:t>
      </w:r>
      <w:r>
        <w:rPr>
          <w:rtl/>
        </w:rPr>
        <w:t xml:space="preserve">, שכן </w:t>
      </w:r>
      <w:r w:rsidRPr="00D47700">
        <w:rPr>
          <w:rtl/>
        </w:rPr>
        <w:t>עבירות אלו ה</w:t>
      </w:r>
      <w:r>
        <w:rPr>
          <w:rtl/>
        </w:rPr>
        <w:t>יו</w:t>
      </w:r>
      <w:r w:rsidRPr="00D47700">
        <w:rPr>
          <w:rtl/>
        </w:rPr>
        <w:t xml:space="preserve"> </w:t>
      </w:r>
      <w:r w:rsidRPr="00964A69">
        <w:rPr>
          <w:rFonts w:cs="Miriam"/>
          <w:rtl/>
        </w:rPr>
        <w:t>"למכת מדינה, למקור דאגה וטרוניה לאזרחים רבים ולפגיעה בתחושת ביטחונם"</w:t>
      </w:r>
      <w:r>
        <w:rPr>
          <w:rtl/>
        </w:rPr>
        <w:t xml:space="preserve"> </w:t>
      </w:r>
      <w:r w:rsidRPr="00D47700">
        <w:rPr>
          <w:rtl/>
        </w:rPr>
        <w:t>(</w:t>
      </w:r>
      <w:hyperlink r:id="rId35" w:history="1">
        <w:r w:rsidR="00300315" w:rsidRPr="00300315">
          <w:rPr>
            <w:color w:val="0000FF"/>
            <w:u w:val="single"/>
            <w:rtl/>
          </w:rPr>
          <w:t>רע"פ 1708/08</w:t>
        </w:r>
      </w:hyperlink>
      <w:r w:rsidRPr="00D47700">
        <w:rPr>
          <w:rtl/>
        </w:rPr>
        <w:t xml:space="preserve"> </w:t>
      </w:r>
      <w:r w:rsidRPr="00964A69">
        <w:rPr>
          <w:b/>
          <w:bCs/>
          <w:rtl/>
        </w:rPr>
        <w:t>מרדכי לוי נ' מדינת ישראל</w:t>
      </w:r>
      <w:r>
        <w:rPr>
          <w:rtl/>
        </w:rPr>
        <w:t xml:space="preserve"> (21.2.</w:t>
      </w:r>
      <w:r>
        <w:rPr>
          <w:rFonts w:hint="cs"/>
          <w:rtl/>
        </w:rPr>
        <w:t>20</w:t>
      </w:r>
      <w:r>
        <w:rPr>
          <w:rtl/>
        </w:rPr>
        <w:t>08)). מעבר לנזק הכלכלי שעבירות אלו</w:t>
      </w:r>
      <w:r w:rsidRPr="00D47700">
        <w:rPr>
          <w:rtl/>
        </w:rPr>
        <w:t xml:space="preserve"> גורמות לפרט ולחברה בכללותה, הרי שמדובר בחדירה בוטה למבצרו של אדם, מקום בו הוא אמור להרגיש בטוח יותר מכל ו</w:t>
      </w:r>
      <w:r>
        <w:rPr>
          <w:rtl/>
        </w:rPr>
        <w:t>מדובר ב</w:t>
      </w:r>
      <w:r w:rsidRPr="00D47700">
        <w:rPr>
          <w:rtl/>
        </w:rPr>
        <w:t>פגיעה קשה בפרטיותו, בשלוותו ובתחושת הב</w:t>
      </w:r>
      <w:r>
        <w:rPr>
          <w:rtl/>
        </w:rPr>
        <w:t>י</w:t>
      </w:r>
      <w:r w:rsidRPr="00D47700">
        <w:rPr>
          <w:rtl/>
        </w:rPr>
        <w:t>טחון האישי שלו</w:t>
      </w:r>
      <w:r>
        <w:rPr>
          <w:rtl/>
        </w:rPr>
        <w:t>. כן ראו</w:t>
      </w:r>
      <w:r w:rsidRPr="00D47700">
        <w:rPr>
          <w:rtl/>
        </w:rPr>
        <w:t xml:space="preserve"> </w:t>
      </w:r>
      <w:hyperlink r:id="rId36" w:history="1">
        <w:r w:rsidR="00300315" w:rsidRPr="00300315">
          <w:rPr>
            <w:color w:val="0000FF"/>
            <w:u w:val="single"/>
            <w:rtl/>
          </w:rPr>
          <w:t>רע"פ 3063/11</w:t>
        </w:r>
      </w:hyperlink>
      <w:r w:rsidRPr="00964A69">
        <w:rPr>
          <w:b/>
          <w:bCs/>
          <w:rtl/>
        </w:rPr>
        <w:t xml:space="preserve"> אפריים כהן נ' מדינת ישראל</w:t>
      </w:r>
      <w:r>
        <w:rPr>
          <w:rtl/>
        </w:rPr>
        <w:t xml:space="preserve"> (17.4.</w:t>
      </w:r>
      <w:r>
        <w:rPr>
          <w:rFonts w:hint="cs"/>
          <w:rtl/>
        </w:rPr>
        <w:t>20</w:t>
      </w:r>
      <w:r>
        <w:rPr>
          <w:rtl/>
        </w:rPr>
        <w:t xml:space="preserve">11): </w:t>
      </w:r>
    </w:p>
    <w:p w14:paraId="19ADC4D9" w14:textId="77777777" w:rsidR="00A115EA" w:rsidRPr="0093155A" w:rsidRDefault="00A115EA" w:rsidP="00A115EA">
      <w:pPr>
        <w:pStyle w:val="a9"/>
        <w:rPr>
          <w:b/>
          <w:bCs/>
          <w:rtl/>
        </w:rPr>
      </w:pPr>
    </w:p>
    <w:p w14:paraId="3A657E24" w14:textId="77777777" w:rsidR="00A115EA" w:rsidRPr="00581A39" w:rsidRDefault="00A115EA" w:rsidP="00A115EA">
      <w:pPr>
        <w:ind w:left="1134" w:right="1134"/>
        <w:contextualSpacing/>
        <w:jc w:val="both"/>
        <w:rPr>
          <w:b/>
          <w:bCs/>
          <w:rtl/>
        </w:rPr>
      </w:pPr>
      <w:r w:rsidRPr="00581A39">
        <w:rPr>
          <w:rFonts w:ascii="Arial" w:hAnsi="Arial" w:cs="Miriam"/>
          <w:rtl/>
        </w:rPr>
        <w:t>"הנה בינתיים בא אדם לביתו, מוצא מהפכת סדום ועמורה, ומי שלא עמל ולא טרח בו עמד עליו לגזול יגיע של הזולת ולגרום לו חסרון כיס, מפח נפש ואימה. על כן לא יתכן, אלא בהתקיים נסיבות חריגות במיוחד, כי כאשר נלכד העבריין בעבירה מסוג זה, ייגזר עליו עונש שאינו מאסר בפועל, ואין בכך חידוש; קל וחומר, כאשר למבצע העבירה עבר פלילי עשיר."</w:t>
      </w:r>
    </w:p>
    <w:p w14:paraId="62A50597" w14:textId="77777777" w:rsidR="00A115EA" w:rsidRDefault="00A115EA" w:rsidP="00A115EA">
      <w:pPr>
        <w:pStyle w:val="a9"/>
        <w:spacing w:line="360" w:lineRule="auto"/>
        <w:ind w:left="0"/>
        <w:jc w:val="both"/>
        <w:rPr>
          <w:b/>
          <w:bCs/>
          <w:rtl/>
        </w:rPr>
      </w:pPr>
    </w:p>
    <w:p w14:paraId="6FD45BE0" w14:textId="77777777" w:rsidR="00A115EA" w:rsidRPr="00771837" w:rsidRDefault="00A115EA" w:rsidP="00A115EA">
      <w:pPr>
        <w:pStyle w:val="a9"/>
        <w:numPr>
          <w:ilvl w:val="0"/>
          <w:numId w:val="1"/>
        </w:numPr>
        <w:spacing w:line="360" w:lineRule="auto"/>
        <w:jc w:val="both"/>
        <w:rPr>
          <w:b/>
          <w:bCs/>
        </w:rPr>
      </w:pPr>
      <w:r>
        <w:rPr>
          <w:rtl/>
        </w:rPr>
        <w:t xml:space="preserve">לצורך בחינת מדיניות הענישה הנוהגת בעבירות של פריצה לדירת מגורים ניתן להפנות לפסקי הדין הבאים: </w:t>
      </w:r>
      <w:hyperlink r:id="rId37" w:history="1">
        <w:r w:rsidR="00300315" w:rsidRPr="00300315">
          <w:rPr>
            <w:color w:val="0000FF"/>
            <w:u w:val="single"/>
            <w:rtl/>
          </w:rPr>
          <w:t>רע"פ 10551/09</w:t>
        </w:r>
      </w:hyperlink>
      <w:r>
        <w:rPr>
          <w:rtl/>
        </w:rPr>
        <w:t xml:space="preserve"> </w:t>
      </w:r>
      <w:r w:rsidRPr="0093155A">
        <w:rPr>
          <w:b/>
          <w:bCs/>
          <w:rtl/>
        </w:rPr>
        <w:t>יורובסקי נ' מדינת ישראל</w:t>
      </w:r>
      <w:r>
        <w:rPr>
          <w:rtl/>
        </w:rPr>
        <w:t xml:space="preserve"> (7.1.</w:t>
      </w:r>
      <w:r>
        <w:rPr>
          <w:rFonts w:hint="cs"/>
          <w:rtl/>
        </w:rPr>
        <w:t>20</w:t>
      </w:r>
      <w:r>
        <w:rPr>
          <w:rtl/>
        </w:rPr>
        <w:t xml:space="preserve">10), בו הוטלו על הנאשם 15 חודשי מאסר בגין פריצה לדירה, תוך הפעלת מאסר מותנה; </w:t>
      </w:r>
      <w:hyperlink r:id="rId38" w:history="1">
        <w:r w:rsidR="00300315" w:rsidRPr="00300315">
          <w:rPr>
            <w:color w:val="0000FF"/>
            <w:u w:val="single"/>
            <w:rtl/>
          </w:rPr>
          <w:t>עפ"ג 8332-08-10</w:t>
        </w:r>
      </w:hyperlink>
      <w:r>
        <w:rPr>
          <w:rtl/>
        </w:rPr>
        <w:t xml:space="preserve"> </w:t>
      </w:r>
      <w:r w:rsidRPr="0093155A">
        <w:rPr>
          <w:b/>
          <w:bCs/>
          <w:rtl/>
        </w:rPr>
        <w:t>אבו סיאם נ' מדינת ישראל</w:t>
      </w:r>
      <w:r>
        <w:rPr>
          <w:rtl/>
        </w:rPr>
        <w:t xml:space="preserve"> (7.10.</w:t>
      </w:r>
      <w:r>
        <w:rPr>
          <w:rFonts w:hint="cs"/>
          <w:rtl/>
        </w:rPr>
        <w:t>20</w:t>
      </w:r>
      <w:r>
        <w:rPr>
          <w:rtl/>
        </w:rPr>
        <w:t>10)</w:t>
      </w:r>
      <w:r w:rsidRPr="0093155A">
        <w:rPr>
          <w:rFonts w:cs="Times New Roman"/>
          <w:rtl/>
        </w:rPr>
        <w:t xml:space="preserve">, </w:t>
      </w:r>
      <w:r>
        <w:rPr>
          <w:rtl/>
        </w:rPr>
        <w:t>בו נגזרו על הנאשם בגין עבירות של התפרצות למקום מגורים וגניבה 18 חודשי מאסר;</w:t>
      </w:r>
      <w:r w:rsidRPr="0093155A">
        <w:rPr>
          <w:rFonts w:cs="Times New Roman"/>
          <w:rtl/>
        </w:rPr>
        <w:t xml:space="preserve"> </w:t>
      </w:r>
      <w:hyperlink r:id="rId39" w:history="1">
        <w:r w:rsidR="00300315" w:rsidRPr="00300315">
          <w:rPr>
            <w:color w:val="0000FF"/>
            <w:u w:val="single"/>
            <w:rtl/>
          </w:rPr>
          <w:t>ע"פ 43816-01-11</w:t>
        </w:r>
      </w:hyperlink>
      <w:r>
        <w:rPr>
          <w:rtl/>
        </w:rPr>
        <w:t xml:space="preserve"> </w:t>
      </w:r>
      <w:r w:rsidRPr="0093155A">
        <w:rPr>
          <w:b/>
          <w:bCs/>
          <w:rtl/>
        </w:rPr>
        <w:t>חליאלה נ' מדינת ישראל</w:t>
      </w:r>
      <w:r>
        <w:rPr>
          <w:rtl/>
        </w:rPr>
        <w:t xml:space="preserve"> (4.3.</w:t>
      </w:r>
      <w:r>
        <w:rPr>
          <w:rFonts w:hint="cs"/>
          <w:rtl/>
        </w:rPr>
        <w:t>20</w:t>
      </w:r>
      <w:r>
        <w:rPr>
          <w:rtl/>
        </w:rPr>
        <w:t>11),</w:t>
      </w:r>
      <w:r w:rsidRPr="0093155A">
        <w:rPr>
          <w:rFonts w:cs="Times New Roman"/>
          <w:rtl/>
        </w:rPr>
        <w:t xml:space="preserve"> </w:t>
      </w:r>
      <w:r>
        <w:rPr>
          <w:rtl/>
        </w:rPr>
        <w:t>בו נגזרו על נאשם שהורשע בעבירות של התפרצות למקום מגורים וגניבה 15 חודשי מאסר;</w:t>
      </w:r>
      <w:r w:rsidRPr="0093155A">
        <w:rPr>
          <w:rFonts w:cs="Times New Roman"/>
          <w:rtl/>
        </w:rPr>
        <w:t xml:space="preserve"> </w:t>
      </w:r>
      <w:hyperlink r:id="rId40" w:history="1">
        <w:r w:rsidR="00300315" w:rsidRPr="00300315">
          <w:rPr>
            <w:color w:val="0000FF"/>
            <w:u w:val="single"/>
            <w:rtl/>
          </w:rPr>
          <w:t>ת"פ 12697-11-15</w:t>
        </w:r>
      </w:hyperlink>
      <w:r>
        <w:rPr>
          <w:rtl/>
        </w:rPr>
        <w:t xml:space="preserve"> </w:t>
      </w:r>
      <w:r w:rsidRPr="0093155A">
        <w:rPr>
          <w:b/>
          <w:bCs/>
          <w:rtl/>
        </w:rPr>
        <w:t>מדינת ישראל נ' מורוזוב</w:t>
      </w:r>
      <w:r>
        <w:rPr>
          <w:rtl/>
        </w:rPr>
        <w:t xml:space="preserve"> (8.7.</w:t>
      </w:r>
      <w:r>
        <w:rPr>
          <w:rFonts w:hint="cs"/>
          <w:rtl/>
        </w:rPr>
        <w:t>20</w:t>
      </w:r>
      <w:r>
        <w:rPr>
          <w:rtl/>
        </w:rPr>
        <w:t xml:space="preserve">18), בו נגזרו על הנאשם בגין עבירות של התפרצות למקום מגורים וגניבה 11 חודשי מאסר בפועל; </w:t>
      </w:r>
      <w:hyperlink r:id="rId41" w:history="1">
        <w:r w:rsidR="00300315" w:rsidRPr="00300315">
          <w:rPr>
            <w:color w:val="0000FF"/>
            <w:u w:val="single"/>
            <w:rtl/>
          </w:rPr>
          <w:t>רע"פ 8637/14</w:t>
        </w:r>
      </w:hyperlink>
      <w:r>
        <w:rPr>
          <w:rtl/>
        </w:rPr>
        <w:t xml:space="preserve"> </w:t>
      </w:r>
      <w:r w:rsidRPr="0093155A">
        <w:rPr>
          <w:b/>
          <w:bCs/>
          <w:rtl/>
        </w:rPr>
        <w:t xml:space="preserve">וואליד עבאסי נ' מדינת ישראל </w:t>
      </w:r>
      <w:r>
        <w:rPr>
          <w:rtl/>
        </w:rPr>
        <w:t>(13.01.</w:t>
      </w:r>
      <w:r>
        <w:rPr>
          <w:rFonts w:hint="cs"/>
          <w:rtl/>
        </w:rPr>
        <w:t>20</w:t>
      </w:r>
      <w:r>
        <w:rPr>
          <w:rtl/>
        </w:rPr>
        <w:t xml:space="preserve">15), בו הורשע הנאשם בשני אירועים של התפרצות לדירה וגניבה. בית משפט השלום קבע מתחם הנע בין 10 חודשי מאסר לבין 24 חודשי מאסר וגזר על הנאשם עונש של 16 חודשי מאסר לריצוי בפועל. בערעור הוקל עונשו של הנאשם ל-12 חודשי מאסר, ובקשת רשות ערעור לבית המשפט העליון נדחתה; </w:t>
      </w:r>
      <w:hyperlink r:id="rId42" w:history="1">
        <w:r w:rsidR="00300315" w:rsidRPr="00300315">
          <w:rPr>
            <w:color w:val="0000FF"/>
            <w:u w:val="single"/>
            <w:rtl/>
          </w:rPr>
          <w:t>רע"פ 916/17</w:t>
        </w:r>
      </w:hyperlink>
      <w:r>
        <w:rPr>
          <w:rtl/>
        </w:rPr>
        <w:t xml:space="preserve"> </w:t>
      </w:r>
      <w:r w:rsidRPr="0093155A">
        <w:rPr>
          <w:b/>
          <w:bCs/>
          <w:rtl/>
        </w:rPr>
        <w:t xml:space="preserve">בוסקילה נ' מדינת ישראל </w:t>
      </w:r>
      <w:r w:rsidRPr="000F6605">
        <w:rPr>
          <w:rtl/>
        </w:rPr>
        <w:t>(18.4.</w:t>
      </w:r>
      <w:r>
        <w:rPr>
          <w:rFonts w:hint="cs"/>
          <w:rtl/>
        </w:rPr>
        <w:t>20</w:t>
      </w:r>
      <w:r w:rsidRPr="000F6605">
        <w:rPr>
          <w:rtl/>
        </w:rPr>
        <w:t>1</w:t>
      </w:r>
      <w:r>
        <w:rPr>
          <w:rtl/>
        </w:rPr>
        <w:t>7), בו הורשע נאשם בעל עבר פלילי מכביד בעבירה של התפרצות למקום מגורים וגניבה ונגזרו עליו 18 חודשי מאסר בפועל, והופעל מאסר על תנאי של 10 חודשים במצטבר. ערעורו לבית המשפט המחוזי וכן בקשת רשות ערעור לבית המשפט העליון נדחו.</w:t>
      </w:r>
    </w:p>
    <w:p w14:paraId="40D5A167" w14:textId="77777777" w:rsidR="00A115EA" w:rsidRDefault="00A115EA" w:rsidP="00A115EA">
      <w:pPr>
        <w:pStyle w:val="a9"/>
        <w:spacing w:line="360" w:lineRule="auto"/>
        <w:ind w:left="0"/>
        <w:jc w:val="both"/>
        <w:rPr>
          <w:b/>
          <w:bCs/>
        </w:rPr>
      </w:pPr>
    </w:p>
    <w:p w14:paraId="5E9DBE2A" w14:textId="77777777" w:rsidR="00A115EA" w:rsidRPr="0093155A" w:rsidRDefault="00A115EA" w:rsidP="00A115EA">
      <w:pPr>
        <w:pStyle w:val="a9"/>
        <w:numPr>
          <w:ilvl w:val="0"/>
          <w:numId w:val="1"/>
        </w:numPr>
        <w:spacing w:line="360" w:lineRule="auto"/>
        <w:jc w:val="both"/>
        <w:rPr>
          <w:b/>
          <w:bCs/>
        </w:rPr>
      </w:pPr>
      <w:r>
        <w:rPr>
          <w:rFonts w:hint="cs"/>
          <w:rtl/>
        </w:rPr>
        <w:t>ביחס לעבירות גניבת רכב, הרי ש</w:t>
      </w:r>
      <w:r>
        <w:rPr>
          <w:rtl/>
        </w:rPr>
        <w:t>ככלל מוטלים בגין עבירות אלו עונש</w:t>
      </w:r>
      <w:r>
        <w:rPr>
          <w:rFonts w:hint="cs"/>
          <w:rtl/>
        </w:rPr>
        <w:t>י</w:t>
      </w:r>
      <w:r>
        <w:rPr>
          <w:rtl/>
        </w:rPr>
        <w:t xml:space="preserve"> מאסר לריצוי בפועל. אפנה בעניין זה למשל  ל</w:t>
      </w:r>
      <w:hyperlink r:id="rId43" w:history="1">
        <w:r w:rsidR="00300315" w:rsidRPr="00300315">
          <w:rPr>
            <w:color w:val="0000FF"/>
            <w:u w:val="single"/>
            <w:rtl/>
          </w:rPr>
          <w:t>רע"פ 8817/12</w:t>
        </w:r>
      </w:hyperlink>
      <w:r>
        <w:rPr>
          <w:rtl/>
        </w:rPr>
        <w:t xml:space="preserve"> </w:t>
      </w:r>
      <w:r w:rsidRPr="0093155A">
        <w:rPr>
          <w:b/>
          <w:bCs/>
          <w:rtl/>
        </w:rPr>
        <w:t>אבו גנאם נ' מדינת ישראל</w:t>
      </w:r>
      <w:r>
        <w:rPr>
          <w:rtl/>
        </w:rPr>
        <w:t xml:space="preserve"> (17.12.</w:t>
      </w:r>
      <w:r>
        <w:rPr>
          <w:rFonts w:hint="cs"/>
          <w:rtl/>
        </w:rPr>
        <w:t>20</w:t>
      </w:r>
      <w:r>
        <w:rPr>
          <w:rtl/>
        </w:rPr>
        <w:t xml:space="preserve">12), בו הוטלו על גנב רכב שנהג בו ללא רישיון נהיגה 20 חודשי מאסר בפועל; </w:t>
      </w:r>
      <w:hyperlink r:id="rId44" w:history="1">
        <w:r w:rsidR="00300315" w:rsidRPr="00300315">
          <w:rPr>
            <w:color w:val="0000FF"/>
            <w:u w:val="single"/>
            <w:rtl/>
          </w:rPr>
          <w:t>עפ"ג 57089-03-14</w:t>
        </w:r>
      </w:hyperlink>
      <w:r>
        <w:rPr>
          <w:rtl/>
        </w:rPr>
        <w:t xml:space="preserve"> </w:t>
      </w:r>
      <w:r w:rsidRPr="0093155A">
        <w:rPr>
          <w:b/>
          <w:bCs/>
          <w:rtl/>
        </w:rPr>
        <w:t xml:space="preserve">מחפוז נ' מדינת ישראל </w:t>
      </w:r>
      <w:r>
        <w:rPr>
          <w:rtl/>
        </w:rPr>
        <w:t>(2.7.</w:t>
      </w:r>
      <w:r>
        <w:rPr>
          <w:rFonts w:hint="cs"/>
          <w:rtl/>
        </w:rPr>
        <w:t>20</w:t>
      </w:r>
      <w:r>
        <w:rPr>
          <w:rtl/>
        </w:rPr>
        <w:t>14) בו הוטלו 9 חודשי מאסר בפועל על צעיר שגנב רכב ועבר אית</w:t>
      </w:r>
      <w:r>
        <w:rPr>
          <w:rFonts w:hint="cs"/>
          <w:rtl/>
        </w:rPr>
        <w:t>ו</w:t>
      </w:r>
      <w:r>
        <w:rPr>
          <w:rtl/>
        </w:rPr>
        <w:t xml:space="preserve"> לשטח</w:t>
      </w:r>
      <w:r>
        <w:rPr>
          <w:rFonts w:hint="cs"/>
          <w:rtl/>
        </w:rPr>
        <w:t>ת</w:t>
      </w:r>
      <w:r>
        <w:rPr>
          <w:rtl/>
        </w:rPr>
        <w:t xml:space="preserve">י הרשות; </w:t>
      </w:r>
      <w:hyperlink r:id="rId45" w:history="1">
        <w:r w:rsidR="00300315" w:rsidRPr="00300315">
          <w:rPr>
            <w:color w:val="0000FF"/>
            <w:u w:val="single"/>
            <w:rtl/>
          </w:rPr>
          <w:t>עפ"ג 3614-01-13</w:t>
        </w:r>
      </w:hyperlink>
      <w:r>
        <w:rPr>
          <w:rtl/>
        </w:rPr>
        <w:t xml:space="preserve">, 20355-02-13 </w:t>
      </w:r>
      <w:r w:rsidRPr="0093155A">
        <w:rPr>
          <w:b/>
          <w:bCs/>
          <w:rtl/>
        </w:rPr>
        <w:t>מחמוד אבו אלואליה ואח' נ' מדינת ישראל</w:t>
      </w:r>
      <w:r>
        <w:rPr>
          <w:rtl/>
        </w:rPr>
        <w:t xml:space="preserve"> (29.5.</w:t>
      </w:r>
      <w:r>
        <w:rPr>
          <w:rFonts w:hint="cs"/>
          <w:rtl/>
        </w:rPr>
        <w:t>20</w:t>
      </w:r>
      <w:r>
        <w:rPr>
          <w:rtl/>
        </w:rPr>
        <w:t xml:space="preserve">13) </w:t>
      </w:r>
      <w:r>
        <w:rPr>
          <w:rFonts w:hint="cs"/>
          <w:rtl/>
        </w:rPr>
        <w:t>בו</w:t>
      </w:r>
      <w:r>
        <w:rPr>
          <w:rtl/>
        </w:rPr>
        <w:t xml:space="preserve"> נקבע מתחם ענישה הנע בין 10 חודשי מאסר ועד 30 חודשי מאסר בגין </w:t>
      </w:r>
      <w:r w:rsidRPr="0093155A">
        <w:rPr>
          <w:rFonts w:cs="Miriam"/>
          <w:rtl/>
        </w:rPr>
        <w:t>"עבירת גניבת רכב בודדת"</w:t>
      </w:r>
      <w:r w:rsidRPr="0093155A">
        <w:rPr>
          <w:rFonts w:cs="Miriam" w:hint="cs"/>
          <w:rtl/>
        </w:rPr>
        <w:t>;</w:t>
      </w:r>
      <w:r w:rsidRPr="0093155A">
        <w:rPr>
          <w:rFonts w:cs="Miriam"/>
          <w:rtl/>
        </w:rPr>
        <w:t xml:space="preserve"> </w:t>
      </w:r>
      <w:r>
        <w:rPr>
          <w:rtl/>
        </w:rPr>
        <w:t>וכן ל</w:t>
      </w:r>
      <w:hyperlink r:id="rId46" w:history="1">
        <w:r w:rsidR="00300315" w:rsidRPr="00300315">
          <w:rPr>
            <w:color w:val="0000FF"/>
            <w:u w:val="single"/>
            <w:rtl/>
          </w:rPr>
          <w:t>עפ"ג 37710-05-16</w:t>
        </w:r>
      </w:hyperlink>
      <w:r>
        <w:rPr>
          <w:rtl/>
        </w:rPr>
        <w:t xml:space="preserve"> </w:t>
      </w:r>
      <w:r w:rsidRPr="0093155A">
        <w:rPr>
          <w:b/>
          <w:bCs/>
          <w:rtl/>
        </w:rPr>
        <w:t>מדינת ישראל נ' תיסיר אזגילה</w:t>
      </w:r>
      <w:r>
        <w:rPr>
          <w:rtl/>
        </w:rPr>
        <w:t xml:space="preserve"> (14.9.</w:t>
      </w:r>
      <w:r>
        <w:rPr>
          <w:rFonts w:hint="cs"/>
          <w:rtl/>
        </w:rPr>
        <w:t>20</w:t>
      </w:r>
      <w:r>
        <w:rPr>
          <w:rtl/>
        </w:rPr>
        <w:t>16)</w:t>
      </w:r>
      <w:r>
        <w:rPr>
          <w:rFonts w:hint="cs"/>
          <w:rtl/>
        </w:rPr>
        <w:t xml:space="preserve"> </w:t>
      </w:r>
      <w:r>
        <w:rPr>
          <w:rtl/>
        </w:rPr>
        <w:t>בו נקבע מתחם ענישה הנע בין 8 חודשי מאסר בפועל ועד 18 חודשי מאסר, בנסיבות של גניבת קטנוע על דרך של העמסתו על משאית.</w:t>
      </w:r>
      <w:r>
        <w:rPr>
          <w:rFonts w:hint="cs"/>
          <w:rtl/>
        </w:rPr>
        <w:t xml:space="preserve"> </w:t>
      </w:r>
    </w:p>
    <w:p w14:paraId="6495319D" w14:textId="77777777" w:rsidR="00A115EA" w:rsidRPr="0093155A" w:rsidRDefault="00A115EA" w:rsidP="00A115EA">
      <w:pPr>
        <w:pStyle w:val="a9"/>
        <w:spacing w:line="360" w:lineRule="auto"/>
        <w:ind w:left="0"/>
        <w:jc w:val="both"/>
        <w:rPr>
          <w:b/>
          <w:bCs/>
        </w:rPr>
      </w:pPr>
    </w:p>
    <w:p w14:paraId="4A9D4481" w14:textId="77777777" w:rsidR="00A115EA" w:rsidRDefault="00A115EA" w:rsidP="00A115EA">
      <w:pPr>
        <w:pStyle w:val="a9"/>
        <w:numPr>
          <w:ilvl w:val="0"/>
          <w:numId w:val="1"/>
        </w:numPr>
        <w:spacing w:line="360" w:lineRule="auto"/>
        <w:jc w:val="both"/>
        <w:rPr>
          <w:b/>
          <w:bCs/>
        </w:rPr>
      </w:pPr>
      <w:r>
        <w:rPr>
          <w:rtl/>
        </w:rPr>
        <w:t xml:space="preserve">ביחס </w:t>
      </w:r>
      <w:r>
        <w:rPr>
          <w:rFonts w:hint="cs"/>
          <w:rtl/>
        </w:rPr>
        <w:t>לעבירת הסמים</w:t>
      </w:r>
      <w:r>
        <w:rPr>
          <w:rtl/>
        </w:rPr>
        <w:t xml:space="preserve">, הרי שמדובר בעבירה של החזקה לשימוש עצמי בלבד, לגביה נקבעה לאחרונה אף מדיניות ענישה והפללה מקילה כאמור בחוק הסמים המסוכנים (עבירת קנס מיוחדת-הוראת שעה), התשע"ח-2018. אם כי יש להביא בחשבון כי במקרה זה מדובר בכמות של </w:t>
      </w:r>
      <w:r>
        <w:rPr>
          <w:rFonts w:hint="cs"/>
          <w:rtl/>
        </w:rPr>
        <w:t>13.29</w:t>
      </w:r>
      <w:r>
        <w:rPr>
          <w:rtl/>
        </w:rPr>
        <w:t xml:space="preserve"> גרם. </w:t>
      </w:r>
    </w:p>
    <w:p w14:paraId="0E59D4FE" w14:textId="77777777" w:rsidR="00A115EA" w:rsidRDefault="00A115EA" w:rsidP="00A115EA">
      <w:pPr>
        <w:pStyle w:val="a9"/>
        <w:rPr>
          <w:rtl/>
        </w:rPr>
      </w:pPr>
    </w:p>
    <w:p w14:paraId="274CDCBB" w14:textId="77777777" w:rsidR="00A115EA" w:rsidRPr="0093155A" w:rsidRDefault="00A115EA" w:rsidP="00A115EA">
      <w:pPr>
        <w:pStyle w:val="a9"/>
        <w:numPr>
          <w:ilvl w:val="0"/>
          <w:numId w:val="1"/>
        </w:numPr>
        <w:spacing w:line="360" w:lineRule="auto"/>
        <w:jc w:val="both"/>
        <w:rPr>
          <w:b/>
          <w:bCs/>
          <w:rtl/>
        </w:rPr>
      </w:pPr>
      <w:r>
        <w:rPr>
          <w:rtl/>
        </w:rPr>
        <w:t xml:space="preserve">לאור כל זאת, אני בדעה כי מתחם הענישה ההולם את העבירות </w:t>
      </w:r>
      <w:r>
        <w:rPr>
          <w:rFonts w:hint="cs"/>
          <w:rtl/>
        </w:rPr>
        <w:t xml:space="preserve">כולן (המהוות אירוע אחד) </w:t>
      </w:r>
      <w:r>
        <w:rPr>
          <w:rtl/>
        </w:rPr>
        <w:t>נע בין</w:t>
      </w:r>
      <w:r>
        <w:rPr>
          <w:rFonts w:hint="cs"/>
          <w:rtl/>
        </w:rPr>
        <w:t xml:space="preserve"> 13 </w:t>
      </w:r>
      <w:r>
        <w:rPr>
          <w:rtl/>
        </w:rPr>
        <w:t>חודשי מאסר בפועל ועד</w:t>
      </w:r>
      <w:r>
        <w:rPr>
          <w:rFonts w:hint="cs"/>
          <w:rtl/>
        </w:rPr>
        <w:t xml:space="preserve"> 30</w:t>
      </w:r>
      <w:r>
        <w:rPr>
          <w:rtl/>
        </w:rPr>
        <w:t xml:space="preserve"> חודשי מאסר בפועל.</w:t>
      </w:r>
    </w:p>
    <w:p w14:paraId="4ABCBE36" w14:textId="77777777" w:rsidR="00A115EA" w:rsidRDefault="00A115EA" w:rsidP="00A115EA">
      <w:pPr>
        <w:pStyle w:val="a9"/>
        <w:spacing w:line="360" w:lineRule="auto"/>
        <w:ind w:left="0"/>
        <w:jc w:val="both"/>
        <w:rPr>
          <w:rtl/>
        </w:rPr>
      </w:pPr>
    </w:p>
    <w:p w14:paraId="45D9F402" w14:textId="77777777" w:rsidR="00A115EA" w:rsidRPr="00B338FA" w:rsidRDefault="00A115EA" w:rsidP="00A115EA">
      <w:pPr>
        <w:spacing w:line="360" w:lineRule="auto"/>
        <w:contextualSpacing/>
        <w:jc w:val="both"/>
        <w:rPr>
          <w:b/>
          <w:bCs/>
          <w:u w:val="single"/>
          <w:rtl/>
        </w:rPr>
      </w:pPr>
      <w:r w:rsidRPr="00F2061C">
        <w:rPr>
          <w:b/>
          <w:bCs/>
          <w:u w:val="single"/>
          <w:rtl/>
        </w:rPr>
        <w:t>קביעת עונשו של הנאשם</w:t>
      </w:r>
    </w:p>
    <w:p w14:paraId="5572DB20" w14:textId="77777777" w:rsidR="00A115EA" w:rsidRDefault="00A115EA" w:rsidP="00A115EA">
      <w:pPr>
        <w:pStyle w:val="a9"/>
        <w:spacing w:line="360" w:lineRule="auto"/>
        <w:ind w:left="0"/>
        <w:jc w:val="both"/>
      </w:pPr>
    </w:p>
    <w:p w14:paraId="324D31C5" w14:textId="77777777" w:rsidR="00A115EA" w:rsidRDefault="00A115EA" w:rsidP="00A115EA">
      <w:pPr>
        <w:pStyle w:val="a9"/>
        <w:numPr>
          <w:ilvl w:val="0"/>
          <w:numId w:val="1"/>
        </w:numPr>
        <w:spacing w:line="360" w:lineRule="auto"/>
        <w:jc w:val="both"/>
      </w:pPr>
      <w:r>
        <w:rPr>
          <w:rtl/>
        </w:rPr>
        <w:t xml:space="preserve">לא הייתה מחלוקת בין הצדדים כי העונש אמור להיגזר בגדרי מתחם הענישה ואכן לא מצאתי הצדקה לחריגה לקולה (או לחומרה) ממתחם הענישה. </w:t>
      </w:r>
      <w:r>
        <w:rPr>
          <w:rFonts w:hint="cs"/>
          <w:rtl/>
        </w:rPr>
        <w:t xml:space="preserve">לא קיימים בעניינו של הנאשם סיכויי שיקום, לא כל שכן ממשיים המצדיקים חריגה ממתמחם הענישה. עובדה זו מצוינת בצער, שכן הנאשם הוא צעיר שראוי שהיה משנס מותניים ופועל לשיקום חייו ויפה שעה אחת קודם. </w:t>
      </w:r>
    </w:p>
    <w:p w14:paraId="567B0F8F" w14:textId="77777777" w:rsidR="00A115EA" w:rsidRDefault="00A115EA" w:rsidP="00A115EA">
      <w:pPr>
        <w:pStyle w:val="a9"/>
        <w:spacing w:line="360" w:lineRule="auto"/>
        <w:ind w:left="0"/>
        <w:jc w:val="both"/>
        <w:rPr>
          <w:rtl/>
        </w:rPr>
      </w:pPr>
    </w:p>
    <w:p w14:paraId="4A10B53E" w14:textId="77777777" w:rsidR="00A115EA" w:rsidRDefault="00A115EA" w:rsidP="00A115EA">
      <w:pPr>
        <w:pStyle w:val="a9"/>
        <w:numPr>
          <w:ilvl w:val="0"/>
          <w:numId w:val="1"/>
        </w:numPr>
        <w:spacing w:line="360" w:lineRule="auto"/>
        <w:jc w:val="both"/>
      </w:pPr>
      <w:r>
        <w:rPr>
          <w:rtl/>
        </w:rPr>
        <w:t>לצורך קביעת עונשו של הנאשם הבאתי בחשבון לחומרה את עברו הפלילי המכביד</w:t>
      </w:r>
      <w:r>
        <w:rPr>
          <w:rFonts w:hint="cs"/>
          <w:rtl/>
        </w:rPr>
        <w:t xml:space="preserve"> יחסית לגילו הצעיר,</w:t>
      </w:r>
      <w:r>
        <w:rPr>
          <w:rtl/>
        </w:rPr>
        <w:t xml:space="preserve"> הכולל </w:t>
      </w:r>
      <w:r>
        <w:rPr>
          <w:rFonts w:hint="cs"/>
          <w:rtl/>
        </w:rPr>
        <w:t xml:space="preserve">שלוש </w:t>
      </w:r>
      <w:r>
        <w:rPr>
          <w:rtl/>
        </w:rPr>
        <w:t xml:space="preserve">הרשעות </w:t>
      </w:r>
      <w:r>
        <w:rPr>
          <w:rFonts w:hint="cs"/>
          <w:rtl/>
        </w:rPr>
        <w:t>בעבירות אלימות, רכוש וסמים (אם כי לשימוש עצמי) ואת התרשמות שירות המבחן מהסיכון הנשקף ממנו.</w:t>
      </w:r>
      <w:r>
        <w:rPr>
          <w:rtl/>
        </w:rPr>
        <w:t xml:space="preserve"> </w:t>
      </w:r>
      <w:r>
        <w:rPr>
          <w:rFonts w:hint="cs"/>
          <w:rtl/>
        </w:rPr>
        <w:t xml:space="preserve">הבאתי עוד בחשבון כי הנאשם ריצה בעברו שני מאסרים בפועל אשר לא הרתיעו אותו מהמשך פעילות עבריינית. </w:t>
      </w:r>
      <w:r>
        <w:rPr>
          <w:rtl/>
        </w:rPr>
        <w:t>מנגד, הבאתי בחשבון את הודאתו בהזדמנות הראשונה</w:t>
      </w:r>
      <w:r>
        <w:rPr>
          <w:rFonts w:hint="cs"/>
          <w:rtl/>
        </w:rPr>
        <w:t xml:space="preserve"> לאחר תיקון כתב האישום</w:t>
      </w:r>
      <w:r>
        <w:rPr>
          <w:rtl/>
        </w:rPr>
        <w:t xml:space="preserve"> ואת החרטה שביטא. הבאתי </w:t>
      </w:r>
      <w:r>
        <w:rPr>
          <w:rFonts w:hint="cs"/>
          <w:rtl/>
        </w:rPr>
        <w:t>גם</w:t>
      </w:r>
      <w:r>
        <w:rPr>
          <w:rtl/>
        </w:rPr>
        <w:t xml:space="preserve"> בחשבון את נסיבות חייו</w:t>
      </w:r>
      <w:r>
        <w:rPr>
          <w:rFonts w:hint="cs"/>
          <w:rtl/>
        </w:rPr>
        <w:t xml:space="preserve"> ויתר הנתונים כמפורט בתסקיר. כן הבאתי בחשבון תקופת מעצרו עד כה ואת הנזק שיגרם לו בשל עונש מאסר שיוטל עליו.</w:t>
      </w:r>
    </w:p>
    <w:p w14:paraId="7E05F29F" w14:textId="77777777" w:rsidR="00A115EA" w:rsidRPr="00886058" w:rsidRDefault="00A115EA" w:rsidP="00A115EA">
      <w:pPr>
        <w:pStyle w:val="a9"/>
        <w:rPr>
          <w:rtl/>
        </w:rPr>
      </w:pPr>
    </w:p>
    <w:p w14:paraId="4539BB91" w14:textId="77777777" w:rsidR="00A115EA" w:rsidRDefault="00A115EA" w:rsidP="00A115EA">
      <w:pPr>
        <w:pStyle w:val="a9"/>
        <w:numPr>
          <w:ilvl w:val="0"/>
          <w:numId w:val="1"/>
        </w:numPr>
        <w:spacing w:line="360" w:lineRule="auto"/>
        <w:jc w:val="both"/>
        <w:rPr>
          <w:rtl/>
        </w:rPr>
      </w:pPr>
      <w:r>
        <w:rPr>
          <w:rFonts w:hint="cs"/>
          <w:rtl/>
        </w:rPr>
        <w:t xml:space="preserve">בין יתר רכיבי הענישה, עתרה המאשימה לפסול את רישיונו של הנאשם, וזאת על סמך </w:t>
      </w:r>
      <w:hyperlink r:id="rId47" w:history="1">
        <w:r w:rsidR="00302076" w:rsidRPr="00302076">
          <w:rPr>
            <w:rStyle w:val="Hyperlink"/>
            <w:rFonts w:hint="eastAsia"/>
            <w:rtl/>
          </w:rPr>
          <w:t>סעיף</w:t>
        </w:r>
        <w:r w:rsidR="00302076" w:rsidRPr="00302076">
          <w:rPr>
            <w:rStyle w:val="Hyperlink"/>
            <w:rtl/>
          </w:rPr>
          <w:t xml:space="preserve"> 37א(א1)</w:t>
        </w:r>
      </w:hyperlink>
      <w:r>
        <w:rPr>
          <w:rFonts w:hint="cs"/>
          <w:rtl/>
        </w:rPr>
        <w:t xml:space="preserve"> לפקודת הסמים.  ההגנה מנגד טוענת כי מאחר ומדובר בהרשעה קודמת מבית המשפט לנוער, אזי אין חובת פסילה אך לא פירטה הטענה. מעיון בגיליון ההרשעות הקודמות עולה כי ביום 14.5.20 הורשע הנאשם בביצוע עבירה של החזקת סם לשימוש עצמי, לפי </w:t>
      </w:r>
      <w:hyperlink r:id="rId48" w:history="1">
        <w:r w:rsidR="00302076" w:rsidRPr="00302076">
          <w:rPr>
            <w:rStyle w:val="Hyperlink"/>
            <w:rFonts w:hint="eastAsia"/>
            <w:rtl/>
          </w:rPr>
          <w:t>סעיף</w:t>
        </w:r>
        <w:r w:rsidR="00302076" w:rsidRPr="00302076">
          <w:rPr>
            <w:rStyle w:val="Hyperlink"/>
            <w:rtl/>
          </w:rPr>
          <w:t xml:space="preserve"> 7(א)+7(ג)</w:t>
        </w:r>
      </w:hyperlink>
      <w:r>
        <w:rPr>
          <w:rFonts w:hint="cs"/>
          <w:rtl/>
        </w:rPr>
        <w:t xml:space="preserve"> סיפא לפקודת הסמים. ההרשעה היא אכן מבית המשפט לנוער אך מדובר בהרשעה לכל דבר ועניין, לרבות לצורך פסילת החובה כאמור </w:t>
      </w:r>
      <w:hyperlink r:id="rId49" w:history="1">
        <w:r w:rsidR="00302076" w:rsidRPr="00302076">
          <w:rPr>
            <w:rStyle w:val="Hyperlink"/>
            <w:rFonts w:hint="eastAsia"/>
            <w:rtl/>
          </w:rPr>
          <w:t>בסעיף</w:t>
        </w:r>
        <w:r w:rsidR="00302076" w:rsidRPr="00302076">
          <w:rPr>
            <w:rStyle w:val="Hyperlink"/>
            <w:rtl/>
          </w:rPr>
          <w:t xml:space="preserve"> 37א(א1).</w:t>
        </w:r>
      </w:hyperlink>
      <w:r>
        <w:rPr>
          <w:rFonts w:hint="cs"/>
          <w:rtl/>
        </w:rPr>
        <w:t xml:space="preserve"> בכל מקרה, הסמכות להורות על פסילת רישיון הנהיגה (רשות ולא חובה) קיימת הן בשל ההרשעה כעת בעבירת סמים (</w:t>
      </w:r>
      <w:hyperlink r:id="rId50" w:history="1">
        <w:r w:rsidR="00302076" w:rsidRPr="00302076">
          <w:rPr>
            <w:rStyle w:val="Hyperlink"/>
            <w:rFonts w:hint="eastAsia"/>
            <w:rtl/>
          </w:rPr>
          <w:t>סעיף</w:t>
        </w:r>
        <w:r w:rsidR="00302076" w:rsidRPr="00302076">
          <w:rPr>
            <w:rStyle w:val="Hyperlink"/>
            <w:rtl/>
          </w:rPr>
          <w:t xml:space="preserve"> 37א(א)</w:t>
        </w:r>
      </w:hyperlink>
      <w:r>
        <w:rPr>
          <w:rFonts w:hint="cs"/>
          <w:rtl/>
        </w:rPr>
        <w:t xml:space="preserve"> לפקודת הסמים) והן בשל ההרשעה בעבירה של גניבת רכב (</w:t>
      </w:r>
      <w:hyperlink r:id="rId51" w:history="1">
        <w:r w:rsidR="00302076" w:rsidRPr="00302076">
          <w:rPr>
            <w:rStyle w:val="Hyperlink"/>
            <w:rFonts w:hint="eastAsia"/>
            <w:rtl/>
          </w:rPr>
          <w:t>סעיף</w:t>
        </w:r>
        <w:r w:rsidR="00302076" w:rsidRPr="00302076">
          <w:rPr>
            <w:rStyle w:val="Hyperlink"/>
            <w:rtl/>
          </w:rPr>
          <w:t xml:space="preserve">  413יב'</w:t>
        </w:r>
      </w:hyperlink>
      <w:r>
        <w:rPr>
          <w:rFonts w:hint="cs"/>
          <w:rtl/>
        </w:rPr>
        <w:t xml:space="preserve"> ל</w:t>
      </w:r>
      <w:hyperlink r:id="rId52" w:history="1">
        <w:r w:rsidR="00300315" w:rsidRPr="00300315">
          <w:rPr>
            <w:color w:val="0000FF"/>
            <w:u w:val="single"/>
            <w:rtl/>
          </w:rPr>
          <w:t>חוק העונשין</w:t>
        </w:r>
      </w:hyperlink>
      <w:r>
        <w:rPr>
          <w:rFonts w:hint="cs"/>
          <w:rtl/>
        </w:rPr>
        <w:t>). בנסיבות העניין, לאור מהות העבירות שעבר הנאשם, האמור בתסקיר ועברו הפלילי, ראוי להורות גם על פסילת רישיון בפועל.</w:t>
      </w:r>
    </w:p>
    <w:p w14:paraId="52DD829D" w14:textId="77777777" w:rsidR="00A115EA" w:rsidRDefault="00A115EA" w:rsidP="00A115EA">
      <w:pPr>
        <w:pStyle w:val="a9"/>
        <w:rPr>
          <w:rtl/>
        </w:rPr>
      </w:pPr>
    </w:p>
    <w:p w14:paraId="16E8B22E" w14:textId="77777777" w:rsidR="00A115EA" w:rsidRDefault="00A115EA" w:rsidP="00A115EA">
      <w:pPr>
        <w:pStyle w:val="a9"/>
        <w:numPr>
          <w:ilvl w:val="0"/>
          <w:numId w:val="1"/>
        </w:numPr>
        <w:spacing w:line="360" w:lineRule="auto"/>
        <w:jc w:val="both"/>
        <w:rPr>
          <w:rFonts w:ascii="David" w:hAnsi="David"/>
        </w:rPr>
      </w:pPr>
      <w:r w:rsidRPr="00370D52">
        <w:rPr>
          <w:rFonts w:ascii="David" w:hAnsi="David"/>
          <w:rtl/>
        </w:rPr>
        <w:t>סיכומו של דבר, לאחר שבחנתי את מכלול</w:t>
      </w:r>
      <w:r>
        <w:rPr>
          <w:rFonts w:ascii="David" w:hAnsi="David"/>
          <w:rtl/>
        </w:rPr>
        <w:t xml:space="preserve"> השיקולים, הן לקולה והן לחומרה,</w:t>
      </w:r>
      <w:r w:rsidRPr="00370D52">
        <w:rPr>
          <w:rFonts w:ascii="David" w:hAnsi="David"/>
          <w:rtl/>
        </w:rPr>
        <w:t xml:space="preserve"> אני מטיל על הנאשם את העונשים הבאים:</w:t>
      </w:r>
    </w:p>
    <w:p w14:paraId="78084CD3" w14:textId="77777777" w:rsidR="00A115EA" w:rsidRDefault="00A115EA" w:rsidP="00A115EA">
      <w:pPr>
        <w:pStyle w:val="a9"/>
        <w:spacing w:line="360" w:lineRule="auto"/>
        <w:ind w:left="0"/>
        <w:jc w:val="both"/>
        <w:rPr>
          <w:rFonts w:ascii="David" w:hAnsi="David"/>
          <w:rtl/>
        </w:rPr>
      </w:pPr>
    </w:p>
    <w:p w14:paraId="71782ABE" w14:textId="77777777" w:rsidR="00A115EA" w:rsidRDefault="00A115EA" w:rsidP="00A115EA">
      <w:pPr>
        <w:pStyle w:val="a9"/>
        <w:numPr>
          <w:ilvl w:val="0"/>
          <w:numId w:val="2"/>
        </w:numPr>
        <w:spacing w:line="360" w:lineRule="auto"/>
        <w:jc w:val="both"/>
        <w:rPr>
          <w:rFonts w:ascii="David" w:hAnsi="David"/>
        </w:rPr>
      </w:pPr>
      <w:r>
        <w:rPr>
          <w:rFonts w:hint="cs"/>
          <w:b/>
          <w:bCs/>
          <w:rtl/>
        </w:rPr>
        <w:t>14</w:t>
      </w:r>
      <w:r>
        <w:rPr>
          <w:b/>
          <w:bCs/>
          <w:rtl/>
        </w:rPr>
        <w:t xml:space="preserve"> חודשי מאסר בפועל</w:t>
      </w:r>
      <w:r>
        <w:rPr>
          <w:rFonts w:hint="cs"/>
          <w:rtl/>
        </w:rPr>
        <w:t>,</w:t>
      </w:r>
      <w:r>
        <w:rPr>
          <w:rFonts w:hint="cs"/>
          <w:b/>
          <w:bCs/>
          <w:rtl/>
        </w:rPr>
        <w:t xml:space="preserve"> </w:t>
      </w:r>
      <w:r>
        <w:rPr>
          <w:rFonts w:hint="cs"/>
          <w:rtl/>
        </w:rPr>
        <w:t>החל מיום מעצרו 19.2.20</w:t>
      </w:r>
    </w:p>
    <w:p w14:paraId="2A0CB10A" w14:textId="77777777" w:rsidR="00A115EA" w:rsidRPr="00D0437F" w:rsidRDefault="00A115EA" w:rsidP="00A115EA">
      <w:pPr>
        <w:spacing w:line="360" w:lineRule="auto"/>
        <w:jc w:val="both"/>
        <w:rPr>
          <w:rFonts w:ascii="David" w:hAnsi="David"/>
        </w:rPr>
      </w:pPr>
    </w:p>
    <w:p w14:paraId="43F08368" w14:textId="77777777" w:rsidR="00A115EA" w:rsidRDefault="00A115EA" w:rsidP="00A115EA">
      <w:pPr>
        <w:pStyle w:val="a9"/>
        <w:numPr>
          <w:ilvl w:val="0"/>
          <w:numId w:val="2"/>
        </w:numPr>
        <w:spacing w:line="360" w:lineRule="auto"/>
        <w:jc w:val="both"/>
        <w:rPr>
          <w:rFonts w:ascii="David" w:hAnsi="David"/>
        </w:rPr>
      </w:pPr>
      <w:r w:rsidRPr="00055DDC">
        <w:rPr>
          <w:b/>
          <w:bCs/>
          <w:rtl/>
        </w:rPr>
        <w:t xml:space="preserve">מאסר על תנאי למשך </w:t>
      </w:r>
      <w:r>
        <w:rPr>
          <w:b/>
          <w:bCs/>
          <w:rtl/>
        </w:rPr>
        <w:t>6</w:t>
      </w:r>
      <w:r w:rsidRPr="00055DDC">
        <w:rPr>
          <w:b/>
          <w:bCs/>
          <w:rtl/>
        </w:rPr>
        <w:t xml:space="preserve"> חודשים</w:t>
      </w:r>
      <w:r w:rsidRPr="00564F56">
        <w:rPr>
          <w:rtl/>
        </w:rPr>
        <w:t xml:space="preserve"> והתנאי הוא שהנאשם לא יעבור במשך שלוש שנים כל עביר</w:t>
      </w:r>
      <w:r>
        <w:rPr>
          <w:rtl/>
        </w:rPr>
        <w:t xml:space="preserve">ה שעניינה שליחת יד ברכושו של הזולת. למען הסר ספק, עבירה לפי </w:t>
      </w:r>
      <w:hyperlink r:id="rId53" w:history="1">
        <w:r w:rsidR="00302076" w:rsidRPr="00302076">
          <w:rPr>
            <w:rStyle w:val="Hyperlink"/>
            <w:rtl/>
          </w:rPr>
          <w:t>סעיף 413</w:t>
        </w:r>
      </w:hyperlink>
      <w:r>
        <w:rPr>
          <w:rtl/>
        </w:rPr>
        <w:t xml:space="preserve"> ל</w:t>
      </w:r>
      <w:hyperlink r:id="rId54" w:history="1">
        <w:r w:rsidR="00300315" w:rsidRPr="00300315">
          <w:rPr>
            <w:color w:val="0000FF"/>
            <w:u w:val="single"/>
            <w:rtl/>
          </w:rPr>
          <w:t>חוק העונשין</w:t>
        </w:r>
      </w:hyperlink>
      <w:r>
        <w:rPr>
          <w:rtl/>
        </w:rPr>
        <w:t xml:space="preserve"> אינה נכללת בגדרי עבירות התנאי.</w:t>
      </w:r>
    </w:p>
    <w:p w14:paraId="7CEDFE26" w14:textId="77777777" w:rsidR="00A115EA" w:rsidRPr="004E1415" w:rsidRDefault="00A115EA" w:rsidP="00A115EA">
      <w:pPr>
        <w:pStyle w:val="a9"/>
        <w:spacing w:line="360" w:lineRule="auto"/>
        <w:ind w:left="1440"/>
        <w:jc w:val="both"/>
        <w:rPr>
          <w:rFonts w:ascii="David" w:hAnsi="David"/>
        </w:rPr>
      </w:pPr>
    </w:p>
    <w:p w14:paraId="513C020C" w14:textId="77777777" w:rsidR="00A115EA" w:rsidRDefault="00A115EA" w:rsidP="00A115EA">
      <w:pPr>
        <w:pStyle w:val="a9"/>
        <w:numPr>
          <w:ilvl w:val="0"/>
          <w:numId w:val="2"/>
        </w:numPr>
        <w:spacing w:line="360" w:lineRule="auto"/>
        <w:jc w:val="both"/>
        <w:rPr>
          <w:rFonts w:ascii="David" w:hAnsi="David"/>
        </w:rPr>
      </w:pPr>
      <w:r>
        <w:rPr>
          <w:rFonts w:ascii="Calibri" w:hAnsi="Calibri" w:hint="eastAsia"/>
          <w:rtl/>
        </w:rPr>
        <w:t>אני</w:t>
      </w:r>
      <w:r>
        <w:rPr>
          <w:rFonts w:ascii="Calibri" w:hAnsi="Calibri"/>
          <w:rtl/>
        </w:rPr>
        <w:t xml:space="preserve"> </w:t>
      </w:r>
      <w:r>
        <w:rPr>
          <w:rFonts w:ascii="Calibri" w:hAnsi="Calibri" w:hint="eastAsia"/>
          <w:rtl/>
        </w:rPr>
        <w:t>מחייב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לפצות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המתלוננ</w:t>
      </w:r>
      <w:r>
        <w:rPr>
          <w:rFonts w:ascii="Calibri" w:hAnsi="Calibri" w:hint="cs"/>
          <w:rtl/>
        </w:rPr>
        <w:t>ים</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ת</w:t>
      </w:r>
      <w:r>
        <w:rPr>
          <w:rFonts w:ascii="Calibri" w:hAnsi="Calibri"/>
          <w:rtl/>
        </w:rPr>
        <w:t xml:space="preserve"> </w:t>
      </w:r>
      <w:r>
        <w:rPr>
          <w:rFonts w:ascii="Calibri" w:hAnsi="Calibri" w:hint="eastAsia"/>
          <w:rtl/>
        </w:rPr>
        <w:t>מס</w:t>
      </w:r>
      <w:r>
        <w:rPr>
          <w:rFonts w:ascii="Calibri" w:hAnsi="Calibri"/>
          <w:rtl/>
        </w:rPr>
        <w:t xml:space="preserve">' </w:t>
      </w:r>
      <w:r>
        <w:rPr>
          <w:rFonts w:ascii="Calibri" w:hAnsi="Calibri" w:hint="cs"/>
          <w:rtl/>
        </w:rPr>
        <w:t>3+</w:t>
      </w:r>
      <w:r>
        <w:rPr>
          <w:rFonts w:ascii="Calibri" w:hAnsi="Calibri"/>
          <w:rtl/>
        </w:rPr>
        <w:t xml:space="preserve">2, </w:t>
      </w:r>
      <w:r>
        <w:rPr>
          <w:rFonts w:ascii="Calibri" w:hAnsi="Calibri" w:hint="eastAsia"/>
          <w:rtl/>
        </w:rPr>
        <w:t>בסך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cs"/>
          <w:rtl/>
        </w:rPr>
        <w:t>2</w:t>
      </w:r>
      <w:r>
        <w:rPr>
          <w:rFonts w:ascii="Calibri" w:hAnsi="Calibri"/>
          <w:rtl/>
        </w:rPr>
        <w:t xml:space="preserve">,000 </w:t>
      </w:r>
      <w:r>
        <w:rPr>
          <w:rFonts w:ascii="Calibri" w:hAnsi="Calibri" w:hint="eastAsia"/>
          <w:rtl/>
        </w:rPr>
        <w:t>₪</w:t>
      </w:r>
      <w:r>
        <w:rPr>
          <w:rFonts w:ascii="Calibri" w:hAnsi="Calibri" w:hint="cs"/>
          <w:rtl/>
        </w:rPr>
        <w:t xml:space="preserve"> (לשניהם ביחד)</w:t>
      </w:r>
      <w:r>
        <w:rPr>
          <w:rFonts w:ascii="Calibri" w:hAnsi="Calibri"/>
          <w:rtl/>
        </w:rPr>
        <w:t xml:space="preserve">. </w:t>
      </w:r>
      <w:r>
        <w:rPr>
          <w:rFonts w:ascii="Calibri" w:hAnsi="Calibri" w:hint="eastAsia"/>
          <w:rtl/>
        </w:rPr>
        <w:t>הפיצוי</w:t>
      </w:r>
      <w:r>
        <w:rPr>
          <w:rFonts w:ascii="Calibri" w:hAnsi="Calibri"/>
          <w:rtl/>
        </w:rPr>
        <w:t xml:space="preserve"> </w:t>
      </w:r>
      <w:r>
        <w:rPr>
          <w:rFonts w:ascii="Calibri" w:hAnsi="Calibri" w:hint="eastAsia"/>
          <w:rtl/>
        </w:rPr>
        <w:t>ישולם</w:t>
      </w:r>
      <w:r>
        <w:rPr>
          <w:rFonts w:ascii="Calibri" w:hAnsi="Calibri"/>
          <w:rtl/>
        </w:rPr>
        <w:t xml:space="preserve"> </w:t>
      </w:r>
      <w:r>
        <w:rPr>
          <w:rFonts w:ascii="Calibri" w:hAnsi="Calibri" w:hint="cs"/>
          <w:rtl/>
        </w:rPr>
        <w:t xml:space="preserve">בתוך 120 יום. </w:t>
      </w:r>
      <w:r>
        <w:rPr>
          <w:rFonts w:ascii="Calibri" w:hAnsi="Calibri" w:hint="eastAsia"/>
          <w:rtl/>
        </w:rPr>
        <w:t>המאשימה</w:t>
      </w:r>
      <w:r>
        <w:rPr>
          <w:rFonts w:ascii="Calibri" w:hAnsi="Calibri"/>
          <w:rtl/>
        </w:rPr>
        <w:t xml:space="preserve"> </w:t>
      </w:r>
      <w:r>
        <w:rPr>
          <w:rFonts w:ascii="Calibri" w:hAnsi="Calibri" w:hint="eastAsia"/>
          <w:rtl/>
        </w:rPr>
        <w:t>תמציא</w:t>
      </w:r>
      <w:r>
        <w:rPr>
          <w:rFonts w:ascii="Calibri" w:hAnsi="Calibri"/>
          <w:rtl/>
        </w:rPr>
        <w:t xml:space="preserve"> </w:t>
      </w:r>
      <w:r>
        <w:rPr>
          <w:rFonts w:ascii="Calibri" w:hAnsi="Calibri" w:hint="eastAsia"/>
          <w:rtl/>
        </w:rPr>
        <w:t>למזכירות</w:t>
      </w:r>
      <w:r>
        <w:rPr>
          <w:rFonts w:ascii="Calibri" w:hAnsi="Calibri"/>
          <w:rtl/>
        </w:rPr>
        <w:t xml:space="preserve"> </w:t>
      </w:r>
      <w:r>
        <w:rPr>
          <w:rFonts w:ascii="Calibri" w:hAnsi="Calibri" w:hint="eastAsia"/>
          <w:rtl/>
        </w:rPr>
        <w:t>בתוך</w:t>
      </w:r>
      <w:r>
        <w:rPr>
          <w:rFonts w:ascii="Calibri" w:hAnsi="Calibri"/>
          <w:rtl/>
        </w:rPr>
        <w:t xml:space="preserve"> 30 </w:t>
      </w:r>
      <w:r>
        <w:rPr>
          <w:rFonts w:ascii="Calibri" w:hAnsi="Calibri" w:hint="eastAsia"/>
          <w:rtl/>
        </w:rPr>
        <w:t>יום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פרטי</w:t>
      </w:r>
      <w:r>
        <w:rPr>
          <w:rFonts w:ascii="Calibri" w:hAnsi="Calibri"/>
          <w:rtl/>
        </w:rPr>
        <w:t xml:space="preserve"> </w:t>
      </w:r>
      <w:r>
        <w:rPr>
          <w:rFonts w:ascii="Calibri" w:hAnsi="Calibri" w:hint="eastAsia"/>
          <w:rtl/>
        </w:rPr>
        <w:t>המתלוננ</w:t>
      </w:r>
      <w:r>
        <w:rPr>
          <w:rFonts w:ascii="Calibri" w:hAnsi="Calibri" w:hint="cs"/>
          <w:rtl/>
        </w:rPr>
        <w:t>ים</w:t>
      </w:r>
      <w:r>
        <w:rPr>
          <w:rFonts w:ascii="Calibri" w:hAnsi="Calibri"/>
          <w:rtl/>
        </w:rPr>
        <w:t xml:space="preserve"> </w:t>
      </w:r>
      <w:r>
        <w:rPr>
          <w:rFonts w:ascii="Calibri" w:hAnsi="Calibri" w:hint="eastAsia"/>
          <w:rtl/>
        </w:rPr>
        <w:t>ותביא</w:t>
      </w:r>
      <w:r>
        <w:rPr>
          <w:rFonts w:ascii="Calibri" w:hAnsi="Calibri"/>
          <w:rtl/>
        </w:rPr>
        <w:t xml:space="preserve"> </w:t>
      </w:r>
      <w:r>
        <w:rPr>
          <w:rFonts w:ascii="Calibri" w:hAnsi="Calibri" w:hint="eastAsia"/>
          <w:rtl/>
        </w:rPr>
        <w:t>לידיעת</w:t>
      </w:r>
      <w:r>
        <w:rPr>
          <w:rFonts w:ascii="Calibri" w:hAnsi="Calibri" w:hint="cs"/>
          <w:rtl/>
        </w:rPr>
        <w:t>ם</w:t>
      </w:r>
      <w:r>
        <w:rPr>
          <w:rFonts w:ascii="Calibri" w:hAnsi="Calibri"/>
          <w:rtl/>
        </w:rPr>
        <w:t xml:space="preserve"> </w:t>
      </w:r>
      <w:r>
        <w:rPr>
          <w:rFonts w:ascii="Calibri" w:hAnsi="Calibri" w:hint="eastAsia"/>
          <w:rtl/>
        </w:rPr>
        <w:t>תוכנו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גזר</w:t>
      </w:r>
      <w:r>
        <w:rPr>
          <w:rFonts w:ascii="Calibri" w:hAnsi="Calibri"/>
          <w:rtl/>
        </w:rPr>
        <w:t xml:space="preserve"> </w:t>
      </w:r>
      <w:r>
        <w:rPr>
          <w:rFonts w:ascii="Calibri" w:hAnsi="Calibri" w:hint="eastAsia"/>
          <w:rtl/>
        </w:rPr>
        <w:t>הדין</w:t>
      </w:r>
      <w:r>
        <w:rPr>
          <w:rFonts w:ascii="Calibri" w:hAnsi="Calibri"/>
          <w:rtl/>
        </w:rPr>
        <w:t>.</w:t>
      </w:r>
    </w:p>
    <w:p w14:paraId="06276526" w14:textId="77777777" w:rsidR="00A115EA" w:rsidRPr="000B5D4B" w:rsidRDefault="00A115EA" w:rsidP="00A115EA">
      <w:pPr>
        <w:pStyle w:val="a9"/>
        <w:spacing w:line="360" w:lineRule="auto"/>
        <w:ind w:left="1440"/>
        <w:jc w:val="both"/>
        <w:rPr>
          <w:rFonts w:ascii="David" w:hAnsi="David"/>
        </w:rPr>
      </w:pPr>
    </w:p>
    <w:p w14:paraId="30600DAA" w14:textId="77777777" w:rsidR="00A115EA" w:rsidRPr="0055675C" w:rsidRDefault="00A115EA" w:rsidP="00A115EA">
      <w:pPr>
        <w:pStyle w:val="a9"/>
        <w:numPr>
          <w:ilvl w:val="0"/>
          <w:numId w:val="2"/>
        </w:numPr>
        <w:spacing w:line="360" w:lineRule="auto"/>
        <w:jc w:val="both"/>
        <w:rPr>
          <w:rFonts w:ascii="David" w:hAnsi="David"/>
          <w:rtl/>
        </w:rPr>
      </w:pPr>
      <w:r w:rsidRPr="0055675C">
        <w:rPr>
          <w:rFonts w:ascii="David" w:hAnsi="David"/>
          <w:rtl/>
        </w:rPr>
        <w:t xml:space="preserve">אני פוסל את הנאשם מלקבל או להחזיק רישיון נהיגה וזאת לתקופה של </w:t>
      </w:r>
      <w:r>
        <w:rPr>
          <w:rFonts w:ascii="David" w:hAnsi="David" w:hint="cs"/>
          <w:rtl/>
        </w:rPr>
        <w:t>12</w:t>
      </w:r>
      <w:r w:rsidRPr="0055675C">
        <w:rPr>
          <w:rFonts w:ascii="David" w:hAnsi="David"/>
          <w:rtl/>
        </w:rPr>
        <w:t xml:space="preserve"> חודשים.</w:t>
      </w:r>
      <w:r>
        <w:rPr>
          <w:rFonts w:ascii="David" w:hAnsi="David" w:hint="cs"/>
          <w:rtl/>
        </w:rPr>
        <w:t xml:space="preserve"> </w:t>
      </w:r>
    </w:p>
    <w:p w14:paraId="6FF908B3" w14:textId="77777777" w:rsidR="00A115EA" w:rsidRDefault="00A115EA" w:rsidP="00A115EA">
      <w:pPr>
        <w:pStyle w:val="a9"/>
        <w:spacing w:line="360" w:lineRule="auto"/>
        <w:ind w:left="1440"/>
        <w:jc w:val="both"/>
        <w:rPr>
          <w:rFonts w:ascii="David" w:hAnsi="David"/>
        </w:rPr>
      </w:pPr>
    </w:p>
    <w:p w14:paraId="3FCFA1FB" w14:textId="77777777" w:rsidR="00A115EA" w:rsidRPr="00CD0E2A" w:rsidRDefault="00A115EA" w:rsidP="00A115EA">
      <w:pPr>
        <w:spacing w:line="360" w:lineRule="auto"/>
        <w:ind w:firstLine="720"/>
        <w:jc w:val="both"/>
        <w:rPr>
          <w:b/>
          <w:bCs/>
          <w:rtl/>
        </w:rPr>
      </w:pPr>
      <w:r w:rsidRPr="00CD0E2A">
        <w:rPr>
          <w:rFonts w:hint="cs"/>
          <w:b/>
          <w:bCs/>
          <w:rtl/>
        </w:rPr>
        <w:t xml:space="preserve">מוצגים- סמים- להשמיד. </w:t>
      </w:r>
    </w:p>
    <w:p w14:paraId="1B85E3D7" w14:textId="77777777" w:rsidR="00A115EA" w:rsidRPr="00CD0E2A" w:rsidRDefault="00A115EA" w:rsidP="00A115EA">
      <w:pPr>
        <w:spacing w:line="360" w:lineRule="auto"/>
        <w:ind w:firstLine="720"/>
        <w:jc w:val="both"/>
        <w:rPr>
          <w:b/>
          <w:bCs/>
          <w:rtl/>
        </w:rPr>
      </w:pPr>
      <w:r w:rsidRPr="00CD0E2A">
        <w:rPr>
          <w:b/>
          <w:bCs/>
          <w:rtl/>
        </w:rPr>
        <w:t>הודע</w:t>
      </w:r>
      <w:r>
        <w:rPr>
          <w:rFonts w:hint="cs"/>
          <w:b/>
          <w:bCs/>
          <w:rtl/>
        </w:rPr>
        <w:t>ה</w:t>
      </w:r>
      <w:r w:rsidRPr="00CD0E2A">
        <w:rPr>
          <w:b/>
          <w:bCs/>
          <w:rtl/>
        </w:rPr>
        <w:t xml:space="preserve"> זכות ערעור לבית המשפט המחוזי בתוך 45 יום. </w:t>
      </w:r>
    </w:p>
    <w:p w14:paraId="7A8277C8" w14:textId="77777777" w:rsidR="00A115EA" w:rsidRDefault="00A115EA" w:rsidP="00A115EA">
      <w:pPr>
        <w:spacing w:line="360" w:lineRule="auto"/>
        <w:jc w:val="both"/>
        <w:rPr>
          <w:b/>
          <w:bCs/>
          <w:u w:val="single"/>
          <w:rtl/>
        </w:rPr>
      </w:pPr>
    </w:p>
    <w:p w14:paraId="7A3A3B33" w14:textId="77777777" w:rsidR="00A115EA" w:rsidRPr="00300315" w:rsidRDefault="00300315" w:rsidP="00A115EA">
      <w:pPr>
        <w:rPr>
          <w:color w:val="FFFFFF"/>
          <w:sz w:val="2"/>
          <w:szCs w:val="2"/>
          <w:rtl/>
        </w:rPr>
      </w:pPr>
      <w:r w:rsidRPr="00300315">
        <w:rPr>
          <w:color w:val="FFFFFF"/>
          <w:sz w:val="2"/>
          <w:szCs w:val="2"/>
          <w:rtl/>
        </w:rPr>
        <w:t>5129371</w:t>
      </w:r>
    </w:p>
    <w:p w14:paraId="26FE03FF" w14:textId="77777777" w:rsidR="00A115EA" w:rsidRDefault="00300315" w:rsidP="00A115EA">
      <w:pPr>
        <w:rPr>
          <w:rFonts w:cs="FrankRuehl"/>
          <w:sz w:val="28"/>
          <w:szCs w:val="28"/>
          <w:rtl/>
        </w:rPr>
      </w:pPr>
      <w:bookmarkStart w:id="7" w:name="Nitan"/>
      <w:r w:rsidRPr="00300315">
        <w:rPr>
          <w:rFonts w:ascii="Arial" w:hAnsi="Arial"/>
          <w:color w:val="FFFFFF"/>
          <w:sz w:val="2"/>
          <w:szCs w:val="2"/>
          <w:rtl/>
        </w:rPr>
        <w:t>54678313</w:t>
      </w:r>
      <w:r>
        <w:rPr>
          <w:rFonts w:ascii="Arial" w:hAnsi="Arial"/>
          <w:rtl/>
        </w:rPr>
        <w:t xml:space="preserve">ניתן היום,  כ"ח אלול תש"פ, 17 ספטמבר 2020, במעמד הצדדים. </w:t>
      </w:r>
      <w:bookmarkEnd w:id="7"/>
    </w:p>
    <w:p w14:paraId="79EC19D6" w14:textId="77777777" w:rsidR="00A115EA" w:rsidRDefault="00A115EA" w:rsidP="0030031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1A81C87" w14:textId="77777777" w:rsidR="00A115EA" w:rsidRDefault="00A115EA" w:rsidP="00A115EA">
      <w:pPr>
        <w:jc w:val="center"/>
        <w:rPr>
          <w:rFonts w:ascii="Arial" w:hAnsi="Arial" w:cs="FrankRuehl"/>
          <w:sz w:val="28"/>
          <w:szCs w:val="28"/>
          <w:rtl/>
        </w:rPr>
      </w:pPr>
    </w:p>
    <w:p w14:paraId="595B5590" w14:textId="77777777" w:rsidR="00A115EA" w:rsidRDefault="00A115EA" w:rsidP="00A115EA">
      <w:pPr>
        <w:rPr>
          <w:rFonts w:cs="FrankRuehl"/>
          <w:sz w:val="28"/>
          <w:szCs w:val="28"/>
          <w:rtl/>
        </w:rPr>
      </w:pPr>
    </w:p>
    <w:p w14:paraId="1FEE4C28" w14:textId="77777777" w:rsidR="00A115EA" w:rsidRDefault="00A115EA" w:rsidP="00A115EA">
      <w:pPr>
        <w:pStyle w:val="a3"/>
        <w:jc w:val="center"/>
        <w:rPr>
          <w:rtl/>
        </w:rPr>
      </w:pPr>
    </w:p>
    <w:p w14:paraId="13EC6204" w14:textId="77777777" w:rsidR="008F1803" w:rsidRPr="00300315" w:rsidRDefault="008F1803" w:rsidP="00300315">
      <w:pPr>
        <w:keepNext/>
        <w:rPr>
          <w:rFonts w:ascii="David" w:hAnsi="David"/>
          <w:color w:val="000000"/>
          <w:sz w:val="22"/>
          <w:szCs w:val="22"/>
          <w:rtl/>
        </w:rPr>
      </w:pPr>
    </w:p>
    <w:p w14:paraId="6E78F1DE" w14:textId="77777777" w:rsidR="00300315" w:rsidRPr="00300315" w:rsidRDefault="00300315" w:rsidP="00300315">
      <w:pPr>
        <w:keepNext/>
        <w:rPr>
          <w:rFonts w:ascii="David" w:hAnsi="David"/>
          <w:color w:val="000000"/>
          <w:sz w:val="22"/>
          <w:szCs w:val="22"/>
          <w:rtl/>
        </w:rPr>
      </w:pPr>
      <w:r w:rsidRPr="00300315">
        <w:rPr>
          <w:rFonts w:ascii="David" w:hAnsi="David"/>
          <w:color w:val="000000"/>
          <w:sz w:val="22"/>
          <w:szCs w:val="22"/>
          <w:rtl/>
        </w:rPr>
        <w:t>יוסי טורס 54678313</w:t>
      </w:r>
    </w:p>
    <w:p w14:paraId="30E3B741" w14:textId="77777777" w:rsidR="00300315" w:rsidRDefault="00300315" w:rsidP="00300315">
      <w:r w:rsidRPr="00300315">
        <w:rPr>
          <w:color w:val="000000"/>
          <w:rtl/>
        </w:rPr>
        <w:t>נוסח מסמך זה כפוף לשינויי ניסוח ועריכה</w:t>
      </w:r>
    </w:p>
    <w:p w14:paraId="2AF9F7C8" w14:textId="77777777" w:rsidR="00300315" w:rsidRDefault="00300315" w:rsidP="00300315">
      <w:pPr>
        <w:rPr>
          <w:rtl/>
        </w:rPr>
      </w:pPr>
    </w:p>
    <w:p w14:paraId="52A36BDA" w14:textId="77777777" w:rsidR="00300315" w:rsidRDefault="00300315" w:rsidP="00300315">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626D6CE0" w14:textId="77777777" w:rsidR="00300315" w:rsidRPr="00300315" w:rsidRDefault="00300315" w:rsidP="00300315">
      <w:pPr>
        <w:jc w:val="center"/>
        <w:rPr>
          <w:color w:val="0000FF"/>
          <w:u w:val="single"/>
        </w:rPr>
      </w:pPr>
    </w:p>
    <w:sectPr w:rsidR="00300315" w:rsidRPr="00300315" w:rsidSect="00300315">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6AF5B" w14:textId="77777777" w:rsidR="00640D1F" w:rsidRDefault="00640D1F" w:rsidP="008B11DC">
      <w:r>
        <w:separator/>
      </w:r>
    </w:p>
  </w:endnote>
  <w:endnote w:type="continuationSeparator" w:id="0">
    <w:p w14:paraId="3A341219" w14:textId="77777777" w:rsidR="00640D1F" w:rsidRDefault="00640D1F" w:rsidP="008B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43A19" w14:textId="77777777" w:rsidR="00300315" w:rsidRDefault="00300315" w:rsidP="0030031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BD58468" w14:textId="77777777" w:rsidR="00D00B0A" w:rsidRPr="00300315" w:rsidRDefault="00300315" w:rsidP="0030031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B6060" w14:textId="77777777" w:rsidR="00300315" w:rsidRDefault="00300315" w:rsidP="0030031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60DDF">
      <w:rPr>
        <w:rFonts w:ascii="FrankRuehl" w:hAnsi="FrankRuehl" w:cs="FrankRuehl"/>
        <w:noProof/>
        <w:rtl/>
      </w:rPr>
      <w:t>1</w:t>
    </w:r>
    <w:r>
      <w:rPr>
        <w:rFonts w:ascii="FrankRuehl" w:hAnsi="FrankRuehl" w:cs="FrankRuehl"/>
        <w:rtl/>
      </w:rPr>
      <w:fldChar w:fldCharType="end"/>
    </w:r>
  </w:p>
  <w:p w14:paraId="002CE9FE" w14:textId="77777777" w:rsidR="00D00B0A" w:rsidRPr="00300315" w:rsidRDefault="00300315" w:rsidP="0030031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B82B8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E8C0B" w14:textId="77777777" w:rsidR="00640D1F" w:rsidRDefault="00640D1F" w:rsidP="008B11DC">
      <w:r>
        <w:separator/>
      </w:r>
    </w:p>
  </w:footnote>
  <w:footnote w:type="continuationSeparator" w:id="0">
    <w:p w14:paraId="6AA5DE96" w14:textId="77777777" w:rsidR="00640D1F" w:rsidRDefault="00640D1F" w:rsidP="008B1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53474" w14:textId="77777777" w:rsidR="00300315" w:rsidRPr="00300315" w:rsidRDefault="00300315" w:rsidP="003003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988-03-20</w:t>
    </w:r>
    <w:r>
      <w:rPr>
        <w:rFonts w:ascii="David" w:hAnsi="David"/>
        <w:color w:val="000000"/>
        <w:sz w:val="22"/>
        <w:szCs w:val="22"/>
        <w:rtl/>
      </w:rPr>
      <w:tab/>
      <w:t xml:space="preserve"> משטרת ישראל תביעות- שלוחת זבולון נ' יוסף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80B22" w14:textId="77777777" w:rsidR="00300315" w:rsidRPr="00300315" w:rsidRDefault="00300315" w:rsidP="003003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988-03-20</w:t>
    </w:r>
    <w:r>
      <w:rPr>
        <w:rFonts w:ascii="David" w:hAnsi="David"/>
        <w:color w:val="000000"/>
        <w:sz w:val="22"/>
        <w:szCs w:val="22"/>
        <w:rtl/>
      </w:rPr>
      <w:tab/>
      <w:t xml:space="preserve"> משטרת ישראל תביעות- שלוחת זבולון נ' יוסף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8F3C5A"/>
    <w:multiLevelType w:val="hybridMultilevel"/>
    <w:tmpl w:val="ED58F7F2"/>
    <w:lvl w:ilvl="0" w:tplc="C6D8E12A">
      <w:start w:val="1"/>
      <w:numFmt w:val="decimal"/>
      <w:lvlText w:val="%1."/>
      <w:lvlJc w:val="left"/>
      <w:pPr>
        <w:tabs>
          <w:tab w:val="num" w:pos="567"/>
        </w:tabs>
        <w:ind w:left="0" w:firstLine="0"/>
      </w:pPr>
      <w:rPr>
        <w:rFonts w:ascii="David" w:hAnsi="David"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117CE7"/>
    <w:multiLevelType w:val="hybridMultilevel"/>
    <w:tmpl w:val="014872C2"/>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17994596">
    <w:abstractNumId w:val="0"/>
  </w:num>
  <w:num w:numId="2" w16cid:durableId="214969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15EA"/>
    <w:rsid w:val="001607D9"/>
    <w:rsid w:val="00300315"/>
    <w:rsid w:val="00302076"/>
    <w:rsid w:val="00384FBD"/>
    <w:rsid w:val="00432307"/>
    <w:rsid w:val="00640D1F"/>
    <w:rsid w:val="00760DDF"/>
    <w:rsid w:val="00762DB4"/>
    <w:rsid w:val="00885675"/>
    <w:rsid w:val="008B11DC"/>
    <w:rsid w:val="008F1803"/>
    <w:rsid w:val="00A115EA"/>
    <w:rsid w:val="00B71A70"/>
    <w:rsid w:val="00C501AB"/>
    <w:rsid w:val="00D00B0A"/>
    <w:rsid w:val="00DD573B"/>
    <w:rsid w:val="00E92C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F869C5"/>
  <w15:chartTrackingRefBased/>
  <w15:docId w15:val="{48209359-016B-4CAD-8F6B-ED9285E2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15E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115EA"/>
    <w:pPr>
      <w:tabs>
        <w:tab w:val="center" w:pos="4153"/>
        <w:tab w:val="right" w:pos="8306"/>
      </w:tabs>
    </w:pPr>
  </w:style>
  <w:style w:type="character" w:customStyle="1" w:styleId="a4">
    <w:name w:val="כותרת עליונה תו"/>
    <w:link w:val="a3"/>
    <w:rsid w:val="00A115EA"/>
    <w:rPr>
      <w:rFonts w:ascii="Times New Roman" w:eastAsia="Times New Roman" w:hAnsi="Times New Roman" w:cs="David"/>
      <w:sz w:val="24"/>
      <w:szCs w:val="24"/>
    </w:rPr>
  </w:style>
  <w:style w:type="paragraph" w:styleId="a5">
    <w:name w:val="footer"/>
    <w:basedOn w:val="a"/>
    <w:link w:val="a6"/>
    <w:rsid w:val="00A115EA"/>
    <w:pPr>
      <w:tabs>
        <w:tab w:val="center" w:pos="4153"/>
        <w:tab w:val="right" w:pos="8306"/>
      </w:tabs>
    </w:pPr>
  </w:style>
  <w:style w:type="character" w:customStyle="1" w:styleId="a6">
    <w:name w:val="כותרת תחתונה תו"/>
    <w:link w:val="a5"/>
    <w:rsid w:val="00A115EA"/>
    <w:rPr>
      <w:rFonts w:ascii="Times New Roman" w:eastAsia="Times New Roman" w:hAnsi="Times New Roman" w:cs="David"/>
      <w:sz w:val="24"/>
      <w:szCs w:val="24"/>
    </w:rPr>
  </w:style>
  <w:style w:type="table" w:styleId="a7">
    <w:name w:val="Table Grid"/>
    <w:basedOn w:val="a1"/>
    <w:rsid w:val="00A115E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115EA"/>
  </w:style>
  <w:style w:type="paragraph" w:styleId="a9">
    <w:name w:val="List Paragraph"/>
    <w:basedOn w:val="a"/>
    <w:qFormat/>
    <w:rsid w:val="00A115EA"/>
    <w:pPr>
      <w:ind w:left="720"/>
      <w:contextualSpacing/>
    </w:pPr>
  </w:style>
  <w:style w:type="character" w:styleId="Hyperlink">
    <w:name w:val="Hyperlink"/>
    <w:rsid w:val="003003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13b"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4216/7.a.;7.c" TargetMode="External"/><Relationship Id="rId39" Type="http://schemas.openxmlformats.org/officeDocument/2006/relationships/hyperlink" Target="http://www.nevo.co.il/case/4628677" TargetMode="External"/><Relationship Id="rId21" Type="http://schemas.openxmlformats.org/officeDocument/2006/relationships/hyperlink" Target="http://www.nevo.co.il/law/70301/406.b" TargetMode="External"/><Relationship Id="rId34" Type="http://schemas.openxmlformats.org/officeDocument/2006/relationships/hyperlink" Target="http://www.nevo.co.il/case/7700981" TargetMode="External"/><Relationship Id="rId42" Type="http://schemas.openxmlformats.org/officeDocument/2006/relationships/hyperlink" Target="http://www.nevo.co.il/case/22201886" TargetMode="External"/><Relationship Id="rId47" Type="http://schemas.openxmlformats.org/officeDocument/2006/relationships/hyperlink" Target="http://www.nevo.co.il/law/4216/37a.a1" TargetMode="External"/><Relationship Id="rId50" Type="http://schemas.openxmlformats.org/officeDocument/2006/relationships/hyperlink" Target="http://www.nevo.co.il/law/4216/37a.a"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case/26503907"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law/70301/40i" TargetMode="External"/><Relationship Id="rId11" Type="http://schemas.openxmlformats.org/officeDocument/2006/relationships/hyperlink" Target="http://www.nevo.co.il/law/70301/406.b" TargetMode="External"/><Relationship Id="rId24" Type="http://schemas.openxmlformats.org/officeDocument/2006/relationships/hyperlink" Target="http://www.nevo.co.il/law/70301/413b" TargetMode="External"/><Relationship Id="rId32" Type="http://schemas.openxmlformats.org/officeDocument/2006/relationships/hyperlink" Target="http://www.nevo.co.il/case/5701236" TargetMode="External"/><Relationship Id="rId37" Type="http://schemas.openxmlformats.org/officeDocument/2006/relationships/hyperlink" Target="http://www.nevo.co.il/case/6036574" TargetMode="External"/><Relationship Id="rId40" Type="http://schemas.openxmlformats.org/officeDocument/2006/relationships/hyperlink" Target="http://www.nevo.co.il/case/20705379" TargetMode="External"/><Relationship Id="rId45" Type="http://schemas.openxmlformats.org/officeDocument/2006/relationships/hyperlink" Target="http://www.nevo.co.il/case/4143640" TargetMode="External"/><Relationship Id="rId53" Type="http://schemas.openxmlformats.org/officeDocument/2006/relationships/hyperlink" Target="http://www.nevo.co.il/law/70301/413"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4216/37a.a" TargetMode="External"/><Relationship Id="rId14" Type="http://schemas.openxmlformats.org/officeDocument/2006/relationships/hyperlink" Target="http://www.nevo.co.il/law/70301/413jb"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216"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5786637" TargetMode="External"/><Relationship Id="rId43" Type="http://schemas.openxmlformats.org/officeDocument/2006/relationships/hyperlink" Target="http://www.nevo.co.il/case/5610080" TargetMode="External"/><Relationship Id="rId48" Type="http://schemas.openxmlformats.org/officeDocument/2006/relationships/hyperlink" Target="http://www.nevo.co.il/law/4216/7.a.;7.c" TargetMode="External"/><Relationship Id="rId56" Type="http://schemas.openxmlformats.org/officeDocument/2006/relationships/header" Target="header1.xml"/><Relationship Id="rId8" Type="http://schemas.openxmlformats.org/officeDocument/2006/relationships/hyperlink" Target="http://www.nevo.co.il/law/70301" TargetMode="External"/><Relationship Id="rId51" Type="http://schemas.openxmlformats.org/officeDocument/2006/relationships/hyperlink" Target="http://www.nevo.co.il/law/70301/413jb" TargetMode="External"/><Relationship Id="rId3" Type="http://schemas.openxmlformats.org/officeDocument/2006/relationships/settings" Target="settings.xml"/><Relationship Id="rId12" Type="http://schemas.openxmlformats.org/officeDocument/2006/relationships/hyperlink" Target="http://www.nevo.co.il/law/70301/413"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499.a.1" TargetMode="External"/><Relationship Id="rId33" Type="http://schemas.openxmlformats.org/officeDocument/2006/relationships/hyperlink" Target="http://www.nevo.co.il/case/5673248" TargetMode="External"/><Relationship Id="rId38" Type="http://schemas.openxmlformats.org/officeDocument/2006/relationships/hyperlink" Target="http://www.nevo.co.il/case/5195333" TargetMode="External"/><Relationship Id="rId46" Type="http://schemas.openxmlformats.org/officeDocument/2006/relationships/hyperlink" Target="http://www.nevo.co.il/case/21860827" TargetMode="External"/><Relationship Id="rId59" Type="http://schemas.openxmlformats.org/officeDocument/2006/relationships/footer" Target="footer2.xml"/><Relationship Id="rId20" Type="http://schemas.openxmlformats.org/officeDocument/2006/relationships/hyperlink" Target="http://www.nevo.co.il/law/4216/37a.a1" TargetMode="External"/><Relationship Id="rId41" Type="http://schemas.openxmlformats.org/officeDocument/2006/relationships/hyperlink" Target="http://www.nevo.co.il/case/18739572" TargetMode="External"/><Relationship Id="rId54"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99.a.1" TargetMode="External"/><Relationship Id="rId23" Type="http://schemas.openxmlformats.org/officeDocument/2006/relationships/hyperlink" Target="http://www.nevo.co.il/law/70301/384"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5873531" TargetMode="External"/><Relationship Id="rId49" Type="http://schemas.openxmlformats.org/officeDocument/2006/relationships/hyperlink" Target="http://www.nevo.co.il/law/4216/37a.a1" TargetMode="External"/><Relationship Id="rId57" Type="http://schemas.openxmlformats.org/officeDocument/2006/relationships/header" Target="header2.xml"/><Relationship Id="rId10" Type="http://schemas.openxmlformats.org/officeDocument/2006/relationships/hyperlink" Target="http://www.nevo.co.il/law/70301/384" TargetMode="External"/><Relationship Id="rId31" Type="http://schemas.openxmlformats.org/officeDocument/2006/relationships/hyperlink" Target="http://www.nevo.co.il/case/13093721" TargetMode="External"/><Relationship Id="rId44" Type="http://schemas.openxmlformats.org/officeDocument/2006/relationships/hyperlink" Target="http://www.nevo.co.il/case/13087905" TargetMode="External"/><Relationship Id="rId52" Type="http://schemas.openxmlformats.org/officeDocument/2006/relationships/hyperlink" Target="http://www.nevo.co.il/law/70301"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2374</Words>
  <Characters>11871</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14217</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6553697</vt:i4>
      </vt:variant>
      <vt:variant>
        <vt:i4>138</vt:i4>
      </vt:variant>
      <vt:variant>
        <vt:i4>0</vt:i4>
      </vt:variant>
      <vt:variant>
        <vt:i4>5</vt:i4>
      </vt:variant>
      <vt:variant>
        <vt:lpwstr>http://www.nevo.co.il/law/70301/413</vt:lpwstr>
      </vt:variant>
      <vt:variant>
        <vt:lpwstr/>
      </vt:variant>
      <vt:variant>
        <vt:i4>7995492</vt:i4>
      </vt:variant>
      <vt:variant>
        <vt:i4>135</vt:i4>
      </vt:variant>
      <vt:variant>
        <vt:i4>0</vt:i4>
      </vt:variant>
      <vt:variant>
        <vt:i4>5</vt:i4>
      </vt:variant>
      <vt:variant>
        <vt:lpwstr>http://www.nevo.co.il/law/70301</vt:lpwstr>
      </vt:variant>
      <vt:variant>
        <vt:lpwstr/>
      </vt:variant>
      <vt:variant>
        <vt:i4>917586</vt:i4>
      </vt:variant>
      <vt:variant>
        <vt:i4>132</vt:i4>
      </vt:variant>
      <vt:variant>
        <vt:i4>0</vt:i4>
      </vt:variant>
      <vt:variant>
        <vt:i4>5</vt:i4>
      </vt:variant>
      <vt:variant>
        <vt:lpwstr>http://www.nevo.co.il/law/70301/413jb</vt:lpwstr>
      </vt:variant>
      <vt:variant>
        <vt:lpwstr/>
      </vt:variant>
      <vt:variant>
        <vt:i4>5046355</vt:i4>
      </vt:variant>
      <vt:variant>
        <vt:i4>129</vt:i4>
      </vt:variant>
      <vt:variant>
        <vt:i4>0</vt:i4>
      </vt:variant>
      <vt:variant>
        <vt:i4>5</vt:i4>
      </vt:variant>
      <vt:variant>
        <vt:lpwstr>http://www.nevo.co.il/law/4216/37a.a</vt:lpwstr>
      </vt:variant>
      <vt:variant>
        <vt:lpwstr/>
      </vt:variant>
      <vt:variant>
        <vt:i4>5046355</vt:i4>
      </vt:variant>
      <vt:variant>
        <vt:i4>126</vt:i4>
      </vt:variant>
      <vt:variant>
        <vt:i4>0</vt:i4>
      </vt:variant>
      <vt:variant>
        <vt:i4>5</vt:i4>
      </vt:variant>
      <vt:variant>
        <vt:lpwstr>http://www.nevo.co.il/law/4216/37a.a1</vt:lpwstr>
      </vt:variant>
      <vt:variant>
        <vt:lpwstr/>
      </vt:variant>
      <vt:variant>
        <vt:i4>3997821</vt:i4>
      </vt:variant>
      <vt:variant>
        <vt:i4>123</vt:i4>
      </vt:variant>
      <vt:variant>
        <vt:i4>0</vt:i4>
      </vt:variant>
      <vt:variant>
        <vt:i4>5</vt:i4>
      </vt:variant>
      <vt:variant>
        <vt:lpwstr>http://www.nevo.co.il/law/4216/7.a.;7.c</vt:lpwstr>
      </vt:variant>
      <vt:variant>
        <vt:lpwstr/>
      </vt:variant>
      <vt:variant>
        <vt:i4>5046355</vt:i4>
      </vt:variant>
      <vt:variant>
        <vt:i4>120</vt:i4>
      </vt:variant>
      <vt:variant>
        <vt:i4>0</vt:i4>
      </vt:variant>
      <vt:variant>
        <vt:i4>5</vt:i4>
      </vt:variant>
      <vt:variant>
        <vt:lpwstr>http://www.nevo.co.il/law/4216/37a.a1</vt:lpwstr>
      </vt:variant>
      <vt:variant>
        <vt:lpwstr/>
      </vt:variant>
      <vt:variant>
        <vt:i4>3670139</vt:i4>
      </vt:variant>
      <vt:variant>
        <vt:i4>117</vt:i4>
      </vt:variant>
      <vt:variant>
        <vt:i4>0</vt:i4>
      </vt:variant>
      <vt:variant>
        <vt:i4>5</vt:i4>
      </vt:variant>
      <vt:variant>
        <vt:lpwstr>http://www.nevo.co.il/case/21860827</vt:lpwstr>
      </vt:variant>
      <vt:variant>
        <vt:lpwstr/>
      </vt:variant>
      <vt:variant>
        <vt:i4>3539058</vt:i4>
      </vt:variant>
      <vt:variant>
        <vt:i4>114</vt:i4>
      </vt:variant>
      <vt:variant>
        <vt:i4>0</vt:i4>
      </vt:variant>
      <vt:variant>
        <vt:i4>5</vt:i4>
      </vt:variant>
      <vt:variant>
        <vt:lpwstr>http://www.nevo.co.il/case/4143640</vt:lpwstr>
      </vt:variant>
      <vt:variant>
        <vt:lpwstr/>
      </vt:variant>
      <vt:variant>
        <vt:i4>3539062</vt:i4>
      </vt:variant>
      <vt:variant>
        <vt:i4>111</vt:i4>
      </vt:variant>
      <vt:variant>
        <vt:i4>0</vt:i4>
      </vt:variant>
      <vt:variant>
        <vt:i4>5</vt:i4>
      </vt:variant>
      <vt:variant>
        <vt:lpwstr>http://www.nevo.co.il/case/13087905</vt:lpwstr>
      </vt:variant>
      <vt:variant>
        <vt:lpwstr/>
      </vt:variant>
      <vt:variant>
        <vt:i4>3407994</vt:i4>
      </vt:variant>
      <vt:variant>
        <vt:i4>108</vt:i4>
      </vt:variant>
      <vt:variant>
        <vt:i4>0</vt:i4>
      </vt:variant>
      <vt:variant>
        <vt:i4>5</vt:i4>
      </vt:variant>
      <vt:variant>
        <vt:lpwstr>http://www.nevo.co.il/case/5610080</vt:lpwstr>
      </vt:variant>
      <vt:variant>
        <vt:lpwstr/>
      </vt:variant>
      <vt:variant>
        <vt:i4>3735678</vt:i4>
      </vt:variant>
      <vt:variant>
        <vt:i4>105</vt:i4>
      </vt:variant>
      <vt:variant>
        <vt:i4>0</vt:i4>
      </vt:variant>
      <vt:variant>
        <vt:i4>5</vt:i4>
      </vt:variant>
      <vt:variant>
        <vt:lpwstr>http://www.nevo.co.il/case/22201886</vt:lpwstr>
      </vt:variant>
      <vt:variant>
        <vt:lpwstr/>
      </vt:variant>
      <vt:variant>
        <vt:i4>3670138</vt:i4>
      </vt:variant>
      <vt:variant>
        <vt:i4>102</vt:i4>
      </vt:variant>
      <vt:variant>
        <vt:i4>0</vt:i4>
      </vt:variant>
      <vt:variant>
        <vt:i4>5</vt:i4>
      </vt:variant>
      <vt:variant>
        <vt:lpwstr>http://www.nevo.co.il/case/18739572</vt:lpwstr>
      </vt:variant>
      <vt:variant>
        <vt:lpwstr/>
      </vt:variant>
      <vt:variant>
        <vt:i4>3604599</vt:i4>
      </vt:variant>
      <vt:variant>
        <vt:i4>99</vt:i4>
      </vt:variant>
      <vt:variant>
        <vt:i4>0</vt:i4>
      </vt:variant>
      <vt:variant>
        <vt:i4>5</vt:i4>
      </vt:variant>
      <vt:variant>
        <vt:lpwstr>http://www.nevo.co.il/case/20705379</vt:lpwstr>
      </vt:variant>
      <vt:variant>
        <vt:lpwstr/>
      </vt:variant>
      <vt:variant>
        <vt:i4>3604605</vt:i4>
      </vt:variant>
      <vt:variant>
        <vt:i4>96</vt:i4>
      </vt:variant>
      <vt:variant>
        <vt:i4>0</vt:i4>
      </vt:variant>
      <vt:variant>
        <vt:i4>5</vt:i4>
      </vt:variant>
      <vt:variant>
        <vt:lpwstr>http://www.nevo.co.il/case/4628677</vt:lpwstr>
      </vt:variant>
      <vt:variant>
        <vt:lpwstr/>
      </vt:variant>
      <vt:variant>
        <vt:i4>3932275</vt:i4>
      </vt:variant>
      <vt:variant>
        <vt:i4>93</vt:i4>
      </vt:variant>
      <vt:variant>
        <vt:i4>0</vt:i4>
      </vt:variant>
      <vt:variant>
        <vt:i4>5</vt:i4>
      </vt:variant>
      <vt:variant>
        <vt:lpwstr>http://www.nevo.co.il/case/5195333</vt:lpwstr>
      </vt:variant>
      <vt:variant>
        <vt:lpwstr/>
      </vt:variant>
      <vt:variant>
        <vt:i4>3407989</vt:i4>
      </vt:variant>
      <vt:variant>
        <vt:i4>90</vt:i4>
      </vt:variant>
      <vt:variant>
        <vt:i4>0</vt:i4>
      </vt:variant>
      <vt:variant>
        <vt:i4>5</vt:i4>
      </vt:variant>
      <vt:variant>
        <vt:lpwstr>http://www.nevo.co.il/case/6036574</vt:lpwstr>
      </vt:variant>
      <vt:variant>
        <vt:lpwstr/>
      </vt:variant>
      <vt:variant>
        <vt:i4>3539068</vt:i4>
      </vt:variant>
      <vt:variant>
        <vt:i4>87</vt:i4>
      </vt:variant>
      <vt:variant>
        <vt:i4>0</vt:i4>
      </vt:variant>
      <vt:variant>
        <vt:i4>5</vt:i4>
      </vt:variant>
      <vt:variant>
        <vt:lpwstr>http://www.nevo.co.il/case/5873531</vt:lpwstr>
      </vt:variant>
      <vt:variant>
        <vt:lpwstr/>
      </vt:variant>
      <vt:variant>
        <vt:i4>3932278</vt:i4>
      </vt:variant>
      <vt:variant>
        <vt:i4>84</vt:i4>
      </vt:variant>
      <vt:variant>
        <vt:i4>0</vt:i4>
      </vt:variant>
      <vt:variant>
        <vt:i4>5</vt:i4>
      </vt:variant>
      <vt:variant>
        <vt:lpwstr>http://www.nevo.co.il/case/5786637</vt:lpwstr>
      </vt:variant>
      <vt:variant>
        <vt:lpwstr/>
      </vt:variant>
      <vt:variant>
        <vt:i4>4128891</vt:i4>
      </vt:variant>
      <vt:variant>
        <vt:i4>81</vt:i4>
      </vt:variant>
      <vt:variant>
        <vt:i4>0</vt:i4>
      </vt:variant>
      <vt:variant>
        <vt:i4>5</vt:i4>
      </vt:variant>
      <vt:variant>
        <vt:lpwstr>http://www.nevo.co.il/case/7700981</vt:lpwstr>
      </vt:variant>
      <vt:variant>
        <vt:lpwstr/>
      </vt:variant>
      <vt:variant>
        <vt:i4>3670133</vt:i4>
      </vt:variant>
      <vt:variant>
        <vt:i4>78</vt:i4>
      </vt:variant>
      <vt:variant>
        <vt:i4>0</vt:i4>
      </vt:variant>
      <vt:variant>
        <vt:i4>5</vt:i4>
      </vt:variant>
      <vt:variant>
        <vt:lpwstr>http://www.nevo.co.il/case/5673248</vt:lpwstr>
      </vt:variant>
      <vt:variant>
        <vt:lpwstr/>
      </vt:variant>
      <vt:variant>
        <vt:i4>3211377</vt:i4>
      </vt:variant>
      <vt:variant>
        <vt:i4>75</vt:i4>
      </vt:variant>
      <vt:variant>
        <vt:i4>0</vt:i4>
      </vt:variant>
      <vt:variant>
        <vt:i4>5</vt:i4>
      </vt:variant>
      <vt:variant>
        <vt:lpwstr>http://www.nevo.co.il/case/5701236</vt:lpwstr>
      </vt:variant>
      <vt:variant>
        <vt:lpwstr/>
      </vt:variant>
      <vt:variant>
        <vt:i4>3145849</vt:i4>
      </vt:variant>
      <vt:variant>
        <vt:i4>72</vt:i4>
      </vt:variant>
      <vt:variant>
        <vt:i4>0</vt:i4>
      </vt:variant>
      <vt:variant>
        <vt:i4>5</vt:i4>
      </vt:variant>
      <vt:variant>
        <vt:lpwstr>http://www.nevo.co.il/case/13093721</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7995492</vt:i4>
      </vt:variant>
      <vt:variant>
        <vt:i4>63</vt:i4>
      </vt:variant>
      <vt:variant>
        <vt:i4>0</vt:i4>
      </vt:variant>
      <vt:variant>
        <vt:i4>5</vt:i4>
      </vt:variant>
      <vt:variant>
        <vt:lpwstr>http://www.nevo.co.il/law/70301</vt:lpwstr>
      </vt:variant>
      <vt:variant>
        <vt:lpwstr/>
      </vt:variant>
      <vt:variant>
        <vt:i4>8257637</vt:i4>
      </vt:variant>
      <vt:variant>
        <vt:i4>60</vt:i4>
      </vt:variant>
      <vt:variant>
        <vt:i4>0</vt:i4>
      </vt:variant>
      <vt:variant>
        <vt:i4>5</vt:i4>
      </vt:variant>
      <vt:variant>
        <vt:lpwstr>http://www.nevo.co.il/law/4216</vt:lpwstr>
      </vt:variant>
      <vt:variant>
        <vt:lpwstr/>
      </vt:variant>
      <vt:variant>
        <vt:i4>3997821</vt:i4>
      </vt:variant>
      <vt:variant>
        <vt:i4>57</vt:i4>
      </vt:variant>
      <vt:variant>
        <vt:i4>0</vt:i4>
      </vt:variant>
      <vt:variant>
        <vt:i4>5</vt:i4>
      </vt:variant>
      <vt:variant>
        <vt:lpwstr>http://www.nevo.co.il/law/4216/7.a.;7.c</vt:lpwstr>
      </vt:variant>
      <vt:variant>
        <vt:lpwstr/>
      </vt:variant>
      <vt:variant>
        <vt:i4>7077945</vt:i4>
      </vt:variant>
      <vt:variant>
        <vt:i4>54</vt:i4>
      </vt:variant>
      <vt:variant>
        <vt:i4>0</vt:i4>
      </vt:variant>
      <vt:variant>
        <vt:i4>5</vt:i4>
      </vt:variant>
      <vt:variant>
        <vt:lpwstr>http://www.nevo.co.il/law/70301/499.a.1</vt:lpwstr>
      </vt:variant>
      <vt:variant>
        <vt:lpwstr/>
      </vt:variant>
      <vt:variant>
        <vt:i4>393298</vt:i4>
      </vt:variant>
      <vt:variant>
        <vt:i4>51</vt:i4>
      </vt:variant>
      <vt:variant>
        <vt:i4>0</vt:i4>
      </vt:variant>
      <vt:variant>
        <vt:i4>5</vt:i4>
      </vt:variant>
      <vt:variant>
        <vt:lpwstr>http://www.nevo.co.il/law/70301/413b</vt:lpwstr>
      </vt:variant>
      <vt:variant>
        <vt:lpwstr/>
      </vt:variant>
      <vt:variant>
        <vt:i4>7143526</vt:i4>
      </vt:variant>
      <vt:variant>
        <vt:i4>48</vt:i4>
      </vt:variant>
      <vt:variant>
        <vt:i4>0</vt:i4>
      </vt:variant>
      <vt:variant>
        <vt:i4>5</vt:i4>
      </vt:variant>
      <vt:variant>
        <vt:lpwstr>http://www.nevo.co.il/law/70301/384</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4915287</vt:i4>
      </vt:variant>
      <vt:variant>
        <vt:i4>42</vt:i4>
      </vt:variant>
      <vt:variant>
        <vt:i4>0</vt:i4>
      </vt:variant>
      <vt:variant>
        <vt:i4>5</vt:i4>
      </vt:variant>
      <vt:variant>
        <vt:lpwstr>http://www.nevo.co.il/law/70301/406.b</vt:lpwstr>
      </vt:variant>
      <vt:variant>
        <vt:lpwstr/>
      </vt:variant>
      <vt:variant>
        <vt:i4>5046355</vt:i4>
      </vt:variant>
      <vt:variant>
        <vt:i4>39</vt:i4>
      </vt:variant>
      <vt:variant>
        <vt:i4>0</vt:i4>
      </vt:variant>
      <vt:variant>
        <vt:i4>5</vt:i4>
      </vt:variant>
      <vt:variant>
        <vt:lpwstr>http://www.nevo.co.il/law/4216/37a.a1</vt:lpwstr>
      </vt:variant>
      <vt:variant>
        <vt:lpwstr/>
      </vt:variant>
      <vt:variant>
        <vt:i4>5046355</vt:i4>
      </vt:variant>
      <vt:variant>
        <vt:i4>36</vt:i4>
      </vt:variant>
      <vt:variant>
        <vt:i4>0</vt:i4>
      </vt:variant>
      <vt:variant>
        <vt:i4>5</vt:i4>
      </vt:variant>
      <vt:variant>
        <vt:lpwstr>http://www.nevo.co.il/law/4216/37a.a</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917586</vt:i4>
      </vt:variant>
      <vt:variant>
        <vt:i4>21</vt:i4>
      </vt:variant>
      <vt:variant>
        <vt:i4>0</vt:i4>
      </vt:variant>
      <vt:variant>
        <vt:i4>5</vt:i4>
      </vt:variant>
      <vt:variant>
        <vt:lpwstr>http://www.nevo.co.il/law/70301/413jb</vt:lpwstr>
      </vt:variant>
      <vt:variant>
        <vt:lpwstr/>
      </vt:variant>
      <vt:variant>
        <vt:i4>393298</vt:i4>
      </vt:variant>
      <vt:variant>
        <vt:i4>18</vt:i4>
      </vt:variant>
      <vt:variant>
        <vt:i4>0</vt:i4>
      </vt:variant>
      <vt:variant>
        <vt:i4>5</vt:i4>
      </vt:variant>
      <vt:variant>
        <vt:lpwstr>http://www.nevo.co.il/law/70301/413b</vt:lpwstr>
      </vt:variant>
      <vt:variant>
        <vt:lpwstr/>
      </vt:variant>
      <vt:variant>
        <vt:i4>6553697</vt:i4>
      </vt:variant>
      <vt:variant>
        <vt:i4>15</vt:i4>
      </vt:variant>
      <vt:variant>
        <vt:i4>0</vt:i4>
      </vt:variant>
      <vt:variant>
        <vt:i4>5</vt:i4>
      </vt:variant>
      <vt:variant>
        <vt:lpwstr>http://www.nevo.co.il/law/70301/413</vt:lpwstr>
      </vt:variant>
      <vt:variant>
        <vt:lpwstr/>
      </vt:variant>
      <vt:variant>
        <vt:i4>4915287</vt:i4>
      </vt:variant>
      <vt:variant>
        <vt:i4>12</vt:i4>
      </vt:variant>
      <vt:variant>
        <vt:i4>0</vt:i4>
      </vt:variant>
      <vt:variant>
        <vt:i4>5</vt:i4>
      </vt:variant>
      <vt:variant>
        <vt:lpwstr>http://www.nevo.co.il/law/70301/406.b</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7995492</vt:i4>
      </vt:variant>
      <vt:variant>
        <vt:i4>3</vt:i4>
      </vt:variant>
      <vt:variant>
        <vt:i4>0</vt:i4>
      </vt:variant>
      <vt:variant>
        <vt:i4>5</vt:i4>
      </vt:variant>
      <vt:variant>
        <vt:lpwstr>http://www.nevo.co.il/law/70301</vt:lpwstr>
      </vt:variant>
      <vt:variant>
        <vt:lpwstr/>
      </vt:variant>
      <vt:variant>
        <vt:i4>3407995</vt:i4>
      </vt:variant>
      <vt:variant>
        <vt:i4>0</vt:i4>
      </vt:variant>
      <vt:variant>
        <vt:i4>0</vt:i4>
      </vt:variant>
      <vt:variant>
        <vt:i4>5</vt:i4>
      </vt:variant>
      <vt:variant>
        <vt:lpwstr>http://www.nevo.co.il/case/26503907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2025-04-23T00:32:00Z</dcterms:created>
  <dcterms:modified xsi:type="dcterms:W3CDTF">2025-04-23T00:32:00Z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988</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משטרת ישראל תביעות- שלוחת זבולון</vt:lpwstr>
  </property>
  <property fmtid="{D5CDD505-2E9C-101B-9397-08002B2CF9AE}" pid="9" name="APPELLEE">
    <vt:lpwstr>יוסף לוי</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20200917</vt:lpwstr>
  </property>
  <property fmtid="{D5CDD505-2E9C-101B-9397-08002B2CF9AE}" pid="13" name="TYPE_N_DATE">
    <vt:lpwstr>38020200917</vt:lpwstr>
  </property>
  <property fmtid="{D5CDD505-2E9C-101B-9397-08002B2CF9AE}" pid="14" name="WORDNUMPAGES">
    <vt:lpwstr>6</vt:lpwstr>
  </property>
  <property fmtid="{D5CDD505-2E9C-101B-9397-08002B2CF9AE}" pid="15" name="TYPE_ABS_DATE">
    <vt:lpwstr>380020200917</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26503907;13093721;5701236;5673248;7700981;5786637;5873531;6036574;5195333;4628677;20705379;18739572;22201886;5610080;13087905;4143640;21860827</vt:lpwstr>
  </property>
  <property fmtid="{D5CDD505-2E9C-101B-9397-08002B2CF9AE}" pid="36" name="LAWLISTTMP1">
    <vt:lpwstr>70301/406.b;384;413b;499.a.1;040i;413jb;413</vt:lpwstr>
  </property>
  <property fmtid="{D5CDD505-2E9C-101B-9397-08002B2CF9AE}" pid="37" name="LAWLISTTMP2">
    <vt:lpwstr>4216/007.a:2;007.c:2;037a.a1:2;037a.a</vt:lpwstr>
  </property>
</Properties>
</file>