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93452" w:rsidRPr="00657A08" w14:paraId="05A865CF" w14:textId="77777777" w:rsidTr="0086407F">
        <w:trPr>
          <w:trHeight w:hRule="exact" w:val="418"/>
          <w:jc w:val="center"/>
        </w:trPr>
        <w:tc>
          <w:tcPr>
            <w:tcW w:w="8721" w:type="dxa"/>
            <w:gridSpan w:val="2"/>
          </w:tcPr>
          <w:p w14:paraId="50FFF009" w14:textId="77777777" w:rsidR="00193452" w:rsidRPr="00657A08" w:rsidRDefault="00193452" w:rsidP="00EF6456">
            <w:pPr>
              <w:pStyle w:val="a3"/>
              <w:jc w:val="center"/>
              <w:rPr>
                <w:rFonts w:ascii="Tahoma" w:hAnsi="Tahoma" w:cs="Tahoma"/>
                <w:color w:val="000080"/>
                <w:rtl/>
              </w:rPr>
            </w:pPr>
            <w:r w:rsidRPr="00657A08">
              <w:rPr>
                <w:rFonts w:ascii="Tahoma" w:hAnsi="Tahoma" w:cs="Tahoma"/>
                <w:b/>
                <w:bCs/>
                <w:color w:val="000080"/>
                <w:rtl/>
              </w:rPr>
              <w:t>בית משפט השלום ברחובות</w:t>
            </w:r>
          </w:p>
        </w:tc>
      </w:tr>
      <w:tr w:rsidR="00193452" w:rsidRPr="00657A08" w14:paraId="7ECBC5D6" w14:textId="77777777" w:rsidTr="0086407F">
        <w:trPr>
          <w:trHeight w:val="337"/>
          <w:jc w:val="center"/>
        </w:trPr>
        <w:tc>
          <w:tcPr>
            <w:tcW w:w="5054" w:type="dxa"/>
          </w:tcPr>
          <w:p w14:paraId="28567631" w14:textId="77777777" w:rsidR="00193452" w:rsidRPr="00657A08" w:rsidRDefault="00193452" w:rsidP="00EF6456">
            <w:pPr>
              <w:rPr>
                <w:rFonts w:cs="FrankRuehl"/>
                <w:sz w:val="28"/>
                <w:szCs w:val="28"/>
                <w:rtl/>
              </w:rPr>
            </w:pPr>
            <w:r w:rsidRPr="00657A08">
              <w:rPr>
                <w:rFonts w:cs="FrankRuehl"/>
                <w:sz w:val="28"/>
                <w:szCs w:val="28"/>
                <w:rtl/>
              </w:rPr>
              <w:t>ת"פ</w:t>
            </w:r>
            <w:r w:rsidRPr="00657A08">
              <w:rPr>
                <w:rFonts w:cs="FrankRuehl" w:hint="cs"/>
                <w:sz w:val="28"/>
                <w:szCs w:val="28"/>
                <w:rtl/>
              </w:rPr>
              <w:t xml:space="preserve"> </w:t>
            </w:r>
            <w:hyperlink r:id="rId7" w:history="1">
              <w:r w:rsidR="00D04579" w:rsidRPr="00D04579">
                <w:rPr>
                  <w:rFonts w:cs="FrankRuehl"/>
                  <w:color w:val="0000FF"/>
                  <w:sz w:val="28"/>
                  <w:szCs w:val="28"/>
                  <w:u w:val="single"/>
                  <w:rtl/>
                </w:rPr>
                <w:t xml:space="preserve">1071-04-20 </w:t>
              </w:r>
            </w:hyperlink>
            <w:r w:rsidRPr="00657A08">
              <w:rPr>
                <w:rFonts w:cs="FrankRuehl" w:hint="cs"/>
                <w:sz w:val="28"/>
                <w:szCs w:val="28"/>
                <w:rtl/>
              </w:rPr>
              <w:t xml:space="preserve"> </w:t>
            </w:r>
            <w:r w:rsidRPr="00657A08">
              <w:rPr>
                <w:rFonts w:cs="FrankRuehl"/>
                <w:sz w:val="28"/>
                <w:szCs w:val="28"/>
                <w:rtl/>
              </w:rPr>
              <w:t>מדינת ישראל נ' שמעוני</w:t>
            </w:r>
          </w:p>
          <w:p w14:paraId="1800EDED" w14:textId="77777777" w:rsidR="00193452" w:rsidRPr="00657A08" w:rsidRDefault="00193452" w:rsidP="00EF6456">
            <w:pPr>
              <w:pStyle w:val="a3"/>
              <w:rPr>
                <w:rFonts w:cs="FrankRuehl"/>
                <w:sz w:val="28"/>
                <w:szCs w:val="28"/>
                <w:rtl/>
              </w:rPr>
            </w:pPr>
          </w:p>
        </w:tc>
        <w:tc>
          <w:tcPr>
            <w:tcW w:w="3667" w:type="dxa"/>
          </w:tcPr>
          <w:p w14:paraId="76B45272" w14:textId="77777777" w:rsidR="00193452" w:rsidRPr="00657A08" w:rsidRDefault="00193452" w:rsidP="00EF6456">
            <w:pPr>
              <w:pStyle w:val="a3"/>
              <w:jc w:val="right"/>
              <w:rPr>
                <w:rFonts w:cs="FrankRuehl"/>
                <w:sz w:val="28"/>
                <w:szCs w:val="28"/>
                <w:rtl/>
              </w:rPr>
            </w:pPr>
          </w:p>
        </w:tc>
      </w:tr>
    </w:tbl>
    <w:p w14:paraId="6A71AEA2" w14:textId="77777777" w:rsidR="00193452" w:rsidRPr="00657A08" w:rsidRDefault="00193452" w:rsidP="00193452">
      <w:pPr>
        <w:pStyle w:val="a3"/>
        <w:rPr>
          <w:rtl/>
        </w:rPr>
      </w:pPr>
      <w:r w:rsidRPr="00657A08">
        <w:rPr>
          <w:rFonts w:hint="cs"/>
          <w:rtl/>
        </w:rPr>
        <w:t xml:space="preserve"> </w:t>
      </w:r>
    </w:p>
    <w:p w14:paraId="26455B7D" w14:textId="77777777" w:rsidR="00193452" w:rsidRPr="00657A08" w:rsidRDefault="00193452" w:rsidP="00193452">
      <w:pPr>
        <w:rPr>
          <w:rtl/>
        </w:rPr>
      </w:pPr>
    </w:p>
    <w:p w14:paraId="4DD38DB2" w14:textId="77777777" w:rsidR="00193452" w:rsidRPr="00657A08" w:rsidRDefault="00193452" w:rsidP="0019345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93452" w:rsidRPr="00657A08" w14:paraId="1A2D596B" w14:textId="77777777" w:rsidTr="00193452">
        <w:trPr>
          <w:trHeight w:val="295"/>
          <w:jc w:val="center"/>
        </w:trPr>
        <w:tc>
          <w:tcPr>
            <w:tcW w:w="923" w:type="dxa"/>
            <w:tcBorders>
              <w:top w:val="nil"/>
              <w:left w:val="nil"/>
              <w:bottom w:val="nil"/>
              <w:right w:val="nil"/>
            </w:tcBorders>
            <w:shd w:val="clear" w:color="auto" w:fill="auto"/>
          </w:tcPr>
          <w:p w14:paraId="47EFC3D9" w14:textId="77777777" w:rsidR="00193452" w:rsidRPr="00657A08" w:rsidRDefault="00193452" w:rsidP="00193452">
            <w:pPr>
              <w:jc w:val="both"/>
              <w:rPr>
                <w:rFonts w:ascii="David" w:hAnsi="David"/>
                <w:sz w:val="26"/>
                <w:szCs w:val="26"/>
              </w:rPr>
            </w:pPr>
            <w:r w:rsidRPr="00657A08">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4394209" w14:textId="77777777" w:rsidR="00193452" w:rsidRPr="00657A08" w:rsidRDefault="00193452" w:rsidP="00EF6456">
            <w:pPr>
              <w:rPr>
                <w:rFonts w:ascii="David" w:hAnsi="David"/>
                <w:b/>
                <w:bCs/>
                <w:sz w:val="26"/>
                <w:szCs w:val="26"/>
                <w:rtl/>
              </w:rPr>
            </w:pPr>
            <w:r w:rsidRPr="00657A08">
              <w:rPr>
                <w:rFonts w:ascii="David" w:hAnsi="David"/>
                <w:b/>
                <w:bCs/>
                <w:sz w:val="26"/>
                <w:szCs w:val="26"/>
                <w:rtl/>
              </w:rPr>
              <w:t>כבוד השופטת, סגנית הנשיאה  אפרת פינק</w:t>
            </w:r>
          </w:p>
          <w:p w14:paraId="33A723D2" w14:textId="77777777" w:rsidR="00193452" w:rsidRPr="00657A08" w:rsidRDefault="00193452" w:rsidP="00EF6456">
            <w:pPr>
              <w:rPr>
                <w:rFonts w:ascii="David" w:hAnsi="David"/>
                <w:sz w:val="26"/>
                <w:szCs w:val="26"/>
                <w:rtl/>
              </w:rPr>
            </w:pPr>
          </w:p>
          <w:p w14:paraId="2E15ECE2" w14:textId="77777777" w:rsidR="00193452" w:rsidRPr="00657A08" w:rsidRDefault="00193452" w:rsidP="00193452">
            <w:pPr>
              <w:jc w:val="both"/>
              <w:rPr>
                <w:rFonts w:ascii="David" w:hAnsi="David"/>
                <w:sz w:val="26"/>
                <w:szCs w:val="26"/>
              </w:rPr>
            </w:pPr>
          </w:p>
        </w:tc>
      </w:tr>
      <w:tr w:rsidR="00193452" w:rsidRPr="00657A08" w14:paraId="5BFAC23D" w14:textId="77777777" w:rsidTr="00193452">
        <w:trPr>
          <w:trHeight w:val="355"/>
          <w:jc w:val="center"/>
        </w:trPr>
        <w:tc>
          <w:tcPr>
            <w:tcW w:w="923" w:type="dxa"/>
            <w:tcBorders>
              <w:top w:val="nil"/>
              <w:left w:val="nil"/>
              <w:bottom w:val="nil"/>
              <w:right w:val="nil"/>
            </w:tcBorders>
            <w:shd w:val="clear" w:color="auto" w:fill="auto"/>
          </w:tcPr>
          <w:p w14:paraId="58CC2401" w14:textId="77777777" w:rsidR="00193452" w:rsidRPr="00657A08" w:rsidRDefault="00193452" w:rsidP="00193452">
            <w:pPr>
              <w:jc w:val="both"/>
              <w:rPr>
                <w:rFonts w:ascii="David" w:hAnsi="David"/>
                <w:b/>
                <w:bCs/>
                <w:sz w:val="26"/>
                <w:szCs w:val="26"/>
              </w:rPr>
            </w:pPr>
            <w:bookmarkStart w:id="0" w:name="FirstAppellant"/>
            <w:bookmarkStart w:id="1" w:name="FirstLawyer"/>
            <w:bookmarkStart w:id="2" w:name="LastJudge"/>
            <w:bookmarkEnd w:id="2"/>
            <w:r w:rsidRPr="00657A08">
              <w:rPr>
                <w:rFonts w:ascii="David" w:hAnsi="David"/>
                <w:b/>
                <w:bCs/>
                <w:sz w:val="26"/>
                <w:szCs w:val="26"/>
                <w:rtl/>
              </w:rPr>
              <w:t>בעניין:</w:t>
            </w:r>
          </w:p>
        </w:tc>
        <w:tc>
          <w:tcPr>
            <w:tcW w:w="4126" w:type="dxa"/>
            <w:tcBorders>
              <w:top w:val="nil"/>
              <w:left w:val="nil"/>
              <w:bottom w:val="nil"/>
              <w:right w:val="nil"/>
            </w:tcBorders>
            <w:shd w:val="clear" w:color="auto" w:fill="auto"/>
          </w:tcPr>
          <w:p w14:paraId="2A8E14CE" w14:textId="77777777" w:rsidR="00193452" w:rsidRPr="00657A08" w:rsidRDefault="00193452" w:rsidP="00EF6456">
            <w:pPr>
              <w:rPr>
                <w:rFonts w:ascii="David" w:hAnsi="David"/>
                <w:b/>
                <w:bCs/>
                <w:sz w:val="26"/>
                <w:szCs w:val="26"/>
                <w:rtl/>
              </w:rPr>
            </w:pPr>
            <w:r w:rsidRPr="00657A08">
              <w:rPr>
                <w:rFonts w:ascii="David" w:hAnsi="David"/>
                <w:b/>
                <w:bCs/>
                <w:sz w:val="26"/>
                <w:szCs w:val="26"/>
                <w:rtl/>
              </w:rPr>
              <w:t>מדינת ישראל</w:t>
            </w:r>
          </w:p>
          <w:p w14:paraId="27C0DF88" w14:textId="77777777" w:rsidR="00193452" w:rsidRPr="00657A08" w:rsidRDefault="00193452" w:rsidP="00EF6456">
            <w:pPr>
              <w:rPr>
                <w:rFonts w:ascii="David" w:hAnsi="David"/>
                <w:b/>
                <w:bCs/>
                <w:sz w:val="26"/>
                <w:szCs w:val="26"/>
              </w:rPr>
            </w:pPr>
            <w:r w:rsidRPr="00657A08">
              <w:rPr>
                <w:rFonts w:ascii="David" w:hAnsi="David" w:hint="cs"/>
                <w:b/>
                <w:bCs/>
                <w:sz w:val="26"/>
                <w:szCs w:val="26"/>
                <w:rtl/>
              </w:rPr>
              <w:t>על ידי ב"כ עו"ד חיים קולבקר</w:t>
            </w:r>
          </w:p>
        </w:tc>
        <w:tc>
          <w:tcPr>
            <w:tcW w:w="3771" w:type="dxa"/>
            <w:tcBorders>
              <w:top w:val="nil"/>
              <w:left w:val="nil"/>
              <w:bottom w:val="nil"/>
              <w:right w:val="nil"/>
            </w:tcBorders>
            <w:shd w:val="clear" w:color="auto" w:fill="auto"/>
          </w:tcPr>
          <w:p w14:paraId="2D4C1CD4" w14:textId="77777777" w:rsidR="00193452" w:rsidRPr="00657A08" w:rsidRDefault="00193452" w:rsidP="00193452">
            <w:pPr>
              <w:jc w:val="both"/>
              <w:rPr>
                <w:rFonts w:ascii="David" w:hAnsi="David"/>
                <w:b/>
                <w:bCs/>
                <w:sz w:val="26"/>
                <w:szCs w:val="26"/>
              </w:rPr>
            </w:pPr>
          </w:p>
        </w:tc>
      </w:tr>
      <w:bookmarkEnd w:id="0"/>
      <w:bookmarkEnd w:id="1"/>
      <w:tr w:rsidR="00193452" w:rsidRPr="00657A08" w14:paraId="7651490E" w14:textId="77777777" w:rsidTr="00193452">
        <w:trPr>
          <w:trHeight w:val="355"/>
          <w:jc w:val="center"/>
        </w:trPr>
        <w:tc>
          <w:tcPr>
            <w:tcW w:w="923" w:type="dxa"/>
            <w:tcBorders>
              <w:top w:val="nil"/>
              <w:left w:val="nil"/>
              <w:bottom w:val="nil"/>
              <w:right w:val="nil"/>
            </w:tcBorders>
            <w:shd w:val="clear" w:color="auto" w:fill="auto"/>
          </w:tcPr>
          <w:p w14:paraId="3DFA741A" w14:textId="77777777" w:rsidR="00193452" w:rsidRPr="00657A08" w:rsidRDefault="00193452" w:rsidP="00193452">
            <w:pPr>
              <w:jc w:val="both"/>
              <w:rPr>
                <w:rFonts w:ascii="David" w:hAnsi="David"/>
                <w:b/>
                <w:bCs/>
                <w:sz w:val="26"/>
                <w:szCs w:val="26"/>
                <w:rtl/>
              </w:rPr>
            </w:pPr>
          </w:p>
        </w:tc>
        <w:tc>
          <w:tcPr>
            <w:tcW w:w="4126" w:type="dxa"/>
            <w:tcBorders>
              <w:top w:val="nil"/>
              <w:left w:val="nil"/>
              <w:bottom w:val="nil"/>
              <w:right w:val="nil"/>
            </w:tcBorders>
            <w:shd w:val="clear" w:color="auto" w:fill="auto"/>
          </w:tcPr>
          <w:p w14:paraId="4C44F065" w14:textId="77777777" w:rsidR="00193452" w:rsidRPr="00657A08" w:rsidRDefault="00193452" w:rsidP="00193452">
            <w:pPr>
              <w:jc w:val="both"/>
              <w:rPr>
                <w:rFonts w:ascii="David" w:hAnsi="David"/>
                <w:b/>
                <w:bCs/>
                <w:sz w:val="26"/>
                <w:szCs w:val="26"/>
                <w:rtl/>
              </w:rPr>
            </w:pPr>
          </w:p>
        </w:tc>
        <w:tc>
          <w:tcPr>
            <w:tcW w:w="3771" w:type="dxa"/>
            <w:tcBorders>
              <w:top w:val="nil"/>
              <w:left w:val="nil"/>
              <w:bottom w:val="nil"/>
              <w:right w:val="nil"/>
            </w:tcBorders>
            <w:shd w:val="clear" w:color="auto" w:fill="auto"/>
          </w:tcPr>
          <w:p w14:paraId="0BC74290" w14:textId="77777777" w:rsidR="00193452" w:rsidRPr="00657A08" w:rsidRDefault="00193452" w:rsidP="00193452">
            <w:pPr>
              <w:jc w:val="right"/>
              <w:rPr>
                <w:rFonts w:ascii="David" w:hAnsi="David"/>
                <w:b/>
                <w:bCs/>
                <w:sz w:val="26"/>
                <w:szCs w:val="26"/>
                <w:rtl/>
              </w:rPr>
            </w:pPr>
            <w:r w:rsidRPr="00657A08">
              <w:rPr>
                <w:rFonts w:ascii="David" w:hAnsi="David"/>
                <w:b/>
                <w:bCs/>
                <w:sz w:val="26"/>
                <w:szCs w:val="26"/>
                <w:rtl/>
              </w:rPr>
              <w:t>המאשימה</w:t>
            </w:r>
          </w:p>
        </w:tc>
      </w:tr>
      <w:tr w:rsidR="00193452" w:rsidRPr="00657A08" w14:paraId="063DDF25" w14:textId="77777777" w:rsidTr="00193452">
        <w:trPr>
          <w:trHeight w:val="355"/>
          <w:jc w:val="center"/>
        </w:trPr>
        <w:tc>
          <w:tcPr>
            <w:tcW w:w="923" w:type="dxa"/>
            <w:tcBorders>
              <w:top w:val="nil"/>
              <w:left w:val="nil"/>
              <w:bottom w:val="nil"/>
              <w:right w:val="nil"/>
            </w:tcBorders>
            <w:shd w:val="clear" w:color="auto" w:fill="auto"/>
          </w:tcPr>
          <w:p w14:paraId="276C8783" w14:textId="77777777" w:rsidR="00193452" w:rsidRPr="00657A08" w:rsidRDefault="00193452" w:rsidP="00193452">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99775F3" w14:textId="77777777" w:rsidR="00193452" w:rsidRPr="00657A08" w:rsidRDefault="00193452" w:rsidP="00193452">
            <w:pPr>
              <w:jc w:val="center"/>
              <w:rPr>
                <w:rFonts w:ascii="David" w:hAnsi="David"/>
                <w:b/>
                <w:bCs/>
                <w:sz w:val="26"/>
                <w:szCs w:val="26"/>
                <w:rtl/>
              </w:rPr>
            </w:pPr>
          </w:p>
          <w:p w14:paraId="12949816" w14:textId="77777777" w:rsidR="00193452" w:rsidRPr="00657A08" w:rsidRDefault="00193452" w:rsidP="00193452">
            <w:pPr>
              <w:jc w:val="center"/>
              <w:rPr>
                <w:rFonts w:ascii="David" w:hAnsi="David"/>
                <w:b/>
                <w:bCs/>
                <w:sz w:val="26"/>
                <w:szCs w:val="26"/>
                <w:rtl/>
              </w:rPr>
            </w:pPr>
            <w:r w:rsidRPr="00657A08">
              <w:rPr>
                <w:rFonts w:ascii="David" w:hAnsi="David"/>
                <w:b/>
                <w:bCs/>
                <w:sz w:val="26"/>
                <w:szCs w:val="26"/>
                <w:rtl/>
              </w:rPr>
              <w:t>נגד</w:t>
            </w:r>
          </w:p>
          <w:p w14:paraId="699B4F4B" w14:textId="77777777" w:rsidR="00193452" w:rsidRPr="00657A08" w:rsidRDefault="00193452" w:rsidP="00193452">
            <w:pPr>
              <w:jc w:val="both"/>
              <w:rPr>
                <w:rFonts w:ascii="David" w:hAnsi="David"/>
                <w:b/>
                <w:bCs/>
                <w:sz w:val="26"/>
                <w:szCs w:val="26"/>
              </w:rPr>
            </w:pPr>
          </w:p>
        </w:tc>
      </w:tr>
      <w:tr w:rsidR="00193452" w:rsidRPr="00657A08" w14:paraId="6E2BA414" w14:textId="77777777" w:rsidTr="00193452">
        <w:trPr>
          <w:trHeight w:val="355"/>
          <w:jc w:val="center"/>
        </w:trPr>
        <w:tc>
          <w:tcPr>
            <w:tcW w:w="923" w:type="dxa"/>
            <w:tcBorders>
              <w:top w:val="nil"/>
              <w:left w:val="nil"/>
              <w:bottom w:val="nil"/>
              <w:right w:val="nil"/>
            </w:tcBorders>
            <w:shd w:val="clear" w:color="auto" w:fill="auto"/>
          </w:tcPr>
          <w:p w14:paraId="0EA63B54" w14:textId="77777777" w:rsidR="00193452" w:rsidRPr="00657A08" w:rsidRDefault="00193452" w:rsidP="00EF6456">
            <w:pPr>
              <w:rPr>
                <w:rFonts w:ascii="David" w:hAnsi="David"/>
                <w:b/>
                <w:bCs/>
                <w:sz w:val="26"/>
                <w:szCs w:val="26"/>
                <w:rtl/>
              </w:rPr>
            </w:pPr>
          </w:p>
        </w:tc>
        <w:tc>
          <w:tcPr>
            <w:tcW w:w="4126" w:type="dxa"/>
            <w:tcBorders>
              <w:top w:val="nil"/>
              <w:left w:val="nil"/>
              <w:bottom w:val="nil"/>
              <w:right w:val="nil"/>
            </w:tcBorders>
            <w:shd w:val="clear" w:color="auto" w:fill="auto"/>
          </w:tcPr>
          <w:p w14:paraId="1A3EB16D" w14:textId="77777777" w:rsidR="00193452" w:rsidRPr="00657A08" w:rsidRDefault="00193452" w:rsidP="00EF6456">
            <w:pPr>
              <w:rPr>
                <w:rFonts w:ascii="David" w:hAnsi="David"/>
                <w:b/>
                <w:bCs/>
                <w:sz w:val="26"/>
                <w:szCs w:val="26"/>
                <w:rtl/>
              </w:rPr>
            </w:pPr>
            <w:r w:rsidRPr="00657A08">
              <w:rPr>
                <w:rFonts w:ascii="David" w:hAnsi="David"/>
                <w:b/>
                <w:bCs/>
                <w:sz w:val="26"/>
                <w:szCs w:val="26"/>
                <w:rtl/>
              </w:rPr>
              <w:t>רועי שמעוני</w:t>
            </w:r>
          </w:p>
          <w:p w14:paraId="72296701" w14:textId="77777777" w:rsidR="00193452" w:rsidRPr="00657A08" w:rsidRDefault="00193452" w:rsidP="00EF6456">
            <w:pPr>
              <w:rPr>
                <w:rFonts w:ascii="David" w:hAnsi="David"/>
                <w:b/>
                <w:bCs/>
                <w:sz w:val="26"/>
                <w:szCs w:val="26"/>
                <w:rtl/>
              </w:rPr>
            </w:pPr>
            <w:r w:rsidRPr="00657A08">
              <w:rPr>
                <w:rFonts w:ascii="David" w:hAnsi="David" w:hint="cs"/>
                <w:b/>
                <w:bCs/>
                <w:sz w:val="26"/>
                <w:szCs w:val="26"/>
                <w:rtl/>
              </w:rPr>
              <w:t>ע" ב"כ עו"ד צפריר יגור בשם עו"ד קופרמן</w:t>
            </w:r>
          </w:p>
        </w:tc>
        <w:tc>
          <w:tcPr>
            <w:tcW w:w="3771" w:type="dxa"/>
            <w:tcBorders>
              <w:top w:val="nil"/>
              <w:left w:val="nil"/>
              <w:bottom w:val="nil"/>
              <w:right w:val="nil"/>
            </w:tcBorders>
            <w:shd w:val="clear" w:color="auto" w:fill="auto"/>
          </w:tcPr>
          <w:p w14:paraId="39618B59" w14:textId="77777777" w:rsidR="00193452" w:rsidRPr="00657A08" w:rsidRDefault="00193452" w:rsidP="00193452">
            <w:pPr>
              <w:jc w:val="right"/>
              <w:rPr>
                <w:rFonts w:ascii="David" w:hAnsi="David"/>
                <w:b/>
                <w:bCs/>
                <w:sz w:val="26"/>
                <w:szCs w:val="26"/>
              </w:rPr>
            </w:pPr>
          </w:p>
        </w:tc>
      </w:tr>
      <w:tr w:rsidR="00193452" w:rsidRPr="00657A08" w14:paraId="488956CA" w14:textId="77777777" w:rsidTr="00193452">
        <w:trPr>
          <w:trHeight w:val="355"/>
          <w:jc w:val="center"/>
        </w:trPr>
        <w:tc>
          <w:tcPr>
            <w:tcW w:w="923" w:type="dxa"/>
            <w:tcBorders>
              <w:top w:val="nil"/>
              <w:left w:val="nil"/>
              <w:bottom w:val="nil"/>
              <w:right w:val="nil"/>
            </w:tcBorders>
            <w:shd w:val="clear" w:color="auto" w:fill="auto"/>
          </w:tcPr>
          <w:p w14:paraId="1B428FCD" w14:textId="77777777" w:rsidR="00193452" w:rsidRPr="00657A08" w:rsidRDefault="00193452" w:rsidP="00193452">
            <w:pPr>
              <w:jc w:val="both"/>
              <w:rPr>
                <w:rFonts w:ascii="David" w:hAnsi="David"/>
                <w:b/>
                <w:bCs/>
                <w:sz w:val="26"/>
                <w:szCs w:val="26"/>
                <w:rtl/>
              </w:rPr>
            </w:pPr>
          </w:p>
        </w:tc>
        <w:tc>
          <w:tcPr>
            <w:tcW w:w="4126" w:type="dxa"/>
            <w:tcBorders>
              <w:top w:val="nil"/>
              <w:left w:val="nil"/>
              <w:bottom w:val="nil"/>
              <w:right w:val="nil"/>
            </w:tcBorders>
            <w:shd w:val="clear" w:color="auto" w:fill="auto"/>
          </w:tcPr>
          <w:p w14:paraId="63935AC0" w14:textId="77777777" w:rsidR="00193452" w:rsidRPr="00657A08" w:rsidRDefault="00193452" w:rsidP="00193452">
            <w:pPr>
              <w:jc w:val="both"/>
              <w:rPr>
                <w:rFonts w:ascii="David" w:hAnsi="David"/>
                <w:b/>
                <w:bCs/>
                <w:sz w:val="26"/>
                <w:szCs w:val="26"/>
                <w:rtl/>
              </w:rPr>
            </w:pPr>
          </w:p>
        </w:tc>
        <w:tc>
          <w:tcPr>
            <w:tcW w:w="3771" w:type="dxa"/>
            <w:tcBorders>
              <w:top w:val="nil"/>
              <w:left w:val="nil"/>
              <w:bottom w:val="nil"/>
              <w:right w:val="nil"/>
            </w:tcBorders>
            <w:shd w:val="clear" w:color="auto" w:fill="auto"/>
          </w:tcPr>
          <w:p w14:paraId="270D6931" w14:textId="77777777" w:rsidR="00193452" w:rsidRPr="00657A08" w:rsidRDefault="00193452" w:rsidP="00193452">
            <w:pPr>
              <w:jc w:val="right"/>
              <w:rPr>
                <w:rFonts w:ascii="David" w:hAnsi="David"/>
                <w:b/>
                <w:bCs/>
                <w:sz w:val="26"/>
                <w:szCs w:val="26"/>
              </w:rPr>
            </w:pPr>
            <w:r w:rsidRPr="00657A08">
              <w:rPr>
                <w:rFonts w:ascii="David" w:hAnsi="David"/>
                <w:b/>
                <w:bCs/>
                <w:sz w:val="26"/>
                <w:szCs w:val="26"/>
                <w:rtl/>
              </w:rPr>
              <w:t>הנאשם</w:t>
            </w:r>
          </w:p>
        </w:tc>
      </w:tr>
    </w:tbl>
    <w:p w14:paraId="57D362FD" w14:textId="77777777" w:rsidR="0086407F" w:rsidRDefault="0086407F" w:rsidP="00657A08">
      <w:pPr>
        <w:rPr>
          <w:sz w:val="26"/>
          <w:szCs w:val="26"/>
          <w:rtl/>
        </w:rPr>
      </w:pPr>
    </w:p>
    <w:p w14:paraId="63897B6B" w14:textId="77777777" w:rsidR="0086407F" w:rsidRPr="0086407F" w:rsidRDefault="0086407F" w:rsidP="0086407F">
      <w:pPr>
        <w:spacing w:after="120" w:line="240" w:lineRule="exact"/>
        <w:ind w:left="283" w:hanging="283"/>
        <w:jc w:val="both"/>
        <w:rPr>
          <w:rFonts w:ascii="FrankRuehl" w:hAnsi="FrankRuehl" w:cs="FrankRuehl"/>
          <w:rtl/>
        </w:rPr>
      </w:pPr>
    </w:p>
    <w:p w14:paraId="2C50AD36" w14:textId="77777777" w:rsidR="00D04579" w:rsidRPr="00D04579" w:rsidRDefault="00D04579" w:rsidP="00D04579">
      <w:pPr>
        <w:spacing w:before="120" w:after="120" w:line="240" w:lineRule="exact"/>
        <w:ind w:left="283" w:hanging="283"/>
        <w:jc w:val="both"/>
        <w:rPr>
          <w:rFonts w:ascii="FrankRuehl" w:hAnsi="FrankRuehl" w:cs="FrankRuehl"/>
          <w:rtl/>
        </w:rPr>
      </w:pPr>
    </w:p>
    <w:p w14:paraId="2E11B554" w14:textId="77777777" w:rsidR="009F796D" w:rsidRDefault="009F796D" w:rsidP="009F796D">
      <w:pPr>
        <w:rPr>
          <w:sz w:val="26"/>
          <w:szCs w:val="26"/>
          <w:rtl/>
        </w:rPr>
      </w:pPr>
      <w:bookmarkStart w:id="3" w:name="LawTable"/>
      <w:bookmarkEnd w:id="3"/>
    </w:p>
    <w:p w14:paraId="786620A4" w14:textId="77777777" w:rsidR="009F796D" w:rsidRPr="009F796D" w:rsidRDefault="009F796D" w:rsidP="009F796D">
      <w:pPr>
        <w:spacing w:before="120" w:after="120" w:line="240" w:lineRule="exact"/>
        <w:ind w:left="283" w:hanging="283"/>
        <w:jc w:val="both"/>
        <w:rPr>
          <w:rFonts w:ascii="FrankRuehl" w:hAnsi="FrankRuehl" w:cs="FrankRuehl"/>
          <w:rtl/>
        </w:rPr>
      </w:pPr>
    </w:p>
    <w:p w14:paraId="00FF3E93" w14:textId="77777777" w:rsidR="009F796D" w:rsidRPr="009F796D" w:rsidRDefault="009F796D" w:rsidP="009F796D">
      <w:pPr>
        <w:spacing w:before="120" w:after="120" w:line="240" w:lineRule="exact"/>
        <w:ind w:left="283" w:hanging="283"/>
        <w:jc w:val="both"/>
        <w:rPr>
          <w:rFonts w:ascii="FrankRuehl" w:hAnsi="FrankRuehl" w:cs="FrankRuehl"/>
          <w:rtl/>
        </w:rPr>
      </w:pPr>
    </w:p>
    <w:p w14:paraId="5B103EC7" w14:textId="77777777" w:rsidR="009F796D" w:rsidRPr="009F796D" w:rsidRDefault="009F796D" w:rsidP="009F796D">
      <w:pPr>
        <w:spacing w:before="120" w:after="120" w:line="240" w:lineRule="exact"/>
        <w:ind w:left="283" w:hanging="283"/>
        <w:jc w:val="both"/>
        <w:rPr>
          <w:rFonts w:ascii="FrankRuehl" w:hAnsi="FrankRuehl" w:cs="FrankRuehl"/>
          <w:rtl/>
        </w:rPr>
      </w:pPr>
      <w:r w:rsidRPr="009F796D">
        <w:rPr>
          <w:rFonts w:ascii="FrankRuehl" w:hAnsi="FrankRuehl" w:cs="FrankRuehl"/>
          <w:rtl/>
        </w:rPr>
        <w:t xml:space="preserve">חקיקה שאוזכרה: </w:t>
      </w:r>
    </w:p>
    <w:p w14:paraId="19454D09" w14:textId="77777777" w:rsidR="009F796D" w:rsidRPr="009F796D" w:rsidRDefault="009F796D" w:rsidP="009F796D">
      <w:pPr>
        <w:spacing w:before="120" w:after="120" w:line="240" w:lineRule="exact"/>
        <w:ind w:left="283" w:hanging="283"/>
        <w:jc w:val="both"/>
        <w:rPr>
          <w:rFonts w:ascii="FrankRuehl" w:hAnsi="FrankRuehl" w:cs="FrankRuehl"/>
          <w:rtl/>
        </w:rPr>
      </w:pPr>
      <w:hyperlink r:id="rId8" w:history="1">
        <w:r w:rsidRPr="009F796D">
          <w:rPr>
            <w:rFonts w:ascii="FrankRuehl" w:hAnsi="FrankRuehl" w:cs="FrankRuehl"/>
            <w:color w:val="0000FF"/>
            <w:rtl/>
          </w:rPr>
          <w:t>פקודת הסמים המסוכנים [נוסח חדש], תשל"ג-1973</w:t>
        </w:r>
      </w:hyperlink>
      <w:r w:rsidRPr="009F796D">
        <w:rPr>
          <w:rFonts w:ascii="FrankRuehl" w:hAnsi="FrankRuehl" w:cs="FrankRuehl"/>
          <w:rtl/>
        </w:rPr>
        <w:t xml:space="preserve">: סע'  </w:t>
      </w:r>
      <w:hyperlink r:id="rId9" w:history="1">
        <w:r w:rsidRPr="009F796D">
          <w:rPr>
            <w:rFonts w:ascii="FrankRuehl" w:hAnsi="FrankRuehl" w:cs="FrankRuehl"/>
            <w:color w:val="0000FF"/>
            <w:rtl/>
          </w:rPr>
          <w:t>7(א)</w:t>
        </w:r>
      </w:hyperlink>
      <w:r w:rsidRPr="009F796D">
        <w:rPr>
          <w:rFonts w:ascii="FrankRuehl" w:hAnsi="FrankRuehl" w:cs="FrankRuehl"/>
          <w:rtl/>
        </w:rPr>
        <w:t xml:space="preserve">, </w:t>
      </w:r>
      <w:hyperlink r:id="rId10" w:history="1">
        <w:r w:rsidRPr="009F796D">
          <w:rPr>
            <w:rFonts w:ascii="FrankRuehl" w:hAnsi="FrankRuehl" w:cs="FrankRuehl"/>
            <w:color w:val="0000FF"/>
            <w:rtl/>
          </w:rPr>
          <w:t>7(ג)</w:t>
        </w:r>
      </w:hyperlink>
    </w:p>
    <w:p w14:paraId="12A91110" w14:textId="77777777" w:rsidR="009F796D" w:rsidRPr="009F796D" w:rsidRDefault="009F796D" w:rsidP="009F796D">
      <w:pPr>
        <w:spacing w:before="120" w:after="120" w:line="240" w:lineRule="exact"/>
        <w:ind w:left="283" w:hanging="283"/>
        <w:jc w:val="both"/>
        <w:rPr>
          <w:rFonts w:ascii="FrankRuehl" w:hAnsi="FrankRuehl" w:cs="FrankRuehl"/>
          <w:rtl/>
        </w:rPr>
      </w:pPr>
      <w:hyperlink r:id="rId11" w:history="1">
        <w:r w:rsidRPr="009F796D">
          <w:rPr>
            <w:rFonts w:ascii="FrankRuehl" w:hAnsi="FrankRuehl" w:cs="FrankRuehl"/>
            <w:color w:val="0000FF"/>
            <w:rtl/>
          </w:rPr>
          <w:t>חוק העונשין, תשל"ז-1977</w:t>
        </w:r>
      </w:hyperlink>
      <w:r w:rsidRPr="009F796D">
        <w:rPr>
          <w:rFonts w:ascii="FrankRuehl" w:hAnsi="FrankRuehl" w:cs="FrankRuehl"/>
          <w:rtl/>
        </w:rPr>
        <w:t xml:space="preserve">: סע'  </w:t>
      </w:r>
      <w:hyperlink r:id="rId12" w:history="1">
        <w:r w:rsidRPr="009F796D">
          <w:rPr>
            <w:rFonts w:ascii="FrankRuehl" w:hAnsi="FrankRuehl" w:cs="FrankRuehl"/>
            <w:color w:val="0000FF"/>
            <w:rtl/>
          </w:rPr>
          <w:t>71א(ד)</w:t>
        </w:r>
      </w:hyperlink>
    </w:p>
    <w:p w14:paraId="7B004E87" w14:textId="77777777" w:rsidR="009F796D" w:rsidRPr="009F796D" w:rsidRDefault="009F796D" w:rsidP="009F796D">
      <w:pPr>
        <w:rPr>
          <w:sz w:val="26"/>
          <w:szCs w:val="26"/>
          <w:rtl/>
        </w:rPr>
      </w:pPr>
      <w:bookmarkStart w:id="4" w:name="LawTable_End"/>
      <w:bookmarkEnd w:id="4"/>
    </w:p>
    <w:p w14:paraId="55D18854" w14:textId="77777777" w:rsidR="00193452" w:rsidRPr="00D04579" w:rsidRDefault="00193452" w:rsidP="00D0457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93452" w14:paraId="5F3201B3" w14:textId="77777777" w:rsidTr="00193452">
        <w:trPr>
          <w:trHeight w:val="355"/>
          <w:jc w:val="center"/>
        </w:trPr>
        <w:tc>
          <w:tcPr>
            <w:tcW w:w="8820" w:type="dxa"/>
            <w:tcBorders>
              <w:top w:val="nil"/>
              <w:left w:val="nil"/>
              <w:bottom w:val="nil"/>
              <w:right w:val="nil"/>
            </w:tcBorders>
            <w:shd w:val="clear" w:color="auto" w:fill="auto"/>
          </w:tcPr>
          <w:p w14:paraId="6267DEF2" w14:textId="77777777" w:rsidR="00657A08" w:rsidRPr="00657A08" w:rsidRDefault="00657A08" w:rsidP="00657A08">
            <w:pPr>
              <w:jc w:val="center"/>
              <w:rPr>
                <w:rFonts w:ascii="David" w:hAnsi="David"/>
                <w:b/>
                <w:bCs/>
                <w:sz w:val="32"/>
                <w:szCs w:val="32"/>
                <w:u w:val="single"/>
                <w:rtl/>
              </w:rPr>
            </w:pPr>
            <w:bookmarkStart w:id="5" w:name="PsakDin" w:colFirst="0" w:colLast="0"/>
            <w:r w:rsidRPr="00657A08">
              <w:rPr>
                <w:rFonts w:ascii="David" w:hAnsi="David"/>
                <w:b/>
                <w:bCs/>
                <w:sz w:val="32"/>
                <w:szCs w:val="32"/>
                <w:u w:val="single"/>
                <w:rtl/>
              </w:rPr>
              <w:t>גזר דין</w:t>
            </w:r>
          </w:p>
          <w:p w14:paraId="45E0E15A" w14:textId="77777777" w:rsidR="00193452" w:rsidRPr="00657A08" w:rsidRDefault="00193452" w:rsidP="00657A08">
            <w:pPr>
              <w:jc w:val="center"/>
              <w:rPr>
                <w:rFonts w:ascii="David" w:hAnsi="David"/>
                <w:bCs/>
                <w:sz w:val="32"/>
                <w:szCs w:val="32"/>
                <w:u w:val="single"/>
                <w:rtl/>
              </w:rPr>
            </w:pPr>
          </w:p>
        </w:tc>
      </w:tr>
      <w:bookmarkEnd w:id="5"/>
    </w:tbl>
    <w:p w14:paraId="1C781F39" w14:textId="77777777" w:rsidR="00193452" w:rsidRPr="002B7D23" w:rsidRDefault="00193452" w:rsidP="00193452">
      <w:pPr>
        <w:rPr>
          <w:rFonts w:ascii="David" w:hAnsi="David"/>
          <w:sz w:val="26"/>
          <w:szCs w:val="26"/>
          <w:rtl/>
        </w:rPr>
      </w:pPr>
    </w:p>
    <w:p w14:paraId="47529676" w14:textId="77777777" w:rsidR="00193452" w:rsidRDefault="00193452" w:rsidP="00193452">
      <w:pPr>
        <w:spacing w:line="360" w:lineRule="auto"/>
        <w:jc w:val="both"/>
        <w:rPr>
          <w:rFonts w:ascii="David" w:hAnsi="David"/>
          <w:b/>
          <w:bCs/>
          <w:u w:val="single"/>
        </w:rPr>
      </w:pPr>
    </w:p>
    <w:p w14:paraId="46631504" w14:textId="77777777" w:rsidR="00193452" w:rsidRDefault="00193452" w:rsidP="00193452">
      <w:pPr>
        <w:spacing w:line="360" w:lineRule="auto"/>
        <w:jc w:val="both"/>
        <w:rPr>
          <w:rFonts w:ascii="David" w:hAnsi="David"/>
          <w:b/>
          <w:bCs/>
          <w:u w:val="single"/>
          <w:rtl/>
        </w:rPr>
      </w:pPr>
      <w:r>
        <w:rPr>
          <w:rFonts w:ascii="David" w:hAnsi="David"/>
          <w:b/>
          <w:bCs/>
          <w:u w:val="single"/>
          <w:rtl/>
        </w:rPr>
        <w:t>מבוא</w:t>
      </w:r>
    </w:p>
    <w:p w14:paraId="622A26B9" w14:textId="77777777" w:rsidR="00193452" w:rsidRDefault="00193452" w:rsidP="00193452">
      <w:pPr>
        <w:pStyle w:val="aa"/>
        <w:numPr>
          <w:ilvl w:val="0"/>
          <w:numId w:val="1"/>
        </w:numPr>
        <w:spacing w:line="360" w:lineRule="auto"/>
        <w:ind w:left="509" w:hanging="509"/>
        <w:jc w:val="both"/>
        <w:rPr>
          <w:rFonts w:ascii="David" w:hAnsi="David" w:cs="David"/>
          <w:sz w:val="24"/>
          <w:szCs w:val="24"/>
          <w:rtl/>
        </w:rPr>
      </w:pPr>
      <w:bookmarkStart w:id="6" w:name="ABSTRACT_START"/>
      <w:bookmarkEnd w:id="6"/>
      <w:r>
        <w:rPr>
          <w:rFonts w:ascii="David" w:hAnsi="David" w:cs="David"/>
          <w:sz w:val="24"/>
          <w:szCs w:val="24"/>
          <w:rtl/>
        </w:rPr>
        <w:t>בהכרעת דין מיום 25.10.20, הורשע הנאשם, לפי הודאתו בעבירה של החזקת סמים לצריכה עצמית, לפי</w:t>
      </w:r>
      <w:r w:rsidR="00657A08">
        <w:rPr>
          <w:rFonts w:ascii="David" w:hAnsi="David" w:cs="David"/>
          <w:sz w:val="24"/>
          <w:szCs w:val="24"/>
          <w:rtl/>
        </w:rPr>
        <w:t xml:space="preserve"> </w:t>
      </w:r>
      <w:hyperlink r:id="rId13" w:history="1">
        <w:r w:rsidR="0086407F" w:rsidRPr="0086407F">
          <w:rPr>
            <w:rStyle w:val="Hyperlink"/>
            <w:rFonts w:ascii="David" w:hAnsi="David" w:cs="David"/>
            <w:sz w:val="24"/>
            <w:szCs w:val="24"/>
            <w:rtl/>
          </w:rPr>
          <w:t>סעיף 7(א)</w:t>
        </w:r>
      </w:hyperlink>
      <w:r w:rsidR="00657A08">
        <w:rPr>
          <w:rFonts w:ascii="David" w:hAnsi="David" w:cs="David"/>
          <w:sz w:val="24"/>
          <w:szCs w:val="24"/>
        </w:rPr>
        <w:t xml:space="preserve"> </w:t>
      </w:r>
      <w:r>
        <w:rPr>
          <w:rFonts w:ascii="David" w:hAnsi="David" w:cs="David"/>
          <w:sz w:val="24"/>
          <w:szCs w:val="24"/>
          <w:rtl/>
        </w:rPr>
        <w:t>יחד עם</w:t>
      </w:r>
      <w:r w:rsidR="00657A08">
        <w:rPr>
          <w:rFonts w:ascii="David" w:hAnsi="David" w:cs="David"/>
          <w:sz w:val="24"/>
          <w:szCs w:val="24"/>
          <w:rtl/>
        </w:rPr>
        <w:t xml:space="preserve"> </w:t>
      </w:r>
      <w:hyperlink r:id="rId14" w:history="1">
        <w:r w:rsidR="0086407F" w:rsidRPr="0086407F">
          <w:rPr>
            <w:rStyle w:val="Hyperlink"/>
            <w:rFonts w:ascii="David" w:hAnsi="David" w:cs="David"/>
            <w:sz w:val="24"/>
            <w:szCs w:val="24"/>
            <w:rtl/>
          </w:rPr>
          <w:t>סעיף 7(ג)</w:t>
        </w:r>
      </w:hyperlink>
      <w:r w:rsidR="00657A08">
        <w:rPr>
          <w:rFonts w:ascii="David" w:hAnsi="David" w:cs="David"/>
          <w:sz w:val="24"/>
          <w:szCs w:val="24"/>
        </w:rPr>
        <w:t xml:space="preserve"> </w:t>
      </w:r>
      <w:r>
        <w:rPr>
          <w:rFonts w:ascii="David" w:hAnsi="David" w:cs="David"/>
          <w:sz w:val="24"/>
          <w:szCs w:val="24"/>
          <w:rtl/>
        </w:rPr>
        <w:t>סיפא ל</w:t>
      </w:r>
      <w:hyperlink r:id="rId15" w:history="1">
        <w:r w:rsidR="00657A08" w:rsidRPr="00657A08">
          <w:rPr>
            <w:rFonts w:ascii="David" w:hAnsi="David" w:cs="David"/>
            <w:color w:val="0000FF"/>
            <w:sz w:val="24"/>
            <w:szCs w:val="24"/>
            <w:u w:val="single"/>
            <w:rtl/>
          </w:rPr>
          <w:t>פקודת הסמים המסוכנים</w:t>
        </w:r>
      </w:hyperlink>
      <w:r w:rsidR="00657A08">
        <w:rPr>
          <w:rFonts w:ascii="David" w:hAnsi="David" w:cs="David"/>
          <w:sz w:val="24"/>
          <w:szCs w:val="24"/>
        </w:rPr>
        <w:t xml:space="preserve"> </w:t>
      </w:r>
      <w:r>
        <w:rPr>
          <w:rFonts w:ascii="David" w:hAnsi="David" w:cs="David"/>
          <w:sz w:val="24"/>
          <w:szCs w:val="24"/>
          <w:rtl/>
        </w:rPr>
        <w:t>[נוסח חדש], תשל"ג – 1973</w:t>
      </w:r>
      <w:r>
        <w:rPr>
          <w:rFonts w:ascii="David" w:hAnsi="David" w:cs="David"/>
          <w:sz w:val="24"/>
          <w:szCs w:val="24"/>
        </w:rPr>
        <w:t xml:space="preserve"> .</w:t>
      </w:r>
    </w:p>
    <w:p w14:paraId="061C731C" w14:textId="77777777" w:rsidR="00193452" w:rsidRDefault="00193452" w:rsidP="00193452">
      <w:pPr>
        <w:pStyle w:val="aa"/>
        <w:spacing w:line="360" w:lineRule="auto"/>
        <w:ind w:left="509"/>
        <w:jc w:val="both"/>
        <w:rPr>
          <w:rFonts w:ascii="David" w:hAnsi="David" w:cs="David"/>
          <w:sz w:val="24"/>
          <w:szCs w:val="24"/>
        </w:rPr>
      </w:pPr>
      <w:r>
        <w:rPr>
          <w:rFonts w:ascii="David" w:hAnsi="David" w:cs="David"/>
          <w:sz w:val="24"/>
          <w:szCs w:val="24"/>
          <w:rtl/>
        </w:rPr>
        <w:t>לפי כתב האישום, ביום 30.5.19 לפנות בוקר, נסע הנאשם ברכבו, ברחוב ויצמן בנס ציונה. באותה העת, החזיק הנאשם ברכבו סם מסוכן מסוג קנבוס במשקל כולל של 62.07 גרם נטו וכסף מזומן בסכום של 3,540 ₪.</w:t>
      </w:r>
    </w:p>
    <w:p w14:paraId="0C789BDE" w14:textId="77777777" w:rsidR="00193452" w:rsidRDefault="00193452" w:rsidP="00193452">
      <w:pPr>
        <w:pStyle w:val="aa"/>
        <w:numPr>
          <w:ilvl w:val="0"/>
          <w:numId w:val="1"/>
        </w:numPr>
        <w:spacing w:line="360" w:lineRule="auto"/>
        <w:ind w:left="509" w:hanging="509"/>
        <w:jc w:val="both"/>
        <w:rPr>
          <w:rFonts w:ascii="David" w:hAnsi="David" w:cs="David"/>
          <w:b/>
          <w:bCs/>
          <w:sz w:val="24"/>
          <w:szCs w:val="24"/>
        </w:rPr>
      </w:pPr>
      <w:r>
        <w:rPr>
          <w:rFonts w:ascii="David" w:hAnsi="David" w:cs="David"/>
          <w:sz w:val="24"/>
          <w:szCs w:val="24"/>
          <w:rtl/>
        </w:rPr>
        <w:lastRenderedPageBreak/>
        <w:t>לפי הסדר טיעון, נשלח הנאשם לעריכת תסקיר שירות מבחן בעניינו, ללא הסכמה עונשית, למעט חילוט סכום של 3,540 ₪ ופסילת רישיון על תנאי.</w:t>
      </w:r>
    </w:p>
    <w:p w14:paraId="0A004AF3" w14:textId="77777777" w:rsidR="00193452" w:rsidRDefault="00193452" w:rsidP="00193452">
      <w:pPr>
        <w:spacing w:line="360" w:lineRule="auto"/>
        <w:jc w:val="both"/>
        <w:rPr>
          <w:rFonts w:ascii="David" w:hAnsi="David"/>
          <w:b/>
          <w:bCs/>
          <w:u w:val="single"/>
        </w:rPr>
      </w:pPr>
      <w:bookmarkStart w:id="7" w:name="ABSTRACT_END"/>
      <w:bookmarkEnd w:id="7"/>
    </w:p>
    <w:p w14:paraId="484801B3" w14:textId="77777777" w:rsidR="00193452" w:rsidRDefault="00193452" w:rsidP="00193452">
      <w:pPr>
        <w:spacing w:line="360" w:lineRule="auto"/>
        <w:jc w:val="both"/>
        <w:rPr>
          <w:rFonts w:ascii="David" w:hAnsi="David"/>
          <w:b/>
          <w:bCs/>
          <w:u w:val="single"/>
          <w:rtl/>
        </w:rPr>
      </w:pPr>
      <w:r>
        <w:rPr>
          <w:rFonts w:ascii="David" w:hAnsi="David"/>
          <w:b/>
          <w:bCs/>
          <w:u w:val="single"/>
          <w:rtl/>
        </w:rPr>
        <w:t>תסקיר שירות מבחן</w:t>
      </w:r>
    </w:p>
    <w:p w14:paraId="0D761D6D" w14:textId="77777777" w:rsidR="00193452" w:rsidRDefault="00193452" w:rsidP="00193452">
      <w:pPr>
        <w:pStyle w:val="aa"/>
        <w:numPr>
          <w:ilvl w:val="0"/>
          <w:numId w:val="1"/>
        </w:numPr>
        <w:spacing w:line="360" w:lineRule="auto"/>
        <w:ind w:left="509" w:hanging="509"/>
        <w:jc w:val="both"/>
        <w:rPr>
          <w:rFonts w:ascii="David" w:hAnsi="David" w:cs="David"/>
          <w:sz w:val="24"/>
          <w:szCs w:val="24"/>
          <w:rtl/>
        </w:rPr>
      </w:pPr>
      <w:r>
        <w:rPr>
          <w:rFonts w:ascii="David" w:hAnsi="David" w:cs="David"/>
          <w:sz w:val="24"/>
          <w:szCs w:val="24"/>
          <w:rtl/>
        </w:rPr>
        <w:t>שירות המבחן, בתסקירו מיום 21.02.21, ציין כי הנאשם בן 28, עובד כנהג משאית ומתגורר בבית הוריו. הנאשם סיים 12 שנות לימוד עם תעודת בגרות חלקית. בגיל 18 התגייס הנאשם לצה"ל ושירת תחילה כלוחם בחיל האיסוף הקרבי, ובהמשך עבר לתפקיד עורפי. כיום, הנאשם משרת ביחידת מילואים של פיקוד העורף ככבאי. עם שחרורו, עבד הנאשם במסעדה במשך שנתיים וחצי לצד עבודות מזדמנות נוספות. מעבודות אלו הנאשם חסך סכום כסף שבאמצעותו פתח עסק עצמאי כמנעולן עם חבר משפחה קרוב. הנאשם נאלץ לסגור את העסק לאחר שלדבריו, אותו חבר ניצל את חוסר הידע שלו בתחום, נטל מכספי העסק והותיר אותו להתמודד עם חובות כלכלים משמעותיים. בכדי להשיב את החובות עבד הנאשם במספר עבודות במקביל, והתמודד עם קשיי שינה, חרדות ומתח נפשי. עוד הוסיף שירות המבחן, כי הנאשם גדל במשפחה נורמטיבית, אביו עובד בתחום הביטוח ואמו עקרת בית. הנאשם נעדר עבר פלילי ולא נפתחו נגדו תיקים חדשים. הנאשם מסר כי העבירה בוצעה על רקע סגירת עסקו ותקופה משברית אליה נקלע בשל קשייו הכלכליים. בנוסף, שהה הנאשם לצד אחיו בבית חולים במשך חצי שנה, לאחר שהאחרון נפצע באורח קשה בתאונת דרכים ונשקפה סכנה לחייו. לצד זאת, דודו של הנאשם נפטר באופן פתאומי. לדברי הנאשם, אירועים אלו בצד קשייו הכלכליים, גרמו ללחץ נפשי משמעותי. עוד מסר הנאשם, כי התנסה לראשונה בצריכת סם מסוג קנבוס בגיל 24, באופן מזדמן, ועל רקע חברתי. בהמשך, העמיק הנאשם בשימוש בסם בתדירות יומית. עוד ציין שירות המבחן, כי הנאשם נטל אחריות על מעשיו והביע חרטה עליהם. הנאשם זומן לשתי בדיקות שתן לאיתור סמים שנמצאו ללא שרידי סם.</w:t>
      </w:r>
    </w:p>
    <w:p w14:paraId="07539992" w14:textId="77777777" w:rsidR="00193452" w:rsidRDefault="00193452" w:rsidP="00193452">
      <w:pPr>
        <w:spacing w:line="360" w:lineRule="auto"/>
        <w:ind w:left="509"/>
        <w:jc w:val="both"/>
        <w:rPr>
          <w:rFonts w:ascii="David" w:hAnsi="David"/>
        </w:rPr>
      </w:pPr>
      <w:r>
        <w:rPr>
          <w:rFonts w:ascii="David" w:hAnsi="David"/>
          <w:rtl/>
        </w:rPr>
        <w:t>להתרשמות שירות המבחן, לנאשם כוחות ויכולת לתפקוד תקין, הוא שומר על יציבות תעסוקתית וללא מעורבות בפלילים. שירות המבחן העריך, כי הנאשם צרך סמים כאמצעי להתמודדות עם אירועי דחק רבים, אולם להתרשמות שירות המבחן, הנאשם אינו סובל מהתמכרות. שירות המבחן הוסיף, כי הנאשם מתמודד עם השלכות מעשיו באופן מקדם, אולם הביע הסתייגות מהשתלבות בטיפול. מכאן סבר שירות המבחן, כי הסיכון להישנות ביצוע עבירות דומות בעתיד פחת. לאור זאת, המליץ שירות המבחן לסיים ההליך ללא הרשעת הנאשם, להטיל עליו צו שירות לתועלת הציבור בהיקף של 150 שעות, ומתן הוראה למסירת בדיקות שתן.</w:t>
      </w:r>
    </w:p>
    <w:p w14:paraId="2D3727A5" w14:textId="77777777" w:rsidR="00193452" w:rsidRDefault="00193452" w:rsidP="00193452">
      <w:pPr>
        <w:spacing w:line="360" w:lineRule="auto"/>
        <w:jc w:val="both"/>
        <w:rPr>
          <w:rFonts w:ascii="David" w:hAnsi="David"/>
          <w:b/>
          <w:bCs/>
          <w:u w:val="single"/>
          <w:rtl/>
        </w:rPr>
      </w:pPr>
    </w:p>
    <w:p w14:paraId="37F8A1DC" w14:textId="77777777" w:rsidR="00193452" w:rsidRDefault="00193452" w:rsidP="00193452">
      <w:pPr>
        <w:spacing w:line="360" w:lineRule="auto"/>
        <w:jc w:val="both"/>
        <w:rPr>
          <w:rFonts w:ascii="David" w:hAnsi="David"/>
          <w:b/>
          <w:bCs/>
          <w:u w:val="single"/>
          <w:rtl/>
        </w:rPr>
      </w:pPr>
      <w:r>
        <w:rPr>
          <w:rFonts w:ascii="David" w:hAnsi="David"/>
          <w:b/>
          <w:bCs/>
          <w:u w:val="single"/>
          <w:rtl/>
        </w:rPr>
        <w:t>טענות הצדדים</w:t>
      </w:r>
    </w:p>
    <w:p w14:paraId="5866423F" w14:textId="77777777" w:rsidR="00193452" w:rsidRDefault="00193452" w:rsidP="00193452">
      <w:pPr>
        <w:pStyle w:val="aa"/>
        <w:numPr>
          <w:ilvl w:val="0"/>
          <w:numId w:val="1"/>
        </w:numPr>
        <w:spacing w:line="360" w:lineRule="auto"/>
        <w:ind w:left="509" w:hanging="509"/>
        <w:jc w:val="both"/>
        <w:rPr>
          <w:rFonts w:ascii="David" w:hAnsi="David" w:cs="David"/>
          <w:sz w:val="24"/>
          <w:szCs w:val="24"/>
          <w:rtl/>
        </w:rPr>
      </w:pPr>
      <w:r>
        <w:rPr>
          <w:rFonts w:ascii="David" w:hAnsi="David" w:cs="David"/>
          <w:sz w:val="24"/>
          <w:szCs w:val="24"/>
          <w:rtl/>
        </w:rPr>
        <w:t xml:space="preserve">באת כוח התביעה טענה, שלא מתקיימים התנאים לסיום ההליך ללא הרשעת הנאשם. לטענתה, הנאשם החזיק ברכבו 3 שקיות שבכל אחת מהן סם קנבוס במשקל כולל של 62.07 </w:t>
      </w:r>
      <w:r>
        <w:rPr>
          <w:rFonts w:ascii="David" w:hAnsi="David" w:cs="David"/>
          <w:sz w:val="24"/>
          <w:szCs w:val="24"/>
          <w:rtl/>
        </w:rPr>
        <w:lastRenderedPageBreak/>
        <w:t xml:space="preserve">גרם וכסף מזומן.  מכאן טענה, כי מתחם העונש ההולם, נע בין מאסר על תנאי ובין מאסר לתקופה של מספר חודשים שיכול ויבוצע בדרך עבודות שירות. </w:t>
      </w:r>
    </w:p>
    <w:p w14:paraId="6608561B"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sz w:val="24"/>
          <w:szCs w:val="24"/>
          <w:rtl/>
        </w:rPr>
        <w:t>לטענתה, אין מקום לאמץ את המלצת שירות המבחן, למרות שנאשם נעדר עבר פלילי. כן טענה בהקשר זה, כי מתסקיר שירות המבחן עולה, כי הנאשם לא שוקל באופן מעמיק את ההשלכות של מעשיו, ואף מחזיק בעמדות מקלות לגבי שימוש בסמים.</w:t>
      </w:r>
    </w:p>
    <w:p w14:paraId="68DC473D"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sz w:val="24"/>
          <w:szCs w:val="24"/>
          <w:rtl/>
        </w:rPr>
        <w:t xml:space="preserve">באת כוח התביעה הוסיפה וטענה, כי לא הוכחה כל פגיעה קונקרטית. לטענתה, הנאשם בעבר עסק כמנעולן, אולם כיום הוא אינו עוסק בכך והוא משמש כנהג משאית.  </w:t>
      </w:r>
    </w:p>
    <w:p w14:paraId="65A5CB8B"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sz w:val="24"/>
          <w:szCs w:val="24"/>
          <w:rtl/>
        </w:rPr>
        <w:t xml:space="preserve">מכאן, עתרה באת כוח התביעה להטיל על הנאשם מאסר על תנאי, צו שירות לתועלת הציבור, קנס, פסילת רישיון על תנאי וחילוט סכום של 3,540 ₪. </w:t>
      </w:r>
    </w:p>
    <w:p w14:paraId="247E9247"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sz w:val="24"/>
          <w:szCs w:val="24"/>
          <w:rtl/>
        </w:rPr>
        <w:t xml:space="preserve">בא כוח הנאשם טען, לעומת זאת, כי יש להימנע מהרשעתו של הנאשם, לאמץ את המלצת שירות המבחן, וזאת משום שמתקיימים התנאים הנדרשים לכך. </w:t>
      </w:r>
    </w:p>
    <w:p w14:paraId="26BE6E29"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sz w:val="24"/>
          <w:szCs w:val="24"/>
          <w:rtl/>
        </w:rPr>
        <w:t xml:space="preserve">לטענתו, מכלול נסיבותיו האישיות של הנאשם עומדות לזכותו: הנאשם צעיר, נעדר עבר פלילי וזו מעורבותו הראשונה עם רשויות אכיפת החוק; הנאשם הודה ונטל אחריות על מעשיו; נסיבות חייו של הנאשם אינן פשוטות; הנאשם שירת כלוחם בצה"ל ועודנו משרת במילואים; הנאשם הסתבך כלכלית בשל קריסת עסק ושותפו הותיר אותו עם חובות כבדים. על מנת לכסות את חובותיו, החל הנאשם לעבוד כנהג משאית.   </w:t>
      </w:r>
    </w:p>
    <w:p w14:paraId="7294CF7E"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sz w:val="24"/>
          <w:szCs w:val="24"/>
          <w:rtl/>
        </w:rPr>
        <w:t xml:space="preserve">עוד טען בא כוח הנאשם, כי לאור תכניות הנאשם לשוב ולעסוק כמנעולן הרשעתו תפגע בו באופן קונקרטי, ותחסום את דרכו מלעסוק במקצוע. בהקשר זה טען כי החוק מונע מאדם שאינו בעל תעודת יושר לעסוק כמנעולן. בהמשך, הגיש הודעת הבהרה אליה צירף מסמך של ארגון המנעולנים בישראל, המלמד לטענתו, כי הארגון מקבל לשורותיו רק מנעולנים המחזיקים ב"תעודת יושר".  </w:t>
      </w:r>
    </w:p>
    <w:p w14:paraId="51E9023E"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sz w:val="24"/>
          <w:szCs w:val="24"/>
          <w:rtl/>
        </w:rPr>
        <w:t xml:space="preserve">מכאן עתר בא כוח הנאשם לאמץ את המלצות שירות המבחן ולסיים ההליך ללא הרשעתו של הנאשם. </w:t>
      </w:r>
    </w:p>
    <w:p w14:paraId="7307ECE5" w14:textId="77777777" w:rsidR="00193452" w:rsidRDefault="00193452" w:rsidP="00193452">
      <w:pPr>
        <w:spacing w:line="360" w:lineRule="auto"/>
        <w:jc w:val="both"/>
        <w:rPr>
          <w:rFonts w:ascii="David" w:hAnsi="David"/>
          <w:b/>
          <w:bCs/>
          <w:u w:val="single"/>
        </w:rPr>
      </w:pPr>
    </w:p>
    <w:p w14:paraId="12180E5F" w14:textId="77777777" w:rsidR="00193452" w:rsidRDefault="00193452" w:rsidP="00193452">
      <w:pPr>
        <w:spacing w:line="360" w:lineRule="auto"/>
        <w:jc w:val="both"/>
        <w:rPr>
          <w:rFonts w:ascii="David" w:hAnsi="David"/>
          <w:b/>
          <w:bCs/>
          <w:u w:val="single"/>
          <w:rtl/>
        </w:rPr>
      </w:pPr>
      <w:r>
        <w:rPr>
          <w:rFonts w:ascii="David" w:hAnsi="David"/>
          <w:b/>
          <w:bCs/>
          <w:u w:val="single"/>
          <w:rtl/>
        </w:rPr>
        <w:t>דיון והכרעה</w:t>
      </w:r>
    </w:p>
    <w:p w14:paraId="3FEC0BAF" w14:textId="77777777" w:rsidR="00193452" w:rsidRDefault="00193452" w:rsidP="00193452">
      <w:pPr>
        <w:pStyle w:val="aa"/>
        <w:numPr>
          <w:ilvl w:val="0"/>
          <w:numId w:val="1"/>
        </w:numPr>
        <w:spacing w:line="360" w:lineRule="auto"/>
        <w:ind w:left="509" w:hanging="509"/>
        <w:jc w:val="both"/>
        <w:rPr>
          <w:rFonts w:ascii="David" w:hAnsi="David" w:cs="David"/>
          <w:sz w:val="24"/>
          <w:szCs w:val="24"/>
          <w:rtl/>
        </w:rPr>
      </w:pPr>
      <w:r>
        <w:rPr>
          <w:rFonts w:ascii="David" w:hAnsi="David" w:cs="David"/>
          <w:sz w:val="24"/>
          <w:szCs w:val="24"/>
          <w:rtl/>
        </w:rPr>
        <w:t>תחילה לשאלת הרשעתו של הנאשם בדין.</w:t>
      </w:r>
    </w:p>
    <w:p w14:paraId="5D8902C0"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sz w:val="24"/>
          <w:szCs w:val="24"/>
          <w:rtl/>
        </w:rPr>
        <w:t>כידוע, בעניינו של בגיר, הרשעה היא הכלל וביטולה הוא החריג, וזאת לפי ההלכה אשר נקבעה זה מכבר ב</w:t>
      </w:r>
      <w:hyperlink r:id="rId16" w:history="1">
        <w:r w:rsidR="00657A08" w:rsidRPr="00657A08">
          <w:rPr>
            <w:rFonts w:ascii="David" w:hAnsi="David" w:cs="David"/>
            <w:color w:val="0000FF"/>
            <w:sz w:val="24"/>
            <w:szCs w:val="24"/>
            <w:u w:val="single"/>
            <w:rtl/>
          </w:rPr>
          <w:t>ע"פ 2083/96</w:t>
        </w:r>
      </w:hyperlink>
      <w:r>
        <w:rPr>
          <w:rFonts w:ascii="David" w:hAnsi="David" w:cs="David"/>
          <w:sz w:val="24"/>
          <w:szCs w:val="24"/>
          <w:rtl/>
        </w:rPr>
        <w:t xml:space="preserve"> </w:t>
      </w:r>
      <w:r>
        <w:rPr>
          <w:rFonts w:ascii="David" w:hAnsi="David" w:cs="David"/>
          <w:b/>
          <w:bCs/>
          <w:sz w:val="24"/>
          <w:szCs w:val="24"/>
          <w:rtl/>
        </w:rPr>
        <w:t>כתב נ' מדינת ישראל</w:t>
      </w:r>
      <w:r>
        <w:rPr>
          <w:rFonts w:ascii="David" w:hAnsi="David" w:cs="David"/>
          <w:sz w:val="24"/>
          <w:szCs w:val="24"/>
          <w:rtl/>
        </w:rPr>
        <w:t>, פ"ד נב(3) 337 (1997).</w:t>
      </w:r>
    </w:p>
    <w:p w14:paraId="6C3B7935" w14:textId="77777777" w:rsidR="00193452" w:rsidRDefault="00193452" w:rsidP="00193452">
      <w:pPr>
        <w:pStyle w:val="aa"/>
        <w:spacing w:line="360" w:lineRule="auto"/>
        <w:ind w:left="509"/>
        <w:jc w:val="both"/>
        <w:rPr>
          <w:rFonts w:ascii="David" w:hAnsi="David" w:cs="David"/>
          <w:sz w:val="24"/>
          <w:szCs w:val="24"/>
        </w:rPr>
      </w:pPr>
      <w:r>
        <w:rPr>
          <w:rFonts w:ascii="David" w:hAnsi="David" w:cs="David"/>
          <w:sz w:val="24"/>
          <w:szCs w:val="24"/>
          <w:rtl/>
        </w:rPr>
        <w:t xml:space="preserve">עוד נקבע בפסיקה, כי סיום ההליך באופן חריג ללא הרשעה יהא אפשרי בהתקיים התנאים המצטברים הבאים: האחד, סוג העבירה מאפשר לוותר בנסיבות המקרה המסוים על ההרשעה מבלי לפגוע באופן מהותי בשיקולי ענישה אחרים; השני, על ההרשעה לפגוע פגיעה חמורה בשיקום הנאשם (ראו, גם: </w:t>
      </w:r>
      <w:hyperlink r:id="rId17" w:history="1">
        <w:r w:rsidR="00657A08" w:rsidRPr="00657A08">
          <w:rPr>
            <w:rFonts w:ascii="David" w:hAnsi="David" w:cs="David"/>
            <w:color w:val="0000FF"/>
            <w:sz w:val="24"/>
            <w:szCs w:val="24"/>
            <w:u w:val="single"/>
            <w:rtl/>
          </w:rPr>
          <w:t>ע"פ 8528/12</w:t>
        </w:r>
      </w:hyperlink>
      <w:r>
        <w:rPr>
          <w:rFonts w:ascii="David" w:hAnsi="David" w:cs="David"/>
          <w:sz w:val="24"/>
          <w:szCs w:val="24"/>
          <w:rtl/>
        </w:rPr>
        <w:t xml:space="preserve"> </w:t>
      </w:r>
      <w:r>
        <w:rPr>
          <w:rFonts w:ascii="David" w:hAnsi="David" w:cs="David"/>
          <w:b/>
          <w:bCs/>
          <w:sz w:val="24"/>
          <w:szCs w:val="24"/>
          <w:rtl/>
        </w:rPr>
        <w:t xml:space="preserve">צפורה נ' מדינת ישראל </w:t>
      </w:r>
      <w:r>
        <w:rPr>
          <w:rFonts w:ascii="David" w:hAnsi="David" w:cs="David"/>
          <w:sz w:val="24"/>
          <w:szCs w:val="24"/>
          <w:rtl/>
        </w:rPr>
        <w:t>(3.3.13);</w:t>
      </w:r>
      <w:r>
        <w:rPr>
          <w:rFonts w:ascii="David" w:hAnsi="David" w:cs="David"/>
          <w:b/>
          <w:bCs/>
          <w:sz w:val="24"/>
          <w:szCs w:val="24"/>
          <w:rtl/>
        </w:rPr>
        <w:t xml:space="preserve"> </w:t>
      </w:r>
      <w:hyperlink r:id="rId18" w:history="1">
        <w:r w:rsidR="00657A08" w:rsidRPr="00657A08">
          <w:rPr>
            <w:rFonts w:ascii="David" w:hAnsi="David" w:cs="David"/>
            <w:color w:val="0000FF"/>
            <w:sz w:val="24"/>
            <w:szCs w:val="24"/>
            <w:u w:val="single"/>
            <w:rtl/>
          </w:rPr>
          <w:t>רע"פ 9118/12</w:t>
        </w:r>
      </w:hyperlink>
      <w:r>
        <w:rPr>
          <w:rFonts w:ascii="David" w:hAnsi="David" w:cs="David"/>
          <w:sz w:val="24"/>
          <w:szCs w:val="24"/>
          <w:rtl/>
        </w:rPr>
        <w:t xml:space="preserve"> </w:t>
      </w:r>
      <w:r>
        <w:rPr>
          <w:rFonts w:ascii="David" w:hAnsi="David" w:cs="David"/>
          <w:b/>
          <w:bCs/>
          <w:sz w:val="24"/>
          <w:szCs w:val="24"/>
          <w:rtl/>
        </w:rPr>
        <w:t>פריגין נ' מדינת ישראל</w:t>
      </w:r>
      <w:r>
        <w:rPr>
          <w:rFonts w:ascii="David" w:hAnsi="David" w:cs="David"/>
          <w:sz w:val="24"/>
          <w:szCs w:val="24"/>
          <w:rtl/>
        </w:rPr>
        <w:t xml:space="preserve"> (1.1.13); </w:t>
      </w:r>
      <w:hyperlink r:id="rId19" w:history="1">
        <w:r w:rsidR="00657A08" w:rsidRPr="00657A08">
          <w:rPr>
            <w:rFonts w:ascii="David" w:hAnsi="David" w:cs="David"/>
            <w:color w:val="0000FF"/>
            <w:sz w:val="24"/>
            <w:szCs w:val="24"/>
            <w:u w:val="single"/>
            <w:rtl/>
          </w:rPr>
          <w:t>ע"פ 5102/03</w:t>
        </w:r>
      </w:hyperlink>
      <w:r>
        <w:rPr>
          <w:rFonts w:ascii="David" w:hAnsi="David" w:cs="David"/>
          <w:sz w:val="24"/>
          <w:szCs w:val="24"/>
          <w:rtl/>
        </w:rPr>
        <w:t xml:space="preserve"> </w:t>
      </w:r>
      <w:r>
        <w:rPr>
          <w:rFonts w:ascii="David" w:hAnsi="David" w:cs="David"/>
          <w:b/>
          <w:bCs/>
          <w:sz w:val="24"/>
          <w:szCs w:val="24"/>
          <w:rtl/>
        </w:rPr>
        <w:t>מדינת ישראל נ' קליין</w:t>
      </w:r>
      <w:r>
        <w:rPr>
          <w:rFonts w:ascii="David" w:hAnsi="David" w:cs="David"/>
          <w:sz w:val="24"/>
          <w:szCs w:val="24"/>
          <w:rtl/>
        </w:rPr>
        <w:t xml:space="preserve"> (4.9.09); </w:t>
      </w:r>
      <w:hyperlink r:id="rId20" w:history="1">
        <w:r w:rsidR="00657A08" w:rsidRPr="00657A08">
          <w:rPr>
            <w:rFonts w:ascii="David" w:hAnsi="David" w:cs="David"/>
            <w:color w:val="0000FF"/>
            <w:sz w:val="24"/>
            <w:szCs w:val="24"/>
            <w:u w:val="single"/>
            <w:rtl/>
          </w:rPr>
          <w:t>ע"פ 9893/06</w:t>
        </w:r>
      </w:hyperlink>
      <w:r>
        <w:rPr>
          <w:rFonts w:ascii="David" w:hAnsi="David" w:cs="David"/>
          <w:sz w:val="24"/>
          <w:szCs w:val="24"/>
          <w:rtl/>
        </w:rPr>
        <w:t xml:space="preserve"> </w:t>
      </w:r>
      <w:r>
        <w:rPr>
          <w:rFonts w:ascii="David" w:hAnsi="David" w:cs="David"/>
          <w:b/>
          <w:bCs/>
          <w:sz w:val="24"/>
          <w:szCs w:val="24"/>
          <w:rtl/>
        </w:rPr>
        <w:t xml:space="preserve">לאופר נ' מדינת ישראל </w:t>
      </w:r>
      <w:r>
        <w:rPr>
          <w:rFonts w:ascii="David" w:hAnsi="David" w:cs="David"/>
          <w:sz w:val="24"/>
          <w:szCs w:val="24"/>
          <w:rtl/>
        </w:rPr>
        <w:t>(31.12.07)); השלישי, הותרת ההרשעה על כנה תפגע בנאשם באופן קונקרטי (</w:t>
      </w:r>
      <w:hyperlink r:id="rId21" w:history="1">
        <w:r w:rsidR="00657A08" w:rsidRPr="00657A08">
          <w:rPr>
            <w:rFonts w:ascii="David" w:hAnsi="David" w:cs="David"/>
            <w:color w:val="0000FF"/>
            <w:sz w:val="24"/>
            <w:szCs w:val="24"/>
            <w:u w:val="single"/>
            <w:rtl/>
          </w:rPr>
          <w:t>רע"פ 2180/14</w:t>
        </w:r>
      </w:hyperlink>
      <w:r>
        <w:rPr>
          <w:rFonts w:ascii="David" w:hAnsi="David" w:cs="David"/>
          <w:sz w:val="24"/>
          <w:szCs w:val="24"/>
          <w:rtl/>
        </w:rPr>
        <w:t xml:space="preserve"> </w:t>
      </w:r>
      <w:r>
        <w:rPr>
          <w:rFonts w:ascii="David" w:hAnsi="David" w:cs="David"/>
          <w:b/>
          <w:bCs/>
          <w:sz w:val="24"/>
          <w:szCs w:val="24"/>
          <w:rtl/>
        </w:rPr>
        <w:t>שמואלי נ' מדינת ישראל</w:t>
      </w:r>
      <w:r>
        <w:rPr>
          <w:rFonts w:ascii="David" w:hAnsi="David" w:cs="David"/>
          <w:sz w:val="24"/>
          <w:szCs w:val="24"/>
          <w:rtl/>
        </w:rPr>
        <w:t xml:space="preserve"> (24.4.14); </w:t>
      </w:r>
      <w:hyperlink w:history="1">
        <w:r w:rsidRPr="00657A08">
          <w:rPr>
            <w:rFonts w:ascii="David" w:hAnsi="David" w:cs="David"/>
            <w:color w:val="000000"/>
            <w:sz w:val="24"/>
            <w:szCs w:val="24"/>
            <w:rtl/>
          </w:rPr>
          <w:t>רע"פ 1439/13</w:t>
        </w:r>
      </w:hyperlink>
      <w:r>
        <w:rPr>
          <w:rFonts w:ascii="David" w:hAnsi="David" w:cs="David"/>
          <w:sz w:val="24"/>
          <w:szCs w:val="24"/>
          <w:rtl/>
        </w:rPr>
        <w:t xml:space="preserve"> ‏</w:t>
      </w:r>
      <w:r>
        <w:rPr>
          <w:rFonts w:ascii="David" w:hAnsi="David" w:cs="David"/>
          <w:b/>
          <w:bCs/>
          <w:sz w:val="24"/>
          <w:szCs w:val="24"/>
          <w:rtl/>
        </w:rPr>
        <w:t>קשת נ' מדינת ישראל</w:t>
      </w:r>
      <w:r>
        <w:rPr>
          <w:rFonts w:ascii="David" w:hAnsi="David" w:cs="David"/>
          <w:sz w:val="24"/>
          <w:szCs w:val="24"/>
          <w:rtl/>
        </w:rPr>
        <w:t xml:space="preserve"> (4.3.2013); </w:t>
      </w:r>
      <w:hyperlink w:history="1">
        <w:r w:rsidRPr="00657A08">
          <w:rPr>
            <w:rFonts w:ascii="David" w:hAnsi="David" w:cs="David"/>
            <w:color w:val="000000"/>
            <w:sz w:val="24"/>
            <w:szCs w:val="24"/>
            <w:rtl/>
          </w:rPr>
          <w:t>רע"פ 8627/12</w:t>
        </w:r>
      </w:hyperlink>
      <w:r>
        <w:rPr>
          <w:rFonts w:ascii="David" w:hAnsi="David" w:cs="David"/>
          <w:sz w:val="24"/>
          <w:szCs w:val="24"/>
          <w:rtl/>
        </w:rPr>
        <w:t xml:space="preserve"> </w:t>
      </w:r>
      <w:r>
        <w:rPr>
          <w:rFonts w:ascii="David" w:hAnsi="David" w:cs="David" w:hint="cs"/>
          <w:b/>
          <w:bCs/>
          <w:sz w:val="24"/>
          <w:szCs w:val="24"/>
          <w:rtl/>
        </w:rPr>
        <w:t>הנסב נ' מדינת ישראל</w:t>
      </w:r>
      <w:r>
        <w:rPr>
          <w:rFonts w:ascii="David" w:hAnsi="David" w:cs="David" w:hint="cs"/>
          <w:sz w:val="24"/>
          <w:szCs w:val="24"/>
          <w:rtl/>
        </w:rPr>
        <w:t xml:space="preserve"> (31.12.2012)).</w:t>
      </w:r>
    </w:p>
    <w:p w14:paraId="40A5D0F4" w14:textId="77777777" w:rsidR="00193452" w:rsidRDefault="00193452" w:rsidP="00193452">
      <w:pPr>
        <w:pStyle w:val="aa"/>
        <w:numPr>
          <w:ilvl w:val="0"/>
          <w:numId w:val="1"/>
        </w:numPr>
        <w:spacing w:line="360" w:lineRule="auto"/>
        <w:ind w:left="509" w:hanging="509"/>
        <w:jc w:val="both"/>
        <w:rPr>
          <w:rFonts w:ascii="David" w:hAnsi="David" w:cs="David"/>
          <w:b/>
          <w:bCs/>
          <w:sz w:val="24"/>
          <w:szCs w:val="24"/>
          <w:u w:val="single"/>
        </w:rPr>
      </w:pPr>
      <w:r>
        <w:rPr>
          <w:rFonts w:ascii="David" w:hAnsi="David" w:cs="David"/>
          <w:sz w:val="24"/>
          <w:szCs w:val="24"/>
          <w:rtl/>
        </w:rPr>
        <w:t>במקרה הנדון לא מתקיימים התנאים לסיום ההליך ללא הרשעה.</w:t>
      </w:r>
    </w:p>
    <w:p w14:paraId="344DED4B"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sz w:val="24"/>
          <w:szCs w:val="24"/>
          <w:rtl/>
        </w:rPr>
        <w:t xml:space="preserve">ראשית, לנסיבות ביצוע העבירה - הנאשם הורשע בעבירה של החזקת סמים לצריכה עצמית, בכך שהחזיק סם מסוג קנבוס במשקל של 62.07 גרם נטו ב-3 שקיות. אכן, מדובר בסמים קלים ובהחזקת לצריכה עצמית, ואין מדובר בסוג העבירות שאינן מאפשרות לסיים הליך ללא הרשעה, אולם הכמות אינה בלתי מבוטלת. </w:t>
      </w:r>
    </w:p>
    <w:p w14:paraId="2C95291E"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sz w:val="24"/>
          <w:szCs w:val="24"/>
          <w:rtl/>
        </w:rPr>
        <w:t>שנית, לשיקומו של הנאשם - רוב רובן של נסיבותיו האישיות של הנאשם עומדות אמנם לזכותו. הנאשם הודה במיוחס לו, נעדר עבר פלילי, ותסקיר שירות המבחן מלמד על נסיבות חיים לא פשוטות. בה בעת, קשה לומר כי הרשעה תפגע פגיעה קשה בשיקומו של הנאשם. יתר על כן, הנאשם שלל נזקקות טיפולית וממילא לא נרתם להליך טיפולי כלשהו. שירות המבחן אף לא בא בהמלצה על צו מבחן.</w:t>
      </w:r>
    </w:p>
    <w:p w14:paraId="715739B0" w14:textId="77777777" w:rsidR="00193452" w:rsidRDefault="00193452" w:rsidP="00193452">
      <w:pPr>
        <w:pStyle w:val="aa"/>
        <w:numPr>
          <w:ilvl w:val="0"/>
          <w:numId w:val="1"/>
        </w:numPr>
        <w:spacing w:line="360" w:lineRule="auto"/>
        <w:ind w:left="509" w:hanging="509"/>
        <w:jc w:val="both"/>
        <w:rPr>
          <w:rFonts w:ascii="David" w:hAnsi="David" w:cs="David"/>
          <w:sz w:val="24"/>
          <w:szCs w:val="24"/>
          <w:rtl/>
        </w:rPr>
      </w:pPr>
      <w:r>
        <w:rPr>
          <w:rFonts w:ascii="David" w:hAnsi="David" w:cs="David"/>
          <w:color w:val="000000"/>
          <w:sz w:val="24"/>
          <w:szCs w:val="24"/>
          <w:rtl/>
        </w:rPr>
        <w:t xml:space="preserve">שלישית, להוכחת פגיעה קונקרטית – הנאשם טען, כי תיגרם לו פגיעה קונקרטית, אולם לא עלה בידו להניח תשתית ממשית להוכחת טענה זו. הנאשם כלל אינו עובד בעת הזו כמנעולן. יתר על כן, גם לאחר שנדחה גזר הדין, על מנת לאפשר הגשת מסמכים, לא הונחה תשתית מספקת בדבר פגיעה קונקרטית ממשית. בא כוח הנאשם הגיש מסמך, שנראה לקוח מתוך אתר אינטרנט של </w:t>
      </w:r>
      <w:r>
        <w:rPr>
          <w:rFonts w:ascii="David" w:hAnsi="David" w:cs="David"/>
          <w:sz w:val="24"/>
          <w:szCs w:val="24"/>
          <w:rtl/>
        </w:rPr>
        <w:t xml:space="preserve">ארגון המנעולנים בישראל, בו צוין, כי על מנעולן החבר בארגון להחזיק בתעודת יושר. עם זאת, אין המסמך מלמד, כי הנאשם לא יוכל לעסוק כמנעולן מבלי להיות חבר בארגון, מה גם שהנאשם עובד כיום כנהג משאית. </w:t>
      </w:r>
    </w:p>
    <w:p w14:paraId="3A4D1451"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sz w:val="24"/>
          <w:szCs w:val="24"/>
          <w:rtl/>
        </w:rPr>
        <w:t xml:space="preserve">לפיכך, לא השתכנעתי כי הרשעתו של הנאשם תגרום לו נזק קונקרטי ושתפגע בשיקום הנאשם באופן ממשי. </w:t>
      </w:r>
    </w:p>
    <w:p w14:paraId="3A11392C"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color w:val="000000"/>
          <w:sz w:val="24"/>
          <w:szCs w:val="24"/>
          <w:rtl/>
        </w:rPr>
        <w:t>לאור האמור, לא מתקיימות הנסיבות החריגות המצדיקות סיום</w:t>
      </w:r>
      <w:r w:rsidR="00657A08">
        <w:rPr>
          <w:rFonts w:ascii="David" w:hAnsi="David" w:cs="David"/>
          <w:color w:val="000000"/>
          <w:sz w:val="24"/>
          <w:szCs w:val="24"/>
          <w:rtl/>
        </w:rPr>
        <w:t xml:space="preserve"> </w:t>
      </w:r>
      <w:r>
        <w:rPr>
          <w:rFonts w:ascii="David" w:hAnsi="David" w:cs="David"/>
          <w:color w:val="000000"/>
          <w:sz w:val="24"/>
          <w:szCs w:val="24"/>
          <w:rtl/>
        </w:rPr>
        <w:t>ההליך בעניינו של הנאשם ללא הרשעה, ולא מצאתי מקום לאמץ את המלצת שירות המבחן, בהקשר זה. יש לקבוע, אפוא, את העונש ההולם את העבירה אותה ביצע הנאשם</w:t>
      </w:r>
      <w:r>
        <w:rPr>
          <w:rFonts w:ascii="David" w:hAnsi="David" w:cs="David"/>
          <w:color w:val="000000"/>
          <w:sz w:val="24"/>
          <w:szCs w:val="24"/>
        </w:rPr>
        <w:t>.</w:t>
      </w:r>
    </w:p>
    <w:p w14:paraId="41CB2D58" w14:textId="77777777" w:rsidR="00193452" w:rsidRDefault="00193452" w:rsidP="00193452">
      <w:pPr>
        <w:spacing w:line="360" w:lineRule="auto"/>
        <w:jc w:val="both"/>
        <w:rPr>
          <w:rFonts w:ascii="David" w:hAnsi="David"/>
          <w:b/>
          <w:bCs/>
          <w:u w:val="single"/>
        </w:rPr>
      </w:pPr>
      <w:r>
        <w:rPr>
          <w:rFonts w:ascii="David" w:hAnsi="David"/>
          <w:b/>
          <w:bCs/>
          <w:u w:val="single"/>
          <w:rtl/>
        </w:rPr>
        <w:t>קביעת מתחם הענישה</w:t>
      </w:r>
    </w:p>
    <w:p w14:paraId="2A975313"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color w:val="000000"/>
          <w:sz w:val="24"/>
          <w:szCs w:val="24"/>
          <w:rtl/>
        </w:rPr>
        <w:t>בקביעת מתחם העונש ההולם את העבירה אותה ביצע הנאשם יתחשב בית המשפט</w:t>
      </w:r>
      <w:r w:rsidR="00657A08">
        <w:rPr>
          <w:rFonts w:ascii="David" w:hAnsi="David" w:cs="David"/>
          <w:color w:val="000000"/>
          <w:sz w:val="24"/>
          <w:szCs w:val="24"/>
          <w:rtl/>
        </w:rPr>
        <w:t xml:space="preserve"> </w:t>
      </w:r>
      <w:r>
        <w:rPr>
          <w:rFonts w:ascii="David" w:hAnsi="David" w:cs="David"/>
          <w:b/>
          <w:bCs/>
          <w:color w:val="000000"/>
          <w:sz w:val="24"/>
          <w:szCs w:val="24"/>
          <w:rtl/>
        </w:rPr>
        <w:t>בערך החברתי</w:t>
      </w:r>
      <w:r w:rsidR="00657A08">
        <w:rPr>
          <w:rFonts w:ascii="David" w:hAnsi="David" w:cs="David"/>
          <w:color w:val="000000"/>
          <w:sz w:val="24"/>
          <w:szCs w:val="24"/>
          <w:rtl/>
        </w:rPr>
        <w:t xml:space="preserve"> </w:t>
      </w:r>
      <w:r>
        <w:rPr>
          <w:rFonts w:ascii="David" w:hAnsi="David" w:cs="David"/>
          <w:color w:val="000000"/>
          <w:sz w:val="24"/>
          <w:szCs w:val="24"/>
          <w:rtl/>
        </w:rPr>
        <w:t>הנפגע מביצוע העבירה,</w:t>
      </w:r>
      <w:r w:rsidR="00657A08">
        <w:rPr>
          <w:rFonts w:ascii="David" w:hAnsi="David" w:cs="David"/>
          <w:color w:val="000000"/>
          <w:sz w:val="24"/>
          <w:szCs w:val="24"/>
        </w:rPr>
        <w:t xml:space="preserve"> </w:t>
      </w:r>
      <w:r>
        <w:rPr>
          <w:rFonts w:ascii="David" w:hAnsi="David" w:cs="David"/>
          <w:b/>
          <w:bCs/>
          <w:color w:val="000000"/>
          <w:sz w:val="24"/>
          <w:szCs w:val="24"/>
          <w:rtl/>
        </w:rPr>
        <w:t>במידת הפגיעה בו, במדיניות הענישה</w:t>
      </w:r>
      <w:r w:rsidR="00657A08">
        <w:rPr>
          <w:rFonts w:ascii="David" w:hAnsi="David" w:cs="David"/>
          <w:color w:val="000000"/>
          <w:sz w:val="24"/>
          <w:szCs w:val="24"/>
          <w:rtl/>
        </w:rPr>
        <w:t xml:space="preserve"> </w:t>
      </w:r>
      <w:r>
        <w:rPr>
          <w:rFonts w:ascii="David" w:hAnsi="David" w:cs="David"/>
          <w:color w:val="000000"/>
          <w:sz w:val="24"/>
          <w:szCs w:val="24"/>
          <w:rtl/>
        </w:rPr>
        <w:t>הנהוגה</w:t>
      </w:r>
      <w:r w:rsidR="00657A08">
        <w:rPr>
          <w:rFonts w:ascii="David" w:hAnsi="David" w:cs="David"/>
          <w:color w:val="000000"/>
          <w:sz w:val="24"/>
          <w:szCs w:val="24"/>
          <w:rtl/>
        </w:rPr>
        <w:t xml:space="preserve"> </w:t>
      </w:r>
      <w:r>
        <w:rPr>
          <w:rFonts w:ascii="David" w:hAnsi="David" w:cs="David"/>
          <w:b/>
          <w:bCs/>
          <w:color w:val="000000"/>
          <w:sz w:val="24"/>
          <w:szCs w:val="24"/>
          <w:rtl/>
        </w:rPr>
        <w:t>ובנסיבות הקשורות בביצוע העבירה</w:t>
      </w:r>
      <w:r>
        <w:rPr>
          <w:rFonts w:ascii="David" w:hAnsi="David" w:cs="David"/>
          <w:color w:val="000000"/>
          <w:sz w:val="24"/>
          <w:szCs w:val="24"/>
        </w:rPr>
        <w:t>.</w:t>
      </w:r>
    </w:p>
    <w:p w14:paraId="0A5ACC08"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sz w:val="24"/>
          <w:szCs w:val="24"/>
          <w:rtl/>
        </w:rPr>
        <w:t xml:space="preserve">בביצוע עבירה של החזקת סמים לצריכה עצמית יש כדי לפגוע בערכים החברתיים המוגנים של שמירה על בריאותו ושלומו הפיזי והנפשי של הציבור מפני נזקים הנגרמים כתוצאה משימוש בסמים והשפעתם הממכרת וההרסנית. עם זאת, הפגיעה בערכים החברתיים כתוצאה מהביצוע העבירה היא נמוכה, בשל ההחזקה לצריכת עצמית, סוג הסמים ומשקלם. </w:t>
      </w:r>
    </w:p>
    <w:p w14:paraId="5852175C"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sz w:val="24"/>
          <w:szCs w:val="24"/>
          <w:rtl/>
        </w:rPr>
        <w:t>מכאן ולאור מדיניות הפסיקה, אין מחלוקת של ממש, כי מתחם העונש ההולם נע בין מאסר על תנאי ובין מאסר לתקופה קצרה, לצד ענישה נלווית.</w:t>
      </w:r>
    </w:p>
    <w:p w14:paraId="6057170F" w14:textId="77777777" w:rsidR="00193452" w:rsidRDefault="00193452" w:rsidP="00193452">
      <w:pPr>
        <w:rPr>
          <w:rFonts w:ascii="David" w:hAnsi="David"/>
          <w:b/>
          <w:bCs/>
          <w:u w:val="single"/>
        </w:rPr>
      </w:pPr>
      <w:r>
        <w:rPr>
          <w:rFonts w:ascii="David" w:hAnsi="David"/>
          <w:b/>
          <w:bCs/>
          <w:u w:val="single"/>
          <w:rtl/>
        </w:rPr>
        <w:t>העונש ההולם</w:t>
      </w:r>
    </w:p>
    <w:p w14:paraId="081C9735"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color w:val="000000"/>
          <w:sz w:val="24"/>
          <w:szCs w:val="24"/>
          <w:rtl/>
        </w:rPr>
        <w:t>בקביעת העונש ההולם בתוך המתחם לקחתי בחשבון את הנסיבות הבאות אשר אינן קשורות בביצוע העבירות</w:t>
      </w:r>
      <w:r>
        <w:rPr>
          <w:rFonts w:ascii="David" w:hAnsi="David" w:cs="David"/>
          <w:color w:val="000000"/>
          <w:sz w:val="24"/>
          <w:szCs w:val="24"/>
        </w:rPr>
        <w:t>:</w:t>
      </w:r>
    </w:p>
    <w:p w14:paraId="4BE1904A" w14:textId="77777777" w:rsidR="00193452" w:rsidRDefault="00193452" w:rsidP="00193452">
      <w:pPr>
        <w:pStyle w:val="aa"/>
        <w:spacing w:line="360" w:lineRule="auto"/>
        <w:ind w:left="509"/>
        <w:jc w:val="both"/>
        <w:rPr>
          <w:rFonts w:ascii="David" w:hAnsi="David" w:cs="David"/>
          <w:sz w:val="24"/>
          <w:szCs w:val="24"/>
        </w:rPr>
      </w:pPr>
      <w:r>
        <w:rPr>
          <w:rFonts w:ascii="David" w:hAnsi="David" w:cs="David"/>
          <w:sz w:val="24"/>
          <w:szCs w:val="24"/>
          <w:rtl/>
        </w:rPr>
        <w:t xml:space="preserve">הנאשם נעדר עבר פלילי וזו הסתבכותו הראשונה עם רשויות אכיפת החוק; הנאשם הודה במיוחס לו, נטל אחריות על מעשיו; הנאשם שירת כלוחם בצה"ל, הוא משרת במילואי ועובד למחייתו; תסקיר שירות המבחן מלמד על נסיבות חייו הלא פשוטות של הנאשם, אשר הסתבך כלכלית ונקלע לחובות; כן מלמד התסקיר, על נסיבות טראגיות שפקדו את הנאשם, עת נפצע אחיו ודודו נפטר; הנאשם הפסיק לצרוך סמים ובבדיקות שתן שמסר לא נמצאו שרידי סם. עוד ציין שירות המבחן, כי הנאשם נטל אחריות על מעשיו. </w:t>
      </w:r>
    </w:p>
    <w:p w14:paraId="27693E07"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color w:val="000000"/>
          <w:sz w:val="24"/>
          <w:szCs w:val="24"/>
          <w:rtl/>
        </w:rPr>
        <w:t>מירב הזיקות עומדות, אפוא, לזכותו של הנאשם. מכאן, שיש להטיל על הנאשם עונש שנמצא בתחתית המתחם והוא כולל מאסר על תנאי, צו שירות לתועלת הציבור, פסילת רישיון על תנאי וחילוט בהתאם להסכמות הצדדים.</w:t>
      </w:r>
      <w:r>
        <w:rPr>
          <w:rFonts w:ascii="David" w:hAnsi="David" w:cs="David"/>
          <w:sz w:val="24"/>
          <w:szCs w:val="24"/>
          <w:rtl/>
        </w:rPr>
        <w:t xml:space="preserve"> בשל החילוט לא הוטל על הנאשם קנס.</w:t>
      </w:r>
    </w:p>
    <w:p w14:paraId="0B7D4F8A" w14:textId="77777777" w:rsidR="00193452" w:rsidRDefault="00193452" w:rsidP="00193452">
      <w:pPr>
        <w:pStyle w:val="aa"/>
        <w:spacing w:line="360" w:lineRule="auto"/>
        <w:ind w:left="509"/>
        <w:jc w:val="both"/>
        <w:rPr>
          <w:rFonts w:ascii="David" w:hAnsi="David" w:cs="David"/>
          <w:sz w:val="24"/>
          <w:szCs w:val="24"/>
        </w:rPr>
      </w:pPr>
    </w:p>
    <w:p w14:paraId="61610F10" w14:textId="77777777" w:rsidR="00193452" w:rsidRDefault="00193452" w:rsidP="00193452">
      <w:pPr>
        <w:spacing w:line="360" w:lineRule="auto"/>
        <w:jc w:val="both"/>
        <w:rPr>
          <w:rFonts w:ascii="David" w:hAnsi="David"/>
          <w:b/>
          <w:bCs/>
          <w:u w:val="single"/>
          <w:rtl/>
        </w:rPr>
      </w:pPr>
      <w:r>
        <w:rPr>
          <w:rFonts w:ascii="David" w:hAnsi="David"/>
          <w:b/>
          <w:bCs/>
          <w:u w:val="single"/>
          <w:rtl/>
        </w:rPr>
        <w:t>סוף דבר</w:t>
      </w:r>
    </w:p>
    <w:p w14:paraId="638BBFE9" w14:textId="77777777" w:rsidR="00193452" w:rsidRDefault="00193452" w:rsidP="00193452">
      <w:pPr>
        <w:pStyle w:val="aa"/>
        <w:numPr>
          <w:ilvl w:val="0"/>
          <w:numId w:val="1"/>
        </w:numPr>
        <w:spacing w:line="360" w:lineRule="auto"/>
        <w:ind w:left="509" w:hanging="509"/>
        <w:jc w:val="both"/>
        <w:rPr>
          <w:rFonts w:ascii="David" w:hAnsi="David" w:cs="David"/>
          <w:sz w:val="24"/>
          <w:szCs w:val="24"/>
        </w:rPr>
      </w:pPr>
      <w:r>
        <w:rPr>
          <w:rFonts w:ascii="David" w:hAnsi="David" w:cs="David"/>
          <w:sz w:val="24"/>
          <w:szCs w:val="24"/>
          <w:rtl/>
        </w:rPr>
        <w:t>לפיכך, אני גוזרת על הנאשם את העונשים הבאים:</w:t>
      </w:r>
    </w:p>
    <w:p w14:paraId="034E4B74" w14:textId="77777777" w:rsidR="00193452" w:rsidRDefault="00193452" w:rsidP="00193452">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מאסר על תנאי לתקופה של 2 חודשים, והתנאי הוא שבמשך שנתיים מהיום לא יעבור  כל עבירה לפי </w:t>
      </w:r>
      <w:hyperlink r:id="rId22" w:history="1">
        <w:r w:rsidR="00657A08" w:rsidRPr="00657A08">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6DB153A4" w14:textId="77777777" w:rsidR="00193452" w:rsidRDefault="00193452" w:rsidP="00193452">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צו שירות תועלת הציבור בהיקף של 150 שעות, לרבות הוראה למתן בדיקות שתן, לפי </w:t>
      </w:r>
      <w:hyperlink r:id="rId23" w:history="1">
        <w:r w:rsidR="0086407F" w:rsidRPr="0086407F">
          <w:rPr>
            <w:rStyle w:val="Hyperlink"/>
            <w:rFonts w:ascii="David" w:hAnsi="David" w:cs="David"/>
            <w:sz w:val="24"/>
            <w:szCs w:val="24"/>
            <w:rtl/>
          </w:rPr>
          <w:t>סעיף 71א(ד)</w:t>
        </w:r>
      </w:hyperlink>
      <w:r>
        <w:rPr>
          <w:rFonts w:ascii="David" w:hAnsi="David" w:cs="David"/>
          <w:sz w:val="24"/>
          <w:szCs w:val="24"/>
          <w:rtl/>
        </w:rPr>
        <w:t xml:space="preserve"> ל</w:t>
      </w:r>
      <w:hyperlink r:id="rId24" w:history="1">
        <w:r w:rsidR="00657A08" w:rsidRPr="00657A08">
          <w:rPr>
            <w:rFonts w:ascii="David" w:hAnsi="David" w:cs="David"/>
            <w:color w:val="0000FF"/>
            <w:sz w:val="24"/>
            <w:szCs w:val="24"/>
            <w:u w:val="single"/>
            <w:rtl/>
          </w:rPr>
          <w:t>חוק העונשין</w:t>
        </w:r>
      </w:hyperlink>
      <w:r>
        <w:rPr>
          <w:rFonts w:ascii="David" w:hAnsi="David" w:cs="David"/>
          <w:sz w:val="24"/>
          <w:szCs w:val="24"/>
          <w:rtl/>
        </w:rPr>
        <w:t>.</w:t>
      </w:r>
    </w:p>
    <w:p w14:paraId="46E2A4C1" w14:textId="77777777" w:rsidR="00193452" w:rsidRDefault="00193452" w:rsidP="00193452">
      <w:pPr>
        <w:pStyle w:val="aa"/>
        <w:spacing w:line="360" w:lineRule="auto"/>
        <w:ind w:left="869"/>
        <w:jc w:val="both"/>
        <w:rPr>
          <w:rFonts w:ascii="David" w:hAnsi="David" w:cs="David"/>
          <w:sz w:val="24"/>
          <w:szCs w:val="24"/>
        </w:rPr>
      </w:pPr>
      <w:r>
        <w:rPr>
          <w:rFonts w:ascii="David" w:hAnsi="David" w:cs="David"/>
          <w:sz w:val="24"/>
          <w:szCs w:val="24"/>
          <w:rtl/>
        </w:rPr>
        <w:t xml:space="preserve">רשמתי לפניי את נכונותו של הנאשם לבצע את צו השירות לתועלת הציבור. </w:t>
      </w:r>
      <w:r>
        <w:rPr>
          <w:rFonts w:ascii="David" w:hAnsi="David" w:cs="David"/>
          <w:color w:val="000000"/>
          <w:sz w:val="24"/>
          <w:szCs w:val="24"/>
          <w:rtl/>
        </w:rPr>
        <w:t>מובהר בזאת, כי כל חריגה מהוראות שירות המבחן עלולה להוביל לביטול גזר דינו וגזירת דינו מחדש</w:t>
      </w:r>
      <w:r>
        <w:rPr>
          <w:rFonts w:ascii="David" w:hAnsi="David" w:cs="David"/>
          <w:sz w:val="24"/>
          <w:szCs w:val="24"/>
          <w:rtl/>
        </w:rPr>
        <w:t>;</w:t>
      </w:r>
    </w:p>
    <w:p w14:paraId="7FD75959" w14:textId="77777777" w:rsidR="00193452" w:rsidRDefault="00193452" w:rsidP="00193452">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פסילת רישיון נהיגה על תנאי לתקופה של 3 חודשים והתנאי הוא שלא יעבור במשך שנתיים </w:t>
      </w:r>
      <w:r>
        <w:rPr>
          <w:rFonts w:ascii="David" w:hAnsi="David" w:cs="David" w:hint="cs"/>
          <w:sz w:val="24"/>
          <w:szCs w:val="24"/>
          <w:rtl/>
        </w:rPr>
        <w:t xml:space="preserve">מהיום </w:t>
      </w:r>
      <w:r>
        <w:rPr>
          <w:rFonts w:ascii="David" w:hAnsi="David" w:cs="David"/>
          <w:sz w:val="24"/>
          <w:szCs w:val="24"/>
          <w:rtl/>
        </w:rPr>
        <w:t>כל עבירה לפי</w:t>
      </w:r>
      <w:r w:rsidR="00657A08">
        <w:rPr>
          <w:rFonts w:ascii="David" w:hAnsi="David" w:cs="David"/>
          <w:sz w:val="24"/>
          <w:szCs w:val="24"/>
          <w:rtl/>
        </w:rPr>
        <w:t xml:space="preserve"> </w:t>
      </w:r>
      <w:hyperlink r:id="rId25" w:history="1">
        <w:r w:rsidR="00657A08" w:rsidRPr="00657A08">
          <w:rPr>
            <w:rFonts w:ascii="David" w:hAnsi="David" w:cs="David"/>
            <w:color w:val="0000FF"/>
            <w:sz w:val="24"/>
            <w:szCs w:val="24"/>
            <w:u w:val="single"/>
            <w:rtl/>
          </w:rPr>
          <w:t>פקודת הסמים המסוכנים</w:t>
        </w:r>
      </w:hyperlink>
      <w:r>
        <w:rPr>
          <w:rFonts w:ascii="David" w:hAnsi="David" w:cs="David"/>
          <w:sz w:val="24"/>
          <w:szCs w:val="24"/>
          <w:rtl/>
        </w:rPr>
        <w:t>;</w:t>
      </w:r>
    </w:p>
    <w:p w14:paraId="038BB85A" w14:textId="77777777" w:rsidR="00193452" w:rsidRDefault="00193452" w:rsidP="00193452">
      <w:pPr>
        <w:pStyle w:val="aa"/>
        <w:numPr>
          <w:ilvl w:val="0"/>
          <w:numId w:val="2"/>
        </w:numPr>
        <w:spacing w:line="360" w:lineRule="auto"/>
        <w:jc w:val="both"/>
        <w:rPr>
          <w:rFonts w:ascii="David" w:hAnsi="David" w:cs="David"/>
          <w:sz w:val="24"/>
          <w:szCs w:val="24"/>
        </w:rPr>
      </w:pPr>
      <w:r>
        <w:rPr>
          <w:rFonts w:ascii="David" w:hAnsi="David" w:cs="David"/>
          <w:color w:val="000000"/>
          <w:sz w:val="24"/>
          <w:szCs w:val="24"/>
          <w:rtl/>
        </w:rPr>
        <w:t xml:space="preserve">צו לחילוט </w:t>
      </w:r>
      <w:r>
        <w:rPr>
          <w:rFonts w:ascii="David" w:hAnsi="David" w:cs="David" w:hint="cs"/>
          <w:color w:val="000000"/>
          <w:sz w:val="24"/>
          <w:szCs w:val="24"/>
          <w:rtl/>
        </w:rPr>
        <w:t>ב</w:t>
      </w:r>
      <w:r>
        <w:rPr>
          <w:rFonts w:ascii="David" w:hAnsi="David" w:cs="David"/>
          <w:color w:val="000000"/>
          <w:sz w:val="24"/>
          <w:szCs w:val="24"/>
          <w:rtl/>
        </w:rPr>
        <w:t>סכום של 3,540 ₪ שנתפס.</w:t>
      </w:r>
    </w:p>
    <w:p w14:paraId="222C027B" w14:textId="77777777" w:rsidR="00193452" w:rsidRDefault="00193452" w:rsidP="00193452">
      <w:pPr>
        <w:pStyle w:val="aa"/>
        <w:spacing w:line="360" w:lineRule="auto"/>
        <w:ind w:left="869"/>
        <w:jc w:val="both"/>
        <w:rPr>
          <w:rFonts w:ascii="David" w:hAnsi="David" w:cs="David"/>
          <w:sz w:val="24"/>
          <w:szCs w:val="24"/>
        </w:rPr>
      </w:pPr>
    </w:p>
    <w:p w14:paraId="0D67DB7D" w14:textId="77777777" w:rsidR="00193452" w:rsidRDefault="00193452" w:rsidP="00193452">
      <w:pPr>
        <w:spacing w:line="360" w:lineRule="auto"/>
        <w:jc w:val="both"/>
        <w:rPr>
          <w:rFonts w:ascii="David" w:hAnsi="David"/>
          <w:b/>
          <w:bCs/>
        </w:rPr>
      </w:pPr>
      <w:r>
        <w:rPr>
          <w:rFonts w:ascii="David" w:hAnsi="David"/>
          <w:b/>
          <w:bCs/>
          <w:rtl/>
        </w:rPr>
        <w:t>ניתן צו להשמדת הסמים.</w:t>
      </w:r>
    </w:p>
    <w:p w14:paraId="645C03BA" w14:textId="77777777" w:rsidR="00193452" w:rsidRDefault="00657A08" w:rsidP="00193452">
      <w:pPr>
        <w:spacing w:line="360" w:lineRule="auto"/>
        <w:jc w:val="both"/>
        <w:rPr>
          <w:rFonts w:ascii="David" w:hAnsi="David"/>
          <w:b/>
          <w:bCs/>
          <w:rtl/>
        </w:rPr>
      </w:pPr>
      <w:r w:rsidRPr="00657A08">
        <w:rPr>
          <w:rFonts w:ascii="David" w:hAnsi="David"/>
          <w:b/>
          <w:bCs/>
          <w:color w:val="FFFFFF"/>
          <w:sz w:val="2"/>
          <w:szCs w:val="2"/>
          <w:rtl/>
        </w:rPr>
        <w:t>5129371</w:t>
      </w:r>
      <w:r w:rsidR="00193452">
        <w:rPr>
          <w:rFonts w:ascii="David" w:hAnsi="David"/>
          <w:b/>
          <w:bCs/>
          <w:rtl/>
        </w:rPr>
        <w:t>גזר הדין יומצא לשירות המבחן.</w:t>
      </w:r>
    </w:p>
    <w:p w14:paraId="3907F50D" w14:textId="77777777" w:rsidR="00193452" w:rsidRDefault="00657A08" w:rsidP="00193452">
      <w:pPr>
        <w:spacing w:line="360" w:lineRule="auto"/>
        <w:jc w:val="both"/>
        <w:rPr>
          <w:rFonts w:ascii="David" w:hAnsi="David"/>
          <w:b/>
          <w:bCs/>
          <w:rtl/>
        </w:rPr>
      </w:pPr>
      <w:r w:rsidRPr="00657A08">
        <w:rPr>
          <w:rFonts w:ascii="David" w:hAnsi="David"/>
          <w:b/>
          <w:bCs/>
          <w:color w:val="FFFFFF"/>
          <w:sz w:val="2"/>
          <w:szCs w:val="2"/>
          <w:rtl/>
        </w:rPr>
        <w:t>54678313</w:t>
      </w:r>
      <w:r w:rsidR="00193452">
        <w:rPr>
          <w:rFonts w:ascii="David" w:hAnsi="David"/>
          <w:b/>
          <w:bCs/>
          <w:rtl/>
        </w:rPr>
        <w:t>זכות ערעור כחוק תוך 45 ימים.</w:t>
      </w:r>
    </w:p>
    <w:p w14:paraId="0150BE95" w14:textId="77777777" w:rsidR="00193452" w:rsidRPr="002B7D23" w:rsidRDefault="00193452" w:rsidP="00193452">
      <w:pPr>
        <w:rPr>
          <w:rFonts w:ascii="David" w:hAnsi="David"/>
          <w:sz w:val="26"/>
          <w:szCs w:val="26"/>
          <w:rtl/>
        </w:rPr>
      </w:pPr>
    </w:p>
    <w:p w14:paraId="11ABF8DA" w14:textId="77777777" w:rsidR="00193452" w:rsidRPr="002B7D23" w:rsidRDefault="00193452" w:rsidP="00193452">
      <w:pPr>
        <w:rPr>
          <w:rFonts w:ascii="David" w:hAnsi="David"/>
          <w:sz w:val="26"/>
          <w:szCs w:val="26"/>
          <w:rtl/>
        </w:rPr>
      </w:pPr>
    </w:p>
    <w:p w14:paraId="0D7688CF" w14:textId="77777777" w:rsidR="00193452" w:rsidRPr="002B7D23" w:rsidRDefault="00657A08" w:rsidP="00193452">
      <w:pPr>
        <w:rPr>
          <w:rFonts w:ascii="David" w:hAnsi="David"/>
          <w:sz w:val="26"/>
          <w:szCs w:val="26"/>
          <w:rtl/>
        </w:rPr>
      </w:pPr>
      <w:bookmarkStart w:id="8" w:name="Nitan"/>
      <w:r>
        <w:rPr>
          <w:rFonts w:ascii="David" w:hAnsi="David"/>
          <w:sz w:val="26"/>
          <w:szCs w:val="26"/>
          <w:rtl/>
        </w:rPr>
        <w:t xml:space="preserve">ניתן היום,  י"ט סיוון תשפ"א, 30 מאי 2021, בהעדר הצדדים. </w:t>
      </w:r>
      <w:bookmarkEnd w:id="8"/>
    </w:p>
    <w:p w14:paraId="176B225D" w14:textId="77777777" w:rsidR="00193452" w:rsidRPr="002B7D23" w:rsidRDefault="0086407F" w:rsidP="00193452">
      <w:pPr>
        <w:jc w:val="center"/>
        <w:rPr>
          <w:rFonts w:ascii="David" w:hAnsi="David"/>
          <w:sz w:val="26"/>
          <w:szCs w:val="26"/>
          <w:rtl/>
        </w:rPr>
      </w:pPr>
      <w:r w:rsidRPr="0086407F">
        <w:rPr>
          <w:rFonts w:ascii="David" w:hAnsi="David"/>
          <w:color w:val="FFFFFF"/>
          <w:sz w:val="2"/>
          <w:szCs w:val="2"/>
          <w:rtl/>
        </w:rPr>
        <w:t>5129371</w:t>
      </w:r>
      <w:r w:rsidR="00193452" w:rsidRPr="002B7D23">
        <w:rPr>
          <w:rFonts w:ascii="David" w:hAnsi="David"/>
          <w:sz w:val="26"/>
          <w:szCs w:val="26"/>
          <w:rtl/>
        </w:rPr>
        <w:t xml:space="preserve">   </w:t>
      </w:r>
      <w:r w:rsidR="00193452" w:rsidRPr="002B7D23">
        <w:rPr>
          <w:rFonts w:ascii="David" w:hAnsi="David"/>
          <w:sz w:val="26"/>
          <w:szCs w:val="26"/>
          <w:rtl/>
        </w:rPr>
        <w:tab/>
      </w:r>
      <w:r w:rsidR="00193452" w:rsidRPr="002B7D23">
        <w:rPr>
          <w:rFonts w:ascii="David" w:hAnsi="David"/>
          <w:sz w:val="26"/>
          <w:szCs w:val="26"/>
          <w:rtl/>
        </w:rPr>
        <w:tab/>
      </w:r>
      <w:r w:rsidR="00193452" w:rsidRPr="002B7D23">
        <w:rPr>
          <w:rFonts w:ascii="David" w:hAnsi="David"/>
          <w:sz w:val="26"/>
          <w:szCs w:val="26"/>
          <w:rtl/>
        </w:rPr>
        <w:tab/>
      </w:r>
      <w:r w:rsidR="00193452" w:rsidRPr="002B7D23">
        <w:rPr>
          <w:rFonts w:ascii="David" w:hAnsi="David"/>
          <w:sz w:val="26"/>
          <w:szCs w:val="26"/>
          <w:rtl/>
        </w:rPr>
        <w:tab/>
      </w:r>
      <w:r w:rsidR="00193452" w:rsidRPr="002B7D23">
        <w:rPr>
          <w:rFonts w:ascii="David" w:hAnsi="David"/>
          <w:sz w:val="26"/>
          <w:szCs w:val="26"/>
          <w:rtl/>
        </w:rPr>
        <w:tab/>
        <w:t>חתימה</w:t>
      </w:r>
    </w:p>
    <w:p w14:paraId="04120B9D" w14:textId="77777777" w:rsidR="00DD7137" w:rsidRPr="0086407F" w:rsidRDefault="0086407F" w:rsidP="00657A08">
      <w:pPr>
        <w:keepNext/>
        <w:rPr>
          <w:rFonts w:ascii="David" w:hAnsi="David"/>
          <w:color w:val="FFFFFF"/>
          <w:sz w:val="2"/>
          <w:szCs w:val="2"/>
          <w:rtl/>
        </w:rPr>
      </w:pPr>
      <w:r w:rsidRPr="0086407F">
        <w:rPr>
          <w:rFonts w:ascii="David" w:hAnsi="David"/>
          <w:color w:val="FFFFFF"/>
          <w:sz w:val="2"/>
          <w:szCs w:val="2"/>
          <w:rtl/>
        </w:rPr>
        <w:t>54678313</w:t>
      </w:r>
    </w:p>
    <w:p w14:paraId="43543C3F" w14:textId="77777777" w:rsidR="00657A08" w:rsidRDefault="00657A08" w:rsidP="00657A08">
      <w:pPr>
        <w:rPr>
          <w:rtl/>
        </w:rPr>
      </w:pPr>
    </w:p>
    <w:p w14:paraId="1198138B" w14:textId="77777777" w:rsidR="00657A08" w:rsidRDefault="00657A08" w:rsidP="00657A08">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123284C7" w14:textId="77777777" w:rsidR="0086407F" w:rsidRPr="0086407F" w:rsidRDefault="0086407F" w:rsidP="0086407F">
      <w:pPr>
        <w:keepNext/>
        <w:rPr>
          <w:rFonts w:ascii="David" w:hAnsi="David"/>
          <w:color w:val="000000"/>
          <w:sz w:val="22"/>
          <w:szCs w:val="22"/>
          <w:rtl/>
        </w:rPr>
      </w:pPr>
    </w:p>
    <w:p w14:paraId="371C927F" w14:textId="77777777" w:rsidR="0086407F" w:rsidRPr="0086407F" w:rsidRDefault="0086407F" w:rsidP="0086407F">
      <w:pPr>
        <w:keepNext/>
        <w:rPr>
          <w:rFonts w:ascii="David" w:hAnsi="David"/>
          <w:color w:val="000000"/>
          <w:sz w:val="22"/>
          <w:szCs w:val="22"/>
          <w:rtl/>
        </w:rPr>
      </w:pPr>
      <w:r w:rsidRPr="0086407F">
        <w:rPr>
          <w:rFonts w:ascii="David" w:hAnsi="David"/>
          <w:color w:val="000000"/>
          <w:sz w:val="22"/>
          <w:szCs w:val="22"/>
          <w:rtl/>
        </w:rPr>
        <w:t>אפרת פינק 54678313-/</w:t>
      </w:r>
    </w:p>
    <w:p w14:paraId="5E2CE18F" w14:textId="77777777" w:rsidR="00657A08" w:rsidRPr="00657A08" w:rsidRDefault="0086407F" w:rsidP="0086407F">
      <w:pPr>
        <w:rPr>
          <w:color w:val="0000FF"/>
          <w:u w:val="single"/>
        </w:rPr>
      </w:pPr>
      <w:r w:rsidRPr="0086407F">
        <w:rPr>
          <w:color w:val="000000"/>
          <w:u w:val="single"/>
          <w:rtl/>
        </w:rPr>
        <w:t>נוסח מסמך זה כפוף לשינויי ניסוח ועריכה</w:t>
      </w:r>
    </w:p>
    <w:sectPr w:rsidR="00657A08" w:rsidRPr="00657A08" w:rsidSect="0086407F">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9F6E4" w14:textId="77777777" w:rsidR="00F9564B" w:rsidRDefault="00F9564B" w:rsidP="00793265">
      <w:r>
        <w:separator/>
      </w:r>
    </w:p>
  </w:endnote>
  <w:endnote w:type="continuationSeparator" w:id="0">
    <w:p w14:paraId="2A32EAB0" w14:textId="77777777" w:rsidR="00F9564B" w:rsidRDefault="00F9564B" w:rsidP="00793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441FD" w14:textId="77777777" w:rsidR="0086407F" w:rsidRDefault="0086407F" w:rsidP="0086407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C47009" w14:textId="77777777" w:rsidR="00EF6456" w:rsidRPr="0086407F" w:rsidRDefault="0086407F" w:rsidP="0086407F">
    <w:pPr>
      <w:pStyle w:val="a5"/>
      <w:pBdr>
        <w:top w:val="single" w:sz="4" w:space="1" w:color="auto"/>
        <w:between w:val="single" w:sz="4" w:space="0" w:color="auto"/>
      </w:pBdr>
      <w:spacing w:after="60"/>
      <w:jc w:val="center"/>
      <w:rPr>
        <w:rFonts w:ascii="FrankRuehl" w:hAnsi="FrankRuehl" w:cs="FrankRuehl"/>
        <w:color w:val="000000"/>
      </w:rPr>
    </w:pPr>
    <w:r w:rsidRPr="0086407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11DB1" w14:textId="77777777" w:rsidR="0086407F" w:rsidRDefault="0086407F" w:rsidP="0086407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95861">
      <w:rPr>
        <w:rFonts w:ascii="FrankRuehl" w:hAnsi="FrankRuehl" w:cs="FrankRuehl"/>
        <w:noProof/>
        <w:rtl/>
      </w:rPr>
      <w:t>1</w:t>
    </w:r>
    <w:r>
      <w:rPr>
        <w:rFonts w:ascii="FrankRuehl" w:hAnsi="FrankRuehl" w:cs="FrankRuehl"/>
        <w:rtl/>
      </w:rPr>
      <w:fldChar w:fldCharType="end"/>
    </w:r>
  </w:p>
  <w:p w14:paraId="7A1CE504" w14:textId="77777777" w:rsidR="00EF6456" w:rsidRPr="0086407F" w:rsidRDefault="0086407F" w:rsidP="0086407F">
    <w:pPr>
      <w:pStyle w:val="a5"/>
      <w:pBdr>
        <w:top w:val="single" w:sz="4" w:space="1" w:color="auto"/>
        <w:between w:val="single" w:sz="4" w:space="0" w:color="auto"/>
      </w:pBdr>
      <w:spacing w:after="60"/>
      <w:jc w:val="center"/>
      <w:rPr>
        <w:rFonts w:ascii="FrankRuehl" w:hAnsi="FrankRuehl" w:cs="FrankRuehl"/>
        <w:color w:val="000000"/>
      </w:rPr>
    </w:pPr>
    <w:r w:rsidRPr="0086407F">
      <w:rPr>
        <w:rFonts w:ascii="FrankRuehl" w:hAnsi="FrankRuehl" w:cs="FrankRuehl"/>
        <w:color w:val="000000"/>
      </w:rPr>
      <w:pict w14:anchorId="722B8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BE75D" w14:textId="77777777" w:rsidR="00F9564B" w:rsidRDefault="00F9564B" w:rsidP="00793265">
      <w:r>
        <w:separator/>
      </w:r>
    </w:p>
  </w:footnote>
  <w:footnote w:type="continuationSeparator" w:id="0">
    <w:p w14:paraId="68E35B40" w14:textId="77777777" w:rsidR="00F9564B" w:rsidRDefault="00F9564B" w:rsidP="00793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B005A" w14:textId="77777777" w:rsidR="00657A08" w:rsidRPr="0086407F" w:rsidRDefault="0086407F" w:rsidP="0086407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1071-04-20</w:t>
    </w:r>
    <w:r>
      <w:rPr>
        <w:rFonts w:ascii="David" w:hAnsi="David"/>
        <w:color w:val="000000"/>
        <w:sz w:val="22"/>
        <w:szCs w:val="22"/>
        <w:rtl/>
      </w:rPr>
      <w:tab/>
      <w:t xml:space="preserve"> מדינת ישראל נ' רועי שמעוני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0B783" w14:textId="77777777" w:rsidR="00657A08" w:rsidRPr="0086407F" w:rsidRDefault="0086407F" w:rsidP="0086407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1071-04-20</w:t>
    </w:r>
    <w:r>
      <w:rPr>
        <w:rFonts w:ascii="David" w:hAnsi="David"/>
        <w:color w:val="000000"/>
        <w:sz w:val="22"/>
        <w:szCs w:val="22"/>
        <w:rtl/>
      </w:rPr>
      <w:tab/>
      <w:t xml:space="preserve"> מדינת ישראל נ' רועי שמעוני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56EA"/>
    <w:multiLevelType w:val="hybridMultilevel"/>
    <w:tmpl w:val="EEC0CD84"/>
    <w:lvl w:ilvl="0" w:tplc="8132F168">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427A0303"/>
    <w:multiLevelType w:val="hybridMultilevel"/>
    <w:tmpl w:val="8188A9FA"/>
    <w:lvl w:ilvl="0" w:tplc="589E18C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950207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10654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93452"/>
    <w:rsid w:val="000F6FE8"/>
    <w:rsid w:val="00193452"/>
    <w:rsid w:val="00195861"/>
    <w:rsid w:val="001B5A3B"/>
    <w:rsid w:val="00657A08"/>
    <w:rsid w:val="00675417"/>
    <w:rsid w:val="00793265"/>
    <w:rsid w:val="0086407F"/>
    <w:rsid w:val="009F796D"/>
    <w:rsid w:val="00B57BA3"/>
    <w:rsid w:val="00D04579"/>
    <w:rsid w:val="00D2741F"/>
    <w:rsid w:val="00DD7137"/>
    <w:rsid w:val="00E706D6"/>
    <w:rsid w:val="00EF6456"/>
    <w:rsid w:val="00F956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222BC2"/>
  <w15:chartTrackingRefBased/>
  <w15:docId w15:val="{7B36889A-CA44-4538-B92B-8C1D005E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345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93452"/>
    <w:pPr>
      <w:tabs>
        <w:tab w:val="center" w:pos="4153"/>
        <w:tab w:val="right" w:pos="8306"/>
      </w:tabs>
    </w:pPr>
  </w:style>
  <w:style w:type="character" w:customStyle="1" w:styleId="a4">
    <w:name w:val="כותרת עליונה תו"/>
    <w:link w:val="a3"/>
    <w:rsid w:val="00193452"/>
    <w:rPr>
      <w:rFonts w:ascii="Times New Roman" w:eastAsia="Times New Roman" w:hAnsi="Times New Roman" w:cs="David"/>
      <w:sz w:val="24"/>
      <w:szCs w:val="24"/>
    </w:rPr>
  </w:style>
  <w:style w:type="paragraph" w:styleId="a5">
    <w:name w:val="footer"/>
    <w:basedOn w:val="a"/>
    <w:link w:val="a6"/>
    <w:rsid w:val="00193452"/>
    <w:pPr>
      <w:tabs>
        <w:tab w:val="center" w:pos="4153"/>
        <w:tab w:val="right" w:pos="8306"/>
      </w:tabs>
    </w:pPr>
  </w:style>
  <w:style w:type="character" w:customStyle="1" w:styleId="a6">
    <w:name w:val="כותרת תחתונה תו"/>
    <w:link w:val="a5"/>
    <w:rsid w:val="00193452"/>
    <w:rPr>
      <w:rFonts w:ascii="Times New Roman" w:eastAsia="Times New Roman" w:hAnsi="Times New Roman" w:cs="David"/>
      <w:sz w:val="24"/>
      <w:szCs w:val="24"/>
    </w:rPr>
  </w:style>
  <w:style w:type="table" w:styleId="a7">
    <w:name w:val="Table Grid"/>
    <w:basedOn w:val="a1"/>
    <w:rsid w:val="0019345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93452"/>
  </w:style>
  <w:style w:type="character" w:styleId="Hyperlink">
    <w:name w:val="Hyperlink"/>
    <w:rsid w:val="00193452"/>
    <w:rPr>
      <w:color w:val="0000FF"/>
      <w:u w:val="single"/>
    </w:rPr>
  </w:style>
  <w:style w:type="character" w:customStyle="1" w:styleId="a9">
    <w:name w:val="פיסקת רשימה תו"/>
    <w:link w:val="aa"/>
    <w:locked/>
    <w:rsid w:val="00193452"/>
  </w:style>
  <w:style w:type="paragraph" w:styleId="aa">
    <w:name w:val="List Paragraph"/>
    <w:basedOn w:val="a"/>
    <w:link w:val="a9"/>
    <w:qFormat/>
    <w:rsid w:val="00193452"/>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7.a" TargetMode="External"/><Relationship Id="rId18" Type="http://schemas.openxmlformats.org/officeDocument/2006/relationships/hyperlink" Target="http://www.nevo.co.il/case/5611948"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16900367" TargetMode="External"/><Relationship Id="rId7" Type="http://schemas.openxmlformats.org/officeDocument/2006/relationships/hyperlink" Target="http://www.nevo.co.il/case/26575874" TargetMode="External"/><Relationship Id="rId12" Type="http://schemas.openxmlformats.org/officeDocument/2006/relationships/hyperlink" Target="http://www.nevo.co.il/law/70301/71a.d" TargetMode="External"/><Relationship Id="rId17" Type="http://schemas.openxmlformats.org/officeDocument/2006/relationships/hyperlink" Target="http://www.nevo.co.il/case/5608134"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810781" TargetMode="External"/><Relationship Id="rId20" Type="http://schemas.openxmlformats.org/officeDocument/2006/relationships/hyperlink" Target="http://www.nevo.co.il/case/6161385"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71a.d" TargetMode="External"/><Relationship Id="rId28"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case/599349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1686</Words>
  <Characters>8430</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10096</CharactersWithSpaces>
  <SharedDoc>false</SharedDoc>
  <HLinks>
    <vt:vector size="120"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7995492</vt:i4>
      </vt:variant>
      <vt:variant>
        <vt:i4>57</vt:i4>
      </vt:variant>
      <vt:variant>
        <vt:i4>0</vt:i4>
      </vt:variant>
      <vt:variant>
        <vt:i4>5</vt:i4>
      </vt:variant>
      <vt:variant>
        <vt:lpwstr>http://www.nevo.co.il/law/70301</vt:lpwstr>
      </vt:variant>
      <vt:variant>
        <vt:lpwstr/>
      </vt:variant>
      <vt:variant>
        <vt:i4>4849667</vt:i4>
      </vt:variant>
      <vt:variant>
        <vt:i4>54</vt:i4>
      </vt:variant>
      <vt:variant>
        <vt:i4>0</vt:i4>
      </vt:variant>
      <vt:variant>
        <vt:i4>5</vt:i4>
      </vt:variant>
      <vt:variant>
        <vt:lpwstr>http://www.nevo.co.il/law/70301/71a.d</vt:lpwstr>
      </vt:variant>
      <vt:variant>
        <vt:lpwstr/>
      </vt:variant>
      <vt:variant>
        <vt:i4>8257637</vt:i4>
      </vt:variant>
      <vt:variant>
        <vt:i4>51</vt:i4>
      </vt:variant>
      <vt:variant>
        <vt:i4>0</vt:i4>
      </vt:variant>
      <vt:variant>
        <vt:i4>5</vt:i4>
      </vt:variant>
      <vt:variant>
        <vt:lpwstr>http://www.nevo.co.il/law/4216</vt:lpwstr>
      </vt:variant>
      <vt:variant>
        <vt:lpwstr/>
      </vt:variant>
      <vt:variant>
        <vt:i4>4063345</vt:i4>
      </vt:variant>
      <vt:variant>
        <vt:i4>42</vt:i4>
      </vt:variant>
      <vt:variant>
        <vt:i4>0</vt:i4>
      </vt:variant>
      <vt:variant>
        <vt:i4>5</vt:i4>
      </vt:variant>
      <vt:variant>
        <vt:lpwstr>http://www.nevo.co.il/case/16900367</vt:lpwstr>
      </vt:variant>
      <vt:variant>
        <vt:lpwstr/>
      </vt:variant>
      <vt:variant>
        <vt:i4>3539068</vt:i4>
      </vt:variant>
      <vt:variant>
        <vt:i4>39</vt:i4>
      </vt:variant>
      <vt:variant>
        <vt:i4>0</vt:i4>
      </vt:variant>
      <vt:variant>
        <vt:i4>5</vt:i4>
      </vt:variant>
      <vt:variant>
        <vt:lpwstr>http://www.nevo.co.il/case/6161385</vt:lpwstr>
      </vt:variant>
      <vt:variant>
        <vt:lpwstr/>
      </vt:variant>
      <vt:variant>
        <vt:i4>3997815</vt:i4>
      </vt:variant>
      <vt:variant>
        <vt:i4>36</vt:i4>
      </vt:variant>
      <vt:variant>
        <vt:i4>0</vt:i4>
      </vt:variant>
      <vt:variant>
        <vt:i4>5</vt:i4>
      </vt:variant>
      <vt:variant>
        <vt:lpwstr>http://www.nevo.co.il/case/5993495</vt:lpwstr>
      </vt:variant>
      <vt:variant>
        <vt:lpwstr/>
      </vt:variant>
      <vt:variant>
        <vt:i4>3473527</vt:i4>
      </vt:variant>
      <vt:variant>
        <vt:i4>33</vt:i4>
      </vt:variant>
      <vt:variant>
        <vt:i4>0</vt:i4>
      </vt:variant>
      <vt:variant>
        <vt:i4>5</vt:i4>
      </vt:variant>
      <vt:variant>
        <vt:lpwstr>http://www.nevo.co.il/case/5611948</vt:lpwstr>
      </vt:variant>
      <vt:variant>
        <vt:lpwstr/>
      </vt:variant>
      <vt:variant>
        <vt:i4>3145849</vt:i4>
      </vt:variant>
      <vt:variant>
        <vt:i4>30</vt:i4>
      </vt:variant>
      <vt:variant>
        <vt:i4>0</vt:i4>
      </vt:variant>
      <vt:variant>
        <vt:i4>5</vt:i4>
      </vt:variant>
      <vt:variant>
        <vt:lpwstr>http://www.nevo.co.il/case/5608134</vt:lpwstr>
      </vt:variant>
      <vt:variant>
        <vt:lpwstr/>
      </vt:variant>
      <vt:variant>
        <vt:i4>3276916</vt:i4>
      </vt:variant>
      <vt:variant>
        <vt:i4>27</vt:i4>
      </vt:variant>
      <vt:variant>
        <vt:i4>0</vt:i4>
      </vt:variant>
      <vt:variant>
        <vt:i4>5</vt:i4>
      </vt:variant>
      <vt:variant>
        <vt:lpwstr>http://www.nevo.co.il/case/5810781</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4849667</vt:i4>
      </vt:variant>
      <vt:variant>
        <vt:i4>15</vt:i4>
      </vt:variant>
      <vt:variant>
        <vt:i4>0</vt:i4>
      </vt:variant>
      <vt:variant>
        <vt:i4>5</vt:i4>
      </vt:variant>
      <vt:variant>
        <vt:lpwstr>http://www.nevo.co.il/law/70301/71a.d</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3473533</vt:i4>
      </vt:variant>
      <vt:variant>
        <vt:i4>0</vt:i4>
      </vt:variant>
      <vt:variant>
        <vt:i4>0</vt:i4>
      </vt:variant>
      <vt:variant>
        <vt:i4>5</vt:i4>
      </vt:variant>
      <vt:variant>
        <vt:lpwstr>http://www.nevo.co.il/case/26575874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2025-04-23T00:32:00Z</dcterms:created>
  <dcterms:modified xsi:type="dcterms:W3CDTF">2025-04-23T00:32:00Z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1071</vt:lpwstr>
  </property>
  <property fmtid="{D5CDD505-2E9C-101B-9397-08002B2CF9AE}" pid="6" name="NEWPARTB">
    <vt:lpwstr>04</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רועי שמעוני</vt:lpwstr>
  </property>
  <property fmtid="{D5CDD505-2E9C-101B-9397-08002B2CF9AE}" pid="10" name="LAWYER">
    <vt:lpwstr>חיים קולבקר;צפריר יגור קופרמן</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20210530</vt:lpwstr>
  </property>
  <property fmtid="{D5CDD505-2E9C-101B-9397-08002B2CF9AE}" pid="14" name="TYPE_N_DATE">
    <vt:lpwstr>38020210530</vt:lpwstr>
  </property>
  <property fmtid="{D5CDD505-2E9C-101B-9397-08002B2CF9AE}" pid="15" name="WORDNUMPAGES">
    <vt:lpwstr>5</vt:lpwstr>
  </property>
  <property fmtid="{D5CDD505-2E9C-101B-9397-08002B2CF9AE}" pid="16" name="TYPE_ABS_DATE">
    <vt:lpwstr>380020210530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26575874;5810781;5608134;5611948;5993495;6161385;16900367</vt:lpwstr>
  </property>
  <property fmtid="{D5CDD505-2E9C-101B-9397-08002B2CF9AE}" pid="36" name="LAWLISTTMP1">
    <vt:lpwstr>4216/007.a;007.c</vt:lpwstr>
  </property>
  <property fmtid="{D5CDD505-2E9C-101B-9397-08002B2CF9AE}" pid="37" name="LAWLISTTMP2">
    <vt:lpwstr>70301/071a.d</vt:lpwstr>
  </property>
</Properties>
</file>