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804EDB" w:rsidRPr="00E03D66" w14:paraId="7AA0B752" w14:textId="77777777" w:rsidTr="007F1CBB">
        <w:trPr>
          <w:gridAfter w:val="1"/>
          <w:wAfter w:w="99" w:type="dxa"/>
          <w:trHeight w:hRule="exact" w:val="418"/>
          <w:jc w:val="center"/>
        </w:trPr>
        <w:tc>
          <w:tcPr>
            <w:tcW w:w="8721" w:type="dxa"/>
            <w:gridSpan w:val="4"/>
          </w:tcPr>
          <w:p w14:paraId="26A3F2A7" w14:textId="77777777" w:rsidR="00804EDB" w:rsidRPr="00E03D66" w:rsidRDefault="00804EDB" w:rsidP="002E2D4B">
            <w:pPr>
              <w:pStyle w:val="a3"/>
              <w:jc w:val="center"/>
              <w:rPr>
                <w:rFonts w:ascii="Tahoma" w:hAnsi="Tahoma" w:cs="Tahoma"/>
                <w:color w:val="000080"/>
                <w:rtl/>
              </w:rPr>
            </w:pPr>
            <w:bookmarkStart w:id="0" w:name="FirstLawyer"/>
            <w:bookmarkStart w:id="1" w:name="LastJudge"/>
            <w:r w:rsidRPr="00E03D66">
              <w:rPr>
                <w:rFonts w:ascii="Tahoma" w:hAnsi="Tahoma" w:cs="Tahoma"/>
                <w:b/>
                <w:bCs/>
                <w:color w:val="000080"/>
                <w:rtl/>
              </w:rPr>
              <w:t>בית משפט השלום בבאר שבע</w:t>
            </w:r>
          </w:p>
        </w:tc>
      </w:tr>
      <w:tr w:rsidR="00804EDB" w:rsidRPr="00E03D66" w14:paraId="6C097D26" w14:textId="77777777" w:rsidTr="007F1CBB">
        <w:trPr>
          <w:gridAfter w:val="1"/>
          <w:wAfter w:w="99" w:type="dxa"/>
          <w:trHeight w:val="337"/>
          <w:jc w:val="center"/>
        </w:trPr>
        <w:tc>
          <w:tcPr>
            <w:tcW w:w="5055" w:type="dxa"/>
            <w:gridSpan w:val="3"/>
          </w:tcPr>
          <w:p w14:paraId="02A5D003" w14:textId="77777777" w:rsidR="00804EDB" w:rsidRPr="00E03D66" w:rsidRDefault="00804EDB" w:rsidP="002E2D4B">
            <w:pPr>
              <w:rPr>
                <w:rFonts w:ascii="David" w:hAnsi="David"/>
                <w:b/>
                <w:bCs/>
                <w:sz w:val="28"/>
                <w:szCs w:val="28"/>
                <w:rtl/>
              </w:rPr>
            </w:pPr>
            <w:r w:rsidRPr="00E03D66">
              <w:rPr>
                <w:rFonts w:ascii="David" w:hAnsi="David"/>
                <w:b/>
                <w:bCs/>
                <w:sz w:val="28"/>
                <w:szCs w:val="28"/>
                <w:rtl/>
              </w:rPr>
              <w:t>ת"פ 11804-04-20 מדינת ישראל נ' אבו רקייק</w:t>
            </w:r>
          </w:p>
          <w:p w14:paraId="2E29A316" w14:textId="77777777" w:rsidR="00804EDB" w:rsidRPr="00E03D66" w:rsidRDefault="00804EDB" w:rsidP="002E2D4B">
            <w:pPr>
              <w:pStyle w:val="a3"/>
              <w:rPr>
                <w:rFonts w:cs="FrankRuehl"/>
                <w:sz w:val="28"/>
                <w:szCs w:val="28"/>
                <w:rtl/>
              </w:rPr>
            </w:pPr>
          </w:p>
        </w:tc>
        <w:tc>
          <w:tcPr>
            <w:tcW w:w="3666" w:type="dxa"/>
          </w:tcPr>
          <w:p w14:paraId="0E624BFA" w14:textId="77777777" w:rsidR="00804EDB" w:rsidRPr="00E03D66" w:rsidRDefault="00804EDB" w:rsidP="002E2D4B">
            <w:pPr>
              <w:pStyle w:val="a3"/>
              <w:jc w:val="right"/>
              <w:rPr>
                <w:rFonts w:cs="FrankRuehl"/>
                <w:sz w:val="28"/>
                <w:szCs w:val="28"/>
                <w:rtl/>
              </w:rPr>
            </w:pPr>
          </w:p>
        </w:tc>
      </w:tr>
      <w:tr w:rsidR="00804EDB" w:rsidRPr="00E03D66" w14:paraId="1E35D2C7" w14:textId="77777777" w:rsidTr="007F1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3131803" w14:textId="77777777" w:rsidR="00804EDB" w:rsidRPr="00E03D66" w:rsidRDefault="00804EDB" w:rsidP="00804EDB">
            <w:pPr>
              <w:jc w:val="both"/>
              <w:rPr>
                <w:rFonts w:ascii="David" w:hAnsi="David"/>
                <w:b/>
                <w:bCs/>
                <w:sz w:val="26"/>
                <w:szCs w:val="26"/>
              </w:rPr>
            </w:pPr>
            <w:r w:rsidRPr="00E03D66">
              <w:rPr>
                <w:rFonts w:hint="cs"/>
                <w:rtl/>
              </w:rPr>
              <w:t xml:space="preserve"> </w:t>
            </w:r>
            <w:r w:rsidRPr="00E03D66">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4E8CF2A5" w14:textId="77777777" w:rsidR="00804EDB" w:rsidRPr="00E03D66" w:rsidRDefault="00804EDB" w:rsidP="002E2D4B">
            <w:pPr>
              <w:rPr>
                <w:rFonts w:ascii="David" w:hAnsi="David"/>
                <w:b/>
                <w:bCs/>
                <w:sz w:val="26"/>
                <w:szCs w:val="26"/>
                <w:rtl/>
              </w:rPr>
            </w:pPr>
            <w:r w:rsidRPr="00E03D66">
              <w:rPr>
                <w:rFonts w:ascii="David" w:hAnsi="David"/>
                <w:b/>
                <w:bCs/>
                <w:sz w:val="26"/>
                <w:szCs w:val="26"/>
                <w:rtl/>
              </w:rPr>
              <w:t>כבוד השופט  יניב בן הרוש</w:t>
            </w:r>
          </w:p>
          <w:p w14:paraId="10458FB1" w14:textId="77777777" w:rsidR="00804EDB" w:rsidRPr="00E03D66" w:rsidRDefault="00804EDB" w:rsidP="002E2D4B">
            <w:pPr>
              <w:rPr>
                <w:rFonts w:ascii="David" w:hAnsi="David"/>
                <w:b/>
                <w:bCs/>
                <w:sz w:val="26"/>
                <w:szCs w:val="26"/>
                <w:rtl/>
              </w:rPr>
            </w:pPr>
          </w:p>
          <w:p w14:paraId="57A6346B" w14:textId="77777777" w:rsidR="00804EDB" w:rsidRPr="00E03D66" w:rsidRDefault="00804EDB" w:rsidP="00804EDB">
            <w:pPr>
              <w:jc w:val="both"/>
              <w:rPr>
                <w:rFonts w:ascii="David" w:hAnsi="David"/>
                <w:b/>
                <w:bCs/>
                <w:sz w:val="26"/>
                <w:szCs w:val="26"/>
              </w:rPr>
            </w:pPr>
          </w:p>
        </w:tc>
      </w:tr>
      <w:tr w:rsidR="00804EDB" w:rsidRPr="00E03D66" w14:paraId="6B6892C6" w14:textId="77777777" w:rsidTr="007F1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E3D0F8" w14:textId="77777777" w:rsidR="00804EDB" w:rsidRPr="00E03D66" w:rsidRDefault="00804EDB" w:rsidP="00804EDB">
            <w:pPr>
              <w:jc w:val="both"/>
              <w:rPr>
                <w:rFonts w:ascii="David" w:hAnsi="David"/>
                <w:b/>
                <w:bCs/>
                <w:sz w:val="26"/>
                <w:szCs w:val="26"/>
                <w:rtl/>
              </w:rPr>
            </w:pPr>
            <w:bookmarkStart w:id="2" w:name="FirstAppellant"/>
            <w:r w:rsidRPr="00E03D66">
              <w:rPr>
                <w:rFonts w:ascii="David" w:hAnsi="David"/>
                <w:b/>
                <w:bCs/>
                <w:sz w:val="26"/>
                <w:szCs w:val="26"/>
                <w:rtl/>
              </w:rPr>
              <w:t>בעניין:</w:t>
            </w:r>
          </w:p>
        </w:tc>
        <w:tc>
          <w:tcPr>
            <w:tcW w:w="3219" w:type="dxa"/>
            <w:tcBorders>
              <w:top w:val="nil"/>
              <w:left w:val="nil"/>
              <w:bottom w:val="nil"/>
              <w:right w:val="nil"/>
            </w:tcBorders>
            <w:shd w:val="clear" w:color="auto" w:fill="auto"/>
          </w:tcPr>
          <w:p w14:paraId="6BD4882B" w14:textId="77777777" w:rsidR="00804EDB" w:rsidRPr="00E03D66" w:rsidRDefault="00804EDB" w:rsidP="00804EDB">
            <w:pPr>
              <w:suppressLineNumbers/>
              <w:rPr>
                <w:b/>
                <w:bCs/>
              </w:rPr>
            </w:pPr>
            <w:r w:rsidRPr="00E03D66">
              <w:rPr>
                <w:rFonts w:ascii="Arial" w:hAnsi="Arial" w:hint="cs"/>
                <w:b/>
                <w:bCs/>
                <w:sz w:val="26"/>
                <w:szCs w:val="26"/>
                <w:rtl/>
              </w:rPr>
              <w:t>ה</w:t>
            </w:r>
            <w:r w:rsidRPr="00E03D66">
              <w:rPr>
                <w:rFonts w:ascii="Arial" w:hAnsi="Arial"/>
                <w:b/>
                <w:bCs/>
                <w:sz w:val="26"/>
                <w:szCs w:val="26"/>
                <w:rtl/>
              </w:rPr>
              <w:t>מאשימה</w:t>
            </w:r>
          </w:p>
          <w:p w14:paraId="5378BDCD" w14:textId="77777777" w:rsidR="00804EDB" w:rsidRPr="00E03D66" w:rsidRDefault="00804EDB" w:rsidP="002E2D4B">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5A1635C4" w14:textId="77777777" w:rsidR="00804EDB" w:rsidRPr="00E03D66" w:rsidRDefault="00804EDB" w:rsidP="00804EDB">
            <w:pPr>
              <w:suppressLineNumbers/>
              <w:rPr>
                <w:b/>
                <w:bCs/>
              </w:rPr>
            </w:pPr>
            <w:r w:rsidRPr="00E03D66">
              <w:rPr>
                <w:rFonts w:ascii="Arial" w:hAnsi="Arial"/>
                <w:b/>
                <w:bCs/>
                <w:sz w:val="26"/>
                <w:szCs w:val="26"/>
                <w:rtl/>
              </w:rPr>
              <w:t>מדינת ישראל</w:t>
            </w:r>
            <w:r w:rsidRPr="00E03D66">
              <w:rPr>
                <w:rFonts w:ascii="Arial" w:hAnsi="Arial" w:hint="cs"/>
                <w:b/>
                <w:bCs/>
                <w:sz w:val="26"/>
                <w:szCs w:val="26"/>
                <w:rtl/>
              </w:rPr>
              <w:t>-תביעות נגב</w:t>
            </w:r>
            <w:r w:rsidRPr="00E03D66">
              <w:rPr>
                <w:rFonts w:ascii="Arial" w:hAnsi="Arial"/>
                <w:b/>
                <w:bCs/>
                <w:sz w:val="26"/>
                <w:szCs w:val="26"/>
                <w:rtl/>
              </w:rPr>
              <w:br/>
              <w:t>ע"י ב"כ עוה"ד</w:t>
            </w:r>
            <w:r w:rsidRPr="00E03D66">
              <w:rPr>
                <w:rFonts w:ascii="Arial" w:hAnsi="Arial" w:hint="cs"/>
                <w:b/>
                <w:bCs/>
                <w:sz w:val="26"/>
                <w:szCs w:val="26"/>
                <w:rtl/>
              </w:rPr>
              <w:t xml:space="preserve"> ברק ברד </w:t>
            </w:r>
          </w:p>
          <w:p w14:paraId="2119874F" w14:textId="77777777" w:rsidR="00804EDB" w:rsidRPr="00E03D66" w:rsidRDefault="00804EDB" w:rsidP="002E2D4B">
            <w:pPr>
              <w:rPr>
                <w:rFonts w:ascii="David" w:hAnsi="David"/>
                <w:b/>
                <w:bCs/>
                <w:sz w:val="26"/>
                <w:szCs w:val="26"/>
              </w:rPr>
            </w:pPr>
          </w:p>
        </w:tc>
      </w:tr>
      <w:bookmarkEnd w:id="2"/>
      <w:tr w:rsidR="00804EDB" w:rsidRPr="00E03D66" w14:paraId="66215F10" w14:textId="77777777" w:rsidTr="007F1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D3B529" w14:textId="77777777" w:rsidR="00804EDB" w:rsidRPr="00E03D66" w:rsidRDefault="00804EDB" w:rsidP="00804EDB">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45D9A9DB" w14:textId="77777777" w:rsidR="00804EDB" w:rsidRPr="00E03D66" w:rsidRDefault="00804EDB" w:rsidP="00804EDB">
            <w:pPr>
              <w:jc w:val="center"/>
              <w:rPr>
                <w:rFonts w:ascii="David" w:hAnsi="David"/>
                <w:b/>
                <w:bCs/>
                <w:sz w:val="26"/>
                <w:szCs w:val="26"/>
                <w:rtl/>
              </w:rPr>
            </w:pPr>
          </w:p>
          <w:p w14:paraId="4A5606BB" w14:textId="77777777" w:rsidR="00804EDB" w:rsidRPr="00E03D66" w:rsidRDefault="00804EDB" w:rsidP="00804EDB">
            <w:pPr>
              <w:jc w:val="center"/>
              <w:rPr>
                <w:rFonts w:ascii="David" w:hAnsi="David"/>
                <w:b/>
                <w:bCs/>
                <w:sz w:val="26"/>
                <w:szCs w:val="26"/>
                <w:rtl/>
              </w:rPr>
            </w:pPr>
            <w:r w:rsidRPr="00E03D66">
              <w:rPr>
                <w:rFonts w:ascii="David" w:hAnsi="David"/>
                <w:b/>
                <w:bCs/>
                <w:sz w:val="26"/>
                <w:szCs w:val="26"/>
                <w:rtl/>
              </w:rPr>
              <w:t>נגד</w:t>
            </w:r>
          </w:p>
          <w:p w14:paraId="614D1B68" w14:textId="77777777" w:rsidR="00804EDB" w:rsidRPr="00E03D66" w:rsidRDefault="00804EDB" w:rsidP="00804EDB">
            <w:pPr>
              <w:jc w:val="both"/>
              <w:rPr>
                <w:rFonts w:ascii="David" w:hAnsi="David"/>
                <w:b/>
                <w:bCs/>
                <w:sz w:val="26"/>
                <w:szCs w:val="26"/>
              </w:rPr>
            </w:pPr>
          </w:p>
        </w:tc>
      </w:tr>
      <w:tr w:rsidR="00804EDB" w:rsidRPr="00E03D66" w14:paraId="3828DCB2" w14:textId="77777777" w:rsidTr="007F1C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48D370" w14:textId="77777777" w:rsidR="00804EDB" w:rsidRPr="00E03D66" w:rsidRDefault="00804EDB" w:rsidP="002E2D4B">
            <w:pPr>
              <w:rPr>
                <w:rFonts w:ascii="David" w:hAnsi="David"/>
                <w:b/>
                <w:bCs/>
                <w:sz w:val="26"/>
                <w:szCs w:val="26"/>
                <w:rtl/>
              </w:rPr>
            </w:pPr>
          </w:p>
        </w:tc>
        <w:tc>
          <w:tcPr>
            <w:tcW w:w="3219" w:type="dxa"/>
            <w:tcBorders>
              <w:top w:val="nil"/>
              <w:left w:val="nil"/>
              <w:bottom w:val="nil"/>
              <w:right w:val="nil"/>
            </w:tcBorders>
            <w:shd w:val="clear" w:color="auto" w:fill="auto"/>
          </w:tcPr>
          <w:p w14:paraId="69E4355E" w14:textId="77777777" w:rsidR="00804EDB" w:rsidRPr="00E03D66" w:rsidRDefault="00804EDB" w:rsidP="002E2D4B">
            <w:pPr>
              <w:rPr>
                <w:rFonts w:ascii="Arial" w:hAnsi="Arial"/>
                <w:b/>
                <w:bCs/>
                <w:sz w:val="26"/>
                <w:szCs w:val="26"/>
                <w:rtl/>
              </w:rPr>
            </w:pPr>
            <w:r w:rsidRPr="00E03D6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2E05480" w14:textId="77777777" w:rsidR="00804EDB" w:rsidRPr="00E03D66" w:rsidRDefault="00804EDB" w:rsidP="00804EDB">
            <w:pPr>
              <w:suppressLineNumbers/>
              <w:rPr>
                <w:b/>
                <w:bCs/>
              </w:rPr>
            </w:pPr>
            <w:r w:rsidRPr="00E03D66">
              <w:rPr>
                <w:rFonts w:ascii="Arial" w:hAnsi="Arial"/>
                <w:b/>
                <w:bCs/>
                <w:sz w:val="26"/>
                <w:szCs w:val="26"/>
                <w:rtl/>
              </w:rPr>
              <w:t>ודיע אבו רקייק</w:t>
            </w:r>
            <w:r w:rsidRPr="00E03D66">
              <w:rPr>
                <w:rFonts w:ascii="Arial" w:hAnsi="Arial" w:hint="cs"/>
                <w:b/>
                <w:bCs/>
                <w:sz w:val="26"/>
                <w:szCs w:val="26"/>
                <w:rtl/>
              </w:rPr>
              <w:t>-בעצמו</w:t>
            </w:r>
            <w:r w:rsidRPr="00E03D66">
              <w:rPr>
                <w:rFonts w:ascii="Arial" w:hAnsi="Arial"/>
                <w:b/>
                <w:bCs/>
                <w:sz w:val="26"/>
                <w:szCs w:val="26"/>
                <w:rtl/>
              </w:rPr>
              <w:br/>
              <w:t>ע"י ב"כ עוה"ד</w:t>
            </w:r>
            <w:r w:rsidRPr="00E03D66">
              <w:rPr>
                <w:rFonts w:hint="cs"/>
                <w:b/>
                <w:bCs/>
                <w:rtl/>
              </w:rPr>
              <w:t xml:space="preserve"> </w:t>
            </w:r>
            <w:r w:rsidRPr="00E03D66">
              <w:rPr>
                <w:rFonts w:hint="cs"/>
                <w:b/>
                <w:bCs/>
                <w:sz w:val="26"/>
                <w:szCs w:val="26"/>
                <w:rtl/>
              </w:rPr>
              <w:t>עמית דויטשר</w:t>
            </w:r>
          </w:p>
          <w:p w14:paraId="2316AE49" w14:textId="77777777" w:rsidR="00804EDB" w:rsidRPr="00E03D66" w:rsidRDefault="00804EDB" w:rsidP="002E2D4B">
            <w:pPr>
              <w:rPr>
                <w:rFonts w:ascii="David" w:hAnsi="David"/>
                <w:b/>
                <w:bCs/>
                <w:sz w:val="26"/>
                <w:szCs w:val="26"/>
              </w:rPr>
            </w:pPr>
          </w:p>
        </w:tc>
      </w:tr>
    </w:tbl>
    <w:p w14:paraId="12A758A8" w14:textId="77777777" w:rsidR="007F1CBB" w:rsidRDefault="007F1CBB" w:rsidP="00E03D66">
      <w:pPr>
        <w:rPr>
          <w:sz w:val="26"/>
          <w:szCs w:val="26"/>
          <w:rtl/>
        </w:rPr>
      </w:pPr>
    </w:p>
    <w:p w14:paraId="3900DD27" w14:textId="77777777" w:rsidR="007F1CBB" w:rsidRPr="007F1CBB" w:rsidRDefault="007F1CBB" w:rsidP="007F1CBB">
      <w:pPr>
        <w:spacing w:after="120" w:line="240" w:lineRule="exact"/>
        <w:ind w:left="283" w:hanging="283"/>
        <w:jc w:val="both"/>
        <w:rPr>
          <w:rFonts w:ascii="FrankRuehl" w:hAnsi="FrankRuehl" w:cs="FrankRuehl"/>
          <w:rtl/>
        </w:rPr>
      </w:pPr>
    </w:p>
    <w:p w14:paraId="7130FCE1" w14:textId="77777777" w:rsidR="00424615" w:rsidRPr="00424615" w:rsidRDefault="00424615" w:rsidP="00424615">
      <w:pPr>
        <w:spacing w:before="120" w:after="120" w:line="240" w:lineRule="exact"/>
        <w:ind w:left="283" w:hanging="283"/>
        <w:jc w:val="both"/>
        <w:rPr>
          <w:rFonts w:ascii="FrankRuehl" w:hAnsi="FrankRuehl" w:cs="FrankRuehl"/>
          <w:rtl/>
        </w:rPr>
      </w:pPr>
    </w:p>
    <w:p w14:paraId="7F622A29" w14:textId="77777777" w:rsidR="00544AC3" w:rsidRDefault="00544AC3" w:rsidP="00544AC3">
      <w:pPr>
        <w:rPr>
          <w:sz w:val="26"/>
          <w:szCs w:val="26"/>
          <w:rtl/>
        </w:rPr>
      </w:pPr>
      <w:bookmarkStart w:id="3" w:name="LawTable"/>
      <w:bookmarkEnd w:id="3"/>
    </w:p>
    <w:p w14:paraId="73F872C8" w14:textId="77777777" w:rsidR="00544AC3" w:rsidRPr="00544AC3" w:rsidRDefault="00544AC3" w:rsidP="00544AC3">
      <w:pPr>
        <w:spacing w:before="120" w:after="120" w:line="240" w:lineRule="exact"/>
        <w:ind w:left="283" w:hanging="283"/>
        <w:jc w:val="both"/>
        <w:rPr>
          <w:rFonts w:ascii="FrankRuehl" w:hAnsi="FrankRuehl" w:cs="FrankRuehl"/>
          <w:rtl/>
        </w:rPr>
      </w:pPr>
    </w:p>
    <w:p w14:paraId="1D5867A8" w14:textId="77777777" w:rsidR="00544AC3" w:rsidRPr="00544AC3" w:rsidRDefault="00544AC3" w:rsidP="00544AC3">
      <w:pPr>
        <w:spacing w:before="120" w:after="120" w:line="240" w:lineRule="exact"/>
        <w:ind w:left="283" w:hanging="283"/>
        <w:jc w:val="both"/>
        <w:rPr>
          <w:rFonts w:ascii="FrankRuehl" w:hAnsi="FrankRuehl" w:cs="FrankRuehl"/>
          <w:rtl/>
        </w:rPr>
      </w:pPr>
    </w:p>
    <w:p w14:paraId="638D5B64" w14:textId="77777777" w:rsidR="00544AC3" w:rsidRPr="00544AC3" w:rsidRDefault="00544AC3" w:rsidP="00544AC3">
      <w:pPr>
        <w:spacing w:before="120" w:after="120" w:line="240" w:lineRule="exact"/>
        <w:ind w:left="283" w:hanging="283"/>
        <w:jc w:val="both"/>
        <w:rPr>
          <w:rFonts w:ascii="FrankRuehl" w:hAnsi="FrankRuehl" w:cs="FrankRuehl"/>
          <w:rtl/>
        </w:rPr>
      </w:pPr>
      <w:r w:rsidRPr="00544AC3">
        <w:rPr>
          <w:rFonts w:ascii="FrankRuehl" w:hAnsi="FrankRuehl" w:cs="FrankRuehl"/>
          <w:rtl/>
        </w:rPr>
        <w:t xml:space="preserve">חקיקה שאוזכרה: </w:t>
      </w:r>
    </w:p>
    <w:p w14:paraId="40F7F07B" w14:textId="77777777" w:rsidR="00544AC3" w:rsidRPr="00544AC3" w:rsidRDefault="00544AC3" w:rsidP="00544AC3">
      <w:pPr>
        <w:spacing w:before="120" w:after="120" w:line="240" w:lineRule="exact"/>
        <w:ind w:left="283" w:hanging="283"/>
        <w:jc w:val="both"/>
        <w:rPr>
          <w:rFonts w:ascii="FrankRuehl" w:hAnsi="FrankRuehl" w:cs="FrankRuehl"/>
          <w:rtl/>
        </w:rPr>
      </w:pPr>
      <w:hyperlink r:id="rId7" w:history="1">
        <w:r w:rsidRPr="00544AC3">
          <w:rPr>
            <w:rFonts w:ascii="FrankRuehl" w:hAnsi="FrankRuehl" w:cs="FrankRuehl"/>
            <w:color w:val="0000FF"/>
            <w:rtl/>
          </w:rPr>
          <w:t>פקודת הסמים המסוכנים [נוסח חדש], תשל"ג-1973</w:t>
        </w:r>
      </w:hyperlink>
      <w:r w:rsidRPr="00544AC3">
        <w:rPr>
          <w:rFonts w:ascii="FrankRuehl" w:hAnsi="FrankRuehl" w:cs="FrankRuehl"/>
          <w:rtl/>
        </w:rPr>
        <w:t xml:space="preserve">: סע'  </w:t>
      </w:r>
      <w:hyperlink r:id="rId8" w:history="1">
        <w:r w:rsidRPr="00544AC3">
          <w:rPr>
            <w:rFonts w:ascii="FrankRuehl" w:hAnsi="FrankRuehl" w:cs="FrankRuehl"/>
            <w:color w:val="0000FF"/>
            <w:rtl/>
          </w:rPr>
          <w:t>7 (א)</w:t>
        </w:r>
      </w:hyperlink>
      <w:r w:rsidRPr="00544AC3">
        <w:rPr>
          <w:rFonts w:ascii="FrankRuehl" w:hAnsi="FrankRuehl" w:cs="FrankRuehl"/>
          <w:rtl/>
        </w:rPr>
        <w:t xml:space="preserve">, </w:t>
      </w:r>
      <w:hyperlink r:id="rId9" w:history="1">
        <w:r w:rsidRPr="00544AC3">
          <w:rPr>
            <w:rFonts w:ascii="FrankRuehl" w:hAnsi="FrankRuehl" w:cs="FrankRuehl"/>
            <w:color w:val="0000FF"/>
            <w:rtl/>
          </w:rPr>
          <w:t>7 (ג)</w:t>
        </w:r>
      </w:hyperlink>
    </w:p>
    <w:p w14:paraId="02D180C5" w14:textId="77777777" w:rsidR="00544AC3" w:rsidRPr="00544AC3" w:rsidRDefault="00544AC3" w:rsidP="00544AC3">
      <w:pPr>
        <w:spacing w:before="120" w:after="120" w:line="240" w:lineRule="exact"/>
        <w:ind w:left="283" w:hanging="283"/>
        <w:jc w:val="both"/>
        <w:rPr>
          <w:rFonts w:ascii="FrankRuehl" w:hAnsi="FrankRuehl" w:cs="FrankRuehl"/>
          <w:rtl/>
        </w:rPr>
      </w:pPr>
      <w:hyperlink r:id="rId10" w:history="1">
        <w:r w:rsidRPr="00544AC3">
          <w:rPr>
            <w:rFonts w:ascii="FrankRuehl" w:hAnsi="FrankRuehl" w:cs="FrankRuehl"/>
            <w:color w:val="0000FF"/>
            <w:rtl/>
          </w:rPr>
          <w:t>חוק העונשין, תשל"ז-1977</w:t>
        </w:r>
      </w:hyperlink>
      <w:r w:rsidRPr="00544AC3">
        <w:rPr>
          <w:rFonts w:ascii="FrankRuehl" w:hAnsi="FrankRuehl" w:cs="FrankRuehl"/>
          <w:rtl/>
        </w:rPr>
        <w:t xml:space="preserve">: סע'  </w:t>
      </w:r>
      <w:hyperlink r:id="rId11" w:history="1">
        <w:r w:rsidRPr="00544AC3">
          <w:rPr>
            <w:rFonts w:ascii="FrankRuehl" w:hAnsi="FrankRuehl" w:cs="FrankRuehl"/>
            <w:color w:val="0000FF"/>
            <w:rtl/>
          </w:rPr>
          <w:t>85</w:t>
        </w:r>
      </w:hyperlink>
    </w:p>
    <w:p w14:paraId="3A45B020" w14:textId="77777777" w:rsidR="00544AC3" w:rsidRPr="00544AC3" w:rsidRDefault="00544AC3" w:rsidP="00544AC3">
      <w:pPr>
        <w:rPr>
          <w:sz w:val="26"/>
          <w:szCs w:val="26"/>
          <w:rtl/>
        </w:rPr>
      </w:pPr>
      <w:bookmarkStart w:id="4" w:name="LawTable_End"/>
      <w:bookmarkEnd w:id="4"/>
    </w:p>
    <w:p w14:paraId="1E829C10" w14:textId="77777777" w:rsidR="00804EDB" w:rsidRPr="00424615" w:rsidRDefault="00804EDB" w:rsidP="0042461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04EDB" w14:paraId="1940AD34" w14:textId="77777777" w:rsidTr="00804EDB">
        <w:trPr>
          <w:trHeight w:val="355"/>
          <w:jc w:val="center"/>
        </w:trPr>
        <w:tc>
          <w:tcPr>
            <w:tcW w:w="8820" w:type="dxa"/>
            <w:tcBorders>
              <w:top w:val="nil"/>
              <w:left w:val="nil"/>
              <w:bottom w:val="nil"/>
              <w:right w:val="nil"/>
            </w:tcBorders>
            <w:shd w:val="clear" w:color="auto" w:fill="auto"/>
          </w:tcPr>
          <w:p w14:paraId="13A9D387" w14:textId="77777777" w:rsidR="00E03D66" w:rsidRPr="00E03D66" w:rsidRDefault="00E03D66" w:rsidP="00E03D66">
            <w:pPr>
              <w:jc w:val="center"/>
              <w:rPr>
                <w:rFonts w:ascii="David" w:hAnsi="David"/>
                <w:b/>
                <w:bCs/>
                <w:sz w:val="32"/>
                <w:szCs w:val="32"/>
                <w:u w:val="single"/>
                <w:rtl/>
              </w:rPr>
            </w:pPr>
            <w:bookmarkStart w:id="5" w:name="PsakDin" w:colFirst="0" w:colLast="0"/>
            <w:bookmarkEnd w:id="0"/>
            <w:bookmarkEnd w:id="1"/>
            <w:r w:rsidRPr="00E03D66">
              <w:rPr>
                <w:rFonts w:ascii="David" w:hAnsi="David"/>
                <w:b/>
                <w:bCs/>
                <w:sz w:val="32"/>
                <w:szCs w:val="32"/>
                <w:u w:val="single"/>
                <w:rtl/>
              </w:rPr>
              <w:t>גזר דין</w:t>
            </w:r>
          </w:p>
          <w:p w14:paraId="7524A0FB" w14:textId="77777777" w:rsidR="00804EDB" w:rsidRPr="00E03D66" w:rsidRDefault="00804EDB" w:rsidP="00E03D66">
            <w:pPr>
              <w:jc w:val="center"/>
              <w:rPr>
                <w:rFonts w:ascii="David" w:hAnsi="David"/>
                <w:bCs/>
                <w:sz w:val="32"/>
                <w:szCs w:val="32"/>
                <w:u w:val="single"/>
                <w:rtl/>
              </w:rPr>
            </w:pPr>
          </w:p>
        </w:tc>
      </w:tr>
      <w:bookmarkEnd w:id="5"/>
    </w:tbl>
    <w:p w14:paraId="61416CA5" w14:textId="77777777" w:rsidR="00804EDB" w:rsidRPr="000F2247" w:rsidRDefault="00804EDB" w:rsidP="00804EDB">
      <w:pPr>
        <w:rPr>
          <w:rFonts w:ascii="Arial" w:hAnsi="Arial"/>
          <w:b/>
          <w:bCs/>
          <w:sz w:val="26"/>
          <w:szCs w:val="26"/>
          <w:rtl/>
        </w:rPr>
      </w:pPr>
    </w:p>
    <w:p w14:paraId="25F1DE18" w14:textId="77777777" w:rsidR="00804EDB" w:rsidRDefault="00804EDB" w:rsidP="00804EDB">
      <w:pPr>
        <w:widowControl w:val="0"/>
        <w:spacing w:before="240" w:line="360" w:lineRule="auto"/>
        <w:jc w:val="both"/>
        <w:rPr>
          <w:rFonts w:ascii="David" w:hAnsi="David"/>
          <w:b/>
          <w:bCs/>
          <w:sz w:val="30"/>
          <w:szCs w:val="30"/>
        </w:rPr>
      </w:pPr>
      <w:r>
        <w:rPr>
          <w:rFonts w:ascii="David" w:hAnsi="David"/>
          <w:b/>
          <w:bCs/>
          <w:sz w:val="30"/>
          <w:szCs w:val="30"/>
          <w:rtl/>
        </w:rPr>
        <w:t xml:space="preserve">רקע עובדתי </w:t>
      </w:r>
    </w:p>
    <w:p w14:paraId="4AE204A0" w14:textId="77777777" w:rsidR="00804EDB" w:rsidRDefault="00804EDB" w:rsidP="00804EDB">
      <w:pPr>
        <w:pStyle w:val="a9"/>
        <w:numPr>
          <w:ilvl w:val="0"/>
          <w:numId w:val="1"/>
        </w:numPr>
        <w:spacing w:line="360" w:lineRule="auto"/>
        <w:ind w:left="360"/>
        <w:jc w:val="both"/>
        <w:rPr>
          <w:rFonts w:ascii="David" w:hAnsi="David" w:cs="David"/>
          <w:sz w:val="24"/>
          <w:szCs w:val="24"/>
        </w:rPr>
      </w:pPr>
      <w:bookmarkStart w:id="6" w:name="ABSTRACT_START"/>
      <w:bookmarkEnd w:id="6"/>
      <w:r>
        <w:rPr>
          <w:rFonts w:ascii="David" w:hAnsi="David" w:cs="David"/>
          <w:sz w:val="24"/>
          <w:szCs w:val="24"/>
          <w:rtl/>
        </w:rPr>
        <w:t>הנאשם הודה והורשע במסגרת הסדר בעבירת</w:t>
      </w:r>
      <w:r>
        <w:rPr>
          <w:rFonts w:ascii="David" w:hAnsi="David" w:cs="David"/>
          <w:b/>
          <w:bCs/>
          <w:sz w:val="24"/>
          <w:szCs w:val="24"/>
          <w:rtl/>
        </w:rPr>
        <w:t xml:space="preserve"> החזקת סם מסוכן לצריכה עצמית</w:t>
      </w:r>
      <w:r>
        <w:rPr>
          <w:rFonts w:ascii="David" w:hAnsi="David" w:cs="David"/>
          <w:sz w:val="24"/>
          <w:szCs w:val="24"/>
          <w:rtl/>
        </w:rPr>
        <w:t xml:space="preserve"> -  עבירה לפי סעיף </w:t>
      </w:r>
      <w:hyperlink r:id="rId12" w:history="1">
        <w:r w:rsidR="007F1CBB" w:rsidRPr="007F1CBB">
          <w:rPr>
            <w:rStyle w:val="Hyperlink"/>
            <w:rFonts w:ascii="David" w:hAnsi="David" w:cs="David"/>
            <w:sz w:val="24"/>
            <w:szCs w:val="24"/>
            <w:rtl/>
          </w:rPr>
          <w:t>7 (א)</w:t>
        </w:r>
      </w:hyperlink>
      <w:r>
        <w:rPr>
          <w:rFonts w:ascii="David" w:hAnsi="David" w:cs="David"/>
          <w:sz w:val="24"/>
          <w:szCs w:val="24"/>
          <w:rtl/>
        </w:rPr>
        <w:t xml:space="preserve"> יחד עם סעיף </w:t>
      </w:r>
      <w:hyperlink r:id="rId13" w:history="1">
        <w:r w:rsidR="007F1CBB" w:rsidRPr="007F1CBB">
          <w:rPr>
            <w:rStyle w:val="Hyperlink"/>
            <w:rFonts w:ascii="David" w:hAnsi="David" w:cs="David"/>
            <w:sz w:val="24"/>
            <w:szCs w:val="24"/>
            <w:rtl/>
          </w:rPr>
          <w:t xml:space="preserve">7 (ג) </w:t>
        </w:r>
      </w:hyperlink>
      <w:r>
        <w:rPr>
          <w:rFonts w:ascii="David" w:hAnsi="David" w:cs="David"/>
          <w:sz w:val="24"/>
          <w:szCs w:val="24"/>
          <w:rtl/>
        </w:rPr>
        <w:t xml:space="preserve">  סיפא ל</w:t>
      </w:r>
      <w:hyperlink r:id="rId14" w:history="1">
        <w:r w:rsidR="00E03D66" w:rsidRPr="00E03D6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בכך שביום 15.2.20 החזיק סם מסוג קוקאין במשקל 0.0455 גרם לצריכתו העצמית.</w:t>
      </w:r>
    </w:p>
    <w:p w14:paraId="5BD85A05" w14:textId="77777777" w:rsidR="00804EDB" w:rsidRDefault="00804EDB" w:rsidP="00804EDB">
      <w:pPr>
        <w:pStyle w:val="a9"/>
        <w:spacing w:line="360" w:lineRule="auto"/>
        <w:ind w:left="1080"/>
        <w:jc w:val="both"/>
        <w:rPr>
          <w:rFonts w:ascii="David" w:hAnsi="David" w:cs="David"/>
          <w:sz w:val="24"/>
          <w:szCs w:val="24"/>
        </w:rPr>
      </w:pPr>
      <w:bookmarkStart w:id="7" w:name="ABSTRACT_END"/>
      <w:bookmarkEnd w:id="7"/>
    </w:p>
    <w:p w14:paraId="1602613D" w14:textId="77777777" w:rsidR="00804EDB" w:rsidRDefault="00804EDB" w:rsidP="00804EDB">
      <w:pPr>
        <w:pStyle w:val="a9"/>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בתאריך 21.3.21 הציגו הצדדים ההסדר דיוני, לפיו הודה והורשע הנאשם במיוחס לו בכתב האישום. הוסכם בין הצדדים כי הנאשם יופנה לקבלת תסקיר שירות מבחן. ככל שהתסקיר יהיה חיובי התביעה תעתור להפעלת המאסר המותנה ולריצוי העונש על דרך עבודות שירות ואילו ההגנה תהא חופשית בטיעוניה. </w:t>
      </w:r>
      <w:r>
        <w:rPr>
          <w:rFonts w:ascii="David" w:hAnsi="David" w:cs="David"/>
          <w:sz w:val="24"/>
          <w:szCs w:val="24"/>
        </w:rPr>
        <w:t xml:space="preserve"> </w:t>
      </w:r>
    </w:p>
    <w:p w14:paraId="74591874" w14:textId="77777777" w:rsidR="00804EDB" w:rsidRDefault="00804EDB" w:rsidP="00804EDB">
      <w:pPr>
        <w:pStyle w:val="a9"/>
        <w:rPr>
          <w:rFonts w:ascii="David" w:hAnsi="David" w:cs="David"/>
          <w:sz w:val="24"/>
          <w:szCs w:val="24"/>
        </w:rPr>
      </w:pPr>
    </w:p>
    <w:p w14:paraId="190C1C4B" w14:textId="77777777" w:rsidR="00804EDB" w:rsidRDefault="00804EDB" w:rsidP="00804EDB">
      <w:pPr>
        <w:rPr>
          <w:rFonts w:ascii="David" w:hAnsi="David"/>
          <w:sz w:val="28"/>
          <w:szCs w:val="28"/>
          <w:rtl/>
        </w:rPr>
      </w:pPr>
      <w:r>
        <w:rPr>
          <w:rFonts w:ascii="David" w:hAnsi="David"/>
          <w:b/>
          <w:bCs/>
          <w:sz w:val="28"/>
          <w:szCs w:val="28"/>
          <w:u w:val="single"/>
          <w:rtl/>
        </w:rPr>
        <w:t xml:space="preserve">תסקירי שירות המבחן  </w:t>
      </w:r>
    </w:p>
    <w:p w14:paraId="00A6305B" w14:textId="77777777" w:rsidR="00804EDB" w:rsidRDefault="00804EDB" w:rsidP="00804EDB">
      <w:pPr>
        <w:pStyle w:val="a9"/>
        <w:rPr>
          <w:rFonts w:ascii="David" w:hAnsi="David" w:cs="David"/>
          <w:b/>
          <w:bCs/>
          <w:sz w:val="24"/>
          <w:szCs w:val="24"/>
          <w:u w:val="single"/>
          <w:rtl/>
        </w:rPr>
      </w:pPr>
    </w:p>
    <w:p w14:paraId="0299D500"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בעניינו של הנאשם התקבלו  מספר תסקירים כמפורט להלן: </w:t>
      </w:r>
    </w:p>
    <w:p w14:paraId="628D0E7B" w14:textId="77777777" w:rsidR="00804EDB" w:rsidRDefault="00804EDB" w:rsidP="00804EDB">
      <w:pPr>
        <w:pStyle w:val="a9"/>
        <w:spacing w:line="360" w:lineRule="auto"/>
        <w:ind w:left="360"/>
        <w:jc w:val="both"/>
        <w:rPr>
          <w:rFonts w:ascii="David" w:hAnsi="David" w:cs="David"/>
          <w:sz w:val="24"/>
          <w:szCs w:val="24"/>
        </w:rPr>
      </w:pPr>
    </w:p>
    <w:p w14:paraId="587173D6" w14:textId="77777777" w:rsidR="00804EDB" w:rsidRDefault="00804EDB" w:rsidP="00804EDB">
      <w:pPr>
        <w:pStyle w:val="a9"/>
        <w:spacing w:line="360" w:lineRule="auto"/>
        <w:ind w:left="360"/>
        <w:jc w:val="both"/>
        <w:rPr>
          <w:rFonts w:ascii="David" w:hAnsi="David" w:cs="David"/>
          <w:sz w:val="24"/>
          <w:szCs w:val="24"/>
        </w:rPr>
      </w:pPr>
      <w:r>
        <w:rPr>
          <w:rFonts w:ascii="David" w:hAnsi="David" w:cs="David"/>
          <w:b/>
          <w:bCs/>
          <w:sz w:val="24"/>
          <w:szCs w:val="24"/>
          <w:rtl/>
        </w:rPr>
        <w:t>בתסקיר מיום 3.11.21</w:t>
      </w:r>
      <w:r>
        <w:rPr>
          <w:rFonts w:ascii="David" w:hAnsi="David" w:cs="David"/>
          <w:sz w:val="24"/>
          <w:szCs w:val="24"/>
          <w:rtl/>
        </w:rPr>
        <w:t xml:space="preserve"> ציין שירות המבחן כי הנאשם, בן 25, נשוי ואב לארבעה ילדים עובד כרועה צאן. בעל הרשעה קודמת בעבירת גידול סם בגינה ריצה עונש מאסר. מודה בביצוע העבירה. שירות המבחן התרשם מנזקקות טיפולית וממוטיבציה לטיפול. </w:t>
      </w:r>
    </w:p>
    <w:p w14:paraId="1375C099" w14:textId="77777777" w:rsidR="00804EDB" w:rsidRDefault="00804EDB" w:rsidP="00804EDB">
      <w:pPr>
        <w:pStyle w:val="a9"/>
        <w:spacing w:line="360" w:lineRule="auto"/>
        <w:ind w:left="360"/>
        <w:jc w:val="both"/>
        <w:rPr>
          <w:rFonts w:ascii="David" w:hAnsi="David" w:cs="David"/>
          <w:sz w:val="24"/>
          <w:szCs w:val="24"/>
          <w:rtl/>
        </w:rPr>
      </w:pPr>
    </w:p>
    <w:p w14:paraId="276A579E" w14:textId="77777777" w:rsidR="00804EDB" w:rsidRDefault="00804EDB" w:rsidP="00804EDB">
      <w:pPr>
        <w:pStyle w:val="a9"/>
        <w:spacing w:line="360" w:lineRule="auto"/>
        <w:ind w:left="360"/>
        <w:jc w:val="both"/>
        <w:rPr>
          <w:rFonts w:ascii="David" w:hAnsi="David" w:cs="David"/>
          <w:sz w:val="24"/>
          <w:szCs w:val="24"/>
          <w:rtl/>
        </w:rPr>
      </w:pPr>
      <w:r>
        <w:rPr>
          <w:rFonts w:ascii="David" w:hAnsi="David" w:cs="David"/>
          <w:b/>
          <w:bCs/>
          <w:sz w:val="24"/>
          <w:szCs w:val="24"/>
          <w:rtl/>
        </w:rPr>
        <w:t xml:space="preserve">בתסקיר מיום 14.2.22 </w:t>
      </w:r>
      <w:r>
        <w:rPr>
          <w:rFonts w:ascii="David" w:hAnsi="David" w:cs="David"/>
          <w:sz w:val="24"/>
          <w:szCs w:val="24"/>
          <w:rtl/>
        </w:rPr>
        <w:t xml:space="preserve">מסר שירות המבחן כי הנאשם שולב ביחידה להתמכרויות בתל שבע, הגיע לכל הפגישות, וגילה רצון ומוטיבציה בהליך הטיפולי. הגיע ל-6 בדיקות שתן מתוך 11 בדיקות אליהן זומן, ונמצא נקי בכולן. לא נפתחו לחובתו תיקים חדשים. </w:t>
      </w:r>
      <w:r>
        <w:rPr>
          <w:rFonts w:ascii="David" w:hAnsi="David" w:cs="David"/>
          <w:b/>
          <w:bCs/>
          <w:sz w:val="24"/>
          <w:szCs w:val="24"/>
          <w:rtl/>
        </w:rPr>
        <w:t xml:space="preserve"> </w:t>
      </w:r>
      <w:r>
        <w:rPr>
          <w:rFonts w:ascii="David" w:hAnsi="David" w:cs="David"/>
          <w:sz w:val="24"/>
          <w:szCs w:val="24"/>
          <w:rtl/>
        </w:rPr>
        <w:t xml:space="preserve"> </w:t>
      </w:r>
    </w:p>
    <w:p w14:paraId="35B01E6B" w14:textId="77777777" w:rsidR="00804EDB" w:rsidRDefault="00804EDB" w:rsidP="00804EDB">
      <w:pPr>
        <w:pStyle w:val="a9"/>
        <w:spacing w:line="360" w:lineRule="auto"/>
        <w:ind w:left="360"/>
        <w:jc w:val="both"/>
        <w:rPr>
          <w:rFonts w:ascii="David" w:hAnsi="David" w:cs="David"/>
          <w:sz w:val="24"/>
          <w:szCs w:val="24"/>
          <w:rtl/>
        </w:rPr>
      </w:pPr>
    </w:p>
    <w:p w14:paraId="408BB66E" w14:textId="77777777" w:rsidR="00804EDB" w:rsidRDefault="00804EDB" w:rsidP="00804EDB">
      <w:pPr>
        <w:pStyle w:val="a9"/>
        <w:spacing w:line="360" w:lineRule="auto"/>
        <w:ind w:left="360"/>
        <w:jc w:val="both"/>
        <w:rPr>
          <w:rFonts w:ascii="David" w:hAnsi="David" w:cs="David"/>
          <w:sz w:val="24"/>
          <w:szCs w:val="24"/>
          <w:rtl/>
        </w:rPr>
      </w:pPr>
      <w:r>
        <w:rPr>
          <w:rFonts w:ascii="David" w:hAnsi="David" w:cs="David"/>
          <w:b/>
          <w:bCs/>
          <w:sz w:val="24"/>
          <w:szCs w:val="24"/>
          <w:rtl/>
        </w:rPr>
        <w:t xml:space="preserve">בתסקיר מיום 13.7.22 </w:t>
      </w:r>
      <w:r>
        <w:rPr>
          <w:rFonts w:ascii="David" w:hAnsi="David" w:cs="David"/>
          <w:sz w:val="24"/>
          <w:szCs w:val="24"/>
          <w:rtl/>
        </w:rPr>
        <w:t xml:space="preserve">עלה כי נבנתה לנאשם תכנית טיפולית הכוללת שילוב בטיפול קבוצתי במרכז חוסן ומעקב אחר בדיקות שתן. עוד עלה כי עד לאותה העת הגיע לכל הפגישות כנדרש. שירות המבחן ציין כי נפתח לו תיק חדש ועוד ציין כי הנאשם לא הגיע לפגישה אליה זומן בשירות המבחן. </w:t>
      </w:r>
      <w:r>
        <w:rPr>
          <w:rFonts w:ascii="David" w:hAnsi="David" w:cs="David"/>
          <w:b/>
          <w:bCs/>
          <w:sz w:val="24"/>
          <w:szCs w:val="24"/>
          <w:rtl/>
        </w:rPr>
        <w:t xml:space="preserve"> </w:t>
      </w:r>
    </w:p>
    <w:p w14:paraId="4AE25F58" w14:textId="77777777" w:rsidR="00804EDB" w:rsidRDefault="00804EDB" w:rsidP="00804EDB">
      <w:pPr>
        <w:pStyle w:val="a9"/>
        <w:spacing w:line="360" w:lineRule="auto"/>
        <w:ind w:left="360"/>
        <w:jc w:val="both"/>
        <w:rPr>
          <w:rFonts w:ascii="David" w:hAnsi="David" w:cs="David"/>
          <w:sz w:val="24"/>
          <w:szCs w:val="24"/>
          <w:rtl/>
        </w:rPr>
      </w:pPr>
    </w:p>
    <w:p w14:paraId="69709473" w14:textId="77777777" w:rsidR="00804EDB" w:rsidRDefault="00804EDB" w:rsidP="00804EDB">
      <w:pPr>
        <w:pStyle w:val="a9"/>
        <w:spacing w:line="360" w:lineRule="auto"/>
        <w:ind w:left="360"/>
        <w:jc w:val="both"/>
        <w:rPr>
          <w:rFonts w:ascii="David" w:hAnsi="David" w:cs="David"/>
          <w:sz w:val="24"/>
          <w:szCs w:val="24"/>
          <w:rtl/>
        </w:rPr>
      </w:pPr>
      <w:r>
        <w:rPr>
          <w:rFonts w:ascii="David" w:hAnsi="David" w:cs="David"/>
          <w:b/>
          <w:bCs/>
          <w:sz w:val="24"/>
          <w:szCs w:val="24"/>
          <w:rtl/>
        </w:rPr>
        <w:t xml:space="preserve">בתסקיר מיום 9.11.22 </w:t>
      </w:r>
      <w:r>
        <w:rPr>
          <w:rFonts w:ascii="David" w:hAnsi="David" w:cs="David"/>
          <w:sz w:val="24"/>
          <w:szCs w:val="24"/>
          <w:rtl/>
        </w:rPr>
        <w:t xml:space="preserve">עלה כי הנאשם מגיע למפגשי הקבוצה הטיפולית, גם אם מאחר לעיתים, אך משתתף ומתפקד באופן סביר. מוסר בדיקות שתן נקיות מדי שבוע. הנאשם הגיע לפגישה בשירות המבחן ומסר כי נתרם מההליך הטיפולי. לאור האמור, המליץ שירות המבחן על הארכת המאסר המותנה והטלת צו פיקוח במסגרתו ימשיך בטיפול ומעקב בדיקות שתן. כמו כן המליצו על הטלת צו של"צ בן 120 שעות. </w:t>
      </w:r>
    </w:p>
    <w:p w14:paraId="1EFBE5AF" w14:textId="77777777" w:rsidR="00804EDB" w:rsidRDefault="00804EDB" w:rsidP="00804EDB">
      <w:pPr>
        <w:pStyle w:val="a9"/>
        <w:spacing w:line="360" w:lineRule="auto"/>
        <w:jc w:val="both"/>
        <w:rPr>
          <w:rFonts w:ascii="David" w:hAnsi="David" w:cs="David"/>
          <w:sz w:val="24"/>
          <w:szCs w:val="24"/>
          <w:rtl/>
        </w:rPr>
      </w:pPr>
    </w:p>
    <w:p w14:paraId="40A71F40" w14:textId="77777777" w:rsidR="00804EDB" w:rsidRDefault="00804EDB" w:rsidP="00804EDB">
      <w:pPr>
        <w:spacing w:line="360" w:lineRule="auto"/>
        <w:jc w:val="both"/>
        <w:rPr>
          <w:rFonts w:ascii="David" w:hAnsi="David"/>
          <w:bCs/>
          <w:sz w:val="28"/>
          <w:szCs w:val="28"/>
          <w:u w:val="single"/>
          <w:rtl/>
        </w:rPr>
      </w:pPr>
      <w:r>
        <w:rPr>
          <w:rFonts w:ascii="David" w:hAnsi="David"/>
          <w:bCs/>
          <w:sz w:val="28"/>
          <w:szCs w:val="28"/>
          <w:u w:val="single"/>
          <w:rtl/>
        </w:rPr>
        <w:t>טיעוני הצדדים</w:t>
      </w:r>
    </w:p>
    <w:p w14:paraId="6666A853"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ב"כ המאשימה הגישה רישום פלילי (ת/1) ומאסר על תנאי מ</w:t>
      </w:r>
      <w:hyperlink r:id="rId15" w:history="1">
        <w:r w:rsidR="00E03D66" w:rsidRPr="00E03D66">
          <w:rPr>
            <w:rFonts w:ascii="David" w:hAnsi="David" w:cs="David"/>
            <w:color w:val="0000FF"/>
            <w:sz w:val="24"/>
            <w:szCs w:val="24"/>
            <w:u w:val="single"/>
            <w:rtl/>
          </w:rPr>
          <w:t>ת"פ 23433-08-17</w:t>
        </w:r>
      </w:hyperlink>
      <w:r>
        <w:rPr>
          <w:rFonts w:ascii="David" w:hAnsi="David" w:cs="David"/>
          <w:sz w:val="24"/>
          <w:szCs w:val="24"/>
          <w:rtl/>
        </w:rPr>
        <w:t xml:space="preserve"> (ת/2). עמדה על הפגיעה בערכים המוגנים . עתרה למתחם ענישה שבין מאסר על תנאי ועד 8 חודשי מאסר שיכול וירוצו בעבודות שירות. הפנתה לתסקיר ממנו עולה כי לנאשם קשיים לעמוד בגבולות המוצבים לו וכי לא התייצב לבדיקות שתן אליהן זומן. עוד ציינה כי הנאשם שלל נזקקות טיפולית. אשר על כן עתרה לעונש בחלק הבינוני של המתחם ולהפעלת המאסר המותנה במצטבר. </w:t>
      </w:r>
    </w:p>
    <w:p w14:paraId="0B545C56" w14:textId="77777777" w:rsidR="00804EDB" w:rsidRDefault="00804EDB" w:rsidP="00804EDB">
      <w:pPr>
        <w:pStyle w:val="a9"/>
        <w:spacing w:line="360" w:lineRule="auto"/>
        <w:ind w:left="360"/>
        <w:jc w:val="both"/>
        <w:rPr>
          <w:rFonts w:ascii="David" w:hAnsi="David" w:cs="David"/>
          <w:sz w:val="24"/>
          <w:szCs w:val="24"/>
        </w:rPr>
      </w:pPr>
    </w:p>
    <w:p w14:paraId="3E66FD19" w14:textId="77777777" w:rsidR="00804EDB" w:rsidRDefault="00804EDB" w:rsidP="00804EDB">
      <w:pPr>
        <w:pStyle w:val="a9"/>
        <w:numPr>
          <w:ilvl w:val="0"/>
          <w:numId w:val="1"/>
        </w:numPr>
        <w:spacing w:line="360" w:lineRule="auto"/>
        <w:ind w:left="360"/>
        <w:jc w:val="both"/>
        <w:rPr>
          <w:rFonts w:ascii="David" w:hAnsi="David" w:cs="David"/>
          <w:sz w:val="24"/>
          <w:szCs w:val="24"/>
        </w:rPr>
      </w:pPr>
      <w:r>
        <w:rPr>
          <w:rFonts w:ascii="David" w:hAnsi="David" w:cs="David"/>
          <w:sz w:val="24"/>
          <w:szCs w:val="24"/>
          <w:rtl/>
        </w:rPr>
        <w:t>ב"כ הנאשם, הפנה לצורך שתתקיים הלימה בין העבירה לבין העונש הסופי. טען כי המתחם הוא ממאסר על תנאי ועד חודשיים עבודות שירות. הפנה להליך השיקום שהנאשם עבר ולהמלצת שירות המבחן וביקש לאמצה.</w:t>
      </w:r>
    </w:p>
    <w:p w14:paraId="10088838" w14:textId="77777777" w:rsidR="00804EDB" w:rsidRDefault="00804EDB" w:rsidP="00804EDB">
      <w:pPr>
        <w:pStyle w:val="a9"/>
        <w:rPr>
          <w:rFonts w:ascii="David" w:hAnsi="David" w:cs="David"/>
          <w:sz w:val="24"/>
          <w:szCs w:val="24"/>
        </w:rPr>
      </w:pPr>
    </w:p>
    <w:p w14:paraId="325E818B"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lastRenderedPageBreak/>
        <w:t>הנאשם מסר כי אינו משתמש יותר בסמים מזה מספר שנים והוא עובד ומפרנס את משפחתו, מסר שמוכן לבצע 300 שעות של"צ.</w:t>
      </w:r>
    </w:p>
    <w:p w14:paraId="6E9C89FC" w14:textId="77777777" w:rsidR="00804EDB" w:rsidRDefault="00804EDB" w:rsidP="00804EDB">
      <w:pPr>
        <w:spacing w:line="360" w:lineRule="auto"/>
        <w:jc w:val="both"/>
        <w:rPr>
          <w:rFonts w:ascii="David" w:hAnsi="David"/>
          <w:bCs/>
          <w:sz w:val="28"/>
          <w:szCs w:val="28"/>
          <w:u w:val="single"/>
          <w:rtl/>
        </w:rPr>
      </w:pPr>
      <w:r>
        <w:rPr>
          <w:rFonts w:ascii="David" w:hAnsi="David"/>
          <w:bCs/>
          <w:sz w:val="28"/>
          <w:szCs w:val="28"/>
          <w:u w:val="single"/>
          <w:rtl/>
        </w:rPr>
        <w:t xml:space="preserve">קביעת מתחם העונש ההולם </w:t>
      </w:r>
    </w:p>
    <w:p w14:paraId="0666763F"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הערך המוגן בעבירות סמים הינו ההגנה מפני הנזקים הישירים והעקיפים אשר נגרמים לחברה בכללותה עקב השימוש בסמים</w:t>
      </w:r>
      <w:r>
        <w:rPr>
          <w:rFonts w:cs="David"/>
          <w:sz w:val="24"/>
          <w:szCs w:val="24"/>
          <w:rtl/>
        </w:rPr>
        <w:t xml:space="preserve">. שימוש ממושך בסם מסוכן עלול לגרום לפגיעה גופנית ונפשית של המשתמש בו, כזו שתצריך טיפול רפואי שעלותו נופלת על החברה. </w:t>
      </w:r>
      <w:r>
        <w:rPr>
          <w:rFonts w:ascii="David" w:hAnsi="David" w:cs="David"/>
          <w:sz w:val="24"/>
          <w:szCs w:val="24"/>
          <w:rtl/>
        </w:rPr>
        <w:t xml:space="preserve">על הצורך  להילחם בנגע הסמים, עמד בית המשפט העליון לא אחת בפסיקותיו. </w:t>
      </w:r>
    </w:p>
    <w:p w14:paraId="23D2FF5E" w14:textId="77777777" w:rsidR="00804EDB" w:rsidRDefault="00804EDB" w:rsidP="00804EDB">
      <w:pPr>
        <w:pStyle w:val="a9"/>
        <w:spacing w:line="360" w:lineRule="auto"/>
        <w:ind w:left="360"/>
        <w:jc w:val="both"/>
        <w:rPr>
          <w:rFonts w:ascii="David" w:hAnsi="David" w:cs="David"/>
          <w:sz w:val="24"/>
          <w:szCs w:val="24"/>
        </w:rPr>
      </w:pPr>
    </w:p>
    <w:p w14:paraId="709B80A1" w14:textId="77777777" w:rsidR="00804EDB" w:rsidRDefault="00804EDB" w:rsidP="00804EDB">
      <w:pPr>
        <w:pStyle w:val="a9"/>
        <w:numPr>
          <w:ilvl w:val="0"/>
          <w:numId w:val="1"/>
        </w:numPr>
        <w:spacing w:line="360" w:lineRule="auto"/>
        <w:ind w:left="360"/>
        <w:jc w:val="both"/>
        <w:rPr>
          <w:rFonts w:ascii="David" w:hAnsi="David" w:cs="David"/>
          <w:sz w:val="24"/>
          <w:szCs w:val="24"/>
        </w:rPr>
      </w:pPr>
      <w:r>
        <w:rPr>
          <w:rFonts w:ascii="David" w:hAnsi="David" w:cs="David"/>
          <w:b/>
          <w:bCs/>
          <w:sz w:val="24"/>
          <w:szCs w:val="24"/>
          <w:rtl/>
        </w:rPr>
        <w:t>מידת הפגיעה בערך המוגן</w:t>
      </w:r>
      <w:r>
        <w:rPr>
          <w:rFonts w:ascii="David" w:hAnsi="David" w:cs="David"/>
          <w:sz w:val="24"/>
          <w:szCs w:val="24"/>
          <w:rtl/>
        </w:rPr>
        <w:t xml:space="preserve"> בעבירות שביצע הנאשם הינה ברף הנמוך, משום שגם אם מדובר בסם קשה, עדיין מדובר בכמות מזערית שמהווה כעשירית מהכמות הקבועה בחוק ככמות להחזקה עצמית.  </w:t>
      </w:r>
    </w:p>
    <w:p w14:paraId="18A28545" w14:textId="77777777" w:rsidR="00804EDB" w:rsidRDefault="00804EDB" w:rsidP="00804EDB">
      <w:pPr>
        <w:pStyle w:val="a9"/>
        <w:spacing w:line="360" w:lineRule="auto"/>
        <w:ind w:left="360"/>
        <w:jc w:val="both"/>
        <w:rPr>
          <w:rFonts w:ascii="David" w:hAnsi="David" w:cs="David"/>
          <w:sz w:val="24"/>
          <w:szCs w:val="24"/>
        </w:rPr>
      </w:pPr>
    </w:p>
    <w:p w14:paraId="2DDF6762" w14:textId="77777777" w:rsidR="00804EDB" w:rsidRDefault="00804EDB" w:rsidP="00804EDB">
      <w:pPr>
        <w:pStyle w:val="a9"/>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במסגרת בחינת </w:t>
      </w:r>
      <w:r>
        <w:rPr>
          <w:rFonts w:ascii="David" w:hAnsi="David" w:cs="David"/>
          <w:b/>
          <w:bCs/>
          <w:sz w:val="24"/>
          <w:szCs w:val="24"/>
          <w:rtl/>
        </w:rPr>
        <w:t>הנסיבות הקשורות בביצוע העבירה</w:t>
      </w:r>
      <w:r>
        <w:rPr>
          <w:rFonts w:ascii="David" w:hAnsi="David" w:cs="David"/>
          <w:sz w:val="24"/>
          <w:szCs w:val="24"/>
          <w:rtl/>
        </w:rPr>
        <w:t xml:space="preserve">, יש לתת את הדעת לכך שהנאשם נמצא מחזיק סמים לצריכה עצמית, בהזדמנות אחת, במשקל מזערי. משהסם לא הופץ ומשלא הוכח כי היה שימוש בו, הרי שלא נגרם נזק משמעותי מביצוע העבירה. אכן, על בית המשפט לבחון לא רק את הנזק שנגרם אלא אף את הנזק שעלול היה להיגרם. אך גם בבחינת פוטנציאל הנזק, הרי שבשים לב לכמות המזערית, פוטנציאל הנזק נמוך בהתאמה. </w:t>
      </w:r>
    </w:p>
    <w:p w14:paraId="6E8DE0BB" w14:textId="77777777" w:rsidR="00804EDB" w:rsidRDefault="00804EDB" w:rsidP="00804EDB">
      <w:pPr>
        <w:pStyle w:val="a9"/>
        <w:rPr>
          <w:rFonts w:ascii="David" w:hAnsi="David" w:cs="David"/>
          <w:sz w:val="24"/>
          <w:szCs w:val="24"/>
        </w:rPr>
      </w:pPr>
    </w:p>
    <w:p w14:paraId="53F366BC"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בבחינת </w:t>
      </w:r>
      <w:r>
        <w:rPr>
          <w:rFonts w:ascii="David" w:hAnsi="David" w:cs="David"/>
          <w:b/>
          <w:bCs/>
          <w:sz w:val="24"/>
          <w:szCs w:val="24"/>
          <w:rtl/>
        </w:rPr>
        <w:t>מדיניות הענישה</w:t>
      </w:r>
      <w:r>
        <w:rPr>
          <w:rFonts w:ascii="David" w:hAnsi="David" w:cs="David"/>
          <w:sz w:val="24"/>
          <w:szCs w:val="24"/>
          <w:rtl/>
        </w:rPr>
        <w:t xml:space="preserve"> הנוהגת עולה כי כאשר מדובר בהחזקה של סמים קלים תחתית המתחם הינה מאסר על תנאי ואילו כאשר מדובר בסמים קשים, בכמויות גבוהות יותר מזו שבענייננו, תחתית המתחם יכולה להגיע למספר חודשי עבודות השירות. ראו למשל </w:t>
      </w:r>
      <w:r>
        <w:rPr>
          <w:rFonts w:ascii="David" w:hAnsi="David" w:cs="David"/>
          <w:sz w:val="24"/>
          <w:szCs w:val="24"/>
        </w:rPr>
        <w:t xml:space="preserve"> </w:t>
      </w:r>
      <w:r>
        <w:rPr>
          <w:rFonts w:cs="David"/>
          <w:sz w:val="24"/>
          <w:szCs w:val="24"/>
          <w:rtl/>
        </w:rPr>
        <w:t xml:space="preserve">ע"פ </w:t>
      </w:r>
      <w:hyperlink r:id="rId16" w:history="1">
        <w:r w:rsidR="00424615" w:rsidRPr="00424615">
          <w:rPr>
            <w:rFonts w:cs="David"/>
            <w:color w:val="0000FF"/>
            <w:sz w:val="24"/>
            <w:szCs w:val="24"/>
            <w:u w:val="single"/>
            <w:rtl/>
          </w:rPr>
          <w:t xml:space="preserve">1473/18 </w:t>
        </w:r>
      </w:hyperlink>
      <w:r>
        <w:rPr>
          <w:rFonts w:cs="David"/>
          <w:sz w:val="24"/>
          <w:szCs w:val="24"/>
          <w:rtl/>
        </w:rPr>
        <w:t xml:space="preserve"> </w:t>
      </w:r>
      <w:r>
        <w:rPr>
          <w:rFonts w:cs="David"/>
          <w:b/>
          <w:bCs/>
          <w:sz w:val="24"/>
          <w:szCs w:val="24"/>
          <w:rtl/>
        </w:rPr>
        <w:t>אוחיון נ' מדינת ישראל,</w:t>
      </w:r>
      <w:r>
        <w:rPr>
          <w:rFonts w:cs="David"/>
          <w:sz w:val="24"/>
          <w:szCs w:val="24"/>
          <w:rtl/>
        </w:rPr>
        <w:t xml:space="preserve"> שם החזיק הנאשם סם מסוכן מסוג קוקאין במשקל 1.688 ג' וכן יחידת סם קוקאין במשקל 0.4185 ג'. בית משפט השלום הטיל עונש מותנה, ואילו בית המשפט המחוזי קבע מתחם עונש של 6-12 ח' מאסר, אך החליט לחרוג מן המתחם ולהטיל שני חודשי מאסר שירוצו בעבודות שירות, על אף שהנאשם לא עבר הליך טיפול סדור, אלא רק מן הטעם שהנאשם שינה את מקום מגוריו ושינה את אורחות חייו. עוד ראו ת"פ </w:t>
      </w:r>
      <w:hyperlink r:id="rId17" w:history="1">
        <w:r w:rsidR="00424615" w:rsidRPr="00424615">
          <w:rPr>
            <w:rFonts w:cs="David"/>
            <w:color w:val="0000FF"/>
            <w:sz w:val="24"/>
            <w:szCs w:val="24"/>
            <w:u w:val="single"/>
            <w:rtl/>
          </w:rPr>
          <w:t xml:space="preserve">27076-04-3 </w:t>
        </w:r>
      </w:hyperlink>
      <w:r>
        <w:rPr>
          <w:rFonts w:cs="David"/>
          <w:sz w:val="24"/>
          <w:szCs w:val="24"/>
          <w:rtl/>
        </w:rPr>
        <w:t xml:space="preserve"> </w:t>
      </w:r>
      <w:r>
        <w:rPr>
          <w:rFonts w:cs="David"/>
          <w:b/>
          <w:bCs/>
          <w:sz w:val="24"/>
          <w:szCs w:val="24"/>
          <w:rtl/>
        </w:rPr>
        <w:t xml:space="preserve">מדינת ישראל נ' לפיגל </w:t>
      </w:r>
      <w:r>
        <w:rPr>
          <w:rFonts w:cs="David"/>
          <w:sz w:val="24"/>
          <w:szCs w:val="24"/>
          <w:rtl/>
        </w:rPr>
        <w:t xml:space="preserve">שם נקבע מתחם עונש של 5-15 ח' מאסר בעניינו של נאשם שהחזיק 1.25 ג' קוקאין ו-0.844 ג' הרואין.  </w:t>
      </w:r>
    </w:p>
    <w:p w14:paraId="3BB91D6D" w14:textId="77777777" w:rsidR="00804EDB" w:rsidRDefault="00804EDB" w:rsidP="00804EDB">
      <w:pPr>
        <w:pStyle w:val="a9"/>
        <w:spacing w:line="360" w:lineRule="auto"/>
        <w:ind w:left="360"/>
        <w:jc w:val="both"/>
        <w:rPr>
          <w:rFonts w:ascii="David" w:hAnsi="David" w:cs="David"/>
          <w:b/>
          <w:bCs/>
          <w:sz w:val="24"/>
          <w:szCs w:val="24"/>
        </w:rPr>
      </w:pPr>
    </w:p>
    <w:p w14:paraId="47AAC45A" w14:textId="77777777" w:rsidR="00804EDB" w:rsidRDefault="00804EDB" w:rsidP="00804EDB">
      <w:pPr>
        <w:pStyle w:val="a9"/>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באופן רגיל בעבירות החזקת סם מסוג קוקאין תחתית המתחם תהיה עונש מאסר קצר שיכול וירוצה בעבודות שירות. יחד עם זאת, בשים לב לכך שבענייננו מדובר בכמות מזערית, הרבה מעבר לכל המקרים שנמצאו בפסיקה, אני קובע כי באופן חריג בהתאם לנסיבות החריגות של מקרה זה, מתחם העונש ההולם נע בין מאסר מותנה ועד מספר נמוך של חודשי מאסר בפועל שיכול וירוצו בעבודות שירות. </w:t>
      </w:r>
    </w:p>
    <w:p w14:paraId="7D3B7DCB" w14:textId="77777777" w:rsidR="00804EDB" w:rsidRDefault="00804EDB" w:rsidP="00804EDB">
      <w:pPr>
        <w:spacing w:line="360" w:lineRule="auto"/>
        <w:rPr>
          <w:rFonts w:ascii="David" w:hAnsi="David"/>
          <w:bCs/>
          <w:sz w:val="28"/>
          <w:szCs w:val="28"/>
          <w:u w:val="single"/>
        </w:rPr>
      </w:pPr>
      <w:r>
        <w:rPr>
          <w:rFonts w:ascii="David" w:hAnsi="David"/>
          <w:bCs/>
          <w:sz w:val="28"/>
          <w:szCs w:val="28"/>
          <w:u w:val="single"/>
          <w:rtl/>
        </w:rPr>
        <w:t>גזירת העונש המתאים לנאשם</w:t>
      </w:r>
    </w:p>
    <w:p w14:paraId="6E55D16D" w14:textId="77777777" w:rsidR="00804EDB" w:rsidRDefault="00804EDB" w:rsidP="00804EDB">
      <w:pPr>
        <w:spacing w:line="360" w:lineRule="auto"/>
        <w:rPr>
          <w:rFonts w:ascii="David" w:hAnsi="David"/>
          <w:bCs/>
          <w:sz w:val="28"/>
          <w:szCs w:val="28"/>
          <w:u w:val="single"/>
          <w:rtl/>
        </w:rPr>
      </w:pPr>
    </w:p>
    <w:p w14:paraId="6D502606" w14:textId="77777777" w:rsidR="00804EDB" w:rsidRDefault="00804EDB" w:rsidP="00804EDB">
      <w:pPr>
        <w:pStyle w:val="a9"/>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בגזירת העונש המתאים לנאשם, בגדרי מתחם העונש ההולם, יש להתחשב </w:t>
      </w:r>
      <w:r>
        <w:rPr>
          <w:rFonts w:ascii="David" w:hAnsi="David" w:cs="David"/>
          <w:b/>
          <w:bCs/>
          <w:sz w:val="24"/>
          <w:szCs w:val="24"/>
          <w:rtl/>
        </w:rPr>
        <w:t>בנסיבות שאינן קשורות בביצוע העבירה</w:t>
      </w:r>
      <w:r>
        <w:rPr>
          <w:rFonts w:ascii="David" w:hAnsi="David" w:cs="David"/>
          <w:sz w:val="24"/>
          <w:szCs w:val="24"/>
          <w:rtl/>
        </w:rPr>
        <w:t xml:space="preserve">. במסגרת זו מן הראוי לתת את הדעת לכך שמדובר בנאשם שהודה במיוחס לו ונטל אחריות למעשיו. עוד נתתי דעתי לחלוף הזמן מעת ביצוע העבירות לפני למעלה משנתיים וחצי. שקלתי לחיוב את הליך הטיפול שעבר הנאשם, גם אם ידע עליות ומורדות, ואף את המלצתו החיובית של שירות המבחן. מנגד, נתתי דעתי לכך שהנאשם בעל הרשעה פלילית דומה, וריצה העבירה המיוחסת לו בעוד מאסר על תנאי מרחף מעל ראשו.  </w:t>
      </w:r>
    </w:p>
    <w:p w14:paraId="36CFB5E2" w14:textId="77777777" w:rsidR="00804EDB" w:rsidRDefault="00804EDB" w:rsidP="00804EDB">
      <w:pPr>
        <w:pStyle w:val="a9"/>
        <w:spacing w:line="360" w:lineRule="auto"/>
        <w:ind w:left="360"/>
        <w:jc w:val="both"/>
        <w:rPr>
          <w:rFonts w:ascii="David" w:hAnsi="David" w:cs="David"/>
          <w:sz w:val="24"/>
          <w:szCs w:val="24"/>
        </w:rPr>
      </w:pPr>
    </w:p>
    <w:p w14:paraId="598162C3"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באיזון בין השיקולים השונים, וגם אם באופן רגיל, ייתכן והיה ניתן לקבוע את עונשו של הנאשם ברף הבינוני-נמוך של המתחם, הרי שנוכח ההליך הטיפולי שעבר הנאשם, ההמלצה החיובית של שירות המבחן וחלוף הזמן יש לגזור על הנאשם עונש ברף הנמוך של המתחם. </w:t>
      </w:r>
    </w:p>
    <w:p w14:paraId="53B6AD81" w14:textId="77777777" w:rsidR="00804EDB" w:rsidRDefault="00804EDB" w:rsidP="00804EDB">
      <w:pPr>
        <w:pStyle w:val="a9"/>
        <w:rPr>
          <w:rFonts w:ascii="David" w:hAnsi="David" w:cs="David"/>
          <w:sz w:val="24"/>
          <w:szCs w:val="24"/>
        </w:rPr>
      </w:pPr>
    </w:p>
    <w:p w14:paraId="222AFF76" w14:textId="77777777" w:rsidR="00804EDB" w:rsidRDefault="00804EDB" w:rsidP="00804EDB">
      <w:pPr>
        <w:spacing w:line="360" w:lineRule="auto"/>
        <w:jc w:val="both"/>
        <w:rPr>
          <w:rFonts w:ascii="David" w:hAnsi="David"/>
          <w:b/>
          <w:bCs/>
          <w:sz w:val="28"/>
          <w:szCs w:val="28"/>
          <w:u w:val="single"/>
          <w:rtl/>
        </w:rPr>
      </w:pPr>
      <w:r>
        <w:rPr>
          <w:rFonts w:ascii="David" w:hAnsi="David"/>
          <w:b/>
          <w:bCs/>
          <w:sz w:val="28"/>
          <w:szCs w:val="28"/>
          <w:u w:val="single"/>
          <w:rtl/>
        </w:rPr>
        <w:t xml:space="preserve">הפעלת מאסר מותנה </w:t>
      </w:r>
    </w:p>
    <w:p w14:paraId="66972449"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 xml:space="preserve">הכלל הוא שמאסר על תנאי יופעל למעט מקרים חריגים בהם הפעלת התנאי תוביל לתוצאה בלתי צודקת. ראו למשל </w:t>
      </w:r>
      <w:hyperlink r:id="rId18" w:history="1">
        <w:r w:rsidR="00E03D66" w:rsidRPr="00E03D66">
          <w:rPr>
            <w:rFonts w:ascii="David" w:hAnsi="David" w:cs="David"/>
            <w:color w:val="0000FF"/>
            <w:sz w:val="24"/>
            <w:szCs w:val="24"/>
            <w:u w:val="single"/>
            <w:rtl/>
          </w:rPr>
          <w:t>רע"פ 4902/14</w:t>
        </w:r>
      </w:hyperlink>
      <w:r>
        <w:rPr>
          <w:rFonts w:ascii="David" w:hAnsi="David" w:cs="David"/>
          <w:sz w:val="24"/>
          <w:szCs w:val="24"/>
          <w:rtl/>
        </w:rPr>
        <w:t xml:space="preserve"> </w:t>
      </w:r>
      <w:r>
        <w:rPr>
          <w:rFonts w:ascii="David" w:hAnsi="David" w:cs="David"/>
          <w:b/>
          <w:bCs/>
          <w:sz w:val="24"/>
          <w:szCs w:val="24"/>
          <w:rtl/>
        </w:rPr>
        <w:t>בן צבאן נ' מדינת ישראל</w:t>
      </w:r>
      <w:r>
        <w:rPr>
          <w:rFonts w:ascii="David" w:hAnsi="David" w:cs="David"/>
          <w:sz w:val="24"/>
          <w:szCs w:val="24"/>
          <w:rtl/>
        </w:rPr>
        <w:t>.</w:t>
      </w:r>
    </w:p>
    <w:p w14:paraId="4F57FD3A" w14:textId="77777777" w:rsidR="00804EDB" w:rsidRDefault="00804EDB" w:rsidP="00804EDB">
      <w:pPr>
        <w:pStyle w:val="a9"/>
        <w:spacing w:line="360" w:lineRule="auto"/>
        <w:ind w:left="360"/>
        <w:jc w:val="both"/>
        <w:rPr>
          <w:rFonts w:ascii="David" w:hAnsi="David" w:cs="David"/>
          <w:sz w:val="24"/>
          <w:szCs w:val="24"/>
        </w:rPr>
      </w:pPr>
    </w:p>
    <w:p w14:paraId="7D9A8BCF" w14:textId="77777777" w:rsidR="00804EDB" w:rsidRDefault="00804EDB" w:rsidP="00804EDB">
      <w:pPr>
        <w:pStyle w:val="a9"/>
        <w:numPr>
          <w:ilvl w:val="0"/>
          <w:numId w:val="1"/>
        </w:numPr>
        <w:spacing w:line="360" w:lineRule="auto"/>
        <w:ind w:left="360"/>
        <w:jc w:val="both"/>
        <w:rPr>
          <w:rFonts w:ascii="David" w:hAnsi="David" w:cs="David"/>
          <w:sz w:val="24"/>
          <w:szCs w:val="24"/>
        </w:rPr>
      </w:pPr>
      <w:r>
        <w:rPr>
          <w:rFonts w:ascii="David" w:hAnsi="David" w:cs="David"/>
          <w:sz w:val="24"/>
          <w:szCs w:val="24"/>
          <w:rtl/>
        </w:rPr>
        <w:t xml:space="preserve">בענייננו, מצאתי כי יש מקום להאריך את המאסר המותנה וזאת ממספר טעמים: </w:t>
      </w:r>
    </w:p>
    <w:p w14:paraId="2CF27A10" w14:textId="77777777" w:rsidR="00804EDB" w:rsidRDefault="00804EDB" w:rsidP="00804EDB">
      <w:pPr>
        <w:pStyle w:val="a9"/>
        <w:rPr>
          <w:rFonts w:ascii="David" w:hAnsi="David" w:cs="David"/>
          <w:sz w:val="24"/>
          <w:szCs w:val="24"/>
        </w:rPr>
      </w:pPr>
    </w:p>
    <w:p w14:paraId="6D418702" w14:textId="77777777" w:rsidR="00804EDB" w:rsidRDefault="00804EDB" w:rsidP="00804EDB">
      <w:pPr>
        <w:spacing w:line="360" w:lineRule="auto"/>
        <w:ind w:left="360"/>
        <w:jc w:val="both"/>
        <w:rPr>
          <w:rFonts w:ascii="David" w:hAnsi="David"/>
          <w:rtl/>
        </w:rPr>
      </w:pPr>
      <w:r>
        <w:rPr>
          <w:rFonts w:ascii="David" w:hAnsi="David"/>
          <w:rtl/>
        </w:rPr>
        <w:t xml:space="preserve">ראשית, הנאשם עבר הליך טיפולי ממושך בשירות המבחן ביחידה להתמכרויות בתל שבע ובמרכז חוסן בבאר שבע. ההליך הטיפול ידע עליות ומורדות, אך בסופו של יום הנאשם התמיד, שיתף פעולה ונמצא נקי מסמים, מזה זמן רב. </w:t>
      </w:r>
    </w:p>
    <w:p w14:paraId="05E557B5" w14:textId="77777777" w:rsidR="00804EDB" w:rsidRDefault="00804EDB" w:rsidP="00804EDB">
      <w:pPr>
        <w:spacing w:line="360" w:lineRule="auto"/>
        <w:ind w:left="360"/>
        <w:jc w:val="both"/>
        <w:rPr>
          <w:rFonts w:ascii="David" w:hAnsi="David"/>
        </w:rPr>
      </w:pPr>
      <w:r>
        <w:rPr>
          <w:rFonts w:ascii="David" w:hAnsi="David"/>
          <w:rtl/>
        </w:rPr>
        <w:t xml:space="preserve">שנית,  כאשר מדובר בהארכת מאסר על תנאי בעבירות סמים, מצא המחוקק להעניק שיקול דעת נרחב במיוחד לבית המשפט להאריך מאסר על תנאי, שכבר הוארך, כאמור </w:t>
      </w:r>
      <w:hyperlink r:id="rId19" w:history="1">
        <w:r w:rsidR="007F1CBB" w:rsidRPr="007F1CBB">
          <w:rPr>
            <w:rStyle w:val="Hyperlink"/>
            <w:rFonts w:ascii="David" w:hAnsi="David"/>
            <w:rtl/>
          </w:rPr>
          <w:t>בסעיף 85</w:t>
        </w:r>
      </w:hyperlink>
      <w:r>
        <w:rPr>
          <w:rFonts w:ascii="David" w:hAnsi="David"/>
          <w:rtl/>
        </w:rPr>
        <w:t xml:space="preserve"> ל</w:t>
      </w:r>
      <w:hyperlink r:id="rId20" w:history="1">
        <w:r w:rsidR="00E03D66" w:rsidRPr="00E03D66">
          <w:rPr>
            <w:rFonts w:ascii="David" w:hAnsi="David"/>
            <w:color w:val="0000FF"/>
            <w:u w:val="single"/>
            <w:rtl/>
          </w:rPr>
          <w:t>חוק העונשין</w:t>
        </w:r>
      </w:hyperlink>
      <w:r>
        <w:rPr>
          <w:rFonts w:ascii="David" w:hAnsi="David"/>
          <w:rtl/>
        </w:rPr>
        <w:t xml:space="preserve">. ללמדנו, שהמחוקק העניק חשיבות מיוחדת לשיקום מכורים לסמים, ובהתאם לכך צייד את בית המשפט בסמכויות נרחבות יותר, ביחס לענישתם של משתמשים בסמים שהשתקמו. בענייננו, לא מדובר בהארכה שניה, של מאסר על תנאי </w:t>
      </w:r>
      <w:r>
        <w:rPr>
          <w:rFonts w:ascii="David" w:hAnsi="David"/>
          <w:b/>
          <w:bCs/>
          <w:rtl/>
        </w:rPr>
        <w:t>חב</w:t>
      </w:r>
      <w:r>
        <w:rPr>
          <w:rFonts w:ascii="David" w:hAnsi="David"/>
          <w:rtl/>
        </w:rPr>
        <w:t xml:space="preserve"> הפעלה, אלא בהארכה ראשונה של מאסר </w:t>
      </w:r>
      <w:r>
        <w:rPr>
          <w:rFonts w:ascii="David" w:hAnsi="David"/>
          <w:b/>
          <w:bCs/>
          <w:rtl/>
        </w:rPr>
        <w:t>בר</w:t>
      </w:r>
      <w:r>
        <w:rPr>
          <w:rFonts w:ascii="David" w:hAnsi="David"/>
          <w:rtl/>
        </w:rPr>
        <w:t xml:space="preserve"> הפעלה. העובדה שמדובר בהארכה ראשונה של מאסר על תנאי בעבירות סמים, של משתמש בסמים שהשתקם, בנסיבות בהן מדובר בעבירת החזקת סמים לצריכה עצמית בכמות מזערית, מובילה למסקנה כי יש לגלות נכונות יתר להאריך את התנאי.</w:t>
      </w:r>
    </w:p>
    <w:p w14:paraId="4A627785" w14:textId="77777777" w:rsidR="00804EDB" w:rsidRDefault="00804EDB" w:rsidP="00804EDB">
      <w:pPr>
        <w:pStyle w:val="a9"/>
        <w:spacing w:line="360" w:lineRule="auto"/>
        <w:jc w:val="both"/>
        <w:rPr>
          <w:rFonts w:ascii="David" w:hAnsi="David" w:cs="David"/>
          <w:sz w:val="24"/>
          <w:szCs w:val="24"/>
        </w:rPr>
      </w:pPr>
    </w:p>
    <w:p w14:paraId="3E900F12" w14:textId="77777777" w:rsidR="00804EDB" w:rsidRDefault="00804EDB" w:rsidP="00804EDB">
      <w:pPr>
        <w:spacing w:line="360" w:lineRule="auto"/>
        <w:ind w:left="360"/>
        <w:jc w:val="both"/>
        <w:rPr>
          <w:rFonts w:ascii="David" w:hAnsi="David"/>
        </w:rPr>
      </w:pPr>
      <w:r>
        <w:rPr>
          <w:rFonts w:ascii="David" w:hAnsi="David"/>
          <w:rtl/>
        </w:rPr>
        <w:t>שלישית, קיימת בפני המלצה חיובית של שירות המבחן שאינה משתמעת לשתי פנים. וגם אם איני מחויב לקבלה, לא מצאתי טעם טוב שלא לקבלה.</w:t>
      </w:r>
    </w:p>
    <w:p w14:paraId="379EF2A4" w14:textId="77777777" w:rsidR="00804EDB" w:rsidRDefault="00804EDB" w:rsidP="00804EDB">
      <w:pPr>
        <w:spacing w:line="360" w:lineRule="auto"/>
        <w:ind w:left="360"/>
        <w:jc w:val="both"/>
        <w:rPr>
          <w:rFonts w:ascii="David" w:hAnsi="David"/>
        </w:rPr>
      </w:pPr>
      <w:r>
        <w:rPr>
          <w:rFonts w:ascii="David" w:hAnsi="David"/>
          <w:rtl/>
        </w:rPr>
        <w:t>רביעית, התוצאה העונשית לפיה הנאשם ירצה 6 חודשי מאסר בעבודות שירות בגין החזקת כמות מזערית של סם, הינה תוצאה שלא מתיישבת עם עקרון ההלימה – עקרון הענישה המנחה. אכן, אורך תקופת התנאי שיש להפעיל נוכח ביצוע העבירה הנוספת, כשלעצמו אינו שיקול מכריע לאי הארכת תקופת התנאי, כאמור ב</w:t>
      </w:r>
      <w:hyperlink r:id="rId21" w:history="1">
        <w:r w:rsidR="00E03D66" w:rsidRPr="00E03D66">
          <w:rPr>
            <w:rFonts w:ascii="David" w:hAnsi="David"/>
            <w:color w:val="0000FF"/>
            <w:u w:val="single"/>
            <w:rtl/>
          </w:rPr>
          <w:t>רע"פ 7391/08</w:t>
        </w:r>
      </w:hyperlink>
      <w:r>
        <w:rPr>
          <w:rFonts w:ascii="David" w:hAnsi="David"/>
          <w:rtl/>
        </w:rPr>
        <w:t xml:space="preserve"> </w:t>
      </w:r>
      <w:r>
        <w:rPr>
          <w:rFonts w:ascii="David" w:hAnsi="David" w:hint="cs"/>
          <w:b/>
          <w:bCs/>
          <w:rtl/>
        </w:rPr>
        <w:t xml:space="preserve">מחאג'נה נ' מדינת ישראל. </w:t>
      </w:r>
      <w:r>
        <w:rPr>
          <w:rFonts w:ascii="David" w:hAnsi="David" w:hint="cs"/>
          <w:rtl/>
        </w:rPr>
        <w:t xml:space="preserve">אך וודאי מדובר בשיקול, שיכול ויתווסף לשיקולים אחרים, כפי שיש בענייננו. </w:t>
      </w:r>
      <w:r>
        <w:rPr>
          <w:rFonts w:ascii="David" w:hAnsi="David"/>
        </w:rPr>
        <w:t xml:space="preserve"> </w:t>
      </w:r>
      <w:r>
        <w:rPr>
          <w:rFonts w:ascii="David" w:hAnsi="David"/>
          <w:rtl/>
        </w:rPr>
        <w:t xml:space="preserve">  </w:t>
      </w:r>
    </w:p>
    <w:p w14:paraId="67CF53E5" w14:textId="77777777" w:rsidR="00804EDB" w:rsidRDefault="00804EDB" w:rsidP="00804EDB">
      <w:pPr>
        <w:spacing w:line="360" w:lineRule="auto"/>
        <w:ind w:left="360"/>
        <w:jc w:val="both"/>
        <w:rPr>
          <w:rFonts w:ascii="David" w:hAnsi="David"/>
        </w:rPr>
      </w:pPr>
      <w:r>
        <w:rPr>
          <w:rFonts w:ascii="David" w:hAnsi="David"/>
          <w:rtl/>
        </w:rPr>
        <w:t>חמישית, משום שגזר הדין ילווה בצו מבחן למשך שנה, הרי שככל שהנאשם ישוב ויבצע עבירות יהיה ניתן להפעיל את המאסר על תנאי במסגרת הפקעת צו השל"צ.</w:t>
      </w:r>
    </w:p>
    <w:p w14:paraId="17D25BA0" w14:textId="77777777" w:rsidR="00804EDB" w:rsidRDefault="00804EDB" w:rsidP="00804EDB">
      <w:pPr>
        <w:pStyle w:val="a9"/>
        <w:rPr>
          <w:rFonts w:ascii="David" w:hAnsi="David" w:cs="David"/>
          <w:sz w:val="24"/>
          <w:szCs w:val="24"/>
        </w:rPr>
      </w:pPr>
    </w:p>
    <w:p w14:paraId="7C11BE05"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נוכח כל האמור לעיל, הפעלת המאסר על תנאי תוביל לתוצאה בלתי צודקת ועל כן אני מורה על הארכתו.</w:t>
      </w:r>
    </w:p>
    <w:p w14:paraId="4FB3CF29" w14:textId="77777777" w:rsidR="00804EDB" w:rsidRDefault="00804EDB" w:rsidP="00804EDB">
      <w:pPr>
        <w:pStyle w:val="a9"/>
        <w:rPr>
          <w:rFonts w:ascii="David" w:hAnsi="David" w:cs="David"/>
          <w:b/>
          <w:bCs/>
          <w:sz w:val="32"/>
          <w:szCs w:val="32"/>
          <w:rtl/>
        </w:rPr>
      </w:pPr>
    </w:p>
    <w:p w14:paraId="401F2FC9" w14:textId="77777777" w:rsidR="00804EDB" w:rsidRDefault="00804EDB" w:rsidP="00804EDB">
      <w:pPr>
        <w:spacing w:line="360" w:lineRule="auto"/>
        <w:jc w:val="both"/>
        <w:rPr>
          <w:rFonts w:ascii="David" w:hAnsi="David"/>
          <w:b/>
          <w:bCs/>
          <w:sz w:val="32"/>
          <w:szCs w:val="32"/>
          <w:rtl/>
        </w:rPr>
      </w:pPr>
      <w:r>
        <w:rPr>
          <w:rFonts w:ascii="David" w:hAnsi="David"/>
          <w:b/>
          <w:bCs/>
          <w:sz w:val="32"/>
          <w:szCs w:val="32"/>
          <w:rtl/>
        </w:rPr>
        <w:t>סוף דבר</w:t>
      </w:r>
    </w:p>
    <w:p w14:paraId="07790E56" w14:textId="77777777" w:rsidR="00804EDB" w:rsidRDefault="00804EDB" w:rsidP="00804EDB">
      <w:pPr>
        <w:pStyle w:val="a9"/>
        <w:numPr>
          <w:ilvl w:val="0"/>
          <w:numId w:val="1"/>
        </w:numPr>
        <w:spacing w:line="360" w:lineRule="auto"/>
        <w:ind w:left="360"/>
        <w:jc w:val="both"/>
        <w:rPr>
          <w:rFonts w:ascii="David" w:hAnsi="David" w:cs="David"/>
          <w:sz w:val="24"/>
          <w:szCs w:val="24"/>
          <w:rtl/>
        </w:rPr>
      </w:pPr>
      <w:r>
        <w:rPr>
          <w:rFonts w:ascii="David" w:hAnsi="David" w:cs="David"/>
          <w:sz w:val="24"/>
          <w:szCs w:val="24"/>
          <w:rtl/>
        </w:rPr>
        <w:t>אשר על-כן, הריני גוזר על הנאשם את העונשים הבאים:</w:t>
      </w:r>
    </w:p>
    <w:p w14:paraId="4A27A453" w14:textId="77777777" w:rsidR="00804EDB" w:rsidRDefault="00804EDB" w:rsidP="00804EDB">
      <w:pPr>
        <w:pStyle w:val="a9"/>
        <w:spacing w:line="360" w:lineRule="auto"/>
        <w:ind w:left="360"/>
        <w:jc w:val="both"/>
        <w:rPr>
          <w:rFonts w:ascii="David" w:hAnsi="David" w:cs="David"/>
          <w:sz w:val="24"/>
          <w:szCs w:val="24"/>
        </w:rPr>
      </w:pPr>
    </w:p>
    <w:p w14:paraId="6DD7EEFF" w14:textId="77777777" w:rsidR="00804EDB" w:rsidRDefault="00804EDB" w:rsidP="00804EDB">
      <w:pPr>
        <w:pStyle w:val="a9"/>
        <w:numPr>
          <w:ilvl w:val="0"/>
          <w:numId w:val="2"/>
        </w:numPr>
        <w:spacing w:line="360" w:lineRule="auto"/>
        <w:ind w:left="720"/>
        <w:jc w:val="both"/>
        <w:rPr>
          <w:rFonts w:ascii="David" w:hAnsi="David" w:cs="David"/>
          <w:sz w:val="24"/>
          <w:szCs w:val="24"/>
        </w:rPr>
      </w:pPr>
      <w:r>
        <w:rPr>
          <w:rFonts w:ascii="David" w:hAnsi="David" w:cs="David"/>
          <w:sz w:val="24"/>
          <w:szCs w:val="24"/>
          <w:rtl/>
        </w:rPr>
        <w:t xml:space="preserve">300 שעות של"צ שיבוצעו בהתאם לתכנית שיכין שירות המבחן בתוך 30 יום. </w:t>
      </w:r>
    </w:p>
    <w:p w14:paraId="0FF8AD97" w14:textId="77777777" w:rsidR="00804EDB" w:rsidRDefault="00804EDB" w:rsidP="00804EDB">
      <w:pPr>
        <w:pStyle w:val="a9"/>
        <w:spacing w:line="360" w:lineRule="auto"/>
        <w:jc w:val="both"/>
        <w:rPr>
          <w:rFonts w:ascii="David" w:hAnsi="David" w:cs="David"/>
          <w:sz w:val="24"/>
          <w:szCs w:val="24"/>
        </w:rPr>
      </w:pPr>
    </w:p>
    <w:p w14:paraId="5228448F" w14:textId="77777777" w:rsidR="00804EDB" w:rsidRDefault="00804EDB" w:rsidP="00804EDB">
      <w:pPr>
        <w:pStyle w:val="a9"/>
        <w:numPr>
          <w:ilvl w:val="0"/>
          <w:numId w:val="2"/>
        </w:numPr>
        <w:spacing w:line="360" w:lineRule="auto"/>
        <w:ind w:left="720"/>
        <w:jc w:val="both"/>
        <w:rPr>
          <w:rFonts w:ascii="David" w:hAnsi="David" w:cs="David"/>
          <w:sz w:val="24"/>
          <w:szCs w:val="24"/>
        </w:rPr>
      </w:pPr>
      <w:r>
        <w:rPr>
          <w:rFonts w:ascii="David" w:hAnsi="David" w:cs="David"/>
          <w:sz w:val="24"/>
          <w:szCs w:val="24"/>
          <w:rtl/>
        </w:rPr>
        <w:t xml:space="preserve">הנאשם מוזהר, כי עליו לנהוג בהתאם לכללים ולתנאים שיקבע שירות המבחן, אחרת יופקע צו המבחן ואגזור את עונשו מחדש.  </w:t>
      </w:r>
    </w:p>
    <w:p w14:paraId="6DDAFF75" w14:textId="77777777" w:rsidR="00804EDB" w:rsidRDefault="00804EDB" w:rsidP="00804EDB">
      <w:pPr>
        <w:pStyle w:val="a9"/>
        <w:rPr>
          <w:rFonts w:ascii="David" w:hAnsi="David" w:cs="David"/>
          <w:sz w:val="24"/>
          <w:szCs w:val="24"/>
        </w:rPr>
      </w:pPr>
    </w:p>
    <w:p w14:paraId="05871FB9" w14:textId="77777777" w:rsidR="00804EDB" w:rsidRDefault="00804EDB" w:rsidP="00804EDB">
      <w:pPr>
        <w:pStyle w:val="a9"/>
        <w:numPr>
          <w:ilvl w:val="0"/>
          <w:numId w:val="2"/>
        </w:numPr>
        <w:spacing w:line="360" w:lineRule="auto"/>
        <w:ind w:left="720"/>
        <w:jc w:val="both"/>
        <w:rPr>
          <w:rFonts w:ascii="David" w:hAnsi="David" w:cs="David"/>
          <w:sz w:val="24"/>
          <w:szCs w:val="24"/>
          <w:rtl/>
        </w:rPr>
      </w:pPr>
      <w:r>
        <w:rPr>
          <w:rFonts w:ascii="David" w:hAnsi="David" w:cs="David"/>
          <w:sz w:val="24"/>
          <w:szCs w:val="24"/>
          <w:rtl/>
        </w:rPr>
        <w:t>אני מאריך את המאסר על תנאי מ</w:t>
      </w:r>
      <w:hyperlink r:id="rId22" w:history="1">
        <w:r w:rsidR="00E03D66" w:rsidRPr="00E03D66">
          <w:rPr>
            <w:rFonts w:ascii="David" w:hAnsi="David" w:cs="David"/>
            <w:color w:val="0000FF"/>
            <w:sz w:val="24"/>
            <w:szCs w:val="24"/>
            <w:u w:val="single"/>
            <w:rtl/>
          </w:rPr>
          <w:t>ת"פ (שלום באר שבע) 23433-08-17</w:t>
        </w:r>
      </w:hyperlink>
      <w:r>
        <w:rPr>
          <w:rFonts w:ascii="David" w:hAnsi="David" w:cs="David"/>
          <w:sz w:val="24"/>
          <w:szCs w:val="24"/>
          <w:rtl/>
        </w:rPr>
        <w:t xml:space="preserve"> מיום 21.11.17 מאסר בן 6 חודשים למשך שנתיים נוספות מהיום. </w:t>
      </w:r>
    </w:p>
    <w:p w14:paraId="2BD8A532" w14:textId="77777777" w:rsidR="00804EDB" w:rsidRDefault="00804EDB" w:rsidP="00804EDB">
      <w:pPr>
        <w:pStyle w:val="a9"/>
        <w:ind w:left="0"/>
        <w:rPr>
          <w:rFonts w:ascii="David" w:hAnsi="David" w:cs="David"/>
          <w:sz w:val="24"/>
          <w:szCs w:val="24"/>
        </w:rPr>
      </w:pPr>
    </w:p>
    <w:p w14:paraId="3146305A" w14:textId="77777777" w:rsidR="00804EDB" w:rsidRDefault="00804EDB" w:rsidP="00804EDB">
      <w:pPr>
        <w:pStyle w:val="a9"/>
        <w:numPr>
          <w:ilvl w:val="0"/>
          <w:numId w:val="2"/>
        </w:numPr>
        <w:spacing w:line="360" w:lineRule="auto"/>
        <w:ind w:left="720"/>
        <w:jc w:val="both"/>
        <w:rPr>
          <w:rFonts w:ascii="David" w:hAnsi="David" w:cs="David"/>
          <w:sz w:val="24"/>
          <w:szCs w:val="24"/>
          <w:rtl/>
        </w:rPr>
      </w:pPr>
      <w:r>
        <w:rPr>
          <w:rFonts w:ascii="David" w:hAnsi="David" w:cs="David"/>
          <w:sz w:val="24"/>
          <w:szCs w:val="24"/>
          <w:rtl/>
        </w:rPr>
        <w:t>קנס בסך 1,000 ₪, או 5 ימי מאסר תחתם, אשר ישולם עד ליום 1.4.23 .</w:t>
      </w:r>
    </w:p>
    <w:p w14:paraId="6CB9C795" w14:textId="77777777" w:rsidR="00804EDB" w:rsidRDefault="00804EDB" w:rsidP="00804EDB">
      <w:pPr>
        <w:pStyle w:val="a9"/>
        <w:spacing w:line="360" w:lineRule="auto"/>
        <w:ind w:left="0"/>
        <w:jc w:val="both"/>
        <w:rPr>
          <w:rFonts w:ascii="David" w:hAnsi="David" w:cs="David"/>
          <w:sz w:val="24"/>
          <w:szCs w:val="24"/>
        </w:rPr>
      </w:pPr>
    </w:p>
    <w:p w14:paraId="2E2A85A2" w14:textId="77777777" w:rsidR="00804EDB" w:rsidRDefault="00804EDB" w:rsidP="00804EDB">
      <w:pPr>
        <w:pStyle w:val="a9"/>
        <w:numPr>
          <w:ilvl w:val="0"/>
          <w:numId w:val="2"/>
        </w:numPr>
        <w:spacing w:line="360" w:lineRule="auto"/>
        <w:ind w:left="720"/>
        <w:jc w:val="both"/>
        <w:rPr>
          <w:rFonts w:ascii="David" w:hAnsi="David" w:cs="David"/>
          <w:sz w:val="24"/>
          <w:szCs w:val="24"/>
        </w:rPr>
      </w:pPr>
      <w:r>
        <w:rPr>
          <w:rFonts w:ascii="David" w:hAnsi="David" w:cs="David"/>
          <w:sz w:val="24"/>
          <w:szCs w:val="24"/>
          <w:rtl/>
        </w:rPr>
        <w:t xml:space="preserve">אני פוסל את הנאשם, מלהחזיק או לקבל רישיון נהיגה, פסילה על תנאי בת 6 חודשים, והתנאי שלא יעבור בתוך 3 שנים מהיום כל עבירה בה הורשע. </w:t>
      </w:r>
    </w:p>
    <w:p w14:paraId="30555DE9" w14:textId="77777777" w:rsidR="00804EDB" w:rsidRDefault="00804EDB" w:rsidP="00804EDB">
      <w:pPr>
        <w:pStyle w:val="a9"/>
        <w:rPr>
          <w:rFonts w:ascii="David" w:hAnsi="David" w:cs="David"/>
          <w:sz w:val="24"/>
          <w:szCs w:val="24"/>
        </w:rPr>
      </w:pPr>
    </w:p>
    <w:p w14:paraId="5600871D" w14:textId="77777777" w:rsidR="00804EDB" w:rsidRDefault="00E03D66" w:rsidP="00804EDB">
      <w:pPr>
        <w:spacing w:line="360" w:lineRule="auto"/>
        <w:jc w:val="both"/>
        <w:rPr>
          <w:rFonts w:ascii="David" w:hAnsi="David"/>
          <w:rtl/>
        </w:rPr>
      </w:pPr>
      <w:r w:rsidRPr="00E03D66">
        <w:rPr>
          <w:rFonts w:ascii="David" w:hAnsi="David"/>
          <w:color w:val="FFFFFF"/>
          <w:sz w:val="2"/>
          <w:szCs w:val="2"/>
          <w:rtl/>
        </w:rPr>
        <w:t>5129371</w:t>
      </w:r>
      <w:r w:rsidR="00804EDB">
        <w:rPr>
          <w:rFonts w:ascii="David" w:hAnsi="David"/>
          <w:rtl/>
        </w:rPr>
        <w:t xml:space="preserve">הסמים, יושמדו. </w:t>
      </w:r>
    </w:p>
    <w:p w14:paraId="6D4C4AB5" w14:textId="77777777" w:rsidR="00804EDB" w:rsidRPr="00804EDB" w:rsidRDefault="00E03D66" w:rsidP="00804EDB">
      <w:pPr>
        <w:spacing w:line="360" w:lineRule="auto"/>
        <w:jc w:val="both"/>
        <w:rPr>
          <w:rFonts w:ascii="Calibri" w:hAnsi="Calibri" w:cs="Arial"/>
          <w:sz w:val="22"/>
          <w:szCs w:val="22"/>
          <w:rtl/>
        </w:rPr>
      </w:pPr>
      <w:r w:rsidRPr="00E03D66">
        <w:rPr>
          <w:rFonts w:ascii="David" w:hAnsi="David"/>
          <w:color w:val="FFFFFF"/>
          <w:sz w:val="2"/>
          <w:szCs w:val="2"/>
          <w:rtl/>
        </w:rPr>
        <w:t>54678313</w:t>
      </w:r>
      <w:r w:rsidR="00804EDB">
        <w:rPr>
          <w:rFonts w:ascii="David" w:hAnsi="David"/>
          <w:rtl/>
        </w:rPr>
        <w:t xml:space="preserve">הודעה זכות ערעור לבית-המשפט המחוזי תוך 45 ימים. </w:t>
      </w:r>
    </w:p>
    <w:p w14:paraId="22DB0687" w14:textId="77777777" w:rsidR="00804EDB" w:rsidRPr="000F2247" w:rsidRDefault="00804EDB" w:rsidP="00804EDB">
      <w:pPr>
        <w:rPr>
          <w:rFonts w:ascii="Arial" w:hAnsi="Arial"/>
          <w:b/>
          <w:bCs/>
          <w:sz w:val="26"/>
          <w:szCs w:val="26"/>
          <w:rtl/>
        </w:rPr>
      </w:pPr>
    </w:p>
    <w:p w14:paraId="47963DC9" w14:textId="77777777" w:rsidR="00804EDB" w:rsidRPr="000F2247" w:rsidRDefault="00E03D66" w:rsidP="00804EDB">
      <w:pPr>
        <w:rPr>
          <w:rFonts w:ascii="Arial" w:hAnsi="Arial"/>
          <w:b/>
          <w:bCs/>
          <w:sz w:val="26"/>
          <w:szCs w:val="26"/>
          <w:rtl/>
        </w:rPr>
      </w:pPr>
      <w:bookmarkStart w:id="8" w:name="Nitan"/>
      <w:r>
        <w:rPr>
          <w:rFonts w:ascii="Arial" w:hAnsi="Arial"/>
          <w:b/>
          <w:bCs/>
          <w:sz w:val="26"/>
          <w:szCs w:val="26"/>
          <w:rtl/>
        </w:rPr>
        <w:t xml:space="preserve">ניתן היום,  ו' אדר תשפ"ג, 27 פברואר 2023, במעמד הצדדים. </w:t>
      </w:r>
      <w:bookmarkEnd w:id="8"/>
    </w:p>
    <w:p w14:paraId="69CD3291" w14:textId="77777777" w:rsidR="00804EDB" w:rsidRPr="000F2247" w:rsidRDefault="00804EDB" w:rsidP="00E03D6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019C9C2" w14:textId="77777777" w:rsidR="00804EDB" w:rsidRPr="007F1CBB" w:rsidRDefault="007F1CBB" w:rsidP="00804EDB">
      <w:pPr>
        <w:jc w:val="center"/>
        <w:rPr>
          <w:rFonts w:ascii="Arial" w:hAnsi="Arial"/>
          <w:b/>
          <w:bCs/>
          <w:color w:val="FFFFFF"/>
          <w:sz w:val="2"/>
          <w:szCs w:val="2"/>
          <w:rtl/>
        </w:rPr>
      </w:pPr>
      <w:r w:rsidRPr="007F1CBB">
        <w:rPr>
          <w:rFonts w:ascii="Arial" w:hAnsi="Arial"/>
          <w:b/>
          <w:bCs/>
          <w:color w:val="FFFFFF"/>
          <w:sz w:val="2"/>
          <w:szCs w:val="2"/>
          <w:rtl/>
        </w:rPr>
        <w:t>5129371</w:t>
      </w:r>
    </w:p>
    <w:p w14:paraId="785DCC39" w14:textId="77777777" w:rsidR="00F21898" w:rsidRPr="007F1CBB" w:rsidRDefault="007F1CBB" w:rsidP="00E03D66">
      <w:pPr>
        <w:keepNext/>
        <w:rPr>
          <w:rFonts w:ascii="David" w:hAnsi="David"/>
          <w:color w:val="FFFFFF"/>
          <w:sz w:val="2"/>
          <w:szCs w:val="2"/>
          <w:rtl/>
        </w:rPr>
      </w:pPr>
      <w:r w:rsidRPr="007F1CBB">
        <w:rPr>
          <w:rFonts w:ascii="David" w:hAnsi="David"/>
          <w:color w:val="FFFFFF"/>
          <w:sz w:val="2"/>
          <w:szCs w:val="2"/>
          <w:rtl/>
        </w:rPr>
        <w:t>54678313</w:t>
      </w:r>
    </w:p>
    <w:p w14:paraId="4170A21E" w14:textId="77777777" w:rsidR="00E03D66" w:rsidRDefault="00E03D66" w:rsidP="00E03D66">
      <w:pPr>
        <w:rPr>
          <w:rtl/>
        </w:rPr>
      </w:pPr>
    </w:p>
    <w:p w14:paraId="1908204F" w14:textId="77777777" w:rsidR="00E03D66" w:rsidRDefault="00E03D66" w:rsidP="00E03D66">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67CC2E25" w14:textId="77777777" w:rsidR="007F1CBB" w:rsidRPr="007F1CBB" w:rsidRDefault="007F1CBB" w:rsidP="007F1CBB">
      <w:pPr>
        <w:keepNext/>
        <w:rPr>
          <w:rFonts w:ascii="David" w:hAnsi="David"/>
          <w:color w:val="000000"/>
          <w:sz w:val="22"/>
          <w:szCs w:val="22"/>
          <w:rtl/>
        </w:rPr>
      </w:pPr>
    </w:p>
    <w:p w14:paraId="1F132B2B" w14:textId="77777777" w:rsidR="007F1CBB" w:rsidRPr="007F1CBB" w:rsidRDefault="007F1CBB" w:rsidP="007F1CBB">
      <w:pPr>
        <w:keepNext/>
        <w:rPr>
          <w:rFonts w:ascii="David" w:hAnsi="David"/>
          <w:color w:val="000000"/>
          <w:sz w:val="22"/>
          <w:szCs w:val="22"/>
          <w:rtl/>
        </w:rPr>
      </w:pPr>
      <w:r w:rsidRPr="007F1CBB">
        <w:rPr>
          <w:rFonts w:ascii="David" w:hAnsi="David"/>
          <w:color w:val="000000"/>
          <w:sz w:val="22"/>
          <w:szCs w:val="22"/>
          <w:rtl/>
        </w:rPr>
        <w:t>יניב בן הרוש 54678313-/</w:t>
      </w:r>
    </w:p>
    <w:p w14:paraId="3D6BCF69" w14:textId="77777777" w:rsidR="00E03D66" w:rsidRPr="00E03D66" w:rsidRDefault="007F1CBB" w:rsidP="007F1CBB">
      <w:pPr>
        <w:rPr>
          <w:color w:val="0000FF"/>
          <w:u w:val="single"/>
        </w:rPr>
      </w:pPr>
      <w:r w:rsidRPr="007F1CBB">
        <w:rPr>
          <w:color w:val="000000"/>
          <w:u w:val="single"/>
          <w:rtl/>
        </w:rPr>
        <w:t>נוסח מסמך זה כפוף לשינויי ניסוח ועריכה</w:t>
      </w:r>
    </w:p>
    <w:sectPr w:rsidR="00E03D66" w:rsidRPr="00E03D66" w:rsidSect="007F1CB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11FD9" w14:textId="77777777" w:rsidR="00016120" w:rsidRDefault="00016120" w:rsidP="00962509">
      <w:r>
        <w:separator/>
      </w:r>
    </w:p>
  </w:endnote>
  <w:endnote w:type="continuationSeparator" w:id="0">
    <w:p w14:paraId="06F64D16" w14:textId="77777777" w:rsidR="00016120" w:rsidRDefault="00016120" w:rsidP="0096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88DBD" w14:textId="77777777" w:rsidR="007F1CBB" w:rsidRDefault="007F1CBB" w:rsidP="007F1C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828100" w14:textId="77777777" w:rsidR="002E2D4B" w:rsidRPr="007F1CBB" w:rsidRDefault="007F1CBB" w:rsidP="007F1CBB">
    <w:pPr>
      <w:pStyle w:val="a5"/>
      <w:pBdr>
        <w:top w:val="single" w:sz="4" w:space="1" w:color="auto"/>
        <w:between w:val="single" w:sz="4" w:space="0" w:color="auto"/>
      </w:pBdr>
      <w:spacing w:after="60"/>
      <w:jc w:val="center"/>
      <w:rPr>
        <w:rFonts w:ascii="FrankRuehl" w:hAnsi="FrankRuehl" w:cs="FrankRuehl"/>
        <w:color w:val="000000"/>
      </w:rPr>
    </w:pPr>
    <w:r w:rsidRPr="007F1C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4BFD" w14:textId="77777777" w:rsidR="007F1CBB" w:rsidRDefault="007F1CBB" w:rsidP="007F1C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72F9">
      <w:rPr>
        <w:rFonts w:ascii="FrankRuehl" w:hAnsi="FrankRuehl" w:cs="FrankRuehl"/>
        <w:noProof/>
        <w:rtl/>
      </w:rPr>
      <w:t>1</w:t>
    </w:r>
    <w:r>
      <w:rPr>
        <w:rFonts w:ascii="FrankRuehl" w:hAnsi="FrankRuehl" w:cs="FrankRuehl"/>
        <w:rtl/>
      </w:rPr>
      <w:fldChar w:fldCharType="end"/>
    </w:r>
  </w:p>
  <w:p w14:paraId="7979054B" w14:textId="77777777" w:rsidR="002E2D4B" w:rsidRPr="007F1CBB" w:rsidRDefault="007F1CBB" w:rsidP="007F1CBB">
    <w:pPr>
      <w:pStyle w:val="a5"/>
      <w:pBdr>
        <w:top w:val="single" w:sz="4" w:space="1" w:color="auto"/>
        <w:between w:val="single" w:sz="4" w:space="0" w:color="auto"/>
      </w:pBdr>
      <w:spacing w:after="60"/>
      <w:jc w:val="center"/>
      <w:rPr>
        <w:rFonts w:ascii="FrankRuehl" w:hAnsi="FrankRuehl" w:cs="FrankRuehl"/>
        <w:color w:val="000000"/>
      </w:rPr>
    </w:pPr>
    <w:r w:rsidRPr="007F1CBB">
      <w:rPr>
        <w:rFonts w:ascii="FrankRuehl" w:hAnsi="FrankRuehl" w:cs="FrankRuehl"/>
        <w:color w:val="000000"/>
      </w:rPr>
      <w:pict w14:anchorId="7412F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76EFD" w14:textId="77777777" w:rsidR="00016120" w:rsidRDefault="00016120" w:rsidP="00962509">
      <w:r>
        <w:separator/>
      </w:r>
    </w:p>
  </w:footnote>
  <w:footnote w:type="continuationSeparator" w:id="0">
    <w:p w14:paraId="71B47EE6" w14:textId="77777777" w:rsidR="00016120" w:rsidRDefault="00016120" w:rsidP="00962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7CE73" w14:textId="77777777" w:rsidR="00E03D66" w:rsidRPr="007F1CBB" w:rsidRDefault="007F1CBB" w:rsidP="007F1C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11804-04-20</w:t>
    </w:r>
    <w:r>
      <w:rPr>
        <w:rFonts w:ascii="David" w:hAnsi="David"/>
        <w:color w:val="000000"/>
        <w:sz w:val="22"/>
        <w:szCs w:val="22"/>
        <w:rtl/>
      </w:rPr>
      <w:tab/>
      <w:t xml:space="preserve"> מדינת ישראל נ' ודיע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0978D" w14:textId="77777777" w:rsidR="00E03D66" w:rsidRPr="007F1CBB" w:rsidRDefault="007F1CBB" w:rsidP="007F1C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11804-04-20</w:t>
    </w:r>
    <w:r>
      <w:rPr>
        <w:rFonts w:ascii="David" w:hAnsi="David"/>
        <w:color w:val="000000"/>
        <w:sz w:val="22"/>
        <w:szCs w:val="22"/>
        <w:rtl/>
      </w:rPr>
      <w:tab/>
      <w:t xml:space="preserve"> מדינת ישראל נ' ודיע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7630E"/>
    <w:multiLevelType w:val="hybridMultilevel"/>
    <w:tmpl w:val="A67A35C0"/>
    <w:lvl w:ilvl="0" w:tplc="9D2640FC">
      <w:start w:val="1"/>
      <w:numFmt w:val="hebrew1"/>
      <w:lvlText w:val="%1."/>
      <w:lvlJc w:val="left"/>
      <w:pPr>
        <w:ind w:left="1440" w:hanging="360"/>
      </w:pPr>
      <w:rPr>
        <w:rFonts w:ascii="David" w:eastAsia="Calibri" w:hAnsi="David" w:cs="David"/>
        <w:b/>
        <w:bCs/>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542A63"/>
    <w:multiLevelType w:val="hybridMultilevel"/>
    <w:tmpl w:val="4BD80E84"/>
    <w:lvl w:ilvl="0" w:tplc="3B70B7FC">
      <w:start w:val="1"/>
      <w:numFmt w:val="decimal"/>
      <w:lvlText w:val="%1."/>
      <w:lvlJc w:val="left"/>
      <w:pPr>
        <w:ind w:left="720" w:hanging="360"/>
      </w:pPr>
      <w:rPr>
        <w:b/>
        <w:bCs/>
        <w:sz w:val="24"/>
        <w:szCs w:val="24"/>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819394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5607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4EDB"/>
    <w:rsid w:val="00016120"/>
    <w:rsid w:val="001B5A3B"/>
    <w:rsid w:val="002E2D4B"/>
    <w:rsid w:val="0039474D"/>
    <w:rsid w:val="003D1818"/>
    <w:rsid w:val="00424615"/>
    <w:rsid w:val="00424BC9"/>
    <w:rsid w:val="00544AC3"/>
    <w:rsid w:val="007F1CBB"/>
    <w:rsid w:val="00804EDB"/>
    <w:rsid w:val="00962509"/>
    <w:rsid w:val="009A6151"/>
    <w:rsid w:val="009F791C"/>
    <w:rsid w:val="00E03D66"/>
    <w:rsid w:val="00E272F9"/>
    <w:rsid w:val="00F21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832363"/>
  <w15:chartTrackingRefBased/>
  <w15:docId w15:val="{93204BDA-151D-470E-9333-FBC2676E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4E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4EDB"/>
    <w:pPr>
      <w:tabs>
        <w:tab w:val="center" w:pos="4153"/>
        <w:tab w:val="right" w:pos="8306"/>
      </w:tabs>
    </w:pPr>
  </w:style>
  <w:style w:type="character" w:customStyle="1" w:styleId="a4">
    <w:name w:val="כותרת עליונה תו"/>
    <w:link w:val="a3"/>
    <w:rsid w:val="00804EDB"/>
    <w:rPr>
      <w:rFonts w:ascii="Times New Roman" w:eastAsia="Times New Roman" w:hAnsi="Times New Roman" w:cs="David"/>
      <w:sz w:val="24"/>
      <w:szCs w:val="24"/>
    </w:rPr>
  </w:style>
  <w:style w:type="paragraph" w:styleId="a5">
    <w:name w:val="footer"/>
    <w:basedOn w:val="a"/>
    <w:link w:val="a6"/>
    <w:rsid w:val="00804EDB"/>
    <w:pPr>
      <w:tabs>
        <w:tab w:val="center" w:pos="4153"/>
        <w:tab w:val="right" w:pos="8306"/>
      </w:tabs>
    </w:pPr>
  </w:style>
  <w:style w:type="character" w:customStyle="1" w:styleId="a6">
    <w:name w:val="כותרת תחתונה תו"/>
    <w:link w:val="a5"/>
    <w:rsid w:val="00804EDB"/>
    <w:rPr>
      <w:rFonts w:ascii="Times New Roman" w:eastAsia="Times New Roman" w:hAnsi="Times New Roman" w:cs="David"/>
      <w:sz w:val="24"/>
      <w:szCs w:val="24"/>
    </w:rPr>
  </w:style>
  <w:style w:type="table" w:styleId="a7">
    <w:name w:val="Table Grid"/>
    <w:basedOn w:val="a1"/>
    <w:rsid w:val="00804E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4EDB"/>
  </w:style>
  <w:style w:type="paragraph" w:styleId="a9">
    <w:name w:val="List Paragraph"/>
    <w:basedOn w:val="a"/>
    <w:qFormat/>
    <w:rsid w:val="00804EDB"/>
    <w:pPr>
      <w:spacing w:after="160" w:line="256" w:lineRule="auto"/>
      <w:ind w:left="720"/>
      <w:contextualSpacing/>
    </w:pPr>
    <w:rPr>
      <w:rFonts w:ascii="Calibri" w:eastAsia="Calibri" w:hAnsi="Calibri" w:cs="Arial"/>
      <w:sz w:val="22"/>
      <w:szCs w:val="22"/>
    </w:rPr>
  </w:style>
  <w:style w:type="character" w:styleId="Hyperlink">
    <w:name w:val="Hyperlink"/>
    <w:rsid w:val="00804E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1704593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6102737"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6891399"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3750765"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85"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2910952"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8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910952"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1483</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8886</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4063358</vt:i4>
      </vt:variant>
      <vt:variant>
        <vt:i4>45</vt:i4>
      </vt:variant>
      <vt:variant>
        <vt:i4>0</vt:i4>
      </vt:variant>
      <vt:variant>
        <vt:i4>5</vt:i4>
      </vt:variant>
      <vt:variant>
        <vt:lpwstr>http://www.nevo.co.il/case/22910952</vt:lpwstr>
      </vt:variant>
      <vt:variant>
        <vt:lpwstr/>
      </vt:variant>
      <vt:variant>
        <vt:i4>3539060</vt:i4>
      </vt:variant>
      <vt:variant>
        <vt:i4>42</vt:i4>
      </vt:variant>
      <vt:variant>
        <vt:i4>0</vt:i4>
      </vt:variant>
      <vt:variant>
        <vt:i4>5</vt:i4>
      </vt:variant>
      <vt:variant>
        <vt:lpwstr>http://www.nevo.co.il/case/6102737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6291565</vt:i4>
      </vt:variant>
      <vt:variant>
        <vt:i4>36</vt:i4>
      </vt:variant>
      <vt:variant>
        <vt:i4>0</vt:i4>
      </vt:variant>
      <vt:variant>
        <vt:i4>5</vt:i4>
      </vt:variant>
      <vt:variant>
        <vt:lpwstr>http://www.nevo.co.il/law/70301/85</vt:lpwstr>
      </vt:variant>
      <vt:variant>
        <vt:lpwstr/>
      </vt:variant>
      <vt:variant>
        <vt:i4>3604606</vt:i4>
      </vt:variant>
      <vt:variant>
        <vt:i4>33</vt:i4>
      </vt:variant>
      <vt:variant>
        <vt:i4>0</vt:i4>
      </vt:variant>
      <vt:variant>
        <vt:i4>5</vt:i4>
      </vt:variant>
      <vt:variant>
        <vt:lpwstr>http://www.nevo.co.il/case/17045935</vt:lpwstr>
      </vt:variant>
      <vt:variant>
        <vt:lpwstr/>
      </vt:variant>
      <vt:variant>
        <vt:i4>3473524</vt:i4>
      </vt:variant>
      <vt:variant>
        <vt:i4>30</vt:i4>
      </vt:variant>
      <vt:variant>
        <vt:i4>0</vt:i4>
      </vt:variant>
      <vt:variant>
        <vt:i4>5</vt:i4>
      </vt:variant>
      <vt:variant>
        <vt:lpwstr>http://www.nevo.co.il/case/6891399</vt:lpwstr>
      </vt:variant>
      <vt:variant>
        <vt:lpwstr/>
      </vt:variant>
      <vt:variant>
        <vt:i4>3342453</vt:i4>
      </vt:variant>
      <vt:variant>
        <vt:i4>27</vt:i4>
      </vt:variant>
      <vt:variant>
        <vt:i4>0</vt:i4>
      </vt:variant>
      <vt:variant>
        <vt:i4>5</vt:i4>
      </vt:variant>
      <vt:variant>
        <vt:lpwstr>http://www.nevo.co.il/case/23750765</vt:lpwstr>
      </vt:variant>
      <vt:variant>
        <vt:lpwstr/>
      </vt:variant>
      <vt:variant>
        <vt:i4>4063358</vt:i4>
      </vt:variant>
      <vt:variant>
        <vt:i4>24</vt:i4>
      </vt:variant>
      <vt:variant>
        <vt:i4>0</vt:i4>
      </vt:variant>
      <vt:variant>
        <vt:i4>5</vt:i4>
      </vt:variant>
      <vt:variant>
        <vt:lpwstr>http://www.nevo.co.il/case/22910952</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6291565</vt:i4>
      </vt:variant>
      <vt:variant>
        <vt:i4>12</vt:i4>
      </vt:variant>
      <vt:variant>
        <vt:i4>0</vt:i4>
      </vt:variant>
      <vt:variant>
        <vt:i4>5</vt:i4>
      </vt:variant>
      <vt:variant>
        <vt:lpwstr>http://www.nevo.co.il/law/70301/85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11804</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ודיע אבו רקייק</vt:lpwstr>
  </property>
  <property fmtid="{D5CDD505-2E9C-101B-9397-08002B2CF9AE}" pid="10" name="LAWYER">
    <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20230227</vt:lpwstr>
  </property>
  <property fmtid="{D5CDD505-2E9C-101B-9397-08002B2CF9AE}" pid="14" name="TYPE_N_DATE">
    <vt:lpwstr>38020230227</vt:lpwstr>
  </property>
  <property fmtid="{D5CDD505-2E9C-101B-9397-08002B2CF9AE}" pid="15" name="WORDNUMPAGES">
    <vt:lpwstr>5</vt:lpwstr>
  </property>
  <property fmtid="{D5CDD505-2E9C-101B-9397-08002B2CF9AE}" pid="16" name="TYPE_ABS_DATE">
    <vt:lpwstr>380020230227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22910952:2;23750765;6891399;17045935;6102737</vt:lpwstr>
  </property>
  <property fmtid="{D5CDD505-2E9C-101B-9397-08002B2CF9AE}" pid="36" name="LAWLISTTMP1">
    <vt:lpwstr>4216/007.a;007.c</vt:lpwstr>
  </property>
  <property fmtid="{D5CDD505-2E9C-101B-9397-08002B2CF9AE}" pid="37" name="LAWLISTTMP2">
    <vt:lpwstr>70301/085</vt:lpwstr>
  </property>
</Properties>
</file>