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EA695A" w:rsidRPr="00875FAD" w14:paraId="786C4064" w14:textId="77777777" w:rsidTr="00C2411E">
        <w:trPr>
          <w:gridAfter w:val="1"/>
          <w:wAfter w:w="99" w:type="dxa"/>
          <w:trHeight w:hRule="exact" w:val="418"/>
          <w:jc w:val="center"/>
        </w:trPr>
        <w:tc>
          <w:tcPr>
            <w:tcW w:w="8721" w:type="dxa"/>
            <w:gridSpan w:val="3"/>
          </w:tcPr>
          <w:p w14:paraId="25744448" w14:textId="77777777" w:rsidR="00EA695A" w:rsidRPr="00875FAD" w:rsidRDefault="00EA695A" w:rsidP="000018A1">
            <w:pPr>
              <w:pStyle w:val="a3"/>
              <w:jc w:val="center"/>
              <w:rPr>
                <w:rFonts w:ascii="Tahoma" w:hAnsi="Tahoma" w:cs="Tahoma"/>
                <w:color w:val="000080"/>
                <w:rtl/>
              </w:rPr>
            </w:pPr>
            <w:bookmarkStart w:id="0" w:name="LastJudge"/>
            <w:r w:rsidRPr="00875FAD">
              <w:rPr>
                <w:rFonts w:ascii="Tahoma" w:hAnsi="Tahoma" w:cs="Tahoma"/>
                <w:b/>
                <w:bCs/>
                <w:color w:val="000080"/>
                <w:rtl/>
              </w:rPr>
              <w:t>בית משפט השלום בירושלים</w:t>
            </w:r>
          </w:p>
        </w:tc>
      </w:tr>
      <w:tr w:rsidR="00EA695A" w:rsidRPr="00875FAD" w14:paraId="35F00769" w14:textId="77777777" w:rsidTr="00C2411E">
        <w:trPr>
          <w:gridAfter w:val="1"/>
          <w:wAfter w:w="99" w:type="dxa"/>
          <w:trHeight w:val="337"/>
          <w:jc w:val="center"/>
        </w:trPr>
        <w:tc>
          <w:tcPr>
            <w:tcW w:w="5054" w:type="dxa"/>
            <w:gridSpan w:val="2"/>
          </w:tcPr>
          <w:p w14:paraId="6BEF2C0B" w14:textId="77777777" w:rsidR="00EA695A" w:rsidRPr="00875FAD" w:rsidRDefault="00EA695A" w:rsidP="000018A1">
            <w:pPr>
              <w:rPr>
                <w:rFonts w:cs="FrankRuehl"/>
                <w:sz w:val="28"/>
                <w:szCs w:val="28"/>
                <w:rtl/>
              </w:rPr>
            </w:pPr>
            <w:r w:rsidRPr="00875FAD">
              <w:rPr>
                <w:rFonts w:cs="FrankRuehl"/>
                <w:sz w:val="28"/>
                <w:szCs w:val="28"/>
                <w:rtl/>
              </w:rPr>
              <w:t>ת"פ</w:t>
            </w:r>
            <w:r w:rsidRPr="00875FAD">
              <w:rPr>
                <w:rFonts w:cs="FrankRuehl" w:hint="cs"/>
                <w:sz w:val="28"/>
                <w:szCs w:val="28"/>
                <w:rtl/>
              </w:rPr>
              <w:t xml:space="preserve"> </w:t>
            </w:r>
            <w:r w:rsidRPr="00875FAD">
              <w:rPr>
                <w:rFonts w:cs="FrankRuehl"/>
                <w:sz w:val="28"/>
                <w:szCs w:val="28"/>
                <w:rtl/>
              </w:rPr>
              <w:t>14332-04-20</w:t>
            </w:r>
            <w:r w:rsidRPr="00875FAD">
              <w:rPr>
                <w:rFonts w:cs="FrankRuehl" w:hint="cs"/>
                <w:sz w:val="28"/>
                <w:szCs w:val="28"/>
                <w:rtl/>
              </w:rPr>
              <w:t xml:space="preserve"> </w:t>
            </w:r>
            <w:r w:rsidRPr="00875FAD">
              <w:rPr>
                <w:rFonts w:cs="FrankRuehl"/>
                <w:sz w:val="28"/>
                <w:szCs w:val="28"/>
                <w:rtl/>
              </w:rPr>
              <w:t>מדינת ישראל נ' וקנין</w:t>
            </w:r>
          </w:p>
          <w:p w14:paraId="51799B9B" w14:textId="77777777" w:rsidR="00EA695A" w:rsidRPr="00875FAD" w:rsidRDefault="00EA695A" w:rsidP="000018A1">
            <w:pPr>
              <w:pStyle w:val="a3"/>
              <w:rPr>
                <w:rFonts w:cs="FrankRuehl"/>
                <w:sz w:val="28"/>
                <w:szCs w:val="28"/>
                <w:rtl/>
              </w:rPr>
            </w:pPr>
          </w:p>
        </w:tc>
        <w:tc>
          <w:tcPr>
            <w:tcW w:w="3667" w:type="dxa"/>
          </w:tcPr>
          <w:p w14:paraId="41535BA8" w14:textId="77777777" w:rsidR="00EA695A" w:rsidRPr="00875FAD" w:rsidRDefault="00EA695A" w:rsidP="000018A1">
            <w:pPr>
              <w:pStyle w:val="a3"/>
              <w:jc w:val="right"/>
              <w:rPr>
                <w:rFonts w:cs="FrankRuehl"/>
                <w:sz w:val="28"/>
                <w:szCs w:val="28"/>
                <w:rtl/>
              </w:rPr>
            </w:pPr>
          </w:p>
        </w:tc>
      </w:tr>
      <w:tr w:rsidR="00EA695A" w:rsidRPr="00875FAD" w14:paraId="042C6776" w14:textId="77777777" w:rsidTr="00C241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45916A4" w14:textId="77777777" w:rsidR="00EA695A" w:rsidRPr="00875FAD" w:rsidRDefault="00EA695A" w:rsidP="00EA695A">
            <w:pPr>
              <w:jc w:val="both"/>
              <w:rPr>
                <w:rFonts w:ascii="David" w:hAnsi="David"/>
                <w:sz w:val="26"/>
                <w:szCs w:val="26"/>
              </w:rPr>
            </w:pPr>
            <w:r w:rsidRPr="00875FAD">
              <w:rPr>
                <w:rFonts w:hint="cs"/>
                <w:rtl/>
              </w:rPr>
              <w:t xml:space="preserve"> </w:t>
            </w:r>
            <w:r w:rsidRPr="00875FAD">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78C68710" w14:textId="77777777" w:rsidR="00EA695A" w:rsidRPr="00875FAD" w:rsidRDefault="00EA695A" w:rsidP="000018A1">
            <w:pPr>
              <w:rPr>
                <w:rFonts w:ascii="David" w:hAnsi="David"/>
                <w:b/>
                <w:bCs/>
                <w:sz w:val="26"/>
                <w:szCs w:val="26"/>
                <w:rtl/>
              </w:rPr>
            </w:pPr>
            <w:r w:rsidRPr="00875FAD">
              <w:rPr>
                <w:rFonts w:ascii="David" w:hAnsi="David"/>
                <w:b/>
                <w:bCs/>
                <w:sz w:val="26"/>
                <w:szCs w:val="26"/>
                <w:rtl/>
              </w:rPr>
              <w:t>כבוד השופטת  ג'ויה סקפה שפירא</w:t>
            </w:r>
          </w:p>
          <w:p w14:paraId="733869D2" w14:textId="77777777" w:rsidR="00EA695A" w:rsidRPr="00875FAD" w:rsidRDefault="00EA695A" w:rsidP="000018A1">
            <w:pPr>
              <w:rPr>
                <w:rFonts w:ascii="David" w:hAnsi="David"/>
                <w:sz w:val="26"/>
                <w:szCs w:val="26"/>
                <w:rtl/>
              </w:rPr>
            </w:pPr>
          </w:p>
          <w:p w14:paraId="5640849D" w14:textId="77777777" w:rsidR="00EA695A" w:rsidRPr="00875FAD" w:rsidRDefault="00EA695A" w:rsidP="00EA695A">
            <w:pPr>
              <w:jc w:val="both"/>
              <w:rPr>
                <w:rFonts w:ascii="David" w:hAnsi="David"/>
                <w:sz w:val="26"/>
                <w:szCs w:val="26"/>
              </w:rPr>
            </w:pPr>
          </w:p>
        </w:tc>
      </w:tr>
      <w:tr w:rsidR="00EA695A" w:rsidRPr="00875FAD" w14:paraId="567C5D15" w14:textId="77777777" w:rsidTr="00C241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89C6FA" w14:textId="77777777" w:rsidR="00EA695A" w:rsidRPr="00875FAD" w:rsidRDefault="00EA695A" w:rsidP="00EA695A">
            <w:pPr>
              <w:jc w:val="both"/>
              <w:rPr>
                <w:rFonts w:ascii="David" w:hAnsi="David"/>
                <w:sz w:val="26"/>
                <w:szCs w:val="26"/>
              </w:rPr>
            </w:pPr>
            <w:bookmarkStart w:id="1" w:name="FirstAppellant"/>
            <w:r w:rsidRPr="00875FAD">
              <w:rPr>
                <w:rFonts w:ascii="David" w:hAnsi="David"/>
                <w:sz w:val="26"/>
                <w:szCs w:val="26"/>
                <w:rtl/>
              </w:rPr>
              <w:t>בעניין:</w:t>
            </w:r>
          </w:p>
        </w:tc>
        <w:tc>
          <w:tcPr>
            <w:tcW w:w="4126" w:type="dxa"/>
            <w:tcBorders>
              <w:top w:val="nil"/>
              <w:left w:val="nil"/>
              <w:bottom w:val="nil"/>
              <w:right w:val="nil"/>
            </w:tcBorders>
            <w:shd w:val="clear" w:color="auto" w:fill="auto"/>
          </w:tcPr>
          <w:p w14:paraId="5EA325A2" w14:textId="77777777" w:rsidR="00EA695A" w:rsidRPr="00875FAD" w:rsidRDefault="00EA695A" w:rsidP="000018A1">
            <w:pPr>
              <w:rPr>
                <w:rFonts w:ascii="David" w:hAnsi="David"/>
                <w:sz w:val="26"/>
                <w:szCs w:val="26"/>
              </w:rPr>
            </w:pPr>
            <w:r w:rsidRPr="00875FAD">
              <w:rPr>
                <w:rFonts w:ascii="David" w:hAnsi="David"/>
                <w:sz w:val="26"/>
                <w:szCs w:val="26"/>
                <w:rtl/>
              </w:rPr>
              <w:t>מדינת ישראל</w:t>
            </w:r>
          </w:p>
        </w:tc>
        <w:tc>
          <w:tcPr>
            <w:tcW w:w="3771" w:type="dxa"/>
            <w:gridSpan w:val="2"/>
            <w:tcBorders>
              <w:top w:val="nil"/>
              <w:left w:val="nil"/>
              <w:bottom w:val="nil"/>
              <w:right w:val="nil"/>
            </w:tcBorders>
            <w:shd w:val="clear" w:color="auto" w:fill="auto"/>
          </w:tcPr>
          <w:p w14:paraId="33E79643" w14:textId="77777777" w:rsidR="00EA695A" w:rsidRPr="00875FAD" w:rsidRDefault="00EA695A" w:rsidP="00EA695A">
            <w:pPr>
              <w:jc w:val="both"/>
              <w:rPr>
                <w:rFonts w:ascii="David" w:hAnsi="David"/>
                <w:sz w:val="26"/>
                <w:szCs w:val="26"/>
              </w:rPr>
            </w:pPr>
          </w:p>
        </w:tc>
      </w:tr>
      <w:bookmarkEnd w:id="1"/>
      <w:tr w:rsidR="00EA695A" w:rsidRPr="00875FAD" w14:paraId="316AA31C" w14:textId="77777777" w:rsidTr="00C241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0BD92C" w14:textId="77777777" w:rsidR="00EA695A" w:rsidRPr="00875FAD" w:rsidRDefault="00EA695A" w:rsidP="00EA695A">
            <w:pPr>
              <w:jc w:val="both"/>
              <w:rPr>
                <w:rFonts w:ascii="David" w:hAnsi="David"/>
                <w:sz w:val="26"/>
                <w:szCs w:val="26"/>
                <w:rtl/>
              </w:rPr>
            </w:pPr>
          </w:p>
        </w:tc>
        <w:tc>
          <w:tcPr>
            <w:tcW w:w="4126" w:type="dxa"/>
            <w:tcBorders>
              <w:top w:val="nil"/>
              <w:left w:val="nil"/>
              <w:bottom w:val="nil"/>
              <w:right w:val="nil"/>
            </w:tcBorders>
            <w:shd w:val="clear" w:color="auto" w:fill="auto"/>
          </w:tcPr>
          <w:p w14:paraId="6D97786C" w14:textId="77777777" w:rsidR="00EA695A" w:rsidRPr="00875FAD" w:rsidRDefault="00EA695A" w:rsidP="00EA695A">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66F3C8C9" w14:textId="77777777" w:rsidR="00EA695A" w:rsidRPr="00875FAD" w:rsidRDefault="00EA695A" w:rsidP="00EA695A">
            <w:pPr>
              <w:jc w:val="right"/>
              <w:rPr>
                <w:rFonts w:ascii="David" w:hAnsi="David"/>
                <w:sz w:val="26"/>
                <w:szCs w:val="26"/>
                <w:rtl/>
              </w:rPr>
            </w:pPr>
            <w:r w:rsidRPr="00875FAD">
              <w:rPr>
                <w:rFonts w:ascii="David" w:hAnsi="David"/>
                <w:sz w:val="26"/>
                <w:szCs w:val="26"/>
                <w:rtl/>
              </w:rPr>
              <w:t>המאשימה</w:t>
            </w:r>
          </w:p>
        </w:tc>
      </w:tr>
      <w:tr w:rsidR="00EA695A" w:rsidRPr="00875FAD" w14:paraId="18B847DF" w14:textId="77777777" w:rsidTr="00C241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0025B6" w14:textId="77777777" w:rsidR="00EA695A" w:rsidRPr="00875FAD" w:rsidRDefault="00EA695A" w:rsidP="00EA695A">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17B3AE55" w14:textId="77777777" w:rsidR="00EA695A" w:rsidRPr="00875FAD" w:rsidRDefault="00EA695A" w:rsidP="00EA695A">
            <w:pPr>
              <w:jc w:val="center"/>
              <w:rPr>
                <w:rFonts w:ascii="David" w:hAnsi="David"/>
                <w:b/>
                <w:bCs/>
                <w:sz w:val="26"/>
                <w:szCs w:val="26"/>
                <w:rtl/>
              </w:rPr>
            </w:pPr>
          </w:p>
          <w:p w14:paraId="6333A5FA" w14:textId="77777777" w:rsidR="00EA695A" w:rsidRPr="00875FAD" w:rsidRDefault="00EA695A" w:rsidP="00EA695A">
            <w:pPr>
              <w:jc w:val="center"/>
              <w:rPr>
                <w:rFonts w:ascii="David" w:hAnsi="David"/>
                <w:b/>
                <w:bCs/>
                <w:sz w:val="26"/>
                <w:szCs w:val="26"/>
                <w:rtl/>
              </w:rPr>
            </w:pPr>
            <w:r w:rsidRPr="00875FAD">
              <w:rPr>
                <w:rFonts w:ascii="David" w:hAnsi="David"/>
                <w:b/>
                <w:bCs/>
                <w:sz w:val="26"/>
                <w:szCs w:val="26"/>
                <w:rtl/>
              </w:rPr>
              <w:t>נגד</w:t>
            </w:r>
          </w:p>
          <w:p w14:paraId="4F736360" w14:textId="77777777" w:rsidR="00EA695A" w:rsidRPr="00875FAD" w:rsidRDefault="00EA695A" w:rsidP="00EA695A">
            <w:pPr>
              <w:jc w:val="both"/>
              <w:rPr>
                <w:rFonts w:ascii="David" w:hAnsi="David"/>
                <w:sz w:val="26"/>
                <w:szCs w:val="26"/>
              </w:rPr>
            </w:pPr>
          </w:p>
        </w:tc>
      </w:tr>
      <w:tr w:rsidR="00EA695A" w:rsidRPr="00875FAD" w14:paraId="5CED361A" w14:textId="77777777" w:rsidTr="00C241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0AA025C" w14:textId="77777777" w:rsidR="00EA695A" w:rsidRPr="00875FAD" w:rsidRDefault="00EA695A" w:rsidP="000018A1">
            <w:pPr>
              <w:rPr>
                <w:rFonts w:ascii="David" w:hAnsi="David"/>
                <w:sz w:val="26"/>
                <w:szCs w:val="26"/>
                <w:rtl/>
              </w:rPr>
            </w:pPr>
          </w:p>
        </w:tc>
        <w:tc>
          <w:tcPr>
            <w:tcW w:w="4126" w:type="dxa"/>
            <w:tcBorders>
              <w:top w:val="nil"/>
              <w:left w:val="nil"/>
              <w:bottom w:val="nil"/>
              <w:right w:val="nil"/>
            </w:tcBorders>
            <w:shd w:val="clear" w:color="auto" w:fill="auto"/>
          </w:tcPr>
          <w:p w14:paraId="45298725" w14:textId="77777777" w:rsidR="00EA695A" w:rsidRPr="00875FAD" w:rsidRDefault="00EA695A" w:rsidP="000018A1">
            <w:pPr>
              <w:rPr>
                <w:rFonts w:ascii="David" w:hAnsi="David"/>
                <w:sz w:val="26"/>
                <w:szCs w:val="26"/>
                <w:rtl/>
              </w:rPr>
            </w:pPr>
            <w:r w:rsidRPr="00875FAD">
              <w:rPr>
                <w:rFonts w:ascii="David" w:hAnsi="David"/>
                <w:sz w:val="26"/>
                <w:szCs w:val="26"/>
                <w:rtl/>
              </w:rPr>
              <w:t xml:space="preserve">שלמה וקנין </w:t>
            </w:r>
          </w:p>
        </w:tc>
        <w:tc>
          <w:tcPr>
            <w:tcW w:w="3771" w:type="dxa"/>
            <w:gridSpan w:val="2"/>
            <w:tcBorders>
              <w:top w:val="nil"/>
              <w:left w:val="nil"/>
              <w:bottom w:val="nil"/>
              <w:right w:val="nil"/>
            </w:tcBorders>
            <w:shd w:val="clear" w:color="auto" w:fill="auto"/>
          </w:tcPr>
          <w:p w14:paraId="65327CDE" w14:textId="77777777" w:rsidR="00EA695A" w:rsidRPr="00875FAD" w:rsidRDefault="00EA695A" w:rsidP="00EA695A">
            <w:pPr>
              <w:jc w:val="right"/>
              <w:rPr>
                <w:rFonts w:ascii="David" w:hAnsi="David"/>
                <w:sz w:val="26"/>
                <w:szCs w:val="26"/>
              </w:rPr>
            </w:pPr>
          </w:p>
        </w:tc>
      </w:tr>
      <w:tr w:rsidR="00EA695A" w:rsidRPr="00875FAD" w14:paraId="338EAFF2" w14:textId="77777777" w:rsidTr="00C241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3415B0A" w14:textId="77777777" w:rsidR="00EA695A" w:rsidRPr="00875FAD" w:rsidRDefault="00EA695A" w:rsidP="00EA695A">
            <w:pPr>
              <w:jc w:val="both"/>
              <w:rPr>
                <w:rFonts w:ascii="David" w:hAnsi="David"/>
                <w:sz w:val="26"/>
                <w:szCs w:val="26"/>
                <w:rtl/>
              </w:rPr>
            </w:pPr>
          </w:p>
        </w:tc>
        <w:tc>
          <w:tcPr>
            <w:tcW w:w="4126" w:type="dxa"/>
            <w:tcBorders>
              <w:top w:val="nil"/>
              <w:left w:val="nil"/>
              <w:bottom w:val="nil"/>
              <w:right w:val="nil"/>
            </w:tcBorders>
            <w:shd w:val="clear" w:color="auto" w:fill="auto"/>
          </w:tcPr>
          <w:p w14:paraId="4D4E4F12" w14:textId="77777777" w:rsidR="00EA695A" w:rsidRPr="00875FAD" w:rsidRDefault="00EA695A" w:rsidP="00EA695A">
            <w:pPr>
              <w:jc w:val="both"/>
              <w:rPr>
                <w:rFonts w:ascii="David" w:hAnsi="David"/>
                <w:sz w:val="26"/>
                <w:szCs w:val="26"/>
                <w:rtl/>
              </w:rPr>
            </w:pPr>
          </w:p>
        </w:tc>
        <w:tc>
          <w:tcPr>
            <w:tcW w:w="3771" w:type="dxa"/>
            <w:gridSpan w:val="2"/>
            <w:tcBorders>
              <w:top w:val="nil"/>
              <w:left w:val="nil"/>
              <w:bottom w:val="nil"/>
              <w:right w:val="nil"/>
            </w:tcBorders>
            <w:shd w:val="clear" w:color="auto" w:fill="auto"/>
          </w:tcPr>
          <w:p w14:paraId="503C4778" w14:textId="77777777" w:rsidR="00EA695A" w:rsidRPr="00875FAD" w:rsidRDefault="00EA695A" w:rsidP="00EA695A">
            <w:pPr>
              <w:jc w:val="right"/>
              <w:rPr>
                <w:rFonts w:ascii="David" w:hAnsi="David"/>
                <w:sz w:val="26"/>
                <w:szCs w:val="26"/>
              </w:rPr>
            </w:pPr>
            <w:r w:rsidRPr="00875FAD">
              <w:rPr>
                <w:rFonts w:ascii="David" w:hAnsi="David"/>
                <w:sz w:val="26"/>
                <w:szCs w:val="26"/>
                <w:rtl/>
              </w:rPr>
              <w:t>הנאשם</w:t>
            </w:r>
          </w:p>
        </w:tc>
      </w:tr>
    </w:tbl>
    <w:p w14:paraId="0400993B" w14:textId="77777777" w:rsidR="00EA695A" w:rsidRPr="00875FAD" w:rsidRDefault="00EA695A" w:rsidP="00EA695A">
      <w:pPr>
        <w:rPr>
          <w:sz w:val="26"/>
          <w:szCs w:val="26"/>
          <w:rtl/>
        </w:rPr>
      </w:pPr>
    </w:p>
    <w:p w14:paraId="26031665" w14:textId="77777777" w:rsidR="00EA695A" w:rsidRPr="00875FAD" w:rsidRDefault="00EA695A" w:rsidP="00EA695A">
      <w:pPr>
        <w:rPr>
          <w:sz w:val="26"/>
          <w:szCs w:val="26"/>
          <w:rtl/>
        </w:rPr>
      </w:pPr>
      <w:bookmarkStart w:id="2" w:name="FirstLawyer"/>
      <w:r w:rsidRPr="00875FAD">
        <w:rPr>
          <w:rFonts w:hint="cs"/>
          <w:sz w:val="26"/>
          <w:szCs w:val="26"/>
          <w:rtl/>
        </w:rPr>
        <w:t>ב"כ</w:t>
      </w:r>
      <w:bookmarkEnd w:id="2"/>
      <w:r w:rsidRPr="00875FAD">
        <w:rPr>
          <w:rFonts w:hint="cs"/>
          <w:sz w:val="26"/>
          <w:szCs w:val="26"/>
          <w:rtl/>
        </w:rPr>
        <w:t xml:space="preserve"> הנאשם: עו"ד ארז בר צבי</w:t>
      </w:r>
    </w:p>
    <w:p w14:paraId="5F7EEFBD" w14:textId="77777777" w:rsidR="00EA695A" w:rsidRPr="00875FAD" w:rsidRDefault="00EA695A" w:rsidP="00EA695A">
      <w:pPr>
        <w:rPr>
          <w:sz w:val="26"/>
          <w:szCs w:val="26"/>
        </w:rPr>
      </w:pPr>
      <w:r w:rsidRPr="00875FAD">
        <w:rPr>
          <w:rFonts w:hint="cs"/>
          <w:sz w:val="26"/>
          <w:szCs w:val="26"/>
          <w:rtl/>
        </w:rPr>
        <w:t>ב"כ המאשימה: עו"ד אריאלה נבון</w:t>
      </w:r>
    </w:p>
    <w:p w14:paraId="23C017B4" w14:textId="77777777" w:rsidR="00C2411E" w:rsidRDefault="00C2411E" w:rsidP="00EA695A">
      <w:pPr>
        <w:jc w:val="center"/>
        <w:rPr>
          <w:rFonts w:ascii="David" w:hAnsi="David"/>
          <w:sz w:val="32"/>
          <w:szCs w:val="32"/>
          <w:rtl/>
        </w:rPr>
      </w:pPr>
    </w:p>
    <w:p w14:paraId="1B5A1967" w14:textId="77777777" w:rsidR="00C2411E" w:rsidRPr="00C2411E" w:rsidRDefault="00C2411E" w:rsidP="00C2411E">
      <w:pPr>
        <w:spacing w:after="120" w:line="240" w:lineRule="exact"/>
        <w:ind w:left="283" w:hanging="283"/>
        <w:jc w:val="both"/>
        <w:rPr>
          <w:rFonts w:ascii="FrankRuehl" w:hAnsi="FrankRuehl" w:cs="FrankRuehl"/>
          <w:rtl/>
        </w:rPr>
      </w:pPr>
    </w:p>
    <w:p w14:paraId="6A8D430E" w14:textId="77777777" w:rsidR="002E7BE7" w:rsidRPr="002E7BE7" w:rsidRDefault="002E7BE7" w:rsidP="002E7BE7">
      <w:pPr>
        <w:spacing w:before="120" w:after="120" w:line="240" w:lineRule="exact"/>
        <w:ind w:left="283" w:hanging="283"/>
        <w:jc w:val="both"/>
        <w:rPr>
          <w:rFonts w:ascii="FrankRuehl" w:hAnsi="FrankRuehl" w:cs="FrankRuehl"/>
          <w:rtl/>
        </w:rPr>
      </w:pPr>
    </w:p>
    <w:p w14:paraId="48526A98" w14:textId="77777777" w:rsidR="00C34AF8" w:rsidRDefault="00C34AF8" w:rsidP="00C34AF8">
      <w:pPr>
        <w:jc w:val="center"/>
        <w:rPr>
          <w:rFonts w:ascii="David" w:hAnsi="David"/>
          <w:sz w:val="32"/>
          <w:szCs w:val="32"/>
          <w:rtl/>
        </w:rPr>
      </w:pPr>
      <w:bookmarkStart w:id="3" w:name="LawTable"/>
      <w:bookmarkEnd w:id="3"/>
    </w:p>
    <w:p w14:paraId="1CD02263" w14:textId="77777777" w:rsidR="00C34AF8" w:rsidRPr="00C34AF8" w:rsidRDefault="00C34AF8" w:rsidP="00C34AF8">
      <w:pPr>
        <w:spacing w:before="120" w:after="120" w:line="240" w:lineRule="exact"/>
        <w:ind w:left="283" w:hanging="283"/>
        <w:jc w:val="both"/>
        <w:rPr>
          <w:rFonts w:ascii="FrankRuehl" w:hAnsi="FrankRuehl" w:cs="FrankRuehl"/>
          <w:rtl/>
        </w:rPr>
      </w:pPr>
    </w:p>
    <w:p w14:paraId="77C3E948" w14:textId="77777777" w:rsidR="00C34AF8" w:rsidRPr="00C34AF8" w:rsidRDefault="00C34AF8" w:rsidP="00C34AF8">
      <w:pPr>
        <w:spacing w:before="120" w:after="120" w:line="240" w:lineRule="exact"/>
        <w:ind w:left="283" w:hanging="283"/>
        <w:jc w:val="both"/>
        <w:rPr>
          <w:rFonts w:ascii="FrankRuehl" w:hAnsi="FrankRuehl" w:cs="FrankRuehl"/>
          <w:rtl/>
        </w:rPr>
      </w:pPr>
    </w:p>
    <w:p w14:paraId="31D96DA3" w14:textId="77777777" w:rsidR="00C34AF8" w:rsidRPr="00C34AF8" w:rsidRDefault="00C34AF8" w:rsidP="00C34AF8">
      <w:pPr>
        <w:spacing w:before="120" w:after="120" w:line="240" w:lineRule="exact"/>
        <w:ind w:left="283" w:hanging="283"/>
        <w:jc w:val="both"/>
        <w:rPr>
          <w:rFonts w:ascii="FrankRuehl" w:hAnsi="FrankRuehl" w:cs="FrankRuehl"/>
          <w:rtl/>
        </w:rPr>
      </w:pPr>
      <w:r w:rsidRPr="00C34AF8">
        <w:rPr>
          <w:rFonts w:ascii="FrankRuehl" w:hAnsi="FrankRuehl" w:cs="FrankRuehl"/>
          <w:rtl/>
        </w:rPr>
        <w:t xml:space="preserve">חקיקה שאוזכרה: </w:t>
      </w:r>
    </w:p>
    <w:p w14:paraId="7D4FD111" w14:textId="77777777" w:rsidR="00C34AF8" w:rsidRPr="00C34AF8" w:rsidRDefault="00C34AF8" w:rsidP="00C34AF8">
      <w:pPr>
        <w:spacing w:before="120" w:after="120" w:line="240" w:lineRule="exact"/>
        <w:ind w:left="283" w:hanging="283"/>
        <w:jc w:val="both"/>
        <w:rPr>
          <w:rFonts w:ascii="FrankRuehl" w:hAnsi="FrankRuehl" w:cs="FrankRuehl"/>
          <w:rtl/>
        </w:rPr>
      </w:pPr>
      <w:hyperlink r:id="rId7" w:history="1">
        <w:r w:rsidRPr="00C34AF8">
          <w:rPr>
            <w:rFonts w:ascii="FrankRuehl" w:hAnsi="FrankRuehl" w:cs="FrankRuehl"/>
            <w:color w:val="0000FF"/>
            <w:rtl/>
          </w:rPr>
          <w:t>חוק המאבק בתופעת השימוש בחומרים מסכנים, תשע"ג-2013</w:t>
        </w:r>
      </w:hyperlink>
    </w:p>
    <w:p w14:paraId="7A14649F" w14:textId="77777777" w:rsidR="00C34AF8" w:rsidRPr="00C34AF8" w:rsidRDefault="00C34AF8" w:rsidP="00C34AF8">
      <w:pPr>
        <w:spacing w:before="120" w:after="120" w:line="240" w:lineRule="exact"/>
        <w:ind w:left="283" w:hanging="283"/>
        <w:jc w:val="both"/>
        <w:rPr>
          <w:rFonts w:ascii="FrankRuehl" w:hAnsi="FrankRuehl" w:cs="FrankRuehl"/>
          <w:rtl/>
        </w:rPr>
      </w:pPr>
      <w:hyperlink r:id="rId8" w:history="1">
        <w:r w:rsidRPr="00C34AF8">
          <w:rPr>
            <w:rFonts w:ascii="FrankRuehl" w:hAnsi="FrankRuehl" w:cs="FrankRuehl"/>
            <w:color w:val="0000FF"/>
            <w:rtl/>
          </w:rPr>
          <w:t>פקודת הסמים המסוכנים [נוסח חדש], תשל"ג-1973</w:t>
        </w:r>
      </w:hyperlink>
    </w:p>
    <w:p w14:paraId="7B6513E1" w14:textId="77777777" w:rsidR="00C34AF8" w:rsidRPr="00C34AF8" w:rsidRDefault="00C34AF8" w:rsidP="00C34AF8">
      <w:pPr>
        <w:jc w:val="center"/>
        <w:rPr>
          <w:rFonts w:ascii="David" w:hAnsi="David"/>
          <w:sz w:val="32"/>
          <w:szCs w:val="32"/>
          <w:rtl/>
        </w:rPr>
      </w:pPr>
      <w:bookmarkStart w:id="4" w:name="LawTable_End"/>
      <w:bookmarkEnd w:id="4"/>
    </w:p>
    <w:p w14:paraId="6FB8A322" w14:textId="77777777" w:rsidR="00C2411E" w:rsidRPr="002E7BE7" w:rsidRDefault="00C2411E" w:rsidP="002E7BE7">
      <w:pPr>
        <w:jc w:val="center"/>
        <w:rPr>
          <w:rFonts w:ascii="David" w:hAnsi="David"/>
          <w:sz w:val="32"/>
          <w:szCs w:val="32"/>
          <w:rtl/>
        </w:rPr>
      </w:pPr>
    </w:p>
    <w:p w14:paraId="19574E0F" w14:textId="77777777" w:rsidR="00C2411E" w:rsidRPr="00875FAD" w:rsidRDefault="00C2411E" w:rsidP="00875FAD">
      <w:pPr>
        <w:jc w:val="center"/>
        <w:rPr>
          <w:rFonts w:ascii="David" w:hAnsi="David"/>
          <w:b/>
          <w:bCs/>
          <w:sz w:val="32"/>
          <w:szCs w:val="32"/>
          <w:u w:val="single"/>
          <w:rtl/>
        </w:rPr>
      </w:pPr>
      <w:bookmarkStart w:id="5" w:name="PsakDin"/>
      <w:r w:rsidRPr="00875FAD">
        <w:rPr>
          <w:rFonts w:ascii="David" w:hAnsi="David"/>
          <w:b/>
          <w:bCs/>
          <w:sz w:val="32"/>
          <w:szCs w:val="32"/>
          <w:u w:val="single"/>
          <w:rtl/>
        </w:rPr>
        <w:t>גזר דין</w:t>
      </w:r>
    </w:p>
    <w:bookmarkEnd w:id="5"/>
    <w:p w14:paraId="455A4EEB" w14:textId="77777777" w:rsidR="00C2411E" w:rsidRPr="00EA695A" w:rsidRDefault="00C2411E" w:rsidP="000018A1">
      <w:pPr>
        <w:rPr>
          <w:rFonts w:ascii="David" w:hAnsi="David"/>
          <w:b/>
          <w:bCs/>
          <w:u w:val="single"/>
          <w:rtl/>
        </w:rPr>
      </w:pPr>
      <w:r w:rsidRPr="00EA695A">
        <w:rPr>
          <w:rFonts w:ascii="David" w:hAnsi="David" w:hint="cs"/>
          <w:b/>
          <w:bCs/>
          <w:u w:val="single"/>
          <w:rtl/>
        </w:rPr>
        <w:t>כללי</w:t>
      </w:r>
    </w:p>
    <w:p w14:paraId="3492736D" w14:textId="77777777" w:rsidR="00C2411E" w:rsidRPr="00EA695A" w:rsidRDefault="00C2411E" w:rsidP="000018A1">
      <w:pPr>
        <w:rPr>
          <w:rFonts w:ascii="David" w:hAnsi="David"/>
          <w:b/>
          <w:bCs/>
          <w:u w:val="single"/>
          <w:rtl/>
        </w:rPr>
      </w:pPr>
    </w:p>
    <w:p w14:paraId="7162DF35" w14:textId="77777777" w:rsidR="00C2411E" w:rsidRPr="00EA695A" w:rsidRDefault="00C2411E" w:rsidP="00EA695A">
      <w:pPr>
        <w:pStyle w:val="a9"/>
        <w:numPr>
          <w:ilvl w:val="0"/>
          <w:numId w:val="1"/>
        </w:numPr>
        <w:spacing w:line="360" w:lineRule="auto"/>
        <w:jc w:val="both"/>
        <w:rPr>
          <w:rFonts w:ascii="David" w:hAnsi="David"/>
        </w:rPr>
      </w:pPr>
      <w:bookmarkStart w:id="6" w:name="ABSTRACT_START"/>
      <w:bookmarkEnd w:id="6"/>
      <w:r w:rsidRPr="00EA695A">
        <w:rPr>
          <w:rFonts w:ascii="David" w:hAnsi="David" w:hint="cs"/>
          <w:rtl/>
        </w:rPr>
        <w:t>הנאשם הורשע, על פי הודאתו בעובדות כתב אישום מתוקן הכולל שלושה אישומים, בעשרים ושש עבירות סחר בסמים, עשר עבירות הדחת קטין לסמים מסוכנים ועבירת ניסיון אספקת אלכוהול לקטין.</w:t>
      </w:r>
    </w:p>
    <w:p w14:paraId="7919E072" w14:textId="77777777" w:rsidR="00C2411E" w:rsidRPr="00EA695A" w:rsidRDefault="00C2411E" w:rsidP="00EA695A">
      <w:pPr>
        <w:pStyle w:val="a9"/>
        <w:spacing w:line="360" w:lineRule="auto"/>
        <w:jc w:val="both"/>
        <w:rPr>
          <w:rFonts w:ascii="David" w:hAnsi="David"/>
          <w:rtl/>
        </w:rPr>
      </w:pPr>
      <w:r>
        <w:rPr>
          <w:rFonts w:hint="cs"/>
          <w:rtl/>
        </w:rPr>
        <w:t xml:space="preserve">ביום 26.3.20 מכר הנאשם ל-י', קטין שהיה כבן 16 באותה עת, כחמישה גרם של סם מסוכן מסוג קנבוס תמורת 100 ₪. בנוסף, בשלוש הזדמנויות שונות במועדים לא ידועים אך לפני יום 31.3.20, מכר הנאשם ל-י' שניים עד שלושה גרם סם מסוכן מסוג קנבוס בכל פעם תמורת 50 ₪  עד 100 ₪ לכל עסקה. </w:t>
      </w:r>
    </w:p>
    <w:p w14:paraId="70C480B4" w14:textId="77777777" w:rsidR="00C2411E" w:rsidRDefault="00C2411E" w:rsidP="00EA695A">
      <w:pPr>
        <w:pStyle w:val="a9"/>
        <w:spacing w:line="360" w:lineRule="auto"/>
        <w:jc w:val="both"/>
        <w:rPr>
          <w:rtl/>
        </w:rPr>
      </w:pPr>
      <w:bookmarkStart w:id="7" w:name="ABSTRACT_END"/>
      <w:bookmarkEnd w:id="7"/>
      <w:r w:rsidRPr="00EA695A">
        <w:rPr>
          <w:rFonts w:ascii="David" w:hAnsi="David" w:hint="cs"/>
          <w:rtl/>
        </w:rPr>
        <w:t>בשל</w:t>
      </w:r>
      <w:r w:rsidRPr="00EA695A">
        <w:rPr>
          <w:rFonts w:ascii="David" w:hAnsi="David"/>
          <w:rtl/>
        </w:rPr>
        <w:t xml:space="preserve"> כך הורשע הנאשם </w:t>
      </w:r>
      <w:r w:rsidRPr="00EA695A">
        <w:rPr>
          <w:rFonts w:ascii="David" w:hAnsi="David" w:hint="cs"/>
          <w:rtl/>
        </w:rPr>
        <w:t xml:space="preserve">בשלוש עבירות סחר בסם מסוכן שבהן הואשם באישום הראשון. </w:t>
      </w:r>
    </w:p>
    <w:p w14:paraId="3D8A6D01" w14:textId="77777777" w:rsidR="00C2411E" w:rsidRDefault="00C2411E" w:rsidP="00EA695A">
      <w:pPr>
        <w:pStyle w:val="a9"/>
        <w:spacing w:line="360" w:lineRule="auto"/>
        <w:jc w:val="both"/>
        <w:rPr>
          <w:rtl/>
        </w:rPr>
      </w:pPr>
    </w:p>
    <w:p w14:paraId="0284A3B2" w14:textId="77777777" w:rsidR="00C2411E" w:rsidRDefault="00C2411E" w:rsidP="00EA695A">
      <w:pPr>
        <w:pStyle w:val="a9"/>
        <w:spacing w:line="360" w:lineRule="auto"/>
        <w:jc w:val="both"/>
        <w:rPr>
          <w:rtl/>
        </w:rPr>
      </w:pPr>
      <w:r>
        <w:rPr>
          <w:rFonts w:hint="cs"/>
          <w:rtl/>
        </w:rPr>
        <w:lastRenderedPageBreak/>
        <w:t xml:space="preserve">ביום 26.3.20, נפגש הנאשם עם ע', קטין שהיה כבן 17 באותה עת, ומסר לו סם מסוכן מסוג קנבוס במשקל 3.7127 גרם על מנת שיעביר לאחר, וזאת בתמורה לכך שהנאשם ירכוש עבור ע' אלכוהול. ע' נעצר ובשל כך הנאשם לא סיפק לו את האלכוהול. </w:t>
      </w:r>
    </w:p>
    <w:p w14:paraId="35889F75" w14:textId="77777777" w:rsidR="00C2411E" w:rsidRDefault="00C2411E" w:rsidP="00EA695A">
      <w:pPr>
        <w:pStyle w:val="a9"/>
        <w:spacing w:line="360" w:lineRule="auto"/>
        <w:jc w:val="both"/>
        <w:rPr>
          <w:rtl/>
        </w:rPr>
      </w:pPr>
      <w:r>
        <w:rPr>
          <w:rFonts w:hint="cs"/>
          <w:rtl/>
        </w:rPr>
        <w:t>בנוסף, במשך תקופה של כארבעה חודשים, לפני יום 26.3.20, מכר הנאשם לע' בעשר הזדמנויות שונות סם מסוכן מסוג קנבוס. במחצית מן העסקאות כמות הסם שנמכרה הייתה 25 גרם בכל עסקה, ובמחצית השנייה כמות הסם הייתה 2-3 גרם בכל עסקה. תמורת הסמים שילם ע' לנאשם 50 ₪ עד 100 ₪ בכל עסקה.</w:t>
      </w:r>
    </w:p>
    <w:p w14:paraId="555A2365" w14:textId="77777777" w:rsidR="00C2411E" w:rsidRDefault="00C2411E" w:rsidP="00EA695A">
      <w:pPr>
        <w:pStyle w:val="a9"/>
        <w:spacing w:line="360" w:lineRule="auto"/>
        <w:jc w:val="both"/>
        <w:rPr>
          <w:rtl/>
        </w:rPr>
      </w:pPr>
      <w:r>
        <w:rPr>
          <w:rFonts w:hint="cs"/>
          <w:rtl/>
        </w:rPr>
        <w:t>בשל כך הורשע הנאשם באחת עשרה עבירות סחר בסמים מסוכנים, בעשר עבירות של הדחת קטין לסמים מסוכנים  ובעבירת ניסיון אספקת אלכוהול לקטין שיוחסו לו באישום השני.</w:t>
      </w:r>
    </w:p>
    <w:p w14:paraId="7E0CCD01" w14:textId="77777777" w:rsidR="00C2411E" w:rsidRDefault="00C2411E" w:rsidP="00EA695A">
      <w:pPr>
        <w:pStyle w:val="a9"/>
        <w:spacing w:line="360" w:lineRule="auto"/>
        <w:jc w:val="both"/>
        <w:rPr>
          <w:rtl/>
        </w:rPr>
      </w:pPr>
    </w:p>
    <w:p w14:paraId="4C218E1B" w14:textId="77777777" w:rsidR="00C2411E" w:rsidRDefault="00C2411E" w:rsidP="00EA695A">
      <w:pPr>
        <w:pStyle w:val="a9"/>
        <w:spacing w:line="360" w:lineRule="auto"/>
        <w:jc w:val="both"/>
        <w:rPr>
          <w:rtl/>
        </w:rPr>
      </w:pPr>
      <w:r w:rsidRPr="002754BF">
        <w:rPr>
          <w:rFonts w:hint="cs"/>
          <w:rtl/>
        </w:rPr>
        <w:t>ביום</w:t>
      </w:r>
      <w:r w:rsidRPr="00EA695A">
        <w:rPr>
          <w:rFonts w:hint="cs"/>
          <w:b/>
          <w:bCs/>
          <w:rtl/>
        </w:rPr>
        <w:t xml:space="preserve"> </w:t>
      </w:r>
      <w:r>
        <w:rPr>
          <w:rFonts w:hint="cs"/>
          <w:rtl/>
        </w:rPr>
        <w:t xml:space="preserve"> 5.3.20 מכר הנאשם ליפרח מתניה גרם אחד של סם מסוכן מסוג קנבוס תמורת 40 ₪. ביום 24.3.20 מכר הנאשם ליפרח 15 גרם סם מסוכן מסוג קנבוס תמורת 150 ₪. כמו כן, במועדים שונים שאינם ידועים במדויק, במהלך תקופה של ארבעה חודשים לפני יום 31.3.20, הנאשם מכר ליפרח בעשר הזדמנויות שונות סם מסוכן מסוג קנבוס בכמות של 15 גרם ותמורת 150 ₪ בכל פעם. </w:t>
      </w:r>
    </w:p>
    <w:p w14:paraId="3E558DA1" w14:textId="77777777" w:rsidR="00C2411E" w:rsidRPr="00EA695A" w:rsidRDefault="00C2411E" w:rsidP="00EA695A">
      <w:pPr>
        <w:pStyle w:val="a9"/>
        <w:spacing w:line="360" w:lineRule="auto"/>
        <w:jc w:val="both"/>
        <w:rPr>
          <w:rFonts w:ascii="David" w:hAnsi="David"/>
          <w:rtl/>
        </w:rPr>
      </w:pPr>
      <w:r>
        <w:rPr>
          <w:rFonts w:hint="cs"/>
          <w:rtl/>
        </w:rPr>
        <w:t xml:space="preserve">בשל כך הורשע הנאשם בשתים - עשרה עבירות של סחר בסם מסוכן שיוחסו לו באישום השלישי. </w:t>
      </w:r>
    </w:p>
    <w:p w14:paraId="732741EF" w14:textId="77777777" w:rsidR="00C2411E" w:rsidRPr="00EA695A" w:rsidRDefault="00C2411E" w:rsidP="00EA695A">
      <w:pPr>
        <w:pStyle w:val="a9"/>
        <w:spacing w:line="360" w:lineRule="auto"/>
        <w:jc w:val="both"/>
        <w:rPr>
          <w:rFonts w:ascii="David" w:hAnsi="David"/>
        </w:rPr>
      </w:pPr>
    </w:p>
    <w:p w14:paraId="441975F8" w14:textId="77777777" w:rsidR="00C2411E" w:rsidRPr="00EA695A" w:rsidRDefault="00C2411E" w:rsidP="00EA695A">
      <w:pPr>
        <w:pStyle w:val="a9"/>
        <w:numPr>
          <w:ilvl w:val="0"/>
          <w:numId w:val="1"/>
        </w:numPr>
        <w:spacing w:line="360" w:lineRule="auto"/>
        <w:jc w:val="both"/>
        <w:rPr>
          <w:rFonts w:ascii="David" w:hAnsi="David"/>
        </w:rPr>
      </w:pPr>
      <w:r w:rsidRPr="00EA695A">
        <w:rPr>
          <w:rFonts w:ascii="David" w:hAnsi="David" w:hint="cs"/>
          <w:rtl/>
        </w:rPr>
        <w:t>הצדדים הציגו הסדר דיוני שלפיו כתב האישום תוקן, הנאשם הודה במיוחס לו והורשע. לא נערך הסדר לעניין העונש, אך הוסכם כי יוכן תסקיר שירות מבחן.</w:t>
      </w:r>
    </w:p>
    <w:p w14:paraId="1FCF8695" w14:textId="77777777" w:rsidR="00C2411E" w:rsidRPr="00EA695A" w:rsidRDefault="00C2411E" w:rsidP="00EA695A">
      <w:pPr>
        <w:pStyle w:val="a9"/>
        <w:spacing w:line="360" w:lineRule="auto"/>
        <w:jc w:val="both"/>
        <w:rPr>
          <w:rFonts w:ascii="David" w:hAnsi="David"/>
        </w:rPr>
      </w:pPr>
    </w:p>
    <w:p w14:paraId="776AD3A6" w14:textId="77777777" w:rsidR="00C2411E" w:rsidRPr="00EA695A" w:rsidRDefault="00C2411E" w:rsidP="00EA695A">
      <w:pPr>
        <w:pStyle w:val="a9"/>
        <w:numPr>
          <w:ilvl w:val="0"/>
          <w:numId w:val="1"/>
        </w:numPr>
        <w:spacing w:line="360" w:lineRule="auto"/>
        <w:jc w:val="both"/>
        <w:rPr>
          <w:rFonts w:ascii="David" w:hAnsi="David"/>
        </w:rPr>
      </w:pPr>
      <w:r w:rsidRPr="00EA695A">
        <w:rPr>
          <w:rFonts w:ascii="David" w:hAnsi="David" w:hint="cs"/>
          <w:rtl/>
        </w:rPr>
        <w:t xml:space="preserve">בעניינו של הנאשם הוגשו מספר רב של תסקירי שירות מבחן, שבהם תוארו קורות חייו של הנאשם והם עקבו במשך כשנה וחצי אחרי הניסיונות לשלב אותו בטיפול במסגרת השירות. </w:t>
      </w:r>
    </w:p>
    <w:p w14:paraId="5846791F"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התסקירים מלמדים כי הנאשם כבן 25, רווק, טרם מעצרו התגורר בגפו בדירה שכורה ועבד במלצרות וכעת מצוי בתנאים מגבילים בבית הוריו, שעמם תיאר קשר מורכב מאז ילדותו. </w:t>
      </w:r>
    </w:p>
    <w:p w14:paraId="22A170CE"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בילדותו התמודד הנאשם עם קשיים במסגרות החינוכיות ועבר בין מסגרות רבות. בשל אופי המסגרות שבהן למד, אין לו תעודת בגרות. </w:t>
      </w:r>
    </w:p>
    <w:p w14:paraId="267160CF" w14:textId="77777777" w:rsidR="00C2411E" w:rsidRPr="00EA695A" w:rsidRDefault="00C2411E" w:rsidP="00EA695A">
      <w:pPr>
        <w:pStyle w:val="a9"/>
        <w:spacing w:line="360" w:lineRule="auto"/>
        <w:jc w:val="both"/>
        <w:rPr>
          <w:rFonts w:ascii="David" w:hAnsi="David"/>
        </w:rPr>
      </w:pPr>
      <w:r w:rsidRPr="00EA695A">
        <w:rPr>
          <w:rFonts w:ascii="David" w:hAnsi="David" w:hint="cs"/>
          <w:rtl/>
        </w:rPr>
        <w:t xml:space="preserve">הנאשם התגייס לצה"ל כלוחם ובהמשך, על רקע בעיות בריאותיות, עבר לשרת כמדריך סיורים.  הוא הוכר כחייל בודד על רקע ניתוק קשר עם הוריו והיעדר תמיכה משפחתית. </w:t>
      </w:r>
    </w:p>
    <w:p w14:paraId="669BB419"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מאז גיל 17 עבד הנאשם בעבודות מזדמנות. </w:t>
      </w:r>
    </w:p>
    <w:p w14:paraId="7E59072F"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הנאשם תיאר לפני שירות המבחן כי בגיל תשע התנסה לראשונה בשתיית אלכוהול באירועים משפחתיים, בגיל 14 החל לצרוך אלכוהול באופן אינטנסיבי יותר בנסיבות חברתיות ובגיל 15 התנסה לראשונה בסמים. במהלך שירותו הצבאי העמיק השימוש בסמים על בסיס יומיומי. </w:t>
      </w:r>
    </w:p>
    <w:p w14:paraId="387589B0"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lastRenderedPageBreak/>
        <w:t xml:space="preserve">לנאשם אין הרשעות קודמות. הוא קיבל אחריות על מרבית העבירות שבביצוען הורשע, למעט ניסיון אספקת האלכוהול לקטין. עם זאת, בתחילת הדרך טען ביחס לעבירות הסחר נושא האישום השלישי כי רכש סמים יחד עם חבר ולא ראה את הפעולה כסחר שכן הוא מסר את הסמים לחבר במחיר עלותם. הנאשם תיאר כי ברקע לביצוע העבירות חווה תקופה קשה בה הרגיש התדרדרות בהיבטים שונים של חייו, וכי באותה עת עשה שימוש מופרז בסמים והתקשה להבין את השלכות מעשיו.  </w:t>
      </w:r>
    </w:p>
    <w:p w14:paraId="10300945"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שירות המבחן </w:t>
      </w:r>
      <w:r w:rsidRPr="00EA695A">
        <w:rPr>
          <w:rFonts w:ascii="David" w:hAnsi="David"/>
          <w:rtl/>
        </w:rPr>
        <w:t>ה</w:t>
      </w:r>
      <w:r w:rsidRPr="00EA695A">
        <w:rPr>
          <w:rFonts w:ascii="David" w:hAnsi="David" w:hint="cs"/>
          <w:rtl/>
        </w:rPr>
        <w:t>תרשם כי לנאשם</w:t>
      </w:r>
      <w:r w:rsidRPr="00EA695A">
        <w:rPr>
          <w:rFonts w:ascii="David" w:hAnsi="David"/>
          <w:rtl/>
        </w:rPr>
        <w:t xml:space="preserve"> </w:t>
      </w:r>
      <w:r w:rsidRPr="00EA695A">
        <w:rPr>
          <w:rFonts w:ascii="David" w:hAnsi="David" w:hint="cs"/>
          <w:rtl/>
        </w:rPr>
        <w:t xml:space="preserve">דפוס התנהגותי של ריצוי והוא מתקשה בהצבת גבולות לאחרים ולעצמו. הוא </w:t>
      </w:r>
      <w:r w:rsidRPr="00EA695A">
        <w:rPr>
          <w:rFonts w:ascii="David" w:hAnsi="David"/>
          <w:rtl/>
        </w:rPr>
        <w:t xml:space="preserve">גילה </w:t>
      </w:r>
      <w:r w:rsidRPr="00EA695A">
        <w:rPr>
          <w:rFonts w:ascii="David" w:hAnsi="David" w:hint="cs"/>
          <w:rtl/>
        </w:rPr>
        <w:t xml:space="preserve">לאורך חייו </w:t>
      </w:r>
      <w:r w:rsidRPr="00EA695A">
        <w:rPr>
          <w:rFonts w:ascii="David" w:hAnsi="David"/>
          <w:rtl/>
        </w:rPr>
        <w:t>קשיים הסתגלותיים במסגרות השונות</w:t>
      </w:r>
      <w:r w:rsidRPr="00EA695A">
        <w:rPr>
          <w:rFonts w:ascii="David" w:hAnsi="David" w:hint="cs"/>
          <w:rtl/>
        </w:rPr>
        <w:t xml:space="preserve">, עדיין מצוי בתהליך גיבוש זהות ותר אחר שייכות וקבלה. הנאשם הביע רצון להשתלב בטיפול ולנהל אורח חיים נורמטיבי. לפיכך, המליץ שירות המבחן לשלב את הנאשם בקהילה טיפולית. </w:t>
      </w:r>
    </w:p>
    <w:p w14:paraId="1DE057DD"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תחילה הופנה הנאשם לראיון בקהילה הטיפולית "הר טוב", אך לאור התייחסות אמביוולנטית שהביע לגבי השתלבותו במסגרת סגורה ואינטנסיבית, ניסה שירות המבחן למצוא עבורו מסגרת אחרת ב"מרכז יום", ואולם גם ביחס לטיפול זה הביע הנאשם עמדות אמביוולנטיות, וגם שירות המבחן הטיל בסופו של יום ספק בדבר יכולתו להתמיד ולעמוד בדרישות המסגרת ובדבר ההיתכנות להמשך מעורבות של שירות המבחן בעניינו. </w:t>
      </w:r>
    </w:p>
    <w:p w14:paraId="42976AD0"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על אף האמור, לנוכח התרשמות שירות המבחן מנזקקות טיפולית אצל הנאשם, על רקע בלבול, חוסר גבולות והעדר גורמי תמיכה מסביבו, ניתנה לנאשם הזדמנות נוספת להשתלב בטיפול, הוא הופנה לקהילת "רטורנו" ושולב בטיפול ביום  3.11.20. עם זאת, כעבור כשבועיים וחצי הטיפול הופסק לאור</w:t>
      </w:r>
      <w:r w:rsidRPr="00EA695A">
        <w:rPr>
          <w:rFonts w:ascii="David" w:hAnsi="David"/>
          <w:rtl/>
        </w:rPr>
        <w:t xml:space="preserve"> התנהגויות לא הולמות </w:t>
      </w:r>
      <w:r w:rsidRPr="00EA695A">
        <w:rPr>
          <w:rFonts w:ascii="David" w:hAnsi="David" w:hint="cs"/>
          <w:rtl/>
        </w:rPr>
        <w:t>מצד הנאשם ובהן גם התנהלות מינית לא מותאמת, התנהגויות שהנאשם המשיך בהן גם לאחר שהוזהר</w:t>
      </w:r>
      <w:r w:rsidRPr="00EA695A">
        <w:rPr>
          <w:rFonts w:ascii="David" w:hAnsi="David"/>
          <w:rtl/>
        </w:rPr>
        <w:t xml:space="preserve">. </w:t>
      </w:r>
    </w:p>
    <w:p w14:paraId="45E989E0"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לאחר נשירתו מ"רטרונו", ולנוכח רצון שהביע הנאשם להשלים את הטיפול, הוא הופנה לחטיבה לקידום נוער וצעירים בעיריית ירושלים, שם שולב בפגישות פרטניות החל מחודש ינואר 2021 והדיונים נדחו מעת לעת כדי לעקוב אחר הטיפול, שבמהלכו הוא שולב גם בטיפול קבוצתי. </w:t>
      </w:r>
    </w:p>
    <w:p w14:paraId="2B5B27D3"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לאורך השנה שחלפה הנאשם הצליח להתמיד בטיפול ולשמור על ניקיון משימוש בסמים, למעט שתי בדיקות שנערכו בסוף חודש יוני ובתחילת חודש יולי 2021 שהעידו על שימוש בסם, אך גם לאחריהן הוסיף הנאשם למסור בדיקות נקיות משרידי סמים. </w:t>
      </w:r>
    </w:p>
    <w:p w14:paraId="63138E23"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שירות המבחן התרשם כי התהליך הטיפולי שבו משתתף הנאשם כעת הוא חיובי ומשמעותי, וכי חרף הקשיים שחווה בתחילת הדרך, הוא ערך מאמצים ניכרים לשתף פעולה בטיפול ורואה בו מקור והזדמנות לקבלת סיוע ותמיכה. כיום הוא מגלה הבנה מעמיקה יותר לנסיבות ביצוע העבירות, מקבל אחריות על ביצוען, והוא פיתח הבנה ומודעות להתנהלותו החברתית, שהייתה אחד הגורמים המרכזיים שהכשילו אותו בביצוע העבירות. התרשמות גורמי הטיפול היא כי התכנים בקבוצה משמעותיים עבור הנאשם וכי הוא מצליח להתחבר לרגשותיו, מגלה מוטיבציה וניכר בו רצון לערוך שינוי. הנאשם אף מצוי ברשימת המתנה לתכנית להשלמת 12 שנות לימוד, שהוקפאה בשל היעדר תקצוב. </w:t>
      </w:r>
    </w:p>
    <w:p w14:paraId="0040AF4F"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הנאשם שיתף פעולה גם עם בקשת שירות המבחן לעריכת אבחון פסיכיאטרי, וההתרשמות היא כי הוא אינו סובל מהפרעה פסיכופתולוגית וכי מצבו הנפשי התייצב, ובהתאם לכך - גם מצבו ההתמכרותי.</w:t>
      </w:r>
    </w:p>
    <w:p w14:paraId="4C920DF7"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שירות המבחן שקל </w:t>
      </w:r>
      <w:r w:rsidRPr="00EA695A">
        <w:rPr>
          <w:rFonts w:ascii="David" w:hAnsi="David"/>
          <w:rtl/>
        </w:rPr>
        <w:t xml:space="preserve">להמליץ </w:t>
      </w:r>
      <w:r w:rsidRPr="00EA695A">
        <w:rPr>
          <w:rFonts w:ascii="David" w:hAnsi="David" w:hint="cs"/>
          <w:rtl/>
        </w:rPr>
        <w:t>לגזור על הנאשם צו</w:t>
      </w:r>
      <w:r w:rsidRPr="00EA695A">
        <w:rPr>
          <w:rFonts w:ascii="David" w:hAnsi="David"/>
          <w:rtl/>
        </w:rPr>
        <w:t xml:space="preserve"> ש</w:t>
      </w:r>
      <w:r w:rsidRPr="00EA695A">
        <w:rPr>
          <w:rFonts w:ascii="David" w:hAnsi="David" w:hint="cs"/>
          <w:rtl/>
        </w:rPr>
        <w:t xml:space="preserve">ירות לתועלת הציבור </w:t>
      </w:r>
      <w:r w:rsidRPr="00EA695A">
        <w:rPr>
          <w:rFonts w:ascii="David" w:hAnsi="David"/>
          <w:rtl/>
        </w:rPr>
        <w:t>בהיקף נרחב, אך לאור חומרת העבירות והערכ</w:t>
      </w:r>
      <w:r w:rsidRPr="00EA695A">
        <w:rPr>
          <w:rFonts w:ascii="David" w:hAnsi="David" w:hint="cs"/>
          <w:rtl/>
        </w:rPr>
        <w:t>ה</w:t>
      </w:r>
      <w:r w:rsidRPr="00EA695A">
        <w:rPr>
          <w:rFonts w:ascii="David" w:hAnsi="David"/>
          <w:rtl/>
        </w:rPr>
        <w:t xml:space="preserve"> כי הנאשם יתקשה לעמוד בהיקף נרחב של שעות</w:t>
      </w:r>
      <w:r w:rsidRPr="00EA695A">
        <w:rPr>
          <w:rFonts w:ascii="David" w:hAnsi="David" w:hint="cs"/>
          <w:rtl/>
        </w:rPr>
        <w:t>,</w:t>
      </w:r>
      <w:r w:rsidRPr="00EA695A">
        <w:rPr>
          <w:rFonts w:ascii="David" w:hAnsi="David"/>
          <w:rtl/>
        </w:rPr>
        <w:t xml:space="preserve"> </w:t>
      </w:r>
      <w:r w:rsidRPr="00EA695A">
        <w:rPr>
          <w:rFonts w:ascii="David" w:hAnsi="David" w:hint="cs"/>
          <w:rtl/>
        </w:rPr>
        <w:t xml:space="preserve">הומלץ לגזור עליו </w:t>
      </w:r>
      <w:r w:rsidRPr="00EA695A">
        <w:rPr>
          <w:rFonts w:ascii="David" w:hAnsi="David"/>
          <w:rtl/>
        </w:rPr>
        <w:t>מאסר בעבודות שירות לתקופה קצרה ככל הניתן</w:t>
      </w:r>
      <w:r w:rsidRPr="00EA695A">
        <w:rPr>
          <w:rFonts w:ascii="David" w:hAnsi="David" w:hint="cs"/>
          <w:rtl/>
        </w:rPr>
        <w:t>,</w:t>
      </w:r>
      <w:r w:rsidRPr="00EA695A">
        <w:rPr>
          <w:rFonts w:ascii="David" w:hAnsi="David"/>
          <w:rtl/>
        </w:rPr>
        <w:t xml:space="preserve"> צו מבחן ומאסר מותנה.  כן, ה</w:t>
      </w:r>
      <w:r w:rsidRPr="00EA695A">
        <w:rPr>
          <w:rFonts w:ascii="David" w:hAnsi="David" w:hint="cs"/>
          <w:rtl/>
        </w:rPr>
        <w:t xml:space="preserve">ומלץ </w:t>
      </w:r>
      <w:r w:rsidRPr="00EA695A">
        <w:rPr>
          <w:rFonts w:ascii="David" w:hAnsi="David"/>
          <w:rtl/>
        </w:rPr>
        <w:t xml:space="preserve">כי </w:t>
      </w:r>
      <w:r w:rsidRPr="00EA695A">
        <w:rPr>
          <w:rFonts w:ascii="David" w:hAnsi="David" w:hint="cs"/>
          <w:rtl/>
        </w:rPr>
        <w:t xml:space="preserve">ריצוי </w:t>
      </w:r>
      <w:r w:rsidRPr="00EA695A">
        <w:rPr>
          <w:rFonts w:ascii="David" w:hAnsi="David"/>
          <w:rtl/>
        </w:rPr>
        <w:t xml:space="preserve">העונש יחל לאחר </w:t>
      </w:r>
      <w:r w:rsidRPr="00EA695A">
        <w:rPr>
          <w:rFonts w:ascii="David" w:hAnsi="David" w:hint="cs"/>
          <w:rtl/>
        </w:rPr>
        <w:t xml:space="preserve">חודש </w:t>
      </w:r>
      <w:r w:rsidRPr="00EA695A">
        <w:rPr>
          <w:rFonts w:ascii="David" w:hAnsi="David"/>
          <w:rtl/>
        </w:rPr>
        <w:t>מרץ 2022 על מנת לאפשר לנאשם את סיום הטיפול בקבוצה</w:t>
      </w:r>
      <w:r w:rsidRPr="00EA695A">
        <w:rPr>
          <w:rFonts w:ascii="David" w:hAnsi="David" w:hint="cs"/>
          <w:rtl/>
        </w:rPr>
        <w:t>.</w:t>
      </w:r>
    </w:p>
    <w:p w14:paraId="1A2E9347" w14:textId="77777777" w:rsidR="00C2411E" w:rsidRPr="00EA695A" w:rsidRDefault="00C2411E" w:rsidP="00EA695A">
      <w:pPr>
        <w:pStyle w:val="a9"/>
        <w:spacing w:line="360" w:lineRule="auto"/>
        <w:jc w:val="both"/>
        <w:rPr>
          <w:rFonts w:ascii="David" w:hAnsi="David"/>
          <w:rtl/>
        </w:rPr>
      </w:pPr>
    </w:p>
    <w:p w14:paraId="07D4C4CB" w14:textId="77777777" w:rsidR="00C2411E" w:rsidRPr="00EA695A" w:rsidRDefault="00C2411E" w:rsidP="00EA695A">
      <w:pPr>
        <w:pStyle w:val="a9"/>
        <w:numPr>
          <w:ilvl w:val="0"/>
          <w:numId w:val="1"/>
        </w:numPr>
        <w:spacing w:line="360" w:lineRule="auto"/>
        <w:jc w:val="both"/>
        <w:rPr>
          <w:rFonts w:ascii="David" w:hAnsi="David"/>
          <w:rtl/>
        </w:rPr>
      </w:pPr>
      <w:r w:rsidRPr="00EA695A">
        <w:rPr>
          <w:rFonts w:ascii="David" w:hAnsi="David" w:hint="cs"/>
          <w:rtl/>
        </w:rPr>
        <w:t xml:space="preserve">המאשימה  ביקשה לקבוע בעניינו של הנאשם מתחם עונש הולם נפרד לכל אחד מהאישומים. </w:t>
      </w:r>
    </w:p>
    <w:p w14:paraId="088E437E"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באשר לאישומים הראשון והשלישי ביקשה המאשימה לקבוע מתחם עונש הולם שבין שישה  לחמישה - עשר חודשי מאסר בפועל; באשר לאישום השני, ביקשה המאשימה לקבוע מתחם עונש הולם שבין שמונה לעשרים ושמונה חודשי מאסר בפועל. </w:t>
      </w:r>
    </w:p>
    <w:p w14:paraId="54BFDE89"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המאשימה ביקשה לגזור על הנאשם עונש המצוי בתחתית מתחמי העונש ההולם, ולהטיל עליו עונש כולל של עשרים חודשי מאסר בפועל לצד מאסר על תנאי וקנס. </w:t>
      </w:r>
    </w:p>
    <w:p w14:paraId="5FC91C96"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 xml:space="preserve">בטיעוניה הדגישה המאשימה את הערכים המוגנים באמצעות העבירות, את העובדה כי הנאשם חזר על העבירות שוב ושוב לאורך מספר חודשים, וטענה כי הנאשם הוא חלק עיקרי בשרשרת הפצת הסם. כן, טענה המאשימה כי ישנה חומרה יתרה במכירת סמים לקטינים. </w:t>
      </w:r>
    </w:p>
    <w:p w14:paraId="415A9922" w14:textId="77777777" w:rsidR="00C2411E" w:rsidRPr="00EA695A" w:rsidRDefault="00C2411E" w:rsidP="00EA695A">
      <w:pPr>
        <w:pStyle w:val="a9"/>
        <w:spacing w:line="360" w:lineRule="auto"/>
        <w:jc w:val="both"/>
        <w:rPr>
          <w:rFonts w:ascii="David" w:hAnsi="David"/>
          <w:rtl/>
        </w:rPr>
      </w:pPr>
      <w:r w:rsidRPr="00EA695A">
        <w:rPr>
          <w:rFonts w:ascii="David" w:hAnsi="David" w:hint="cs"/>
          <w:rtl/>
        </w:rPr>
        <w:t>המאשימה הדגישה כי הנאשם החל לשתף פעולה עם הליך טיפולי רק לאחר שהוזהר על ידי  בית המשפט, וטענה כי הטיפול שבו משתתף הנאשם אינו מצדיק חריגה ממתחם העונש ההולם.</w:t>
      </w:r>
    </w:p>
    <w:p w14:paraId="4BB183BE" w14:textId="77777777" w:rsidR="00C2411E" w:rsidRPr="00EA695A" w:rsidRDefault="00C2411E" w:rsidP="00EA695A">
      <w:pPr>
        <w:pStyle w:val="a9"/>
        <w:spacing w:line="360" w:lineRule="auto"/>
        <w:jc w:val="both"/>
        <w:rPr>
          <w:rFonts w:ascii="David" w:hAnsi="David"/>
          <w:rtl/>
        </w:rPr>
      </w:pPr>
    </w:p>
    <w:p w14:paraId="7417FA6B" w14:textId="77777777" w:rsidR="00C2411E" w:rsidRPr="00EA695A" w:rsidRDefault="00C2411E" w:rsidP="00EA695A">
      <w:pPr>
        <w:pStyle w:val="a9"/>
        <w:numPr>
          <w:ilvl w:val="0"/>
          <w:numId w:val="1"/>
        </w:numPr>
        <w:spacing w:line="360" w:lineRule="auto"/>
        <w:jc w:val="both"/>
        <w:rPr>
          <w:rFonts w:ascii="David" w:hAnsi="David"/>
        </w:rPr>
      </w:pPr>
      <w:r w:rsidRPr="00EA695A">
        <w:rPr>
          <w:rFonts w:ascii="David" w:hAnsi="David" w:hint="cs"/>
          <w:rtl/>
        </w:rPr>
        <w:t xml:space="preserve">ב"כ הנאשם ביקש לאמץ את המלצות שירות המבחן ולגזור על הנאשם מאסר בעבודות שירות. בטיעוניו הדגיש ב"כ הנאשם כי הנאשם נעדר עבר פלילי, שירת כלוחם בצבא, הודה בשלב מוקדם של ההליך, ועל אף הקשיים, ביניהם מעצר הבית הממושך והקושי להתאים הליך טיפולי,  הנאשם עבר בסופו של דבר תהליך טיפולי  כן ואמיתי. עוד נטען כי האינטרס הציבורי מחייב להימנע מלגזור על הנאשם עונש מאסר וכי יש לאפשר לו לחזור לאורח חיים נורמטיבי ותורם לחברה. </w:t>
      </w:r>
    </w:p>
    <w:p w14:paraId="56EED860" w14:textId="77777777" w:rsidR="00C2411E" w:rsidRPr="00EA695A" w:rsidRDefault="00C2411E" w:rsidP="00EA695A">
      <w:pPr>
        <w:pStyle w:val="a9"/>
        <w:spacing w:line="360" w:lineRule="auto"/>
        <w:jc w:val="both"/>
        <w:rPr>
          <w:rFonts w:ascii="David" w:hAnsi="David"/>
          <w:rtl/>
        </w:rPr>
      </w:pPr>
    </w:p>
    <w:p w14:paraId="23EFBE4F" w14:textId="77777777" w:rsidR="00C2411E" w:rsidRPr="00EA695A" w:rsidRDefault="00C2411E" w:rsidP="00EA695A">
      <w:pPr>
        <w:pStyle w:val="a9"/>
        <w:numPr>
          <w:ilvl w:val="0"/>
          <w:numId w:val="1"/>
        </w:numPr>
        <w:spacing w:line="360" w:lineRule="auto"/>
        <w:jc w:val="both"/>
        <w:rPr>
          <w:rFonts w:ascii="David" w:hAnsi="David"/>
          <w:rtl/>
        </w:rPr>
      </w:pPr>
      <w:r w:rsidRPr="00EA695A">
        <w:rPr>
          <w:rFonts w:ascii="David" w:hAnsi="David" w:hint="cs"/>
          <w:rtl/>
        </w:rPr>
        <w:t xml:space="preserve">הנאשם בדברו האחרון, הביע צער וחרטה על מעשיו. </w:t>
      </w:r>
    </w:p>
    <w:p w14:paraId="3F649199" w14:textId="77777777" w:rsidR="00C2411E" w:rsidRPr="00EA695A" w:rsidRDefault="00C2411E" w:rsidP="00EA695A">
      <w:pPr>
        <w:pStyle w:val="a9"/>
        <w:spacing w:line="360" w:lineRule="auto"/>
        <w:jc w:val="both"/>
        <w:rPr>
          <w:rFonts w:ascii="David" w:hAnsi="David"/>
          <w:rtl/>
        </w:rPr>
      </w:pPr>
    </w:p>
    <w:p w14:paraId="10327D91" w14:textId="77777777" w:rsidR="00C2411E" w:rsidRPr="00EA695A" w:rsidRDefault="00C2411E" w:rsidP="00EA695A">
      <w:pPr>
        <w:pStyle w:val="a9"/>
        <w:spacing w:line="360" w:lineRule="auto"/>
        <w:jc w:val="both"/>
        <w:rPr>
          <w:rFonts w:ascii="David" w:hAnsi="David"/>
          <w:rtl/>
        </w:rPr>
      </w:pPr>
    </w:p>
    <w:p w14:paraId="7C07D520" w14:textId="77777777" w:rsidR="00C2411E" w:rsidRPr="00EA695A" w:rsidRDefault="00C2411E" w:rsidP="00EA695A">
      <w:pPr>
        <w:pStyle w:val="a9"/>
        <w:spacing w:line="360" w:lineRule="auto"/>
        <w:ind w:left="0"/>
        <w:jc w:val="both"/>
        <w:rPr>
          <w:rFonts w:ascii="David" w:hAnsi="David"/>
          <w:b/>
          <w:bCs/>
          <w:u w:val="single"/>
          <w:rtl/>
        </w:rPr>
      </w:pPr>
      <w:r w:rsidRPr="00EA695A">
        <w:rPr>
          <w:rFonts w:ascii="David" w:hAnsi="David" w:hint="cs"/>
          <w:b/>
          <w:bCs/>
          <w:u w:val="single"/>
          <w:rtl/>
        </w:rPr>
        <w:t>מתחם העונש ההולם</w:t>
      </w:r>
    </w:p>
    <w:p w14:paraId="53882855" w14:textId="77777777" w:rsidR="00C2411E" w:rsidRPr="00EA695A" w:rsidRDefault="00C2411E" w:rsidP="00EA695A">
      <w:pPr>
        <w:pStyle w:val="a9"/>
        <w:numPr>
          <w:ilvl w:val="0"/>
          <w:numId w:val="1"/>
        </w:numPr>
        <w:spacing w:line="360" w:lineRule="auto"/>
        <w:rPr>
          <w:rFonts w:ascii="David" w:hAnsi="David"/>
        </w:rPr>
      </w:pPr>
      <w:r w:rsidRPr="00EA695A">
        <w:rPr>
          <w:rFonts w:ascii="David" w:hAnsi="David" w:hint="cs"/>
          <w:rtl/>
        </w:rPr>
        <w:t>הגם שהנאשם הורשע במספר עבירות שאירעו במועדים שונים וכרכו בתוכן מעורבים שונים, בשל סמיכות הזמנים והדמיון בין המעשים, אני סבורה כי יש להתייחס אל כלל העבירות כאל אירוע אחד לצורך קביעת מתחם העונש ההולם.</w:t>
      </w:r>
      <w:r w:rsidRPr="00EA695A">
        <w:rPr>
          <w:rFonts w:ascii="David" w:hAnsi="David"/>
          <w:rtl/>
        </w:rPr>
        <w:t xml:space="preserve"> </w:t>
      </w:r>
    </w:p>
    <w:p w14:paraId="29801A86" w14:textId="77777777" w:rsidR="00C2411E" w:rsidRPr="00EA695A" w:rsidRDefault="00C2411E" w:rsidP="000018A1">
      <w:pPr>
        <w:pStyle w:val="a9"/>
        <w:rPr>
          <w:rFonts w:ascii="David" w:hAnsi="David"/>
        </w:rPr>
      </w:pPr>
    </w:p>
    <w:p w14:paraId="328651C2" w14:textId="77777777" w:rsidR="00C2411E" w:rsidRPr="00EA695A" w:rsidRDefault="00C2411E" w:rsidP="000018A1">
      <w:pPr>
        <w:pStyle w:val="a9"/>
        <w:rPr>
          <w:rFonts w:ascii="David" w:hAnsi="David"/>
          <w:rtl/>
        </w:rPr>
      </w:pPr>
      <w:r w:rsidRPr="00EA695A">
        <w:rPr>
          <w:rFonts w:ascii="David" w:hAnsi="David"/>
          <w:rtl/>
        </w:rPr>
        <w:t xml:space="preserve"> </w:t>
      </w:r>
    </w:p>
    <w:p w14:paraId="65FB5977" w14:textId="77777777" w:rsidR="00C2411E" w:rsidRPr="00EA695A" w:rsidRDefault="00C2411E" w:rsidP="00EA695A">
      <w:pPr>
        <w:pStyle w:val="a9"/>
        <w:numPr>
          <w:ilvl w:val="0"/>
          <w:numId w:val="1"/>
        </w:numPr>
        <w:spacing w:line="360" w:lineRule="auto"/>
        <w:jc w:val="both"/>
        <w:rPr>
          <w:rFonts w:ascii="David" w:hAnsi="David"/>
        </w:rPr>
      </w:pPr>
      <w:r w:rsidRPr="00EA695A">
        <w:rPr>
          <w:rFonts w:ascii="David" w:hAnsi="David"/>
          <w:rtl/>
        </w:rPr>
        <w:t xml:space="preserve">עבירות הסמים נועדו להגן על הציבור מפני הנזקים הישירים והעקיפים הנובעים משימוש בסמים. בראש ובראשונה נועדו העבירות להגן על הבריאות ושלמות הגוף, </w:t>
      </w:r>
      <w:r w:rsidRPr="00EA695A">
        <w:rPr>
          <w:rFonts w:ascii="David" w:hAnsi="David" w:hint="cs"/>
          <w:rtl/>
        </w:rPr>
        <w:t>לנוכח</w:t>
      </w:r>
      <w:r w:rsidRPr="00EA695A">
        <w:rPr>
          <w:rFonts w:ascii="David" w:hAnsi="David"/>
          <w:rtl/>
        </w:rPr>
        <w:t xml:space="preserve"> הפגיעה הגופנית והנפשית שעשויה להיגרם כתוצאה משימוש בסמים.</w:t>
      </w:r>
      <w:r w:rsidRPr="00EA695A">
        <w:rPr>
          <w:rFonts w:ascii="David" w:hAnsi="David" w:hint="cs"/>
          <w:rtl/>
        </w:rPr>
        <w:t xml:space="preserve"> שימוש בסמים</w:t>
      </w:r>
      <w:r w:rsidRPr="00EA695A">
        <w:rPr>
          <w:rFonts w:ascii="David" w:hAnsi="David"/>
          <w:rtl/>
        </w:rPr>
        <w:t xml:space="preserve"> </w:t>
      </w:r>
      <w:r w:rsidRPr="00EA695A">
        <w:rPr>
          <w:rFonts w:ascii="David" w:hAnsi="David" w:hint="cs"/>
          <w:rtl/>
        </w:rPr>
        <w:t>גורם ל</w:t>
      </w:r>
      <w:r w:rsidRPr="00EA695A">
        <w:rPr>
          <w:rFonts w:ascii="David" w:hAnsi="David"/>
          <w:rtl/>
        </w:rPr>
        <w:t xml:space="preserve">השלכות פוגעניות גם על בני משפחותיהם של המשתמשים, על סביבתם הקרובה ולבסוף הוא פוגע בחברה כולה (ראו </w:t>
      </w:r>
      <w:hyperlink r:id="rId9" w:history="1">
        <w:r w:rsidRPr="00875FAD">
          <w:rPr>
            <w:rFonts w:ascii="David" w:hAnsi="David"/>
            <w:color w:val="0000FF"/>
            <w:u w:val="single"/>
            <w:rtl/>
          </w:rPr>
          <w:t>ע"פ 1635/14</w:t>
        </w:r>
      </w:hyperlink>
      <w:r w:rsidRPr="00EA695A">
        <w:rPr>
          <w:rFonts w:ascii="David" w:hAnsi="David"/>
          <w:rtl/>
        </w:rPr>
        <w:t xml:space="preserve"> </w:t>
      </w:r>
      <w:r w:rsidRPr="00EA695A">
        <w:rPr>
          <w:rFonts w:ascii="David" w:hAnsi="David"/>
          <w:b/>
          <w:bCs/>
          <w:rtl/>
        </w:rPr>
        <w:t>יהודה נ' מדינת ישראל</w:t>
      </w:r>
      <w:r w:rsidRPr="00EA695A">
        <w:rPr>
          <w:rFonts w:ascii="David" w:hAnsi="David"/>
          <w:rtl/>
        </w:rPr>
        <w:t xml:space="preserve"> (פורסם בנבו 21.8.14)). </w:t>
      </w:r>
    </w:p>
    <w:p w14:paraId="76A409D6" w14:textId="77777777" w:rsidR="00C2411E" w:rsidRPr="00EA695A" w:rsidRDefault="00C2411E" w:rsidP="00EA695A">
      <w:pPr>
        <w:pStyle w:val="a9"/>
        <w:spacing w:line="360" w:lineRule="auto"/>
        <w:jc w:val="both"/>
        <w:rPr>
          <w:rFonts w:ascii="David" w:hAnsi="David"/>
          <w:rtl/>
        </w:rPr>
      </w:pPr>
      <w:r w:rsidRPr="00EA695A">
        <w:rPr>
          <w:rFonts w:ascii="David" w:hAnsi="David"/>
          <w:rtl/>
        </w:rPr>
        <w:t>בנוסף</w:t>
      </w:r>
      <w:r w:rsidRPr="00EA695A">
        <w:rPr>
          <w:rFonts w:ascii="David" w:hAnsi="David" w:hint="cs"/>
          <w:rtl/>
        </w:rPr>
        <w:t>,</w:t>
      </w:r>
      <w:r w:rsidRPr="00EA695A">
        <w:rPr>
          <w:rFonts w:ascii="David" w:hAnsi="David"/>
          <w:rtl/>
        </w:rPr>
        <w:t xml:space="preserve"> צריכת סמים קבועה מחייבת משאבים כספיים לא מבוטלים וגוררת בעקבותיה, לעיתים קרובות, ביצוע עבירות נוספות, שתכליתן לממן את צריכת הסם.</w:t>
      </w:r>
    </w:p>
    <w:p w14:paraId="0E1A4E42" w14:textId="77777777" w:rsidR="00C2411E" w:rsidRPr="00EA695A" w:rsidRDefault="00C2411E" w:rsidP="00EA695A">
      <w:pPr>
        <w:pStyle w:val="a9"/>
        <w:spacing w:line="360" w:lineRule="auto"/>
        <w:jc w:val="both"/>
        <w:rPr>
          <w:rFonts w:ascii="David" w:hAnsi="David"/>
          <w:rtl/>
        </w:rPr>
      </w:pPr>
    </w:p>
    <w:p w14:paraId="2238E2AA" w14:textId="77777777" w:rsidR="00C2411E" w:rsidRPr="00EA695A" w:rsidRDefault="00C2411E" w:rsidP="00EA695A">
      <w:pPr>
        <w:pStyle w:val="a9"/>
        <w:numPr>
          <w:ilvl w:val="0"/>
          <w:numId w:val="1"/>
        </w:numPr>
        <w:spacing w:line="360" w:lineRule="auto"/>
        <w:jc w:val="both"/>
        <w:rPr>
          <w:rFonts w:ascii="David" w:hAnsi="David"/>
          <w:rtl/>
        </w:rPr>
      </w:pPr>
      <w:r w:rsidRPr="00EA695A">
        <w:rPr>
          <w:rFonts w:ascii="David" w:hAnsi="David"/>
          <w:rtl/>
        </w:rPr>
        <w:t xml:space="preserve">מובן כי על מנת להילחם בנגע הסמים יש להעניש בחומרה את מי שעוסקים בהפצת סמים, </w:t>
      </w:r>
      <w:r w:rsidRPr="00EA695A">
        <w:rPr>
          <w:rFonts w:ascii="David" w:hAnsi="David" w:hint="cs"/>
          <w:rtl/>
        </w:rPr>
        <w:t xml:space="preserve">ובפרט את מי שמדיח קטינים </w:t>
      </w:r>
      <w:r w:rsidRPr="00EA695A">
        <w:rPr>
          <w:rFonts w:ascii="David" w:hAnsi="David"/>
          <w:rtl/>
        </w:rPr>
        <w:t>לשימוש בסמים. שיקול דעתו של קטין אינו כשל אדם בוגר</w:t>
      </w:r>
      <w:r w:rsidRPr="00EA695A">
        <w:rPr>
          <w:rFonts w:ascii="David" w:hAnsi="David" w:hint="cs"/>
          <w:rtl/>
        </w:rPr>
        <w:t>,</w:t>
      </w:r>
      <w:r w:rsidRPr="00EA695A">
        <w:rPr>
          <w:rFonts w:ascii="David" w:hAnsi="David"/>
          <w:rtl/>
        </w:rPr>
        <w:t xml:space="preserve"> ואספקת הסם </w:t>
      </w:r>
      <w:r w:rsidRPr="00EA695A">
        <w:rPr>
          <w:rFonts w:ascii="David" w:hAnsi="David" w:hint="cs"/>
          <w:rtl/>
        </w:rPr>
        <w:t xml:space="preserve">והדחתו לשימוש בו </w:t>
      </w:r>
      <w:r w:rsidRPr="00EA695A">
        <w:rPr>
          <w:rFonts w:ascii="David" w:hAnsi="David"/>
          <w:rtl/>
        </w:rPr>
        <w:t>עלול</w:t>
      </w:r>
      <w:r w:rsidRPr="00EA695A">
        <w:rPr>
          <w:rFonts w:ascii="David" w:hAnsi="David" w:hint="cs"/>
          <w:rtl/>
        </w:rPr>
        <w:t>ות</w:t>
      </w:r>
      <w:r w:rsidRPr="00EA695A">
        <w:rPr>
          <w:rFonts w:ascii="David" w:hAnsi="David"/>
          <w:rtl/>
        </w:rPr>
        <w:t xml:space="preserve"> להוביל אותו למדרון חלקלק של התמכרות. </w:t>
      </w:r>
    </w:p>
    <w:p w14:paraId="7B5C5F6F" w14:textId="77777777" w:rsidR="00C2411E" w:rsidRPr="00EA695A" w:rsidRDefault="00C2411E" w:rsidP="00EA695A">
      <w:pPr>
        <w:jc w:val="both"/>
        <w:rPr>
          <w:rFonts w:ascii="David" w:hAnsi="David"/>
          <w:sz w:val="32"/>
          <w:szCs w:val="32"/>
          <w:u w:val="single"/>
          <w:rtl/>
        </w:rPr>
      </w:pPr>
    </w:p>
    <w:p w14:paraId="21C610B3" w14:textId="77777777" w:rsidR="00C2411E" w:rsidRPr="00EA695A" w:rsidRDefault="00C2411E" w:rsidP="00EA695A">
      <w:pPr>
        <w:pStyle w:val="a9"/>
        <w:numPr>
          <w:ilvl w:val="0"/>
          <w:numId w:val="1"/>
        </w:numPr>
        <w:spacing w:line="360" w:lineRule="auto"/>
        <w:jc w:val="both"/>
        <w:rPr>
          <w:rFonts w:ascii="Arial" w:hAnsi="Arial"/>
        </w:rPr>
      </w:pPr>
      <w:r w:rsidRPr="00EA695A">
        <w:rPr>
          <w:rFonts w:ascii="Arial" w:hAnsi="Arial" w:hint="cs"/>
          <w:rtl/>
        </w:rPr>
        <w:t>הנאשם מכר וסיפק סמים לשני קטינים שונים שהכיר, וביצע עם הקטינים ארבע-עשרה עסקאות שונות. לצד זאת מכר הנאשם סמים בשתים-עשרה עסקאות נוספות לאדם אחר שאינו קטין. תדירות ביצוע העבירות והיקפן מלמדת על הנגישות הרבה שהייתה לנאשם לסמים, ועל עומק מעורבותו בתחום זה.</w:t>
      </w:r>
    </w:p>
    <w:p w14:paraId="467B61BE" w14:textId="77777777" w:rsidR="00C2411E" w:rsidRPr="00EA695A" w:rsidRDefault="00C2411E" w:rsidP="000018A1">
      <w:pPr>
        <w:pStyle w:val="a9"/>
        <w:rPr>
          <w:rFonts w:ascii="Arial" w:hAnsi="Arial"/>
          <w:rtl/>
        </w:rPr>
      </w:pPr>
    </w:p>
    <w:p w14:paraId="06619124" w14:textId="77777777" w:rsidR="00C2411E" w:rsidRPr="00EA695A" w:rsidRDefault="00C2411E" w:rsidP="00EA695A">
      <w:pPr>
        <w:pStyle w:val="a9"/>
        <w:numPr>
          <w:ilvl w:val="0"/>
          <w:numId w:val="1"/>
        </w:numPr>
        <w:spacing w:line="360" w:lineRule="auto"/>
        <w:jc w:val="both"/>
        <w:rPr>
          <w:rFonts w:ascii="Arial" w:hAnsi="Arial"/>
        </w:rPr>
      </w:pPr>
      <w:r w:rsidRPr="00EA695A">
        <w:rPr>
          <w:rFonts w:ascii="Arial" w:hAnsi="Arial" w:hint="cs"/>
          <w:rtl/>
        </w:rPr>
        <w:t xml:space="preserve">פער הגילים בין הנאשם לקטינים שאותם הדיח לשימוש בסמים לא היה קטן ואין מדובר בקבוצת חברים המתרועעים יחדיו אך מצויים משני צדיו של גיל הבגירות. בעת ביצוע העבירות הנאשם היה כבן 24 ופער הגילים בינו לבין הקטינים הוא כ- 7-8 שנים. </w:t>
      </w:r>
    </w:p>
    <w:p w14:paraId="6809C0C2" w14:textId="77777777" w:rsidR="00C2411E" w:rsidRPr="00EA695A" w:rsidRDefault="00C2411E" w:rsidP="000018A1">
      <w:pPr>
        <w:pStyle w:val="a9"/>
        <w:rPr>
          <w:rFonts w:ascii="Arial" w:hAnsi="Arial"/>
          <w:rtl/>
        </w:rPr>
      </w:pPr>
    </w:p>
    <w:p w14:paraId="5934B289" w14:textId="77777777" w:rsidR="00C2411E" w:rsidRPr="00EA695A" w:rsidRDefault="00C2411E" w:rsidP="00EA695A">
      <w:pPr>
        <w:pStyle w:val="a9"/>
        <w:numPr>
          <w:ilvl w:val="0"/>
          <w:numId w:val="1"/>
        </w:numPr>
        <w:spacing w:line="360" w:lineRule="auto"/>
        <w:jc w:val="both"/>
        <w:rPr>
          <w:rFonts w:ascii="Arial" w:hAnsi="Arial"/>
        </w:rPr>
      </w:pPr>
      <w:r w:rsidRPr="00EA695A">
        <w:rPr>
          <w:rFonts w:ascii="Arial" w:hAnsi="Arial"/>
          <w:rtl/>
        </w:rPr>
        <w:t xml:space="preserve">הסמים </w:t>
      </w:r>
      <w:r w:rsidRPr="00EA695A">
        <w:rPr>
          <w:rFonts w:ascii="Arial" w:hAnsi="Arial" w:hint="cs"/>
          <w:rtl/>
        </w:rPr>
        <w:t>שאותם מכר הנאשם</w:t>
      </w:r>
      <w:r w:rsidRPr="00EA695A">
        <w:rPr>
          <w:rFonts w:ascii="Arial" w:hAnsi="Arial"/>
          <w:rtl/>
        </w:rPr>
        <w:t xml:space="preserve"> הם מסוג קנבוס, שמקובל להתייחס אליו כאל "סם קל",  שפגיעתו פחותה מזו של סמים אחרי</w:t>
      </w:r>
      <w:r w:rsidRPr="00EA695A">
        <w:rPr>
          <w:rFonts w:ascii="Arial" w:hAnsi="Arial" w:hint="cs"/>
          <w:rtl/>
        </w:rPr>
        <w:t xml:space="preserve">ם. </w:t>
      </w:r>
    </w:p>
    <w:p w14:paraId="55B2065D" w14:textId="77777777" w:rsidR="00C2411E" w:rsidRPr="00EA695A" w:rsidRDefault="00C2411E" w:rsidP="00EA695A">
      <w:pPr>
        <w:pStyle w:val="a9"/>
        <w:spacing w:line="360" w:lineRule="auto"/>
        <w:jc w:val="both"/>
        <w:rPr>
          <w:rFonts w:ascii="Arial" w:hAnsi="Arial"/>
        </w:rPr>
      </w:pPr>
      <w:r w:rsidRPr="00EA695A">
        <w:rPr>
          <w:rFonts w:ascii="Arial" w:hAnsi="Arial" w:hint="cs"/>
          <w:rtl/>
        </w:rPr>
        <w:t xml:space="preserve">הגם שבכל אחת מהעסקאות מכר הנאשם גרמים בודדים של סם ולא יותר מ-25 גרם, לא ניתן להתעלם מן הכמות הכוללת שאותה מכר הנאשם בתוך פרך זמן קצר בן חודשים ספורים למעלה מ- 320 גרם קנבוס. </w:t>
      </w:r>
    </w:p>
    <w:p w14:paraId="29AAFA66" w14:textId="77777777" w:rsidR="00C2411E" w:rsidRPr="00EA695A" w:rsidRDefault="00C2411E" w:rsidP="000018A1">
      <w:pPr>
        <w:pStyle w:val="a9"/>
        <w:rPr>
          <w:rFonts w:ascii="Arial" w:hAnsi="Arial"/>
          <w:rtl/>
        </w:rPr>
      </w:pPr>
    </w:p>
    <w:p w14:paraId="1F54E204" w14:textId="77777777" w:rsidR="00C2411E" w:rsidRPr="00EA695A" w:rsidRDefault="00C2411E" w:rsidP="00EA695A">
      <w:pPr>
        <w:pStyle w:val="a9"/>
        <w:numPr>
          <w:ilvl w:val="0"/>
          <w:numId w:val="1"/>
        </w:numPr>
        <w:spacing w:line="360" w:lineRule="auto"/>
        <w:jc w:val="both"/>
        <w:rPr>
          <w:rFonts w:ascii="Arial" w:hAnsi="Arial"/>
        </w:rPr>
      </w:pPr>
      <w:r w:rsidRPr="00EA695A">
        <w:rPr>
          <w:rFonts w:ascii="Arial" w:hAnsi="Arial" w:hint="cs"/>
          <w:rtl/>
        </w:rPr>
        <w:t xml:space="preserve">עיון בפסיקה מלמד כי בגין עבירות של סחר בסמים והדחת קטינים לסמים בהיקף דומה נגזרו, ככלל, עונשי מאסר בפועל. ראו למשל </w:t>
      </w:r>
      <w:hyperlink r:id="rId10" w:history="1">
        <w:r w:rsidRPr="00875FAD">
          <w:rPr>
            <w:rFonts w:ascii="Calibri" w:eastAsia="Calibri" w:hAnsi="Calibri" w:hint="cs"/>
            <w:color w:val="0000FF"/>
            <w:u w:val="single"/>
            <w:rtl/>
          </w:rPr>
          <w:t>רע</w:t>
        </w:r>
        <w:r w:rsidRPr="00875FAD">
          <w:rPr>
            <w:rFonts w:ascii="Calibri" w:eastAsia="Calibri" w:hAnsi="Calibri"/>
            <w:color w:val="0000FF"/>
            <w:u w:val="single"/>
            <w:rtl/>
          </w:rPr>
          <w:t>"</w:t>
        </w:r>
        <w:r w:rsidRPr="00875FAD">
          <w:rPr>
            <w:rFonts w:ascii="Calibri" w:eastAsia="Calibri" w:hAnsi="Calibri" w:hint="cs"/>
            <w:color w:val="0000FF"/>
            <w:u w:val="single"/>
            <w:rtl/>
          </w:rPr>
          <w:t>פ</w:t>
        </w:r>
        <w:r w:rsidRPr="00875FAD">
          <w:rPr>
            <w:rFonts w:ascii="Calibri" w:eastAsia="Calibri" w:hAnsi="Calibri"/>
            <w:color w:val="0000FF"/>
            <w:u w:val="single"/>
            <w:rtl/>
          </w:rPr>
          <w:t xml:space="preserve"> 6401/18</w:t>
        </w:r>
      </w:hyperlink>
      <w:r w:rsidRPr="00EA695A">
        <w:rPr>
          <w:rFonts w:ascii="Calibri" w:eastAsia="Calibri" w:hAnsi="Calibri"/>
          <w:b/>
          <w:bCs/>
          <w:rtl/>
        </w:rPr>
        <w:t xml:space="preserve"> ספיר נ' מדינת ישראל </w:t>
      </w:r>
      <w:r w:rsidRPr="00EA695A">
        <w:rPr>
          <w:rFonts w:ascii="Calibri" w:eastAsia="Calibri" w:hAnsi="Calibri"/>
          <w:rtl/>
        </w:rPr>
        <w:t>(פורסם בנבו 17.9.18)</w:t>
      </w:r>
      <w:r w:rsidRPr="00EA695A">
        <w:rPr>
          <w:rFonts w:ascii="Calibri" w:eastAsia="Calibri" w:hAnsi="Calibri" w:hint="cs"/>
          <w:b/>
          <w:bCs/>
          <w:rtl/>
        </w:rPr>
        <w:t xml:space="preserve">; </w:t>
      </w:r>
      <w:hyperlink r:id="rId11" w:history="1">
        <w:r w:rsidRPr="00875FAD">
          <w:rPr>
            <w:rFonts w:ascii="Calibri" w:eastAsia="Calibri" w:hAnsi="Calibri" w:hint="cs"/>
            <w:color w:val="0000FF"/>
            <w:u w:val="single"/>
            <w:rtl/>
          </w:rPr>
          <w:t>עפ</w:t>
        </w:r>
        <w:r w:rsidRPr="00875FAD">
          <w:rPr>
            <w:rFonts w:ascii="Calibri" w:eastAsia="Calibri" w:hAnsi="Calibri"/>
            <w:color w:val="0000FF"/>
            <w:u w:val="single"/>
            <w:rtl/>
          </w:rPr>
          <w:t>"</w:t>
        </w:r>
        <w:r w:rsidRPr="00875FAD">
          <w:rPr>
            <w:rFonts w:ascii="Calibri" w:eastAsia="Calibri" w:hAnsi="Calibri" w:hint="cs"/>
            <w:color w:val="0000FF"/>
            <w:u w:val="single"/>
            <w:rtl/>
          </w:rPr>
          <w:t>ג</w:t>
        </w:r>
        <w:r w:rsidRPr="00875FAD">
          <w:rPr>
            <w:rFonts w:ascii="Calibri" w:eastAsia="Calibri" w:hAnsi="Calibri"/>
            <w:color w:val="0000FF"/>
            <w:u w:val="single"/>
            <w:rtl/>
          </w:rPr>
          <w:t xml:space="preserve"> (</w:t>
        </w:r>
        <w:r w:rsidRPr="00875FAD">
          <w:rPr>
            <w:rFonts w:ascii="Calibri" w:eastAsia="Calibri" w:hAnsi="Calibri" w:hint="cs"/>
            <w:color w:val="0000FF"/>
            <w:u w:val="single"/>
            <w:rtl/>
          </w:rPr>
          <w:t>י</w:t>
        </w:r>
        <w:r w:rsidRPr="00875FAD">
          <w:rPr>
            <w:rFonts w:ascii="Calibri" w:eastAsia="Calibri" w:hAnsi="Calibri"/>
            <w:color w:val="0000FF"/>
            <w:u w:val="single"/>
            <w:rtl/>
          </w:rPr>
          <w:t>-</w:t>
        </w:r>
        <w:r w:rsidRPr="00875FAD">
          <w:rPr>
            <w:rFonts w:ascii="Calibri" w:eastAsia="Calibri" w:hAnsi="Calibri" w:hint="cs"/>
            <w:color w:val="0000FF"/>
            <w:u w:val="single"/>
            <w:rtl/>
          </w:rPr>
          <w:t>ם</w:t>
        </w:r>
        <w:r w:rsidRPr="00875FAD">
          <w:rPr>
            <w:rFonts w:ascii="Calibri" w:eastAsia="Calibri" w:hAnsi="Calibri"/>
            <w:color w:val="0000FF"/>
            <w:u w:val="single"/>
            <w:rtl/>
          </w:rPr>
          <w:t>) 21958-07-16</w:t>
        </w:r>
      </w:hyperlink>
      <w:r w:rsidRPr="00EA695A">
        <w:rPr>
          <w:rFonts w:ascii="Calibri" w:eastAsia="Calibri" w:hAnsi="Calibri" w:hint="cs"/>
          <w:rtl/>
        </w:rPr>
        <w:t xml:space="preserve"> </w:t>
      </w:r>
      <w:r w:rsidRPr="00EA695A">
        <w:rPr>
          <w:rFonts w:eastAsia="Calibri" w:hint="cs"/>
          <w:b/>
          <w:bCs/>
          <w:rtl/>
        </w:rPr>
        <w:t xml:space="preserve">שם טוב נ' מדינת ישראל </w:t>
      </w:r>
      <w:r w:rsidRPr="00EA695A">
        <w:rPr>
          <w:rFonts w:eastAsia="Calibri" w:hint="cs"/>
          <w:rtl/>
        </w:rPr>
        <w:t xml:space="preserve">(פורסם בנבו 29.5.18); </w:t>
      </w:r>
      <w:r w:rsidRPr="00EA695A">
        <w:rPr>
          <w:rFonts w:ascii="Calibri" w:eastAsia="Calibri" w:hAnsi="Calibri"/>
          <w:rtl/>
        </w:rPr>
        <w:t>ע"פ (י-ם) 48972-11-18</w:t>
      </w:r>
      <w:r w:rsidRPr="00EA695A">
        <w:rPr>
          <w:rFonts w:ascii="Calibri" w:eastAsia="Calibri" w:hAnsi="Calibri"/>
          <w:b/>
          <w:bCs/>
          <w:rtl/>
        </w:rPr>
        <w:t xml:space="preserve"> יעקובשוילי נ' מדינת ישראל </w:t>
      </w:r>
      <w:r w:rsidRPr="00EA695A">
        <w:rPr>
          <w:rFonts w:ascii="Calibri" w:eastAsia="Calibri" w:hAnsi="Calibri"/>
          <w:rtl/>
        </w:rPr>
        <w:t>(פורסם בנבו 16.4.19)</w:t>
      </w:r>
      <w:r w:rsidRPr="00EA695A">
        <w:rPr>
          <w:rFonts w:ascii="Calibri" w:eastAsia="Calibri" w:hAnsi="Calibri" w:hint="cs"/>
          <w:rtl/>
        </w:rPr>
        <w:t xml:space="preserve">; </w:t>
      </w:r>
      <w:hyperlink r:id="rId12" w:history="1">
        <w:r w:rsidRPr="00875FAD">
          <w:rPr>
            <w:rFonts w:ascii="Calibri" w:eastAsia="Calibri" w:hAnsi="Calibri" w:hint="cs"/>
            <w:color w:val="0000FF"/>
            <w:u w:val="single"/>
            <w:rtl/>
          </w:rPr>
          <w:t>עפ</w:t>
        </w:r>
        <w:r w:rsidRPr="00875FAD">
          <w:rPr>
            <w:rFonts w:ascii="Calibri" w:eastAsia="Calibri" w:hAnsi="Calibri"/>
            <w:color w:val="0000FF"/>
            <w:u w:val="single"/>
            <w:rtl/>
          </w:rPr>
          <w:t>"</w:t>
        </w:r>
        <w:r w:rsidRPr="00875FAD">
          <w:rPr>
            <w:rFonts w:ascii="Calibri" w:eastAsia="Calibri" w:hAnsi="Calibri" w:hint="cs"/>
            <w:color w:val="0000FF"/>
            <w:u w:val="single"/>
            <w:rtl/>
          </w:rPr>
          <w:t>ג</w:t>
        </w:r>
        <w:r w:rsidRPr="00875FAD">
          <w:rPr>
            <w:rFonts w:ascii="Calibri" w:eastAsia="Calibri" w:hAnsi="Calibri"/>
            <w:color w:val="0000FF"/>
            <w:u w:val="single"/>
            <w:rtl/>
          </w:rPr>
          <w:t xml:space="preserve"> (</w:t>
        </w:r>
        <w:r w:rsidRPr="00875FAD">
          <w:rPr>
            <w:rFonts w:ascii="Calibri" w:eastAsia="Calibri" w:hAnsi="Calibri" w:hint="cs"/>
            <w:color w:val="0000FF"/>
            <w:u w:val="single"/>
            <w:rtl/>
          </w:rPr>
          <w:t>ב</w:t>
        </w:r>
        <w:r w:rsidRPr="00875FAD">
          <w:rPr>
            <w:rFonts w:ascii="Calibri" w:eastAsia="Calibri" w:hAnsi="Calibri"/>
            <w:color w:val="0000FF"/>
            <w:u w:val="single"/>
            <w:rtl/>
          </w:rPr>
          <w:t>"</w:t>
        </w:r>
        <w:r w:rsidRPr="00875FAD">
          <w:rPr>
            <w:rFonts w:ascii="Calibri" w:eastAsia="Calibri" w:hAnsi="Calibri" w:hint="cs"/>
            <w:color w:val="0000FF"/>
            <w:u w:val="single"/>
            <w:rtl/>
          </w:rPr>
          <w:t>ש</w:t>
        </w:r>
        <w:r w:rsidRPr="00875FAD">
          <w:rPr>
            <w:rFonts w:ascii="Calibri" w:eastAsia="Calibri" w:hAnsi="Calibri"/>
            <w:color w:val="0000FF"/>
            <w:u w:val="single"/>
            <w:rtl/>
          </w:rPr>
          <w:t>) 13427-04-13</w:t>
        </w:r>
      </w:hyperlink>
      <w:r w:rsidRPr="00EA695A">
        <w:rPr>
          <w:rFonts w:ascii="Calibri" w:eastAsia="Calibri" w:hAnsi="Calibri"/>
          <w:b/>
          <w:bCs/>
          <w:rtl/>
        </w:rPr>
        <w:t xml:space="preserve"> </w:t>
      </w:r>
      <w:r w:rsidRPr="00EA695A">
        <w:rPr>
          <w:rFonts w:ascii="Calibri" w:eastAsia="Calibri" w:hAnsi="Calibri" w:hint="cs"/>
          <w:b/>
          <w:bCs/>
          <w:rtl/>
        </w:rPr>
        <w:t xml:space="preserve">קדוש נ' מדינת ישראל </w:t>
      </w:r>
      <w:r w:rsidRPr="00EA695A">
        <w:rPr>
          <w:rFonts w:ascii="Calibri" w:eastAsia="Calibri" w:hAnsi="Calibri"/>
          <w:rtl/>
        </w:rPr>
        <w:t>(פורסם בנבו 2.9.13)</w:t>
      </w:r>
      <w:r w:rsidRPr="00EA695A">
        <w:rPr>
          <w:rFonts w:ascii="Calibri" w:eastAsia="Calibri" w:hAnsi="Calibri" w:hint="cs"/>
          <w:b/>
          <w:bCs/>
          <w:rtl/>
        </w:rPr>
        <w:t>.</w:t>
      </w:r>
    </w:p>
    <w:p w14:paraId="166F6775" w14:textId="77777777" w:rsidR="00C2411E" w:rsidRPr="00EA695A" w:rsidRDefault="00C2411E" w:rsidP="00EA695A">
      <w:pPr>
        <w:pStyle w:val="a9"/>
        <w:spacing w:line="360" w:lineRule="auto"/>
        <w:jc w:val="both"/>
        <w:rPr>
          <w:rFonts w:ascii="Arial" w:hAnsi="Arial"/>
        </w:rPr>
      </w:pPr>
    </w:p>
    <w:p w14:paraId="4AE0A93A" w14:textId="77777777" w:rsidR="00C2411E" w:rsidRPr="00EA695A" w:rsidRDefault="00C2411E" w:rsidP="00EA695A">
      <w:pPr>
        <w:pStyle w:val="a9"/>
        <w:numPr>
          <w:ilvl w:val="0"/>
          <w:numId w:val="1"/>
        </w:numPr>
        <w:spacing w:line="360" w:lineRule="auto"/>
        <w:jc w:val="both"/>
        <w:rPr>
          <w:rFonts w:ascii="Arial" w:hAnsi="Arial"/>
        </w:rPr>
      </w:pPr>
      <w:r w:rsidRPr="00EA695A">
        <w:rPr>
          <w:rFonts w:ascii="Calibri" w:eastAsia="Calibri" w:hAnsi="Calibri"/>
          <w:rtl/>
        </w:rPr>
        <w:t xml:space="preserve">לנוכח האמור לעיל, מתחם העונש ההולם את מעשיו של הנאשם </w:t>
      </w:r>
      <w:r w:rsidRPr="00EA695A">
        <w:rPr>
          <w:rFonts w:ascii="Calibri" w:eastAsia="Calibri" w:hAnsi="Calibri" w:hint="cs"/>
          <w:rtl/>
        </w:rPr>
        <w:t xml:space="preserve">הוא </w:t>
      </w:r>
      <w:r w:rsidRPr="00EA695A">
        <w:rPr>
          <w:rFonts w:ascii="Calibri" w:eastAsia="Calibri" w:hAnsi="Calibri"/>
          <w:rtl/>
        </w:rPr>
        <w:t xml:space="preserve">בין </w:t>
      </w:r>
      <w:r w:rsidRPr="00EA695A">
        <w:rPr>
          <w:rFonts w:ascii="Calibri" w:eastAsia="Calibri" w:hAnsi="Calibri" w:hint="cs"/>
          <w:rtl/>
        </w:rPr>
        <w:t xml:space="preserve">שנים-עשר לעשרים ושישה חודשי מאסר בפועל, לצד מאסר מותנה וקנס. </w:t>
      </w:r>
    </w:p>
    <w:p w14:paraId="27C8F8FA" w14:textId="77777777" w:rsidR="00C2411E" w:rsidRPr="00EA695A" w:rsidRDefault="00C2411E" w:rsidP="00EA695A">
      <w:pPr>
        <w:pStyle w:val="a9"/>
        <w:spacing w:line="360" w:lineRule="auto"/>
        <w:jc w:val="both"/>
        <w:rPr>
          <w:rFonts w:ascii="Arial" w:hAnsi="Arial"/>
          <w:rtl/>
        </w:rPr>
      </w:pPr>
      <w:r w:rsidRPr="00EA695A">
        <w:rPr>
          <w:rFonts w:ascii="Arial" w:hAnsi="Arial" w:hint="cs"/>
          <w:rtl/>
        </w:rPr>
        <w:t xml:space="preserve">משעה  שהנאשם סיפק לאחרים סמים כנגד תמורה כספית, יש חשיבות להטלת עונש שיהיה בו גם רכיב כלכלי, אשר יבהיר את חוסר הכדאיות של ביצוע העבירות גם בהיבט זה. עם זאת, בקביעת גובה הקנס אתחשב גם במצבו הכלכלי הדחוק של הנאשם כפי שמתואר בתסקירי שירות המבחן. </w:t>
      </w:r>
    </w:p>
    <w:p w14:paraId="64045FAB" w14:textId="77777777" w:rsidR="00C2411E" w:rsidRPr="00EA695A" w:rsidRDefault="00C2411E" w:rsidP="00EA695A">
      <w:pPr>
        <w:jc w:val="both"/>
        <w:rPr>
          <w:rFonts w:ascii="David" w:hAnsi="David"/>
          <w:sz w:val="32"/>
          <w:szCs w:val="32"/>
          <w:u w:val="single"/>
          <w:rtl/>
        </w:rPr>
      </w:pPr>
    </w:p>
    <w:bookmarkEnd w:id="0"/>
    <w:p w14:paraId="16D6FC97" w14:textId="77777777" w:rsidR="00EA695A" w:rsidRPr="00122CAB" w:rsidRDefault="00EA695A" w:rsidP="00EA695A">
      <w:pPr>
        <w:spacing w:line="360" w:lineRule="auto"/>
        <w:rPr>
          <w:rFonts w:ascii="David" w:hAnsi="David"/>
          <w:b/>
          <w:bCs/>
          <w:u w:val="single"/>
          <w:rtl/>
        </w:rPr>
      </w:pPr>
      <w:r w:rsidRPr="00122CAB">
        <w:rPr>
          <w:rFonts w:ascii="David" w:hAnsi="David" w:hint="cs"/>
          <w:b/>
          <w:bCs/>
          <w:u w:val="single"/>
          <w:rtl/>
        </w:rPr>
        <w:t>העונש המתאים לנאשם</w:t>
      </w:r>
    </w:p>
    <w:p w14:paraId="50A4DBAF" w14:textId="77777777" w:rsidR="00EA695A" w:rsidRDefault="00EA695A" w:rsidP="00EA695A">
      <w:pPr>
        <w:pStyle w:val="a9"/>
        <w:numPr>
          <w:ilvl w:val="0"/>
          <w:numId w:val="1"/>
        </w:numPr>
        <w:spacing w:line="360" w:lineRule="auto"/>
        <w:jc w:val="both"/>
        <w:rPr>
          <w:rFonts w:ascii="David" w:hAnsi="David"/>
        </w:rPr>
      </w:pPr>
      <w:r w:rsidRPr="001252A2">
        <w:rPr>
          <w:rFonts w:ascii="David" w:hAnsi="David"/>
          <w:rtl/>
        </w:rPr>
        <w:t>שקלתי לזכות הנאשם את גיל</w:t>
      </w:r>
      <w:r>
        <w:rPr>
          <w:rFonts w:ascii="David" w:hAnsi="David"/>
          <w:rtl/>
        </w:rPr>
        <w:t>ו הצעיר והעדרן של הרשעות קודמות</w:t>
      </w:r>
      <w:r>
        <w:rPr>
          <w:rFonts w:ascii="David" w:hAnsi="David" w:hint="cs"/>
          <w:rtl/>
        </w:rPr>
        <w:t xml:space="preserve">. </w:t>
      </w:r>
    </w:p>
    <w:p w14:paraId="5F8CB691" w14:textId="77777777" w:rsidR="00EA695A" w:rsidRDefault="00EA695A" w:rsidP="00EA695A">
      <w:pPr>
        <w:pStyle w:val="a9"/>
        <w:spacing w:line="360" w:lineRule="auto"/>
        <w:jc w:val="both"/>
        <w:rPr>
          <w:rFonts w:ascii="David" w:hAnsi="David"/>
          <w:rtl/>
        </w:rPr>
      </w:pPr>
      <w:r w:rsidRPr="00882E8A">
        <w:rPr>
          <w:rFonts w:ascii="David" w:hAnsi="David" w:hint="cs"/>
          <w:rtl/>
        </w:rPr>
        <w:t>כן, שקלתי לזכות הנאשם את הודאתו בשלב מוקדם של ההליך, שהיה בה כדי לחסוך בזמן שיפוטי.</w:t>
      </w:r>
    </w:p>
    <w:p w14:paraId="3444CB64" w14:textId="77777777" w:rsidR="00EA695A" w:rsidRPr="00882E8A" w:rsidRDefault="00EA695A" w:rsidP="00EA695A">
      <w:pPr>
        <w:spacing w:line="360" w:lineRule="auto"/>
        <w:jc w:val="both"/>
        <w:rPr>
          <w:rFonts w:ascii="David" w:hAnsi="David"/>
        </w:rPr>
      </w:pPr>
    </w:p>
    <w:p w14:paraId="4E3B98B0" w14:textId="77777777" w:rsidR="00EA695A" w:rsidRDefault="00EA695A" w:rsidP="00EA695A">
      <w:pPr>
        <w:pStyle w:val="a9"/>
        <w:numPr>
          <w:ilvl w:val="0"/>
          <w:numId w:val="1"/>
        </w:numPr>
        <w:spacing w:line="360" w:lineRule="auto"/>
        <w:jc w:val="both"/>
        <w:rPr>
          <w:rFonts w:ascii="David" w:hAnsi="David"/>
        </w:rPr>
      </w:pPr>
      <w:r>
        <w:rPr>
          <w:rFonts w:ascii="David" w:hAnsi="David" w:hint="cs"/>
          <w:rtl/>
        </w:rPr>
        <w:t xml:space="preserve">עוד נתתי דעתי לעובדה כי הנאשם שהה בתנאים מגבילים במשך תקופה ארוכה מאד, החל מיום 31.3.20. הגם שבחלוף הזמן הנאשם זכה להקלות שאפשרו לו לצאת ממקום מעצר הבית למפגשים טיפוליים ולהתאווררות, בסופו של יום מדובר בתקופה ארוכה מאוד שבה שהה בתנאים מגבילים, ואשר בראייתו שלו, יש לה גם היבטים עונשיים.    </w:t>
      </w:r>
    </w:p>
    <w:p w14:paraId="5F5D7E37" w14:textId="77777777" w:rsidR="00EA695A" w:rsidRPr="00882E8A" w:rsidRDefault="00EA695A" w:rsidP="00EA695A">
      <w:pPr>
        <w:pStyle w:val="a9"/>
        <w:spacing w:line="360" w:lineRule="auto"/>
        <w:jc w:val="both"/>
        <w:rPr>
          <w:rFonts w:ascii="David" w:hAnsi="David"/>
        </w:rPr>
      </w:pPr>
    </w:p>
    <w:p w14:paraId="20BFDB80" w14:textId="77777777" w:rsidR="00EA695A" w:rsidRDefault="00EA695A" w:rsidP="00EA695A">
      <w:pPr>
        <w:pStyle w:val="a9"/>
        <w:numPr>
          <w:ilvl w:val="0"/>
          <w:numId w:val="1"/>
        </w:numPr>
        <w:spacing w:line="360" w:lineRule="auto"/>
        <w:jc w:val="both"/>
        <w:rPr>
          <w:rFonts w:ascii="David" w:hAnsi="David"/>
        </w:rPr>
      </w:pPr>
      <w:r w:rsidRPr="00882E8A">
        <w:rPr>
          <w:rFonts w:ascii="David" w:hAnsi="David" w:hint="cs"/>
          <w:rtl/>
        </w:rPr>
        <w:t xml:space="preserve">מתחילת ההליך נעשה מספר לא מבוטל של ניסיונות לשלב את הנאשם בהליך טיפולי, ונראה היה כי הנאשם דוחה בשתי ידיים את ההזדמנויות הרבות שניתנו לו. </w:t>
      </w:r>
    </w:p>
    <w:p w14:paraId="7B5476F7" w14:textId="77777777" w:rsidR="00EA695A" w:rsidRPr="00882E8A" w:rsidRDefault="00EA695A" w:rsidP="00EA695A">
      <w:pPr>
        <w:pStyle w:val="a9"/>
        <w:spacing w:line="360" w:lineRule="auto"/>
        <w:jc w:val="both"/>
        <w:rPr>
          <w:rFonts w:ascii="David" w:hAnsi="David"/>
        </w:rPr>
      </w:pPr>
      <w:r w:rsidRPr="00882E8A">
        <w:rPr>
          <w:rFonts w:ascii="David" w:hAnsi="David" w:hint="cs"/>
          <w:rtl/>
        </w:rPr>
        <w:t>עם זאת, לנוכח התרשמות שירות המבחן מנזקקות טיפולית וממאפיינים אישיותיים שהתפתחו על רקע עזובה רגשית שבה גדל הנאשם, ואשר היוו את הרקע לביצוע העבירות, ניתנו לנאשם הזדמנויות חוזרות ונשנות לשתף פעולה עם הטיפול.</w:t>
      </w:r>
    </w:p>
    <w:p w14:paraId="7264EE25" w14:textId="77777777" w:rsidR="00EA695A" w:rsidRPr="00336267" w:rsidRDefault="00EA695A" w:rsidP="00EA695A">
      <w:pPr>
        <w:pStyle w:val="a9"/>
        <w:spacing w:line="360" w:lineRule="auto"/>
        <w:jc w:val="both"/>
        <w:rPr>
          <w:rFonts w:ascii="David" w:hAnsi="David"/>
          <w:sz w:val="26"/>
          <w:szCs w:val="26"/>
        </w:rPr>
      </w:pPr>
      <w:r>
        <w:rPr>
          <w:rFonts w:ascii="David" w:hAnsi="David" w:hint="cs"/>
          <w:rtl/>
        </w:rPr>
        <w:t xml:space="preserve">למרבה המזל, הנאשם התעשת והחל לשתף פעולה עם החטיבה לקידום נוער וצעירים בעירייה מתוך מוטיבציה פנימית, והתמיד בהליך טיפולי פרטני וקבוצתי, נתרם ממנו, הפיק תועלת וכלים, אשר על פי התרשמות שירות המבחן יצמצמו את הסיכון להישנות העבירות. הוא אף מביע שאיפות חיוביות להמשך חייו ובכלל זה מתכוון להשלים לימודים לקראת תעודת בגרות ומביע מוטיבציה עזה להשתלב גם בעבודה. </w:t>
      </w:r>
    </w:p>
    <w:p w14:paraId="2510EA91" w14:textId="77777777" w:rsidR="00EA695A" w:rsidRDefault="00EA695A" w:rsidP="00EA695A">
      <w:pPr>
        <w:pStyle w:val="a9"/>
        <w:spacing w:line="360" w:lineRule="auto"/>
        <w:jc w:val="both"/>
        <w:rPr>
          <w:rFonts w:ascii="David" w:hAnsi="David"/>
          <w:rtl/>
        </w:rPr>
      </w:pPr>
      <w:r>
        <w:rPr>
          <w:rFonts w:ascii="David" w:hAnsi="David" w:hint="cs"/>
          <w:rtl/>
        </w:rPr>
        <w:t xml:space="preserve">בנוסף, למעט מעידה אחת, ששירות המבחן רואה בה חלק צפוי של הטיפול, הנאשם מצליח לשמור על ניקיון מסמים במשך תקופה העולה על שנה, זאת לאחר שימוש אינטנסיבי מאד שעשה בסמים טרם מעצרו. </w:t>
      </w:r>
    </w:p>
    <w:p w14:paraId="15039086" w14:textId="77777777" w:rsidR="00EA695A" w:rsidRDefault="00EA695A" w:rsidP="00EA695A">
      <w:pPr>
        <w:pStyle w:val="a9"/>
        <w:spacing w:line="360" w:lineRule="auto"/>
        <w:jc w:val="both"/>
        <w:rPr>
          <w:rFonts w:ascii="David" w:hAnsi="David"/>
          <w:rtl/>
        </w:rPr>
      </w:pPr>
      <w:r>
        <w:rPr>
          <w:rFonts w:ascii="David" w:hAnsi="David" w:hint="cs"/>
          <w:rtl/>
        </w:rPr>
        <w:t>כל אלה מקימים תקווה של ממש כי התהליך הטיפולי שהנאשם מצוי בעיצומו יבשיל לכדי שיקום מוצלח שינתב את הנאשם לניהול אורח חיים תקין ויצרני.</w:t>
      </w:r>
    </w:p>
    <w:p w14:paraId="44CC21F9" w14:textId="77777777" w:rsidR="00EA695A" w:rsidRPr="00D47487" w:rsidRDefault="00EA695A" w:rsidP="00EA695A">
      <w:pPr>
        <w:pStyle w:val="a9"/>
        <w:spacing w:line="360" w:lineRule="auto"/>
        <w:jc w:val="both"/>
        <w:rPr>
          <w:rFonts w:ascii="David" w:hAnsi="David"/>
          <w:sz w:val="26"/>
          <w:szCs w:val="26"/>
          <w:rtl/>
        </w:rPr>
      </w:pPr>
      <w:r>
        <w:rPr>
          <w:rFonts w:ascii="David" w:hAnsi="David" w:hint="cs"/>
          <w:rtl/>
        </w:rPr>
        <w:t xml:space="preserve">מקובל עלי כי כליאתו של הנאשם צפויה לחבל בשיקומו, ועל כן יש להימנע מהטלת עונש מאסר המצוי בתוך מתחם העונש ההולם, וקיימת הצדקה לחרוג ממנו לקולא ולגזור על הנאשם עונש שהרכיבים המרכזיים שבו יהיו צו מבחן ומאסר בעבודות שירות. עם זאת אני סבורה, כי משעה שתהליך הטיפול טרם הושלם, ולנוכח התנהלותו של הנאשם בתחילת הקשר עם שירות המבחן ועם גורמי הטיפול, נדרש לשקול בעניינו גם שיקולי הרתעה אישית, ואלה יקבלו ביטוי בדמות אורך המאסר בעבודות שירות שיוטל על הנאשם. </w:t>
      </w:r>
    </w:p>
    <w:p w14:paraId="66401742" w14:textId="77777777" w:rsidR="00EA695A" w:rsidRDefault="00EA695A" w:rsidP="00EA695A">
      <w:pPr>
        <w:pStyle w:val="a9"/>
        <w:spacing w:line="360" w:lineRule="auto"/>
        <w:jc w:val="both"/>
        <w:rPr>
          <w:rFonts w:ascii="David" w:hAnsi="David"/>
          <w:sz w:val="26"/>
          <w:szCs w:val="26"/>
          <w:rtl/>
        </w:rPr>
      </w:pPr>
    </w:p>
    <w:p w14:paraId="43C93BF5" w14:textId="77777777" w:rsidR="00EA695A" w:rsidRDefault="00EA695A" w:rsidP="00EA695A">
      <w:pPr>
        <w:pStyle w:val="a9"/>
        <w:spacing w:line="360" w:lineRule="auto"/>
        <w:jc w:val="both"/>
        <w:rPr>
          <w:rFonts w:ascii="David" w:hAnsi="David"/>
          <w:sz w:val="26"/>
          <w:szCs w:val="26"/>
          <w:rtl/>
        </w:rPr>
      </w:pPr>
    </w:p>
    <w:p w14:paraId="1A0DFEF2" w14:textId="77777777" w:rsidR="00EA695A" w:rsidRDefault="00EA695A" w:rsidP="00EA695A">
      <w:pPr>
        <w:pStyle w:val="a9"/>
        <w:numPr>
          <w:ilvl w:val="0"/>
          <w:numId w:val="1"/>
        </w:numPr>
        <w:spacing w:line="360" w:lineRule="auto"/>
        <w:jc w:val="both"/>
      </w:pPr>
      <w:r w:rsidRPr="00096B97">
        <w:rPr>
          <w:rFonts w:ascii="David" w:hAnsi="David" w:hint="cs"/>
          <w:rtl/>
        </w:rPr>
        <w:t xml:space="preserve">לנוכח האמור לעיל, </w:t>
      </w:r>
      <w:r>
        <w:rPr>
          <w:rFonts w:hint="cs"/>
          <w:rtl/>
        </w:rPr>
        <w:t>אני גוזרת על הנאשם את העונשים הבאים:</w:t>
      </w:r>
    </w:p>
    <w:p w14:paraId="25FA54B2" w14:textId="77777777" w:rsidR="00EA695A" w:rsidRDefault="00EA695A" w:rsidP="00EA695A">
      <w:pPr>
        <w:pStyle w:val="a9"/>
        <w:spacing w:line="360" w:lineRule="auto"/>
        <w:jc w:val="both"/>
        <w:rPr>
          <w:rtl/>
        </w:rPr>
      </w:pPr>
    </w:p>
    <w:p w14:paraId="0F8FEEC8" w14:textId="77777777" w:rsidR="00EA695A" w:rsidRPr="00412BCB" w:rsidRDefault="00EA695A" w:rsidP="00EA695A">
      <w:pPr>
        <w:pStyle w:val="a9"/>
        <w:numPr>
          <w:ilvl w:val="0"/>
          <w:numId w:val="2"/>
        </w:numPr>
        <w:spacing w:after="120" w:line="360" w:lineRule="auto"/>
        <w:jc w:val="both"/>
        <w:rPr>
          <w:rFonts w:ascii="David" w:hAnsi="David"/>
          <w:sz w:val="22"/>
          <w:lang w:eastAsia="he-IL"/>
        </w:rPr>
      </w:pPr>
      <w:r>
        <w:rPr>
          <w:rFonts w:hint="cs"/>
          <w:rtl/>
        </w:rPr>
        <w:t xml:space="preserve">צו מבחן למשך שנה מהיום. </w:t>
      </w:r>
    </w:p>
    <w:p w14:paraId="1FC83863" w14:textId="77777777" w:rsidR="00EA695A" w:rsidRDefault="00EA695A" w:rsidP="00EA695A">
      <w:pPr>
        <w:pStyle w:val="a9"/>
        <w:spacing w:after="120" w:line="360" w:lineRule="auto"/>
        <w:ind w:left="1440"/>
        <w:jc w:val="both"/>
        <w:rPr>
          <w:rFonts w:ascii="David" w:hAnsi="David"/>
          <w:sz w:val="22"/>
          <w:lang w:eastAsia="he-IL"/>
        </w:rPr>
      </w:pPr>
      <w:r>
        <w:rPr>
          <w:rFonts w:hint="cs"/>
          <w:rtl/>
        </w:rPr>
        <w:t>הוסברו לנאשם חובתו לשתף פעולה עם שירות המבחן והאפשרויות העומדות לפני בית המשפט אם לא יעשה כן.</w:t>
      </w:r>
    </w:p>
    <w:p w14:paraId="5F27FD9D" w14:textId="77777777" w:rsidR="00EA695A" w:rsidRPr="00412BCB" w:rsidRDefault="00EA695A" w:rsidP="00EA695A">
      <w:pPr>
        <w:pStyle w:val="a9"/>
        <w:spacing w:after="120" w:line="360" w:lineRule="auto"/>
        <w:ind w:left="1440"/>
        <w:jc w:val="both"/>
        <w:rPr>
          <w:rFonts w:ascii="David" w:hAnsi="David"/>
          <w:sz w:val="22"/>
          <w:lang w:eastAsia="he-IL"/>
        </w:rPr>
      </w:pPr>
    </w:p>
    <w:p w14:paraId="1C394D19" w14:textId="77777777" w:rsidR="00EA695A" w:rsidRPr="00E43664" w:rsidRDefault="00EA695A" w:rsidP="00EA695A">
      <w:pPr>
        <w:pStyle w:val="a9"/>
        <w:numPr>
          <w:ilvl w:val="0"/>
          <w:numId w:val="2"/>
        </w:numPr>
        <w:spacing w:after="120" w:line="360" w:lineRule="auto"/>
        <w:jc w:val="both"/>
        <w:rPr>
          <w:rFonts w:ascii="David" w:hAnsi="David"/>
          <w:sz w:val="22"/>
          <w:lang w:eastAsia="he-IL"/>
        </w:rPr>
      </w:pPr>
      <w:r w:rsidRPr="00E43664">
        <w:rPr>
          <w:rFonts w:hint="cs"/>
          <w:rtl/>
        </w:rPr>
        <w:t xml:space="preserve">תשעה חודשי מאסר </w:t>
      </w:r>
      <w:r>
        <w:rPr>
          <w:rFonts w:hint="cs"/>
          <w:rtl/>
        </w:rPr>
        <w:t xml:space="preserve">שירוצו בעבודות שירות, בהתאם לחוות דעת הממונה מיום 24.3.22 </w:t>
      </w:r>
    </w:p>
    <w:p w14:paraId="5D4F827C" w14:textId="77777777" w:rsidR="00EA695A" w:rsidRPr="008309C4" w:rsidRDefault="00EA695A" w:rsidP="00EA695A">
      <w:pPr>
        <w:pStyle w:val="a9"/>
        <w:spacing w:after="120" w:line="360" w:lineRule="auto"/>
        <w:ind w:left="1440"/>
        <w:jc w:val="both"/>
        <w:rPr>
          <w:rFonts w:ascii="David" w:hAnsi="David"/>
          <w:sz w:val="22"/>
          <w:rtl/>
          <w:lang w:eastAsia="he-IL"/>
        </w:rPr>
      </w:pPr>
      <w:r w:rsidRPr="00E43664">
        <w:rPr>
          <w:rFonts w:hint="cs"/>
          <w:rtl/>
        </w:rPr>
        <w:t xml:space="preserve">הנאשם יתייצב לריצוי עונשו </w:t>
      </w:r>
      <w:r w:rsidRPr="00E43664">
        <w:rPr>
          <w:rFonts w:ascii="David" w:hAnsi="David"/>
          <w:sz w:val="22"/>
          <w:rtl/>
          <w:lang w:eastAsia="he-IL"/>
        </w:rPr>
        <w:t xml:space="preserve">ביום </w:t>
      </w:r>
      <w:r>
        <w:rPr>
          <w:rFonts w:ascii="David" w:hAnsi="David" w:hint="cs"/>
          <w:sz w:val="22"/>
          <w:rtl/>
          <w:lang w:eastAsia="he-IL"/>
        </w:rPr>
        <w:t>19.5.22 ב</w:t>
      </w:r>
      <w:r w:rsidRPr="00E43664">
        <w:rPr>
          <w:rFonts w:ascii="David" w:hAnsi="David" w:hint="cs"/>
          <w:sz w:val="22"/>
          <w:rtl/>
          <w:lang w:eastAsia="he-IL"/>
        </w:rPr>
        <w:t>שעה</w:t>
      </w:r>
      <w:r>
        <w:rPr>
          <w:rFonts w:ascii="David" w:hAnsi="David" w:hint="cs"/>
          <w:sz w:val="22"/>
          <w:rtl/>
          <w:lang w:eastAsia="he-IL"/>
        </w:rPr>
        <w:t xml:space="preserve"> 8:00</w:t>
      </w:r>
      <w:r w:rsidRPr="00E43664">
        <w:rPr>
          <w:rFonts w:ascii="David" w:hAnsi="David" w:hint="cs"/>
          <w:sz w:val="22"/>
          <w:rtl/>
          <w:lang w:eastAsia="he-IL"/>
        </w:rPr>
        <w:t xml:space="preserve"> במפקדת מחוז </w:t>
      </w:r>
      <w:r>
        <w:rPr>
          <w:rFonts w:ascii="David" w:hAnsi="David" w:hint="cs"/>
          <w:sz w:val="22"/>
          <w:rtl/>
          <w:lang w:eastAsia="he-IL"/>
        </w:rPr>
        <w:t>דרום</w:t>
      </w:r>
      <w:r w:rsidRPr="00E43664">
        <w:rPr>
          <w:rFonts w:ascii="David" w:hAnsi="David" w:hint="cs"/>
          <w:sz w:val="22"/>
          <w:rtl/>
          <w:lang w:eastAsia="he-IL"/>
        </w:rPr>
        <w:t xml:space="preserve"> של שירות בתי הסוהר.</w:t>
      </w:r>
      <w:r>
        <w:rPr>
          <w:rFonts w:ascii="David" w:hAnsi="David" w:hint="cs"/>
          <w:sz w:val="22"/>
          <w:rtl/>
          <w:lang w:eastAsia="he-IL"/>
        </w:rPr>
        <w:t xml:space="preserve"> </w:t>
      </w:r>
    </w:p>
    <w:p w14:paraId="4E4DB70C" w14:textId="77777777" w:rsidR="00EA695A" w:rsidRPr="008309C4" w:rsidRDefault="00EA695A" w:rsidP="00EA695A">
      <w:pPr>
        <w:pStyle w:val="a9"/>
        <w:spacing w:after="120" w:line="360" w:lineRule="auto"/>
        <w:ind w:left="1440"/>
        <w:jc w:val="both"/>
        <w:rPr>
          <w:rFonts w:ascii="David" w:hAnsi="David"/>
          <w:sz w:val="22"/>
          <w:rtl/>
          <w:lang w:eastAsia="he-IL"/>
        </w:rPr>
      </w:pPr>
    </w:p>
    <w:p w14:paraId="167425B2" w14:textId="77777777" w:rsidR="00EA695A" w:rsidRDefault="00EA695A" w:rsidP="00EA695A">
      <w:pPr>
        <w:pStyle w:val="a9"/>
        <w:numPr>
          <w:ilvl w:val="0"/>
          <w:numId w:val="2"/>
        </w:numPr>
        <w:spacing w:line="360" w:lineRule="auto"/>
        <w:jc w:val="both"/>
        <w:rPr>
          <w:rtl/>
        </w:rPr>
      </w:pPr>
      <w:r>
        <w:rPr>
          <w:rFonts w:hint="cs"/>
          <w:rtl/>
        </w:rPr>
        <w:t xml:space="preserve">תשעה חודשי מאסר על תנאי למשך שלוש שנים מהיום שלא יעבור עבירה לפי </w:t>
      </w:r>
      <w:hyperlink r:id="rId13" w:history="1">
        <w:r w:rsidR="00875FAD" w:rsidRPr="00875FAD">
          <w:rPr>
            <w:color w:val="0000FF"/>
            <w:u w:val="single"/>
            <w:rtl/>
          </w:rPr>
          <w:t>חוק המאבק בתופעת השימוש בחומרים מסכנים</w:t>
        </w:r>
      </w:hyperlink>
      <w:r>
        <w:rPr>
          <w:rFonts w:hint="cs"/>
          <w:rtl/>
        </w:rPr>
        <w:t xml:space="preserve"> התשע"ג- 2013 או עבירה לפי </w:t>
      </w:r>
      <w:hyperlink r:id="rId14" w:history="1">
        <w:r w:rsidR="00875FAD" w:rsidRPr="00875FAD">
          <w:rPr>
            <w:color w:val="0000FF"/>
            <w:u w:val="single"/>
            <w:rtl/>
          </w:rPr>
          <w:t>פקודת הסמים המסוכנים</w:t>
        </w:r>
      </w:hyperlink>
      <w:r>
        <w:rPr>
          <w:rFonts w:hint="cs"/>
          <w:rtl/>
        </w:rPr>
        <w:t xml:space="preserve"> [</w:t>
      </w:r>
      <w:r w:rsidRPr="00A249AB">
        <w:rPr>
          <w:rtl/>
        </w:rPr>
        <w:t>נוסח</w:t>
      </w:r>
      <w:r w:rsidRPr="00A249AB">
        <w:t xml:space="preserve"> </w:t>
      </w:r>
      <w:r w:rsidRPr="00A249AB">
        <w:rPr>
          <w:rtl/>
        </w:rPr>
        <w:t>חדש</w:t>
      </w:r>
      <w:r>
        <w:rPr>
          <w:rFonts w:hint="cs"/>
          <w:rtl/>
        </w:rPr>
        <w:t>] תשל"ג- 1973, למעט עבירה של החזקת סמים לצריכה עצמית או כלים.</w:t>
      </w:r>
    </w:p>
    <w:p w14:paraId="00D6EB72" w14:textId="77777777" w:rsidR="00EA695A" w:rsidRDefault="00EA695A" w:rsidP="00EA695A">
      <w:pPr>
        <w:pStyle w:val="a9"/>
        <w:rPr>
          <w:rtl/>
        </w:rPr>
      </w:pPr>
    </w:p>
    <w:p w14:paraId="5013165B" w14:textId="77777777" w:rsidR="00EA695A" w:rsidRDefault="00EA695A" w:rsidP="00EA695A">
      <w:pPr>
        <w:pStyle w:val="a9"/>
        <w:numPr>
          <w:ilvl w:val="0"/>
          <w:numId w:val="2"/>
        </w:numPr>
        <w:spacing w:line="360" w:lineRule="auto"/>
        <w:jc w:val="both"/>
      </w:pPr>
      <w:r>
        <w:rPr>
          <w:rFonts w:hint="cs"/>
          <w:rtl/>
        </w:rPr>
        <w:t>קנס בסך 1,500 ₪ או 15 ימי מאסר תמורתו. הקנס ישולם ב-3 תשלומים חודשיים שווים ורצופים הראשון עד ליום 1.5.22 והבאים עד ל-1 בכל חודש עוקב. לא ישולם איזה מהתשלומים במועדו, תעמוד מלוא יתרת הקנס לפירעון מיידי.</w:t>
      </w:r>
    </w:p>
    <w:p w14:paraId="074D85C4" w14:textId="77777777" w:rsidR="00EA695A" w:rsidRDefault="00EA695A" w:rsidP="00EA695A">
      <w:pPr>
        <w:pStyle w:val="a9"/>
        <w:spacing w:line="360" w:lineRule="auto"/>
        <w:ind w:left="1440"/>
        <w:jc w:val="both"/>
        <w:rPr>
          <w:rtl/>
        </w:rPr>
      </w:pPr>
    </w:p>
    <w:p w14:paraId="441173F0" w14:textId="77777777" w:rsidR="00EA695A" w:rsidRDefault="00EA695A" w:rsidP="00EA695A">
      <w:pPr>
        <w:pStyle w:val="a9"/>
        <w:numPr>
          <w:ilvl w:val="0"/>
          <w:numId w:val="1"/>
        </w:numPr>
        <w:spacing w:line="360" w:lineRule="auto"/>
        <w:jc w:val="both"/>
      </w:pPr>
      <w:r>
        <w:rPr>
          <w:rFonts w:hint="cs"/>
          <w:rtl/>
        </w:rPr>
        <w:t xml:space="preserve">הסמים שנתפסו יושמדו. </w:t>
      </w:r>
    </w:p>
    <w:p w14:paraId="6C999FD1" w14:textId="77777777" w:rsidR="00EA695A" w:rsidRDefault="00EA695A" w:rsidP="00EA695A">
      <w:pPr>
        <w:pStyle w:val="a9"/>
        <w:spacing w:line="360" w:lineRule="auto"/>
        <w:jc w:val="both"/>
        <w:rPr>
          <w:rtl/>
        </w:rPr>
      </w:pPr>
    </w:p>
    <w:p w14:paraId="5C9508C3" w14:textId="77777777" w:rsidR="00EA695A" w:rsidRPr="001252A2" w:rsidRDefault="00875FAD" w:rsidP="00EA695A">
      <w:pPr>
        <w:spacing w:line="360" w:lineRule="auto"/>
        <w:jc w:val="both"/>
        <w:rPr>
          <w:rFonts w:ascii="David" w:hAnsi="David"/>
        </w:rPr>
      </w:pPr>
      <w:r w:rsidRPr="00875FAD">
        <w:rPr>
          <w:rFonts w:ascii="David" w:hAnsi="David"/>
          <w:color w:val="FFFFFF"/>
          <w:sz w:val="2"/>
          <w:szCs w:val="2"/>
          <w:rtl/>
        </w:rPr>
        <w:t>5129371</w:t>
      </w:r>
      <w:r w:rsidR="00EA695A" w:rsidRPr="001252A2">
        <w:rPr>
          <w:rFonts w:ascii="David" w:hAnsi="David"/>
          <w:rtl/>
        </w:rPr>
        <w:t xml:space="preserve">זכות ערעור לבית המשפט המחוזי בירושלים בתוך 45 ימים מהיום. </w:t>
      </w:r>
    </w:p>
    <w:p w14:paraId="5C7E1A26" w14:textId="77777777" w:rsidR="00EA695A" w:rsidRPr="00875FAD" w:rsidRDefault="00875FAD" w:rsidP="00EA695A">
      <w:pPr>
        <w:spacing w:line="360" w:lineRule="auto"/>
        <w:jc w:val="both"/>
        <w:rPr>
          <w:rFonts w:ascii="David" w:hAnsi="David"/>
          <w:color w:val="FFFFFF"/>
          <w:sz w:val="2"/>
          <w:szCs w:val="2"/>
        </w:rPr>
      </w:pPr>
      <w:r w:rsidRPr="00875FAD">
        <w:rPr>
          <w:rFonts w:ascii="David" w:hAnsi="David"/>
          <w:color w:val="FFFFFF"/>
          <w:sz w:val="2"/>
          <w:szCs w:val="2"/>
          <w:rtl/>
        </w:rPr>
        <w:t>54678313</w:t>
      </w:r>
    </w:p>
    <w:p w14:paraId="6CBE0090" w14:textId="77777777" w:rsidR="00EA695A" w:rsidRPr="002B7D23" w:rsidRDefault="00EA695A" w:rsidP="00EA695A">
      <w:pPr>
        <w:rPr>
          <w:rFonts w:ascii="David" w:hAnsi="David"/>
          <w:sz w:val="26"/>
          <w:szCs w:val="26"/>
          <w:rtl/>
        </w:rPr>
      </w:pPr>
    </w:p>
    <w:p w14:paraId="50288F92" w14:textId="77777777" w:rsidR="00EA695A" w:rsidRPr="002B7D23" w:rsidRDefault="00875FAD" w:rsidP="00EA695A">
      <w:pPr>
        <w:rPr>
          <w:rFonts w:ascii="David" w:hAnsi="David"/>
          <w:sz w:val="26"/>
          <w:szCs w:val="26"/>
          <w:rtl/>
        </w:rPr>
      </w:pPr>
      <w:bookmarkStart w:id="8" w:name="Nitan"/>
      <w:r>
        <w:rPr>
          <w:rFonts w:ascii="David" w:hAnsi="David"/>
          <w:sz w:val="26"/>
          <w:szCs w:val="26"/>
          <w:rtl/>
        </w:rPr>
        <w:t xml:space="preserve">ניתן היום,  כ"ו אדר ב' תשפ"ב, 29 מרץ 2022, בנוכחות הצדדים. </w:t>
      </w:r>
      <w:bookmarkEnd w:id="8"/>
    </w:p>
    <w:p w14:paraId="3F18A63C" w14:textId="77777777" w:rsidR="00EA695A" w:rsidRPr="002B7D23" w:rsidRDefault="00EA695A" w:rsidP="00875FA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FAE2F9A" w14:textId="77777777" w:rsidR="00EA695A" w:rsidRPr="002B7D23" w:rsidRDefault="00EA695A" w:rsidP="00EA695A">
      <w:pPr>
        <w:jc w:val="center"/>
        <w:rPr>
          <w:rFonts w:ascii="David" w:hAnsi="David"/>
          <w:sz w:val="26"/>
          <w:szCs w:val="26"/>
          <w:rtl/>
        </w:rPr>
      </w:pPr>
    </w:p>
    <w:p w14:paraId="4864FEB0" w14:textId="77777777" w:rsidR="003D3C86" w:rsidRPr="00875FAD" w:rsidRDefault="003D3C86" w:rsidP="00875FAD">
      <w:pPr>
        <w:keepNext/>
        <w:rPr>
          <w:rFonts w:ascii="David" w:hAnsi="David"/>
          <w:color w:val="000000"/>
          <w:sz w:val="22"/>
          <w:szCs w:val="22"/>
          <w:rtl/>
        </w:rPr>
      </w:pPr>
    </w:p>
    <w:p w14:paraId="658B744F" w14:textId="77777777" w:rsidR="00875FAD" w:rsidRPr="00875FAD" w:rsidRDefault="00875FAD" w:rsidP="00875FAD">
      <w:pPr>
        <w:keepNext/>
        <w:rPr>
          <w:rFonts w:ascii="David" w:hAnsi="David"/>
          <w:color w:val="000000"/>
          <w:sz w:val="22"/>
          <w:szCs w:val="22"/>
          <w:rtl/>
        </w:rPr>
      </w:pPr>
      <w:r w:rsidRPr="00875FAD">
        <w:rPr>
          <w:rFonts w:ascii="David" w:hAnsi="David"/>
          <w:color w:val="000000"/>
          <w:sz w:val="22"/>
          <w:szCs w:val="22"/>
          <w:rtl/>
        </w:rPr>
        <w:t>ג'ויה סקפה שפירא 54678313</w:t>
      </w:r>
    </w:p>
    <w:p w14:paraId="31F9FAC1" w14:textId="77777777" w:rsidR="00875FAD" w:rsidRDefault="00875FAD" w:rsidP="00875FAD">
      <w:r w:rsidRPr="00875FAD">
        <w:rPr>
          <w:color w:val="000000"/>
          <w:rtl/>
        </w:rPr>
        <w:t>נוסח מסמך זה כפוף לשינויי ניסוח ועריכה</w:t>
      </w:r>
    </w:p>
    <w:p w14:paraId="5E1581D9" w14:textId="77777777" w:rsidR="00875FAD" w:rsidRDefault="00875FAD" w:rsidP="00875FAD">
      <w:pPr>
        <w:rPr>
          <w:rtl/>
        </w:rPr>
      </w:pPr>
    </w:p>
    <w:p w14:paraId="7A234376" w14:textId="77777777" w:rsidR="00875FAD" w:rsidRDefault="00875FAD" w:rsidP="00875FAD">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35DFF9B5" w14:textId="77777777" w:rsidR="00875FAD" w:rsidRPr="00875FAD" w:rsidRDefault="00875FAD" w:rsidP="00875FAD">
      <w:pPr>
        <w:jc w:val="center"/>
        <w:rPr>
          <w:color w:val="0000FF"/>
          <w:u w:val="single"/>
        </w:rPr>
      </w:pPr>
    </w:p>
    <w:sectPr w:rsidR="00875FAD" w:rsidRPr="00875FAD" w:rsidSect="00875FAD">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74C8E" w14:textId="77777777" w:rsidR="00B50DC3" w:rsidRDefault="00B50DC3" w:rsidP="00491D7B">
      <w:r>
        <w:separator/>
      </w:r>
    </w:p>
  </w:endnote>
  <w:endnote w:type="continuationSeparator" w:id="0">
    <w:p w14:paraId="073A9310" w14:textId="77777777" w:rsidR="00B50DC3" w:rsidRDefault="00B50DC3" w:rsidP="0049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7F63B" w14:textId="77777777" w:rsidR="00875FAD" w:rsidRDefault="00875FAD" w:rsidP="00875F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4E3DBB" w14:textId="77777777" w:rsidR="000018A1" w:rsidRPr="00875FAD" w:rsidRDefault="00875FAD" w:rsidP="00875F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A8CEB" w14:textId="77777777" w:rsidR="00875FAD" w:rsidRDefault="00875FAD" w:rsidP="00875F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0546D">
      <w:rPr>
        <w:rFonts w:ascii="FrankRuehl" w:hAnsi="FrankRuehl" w:cs="FrankRuehl"/>
        <w:noProof/>
        <w:rtl/>
      </w:rPr>
      <w:t>1</w:t>
    </w:r>
    <w:r>
      <w:rPr>
        <w:rFonts w:ascii="FrankRuehl" w:hAnsi="FrankRuehl" w:cs="FrankRuehl"/>
        <w:rtl/>
      </w:rPr>
      <w:fldChar w:fldCharType="end"/>
    </w:r>
  </w:p>
  <w:p w14:paraId="316CDF93" w14:textId="77777777" w:rsidR="000018A1" w:rsidRPr="00875FAD" w:rsidRDefault="00875FAD" w:rsidP="00875FA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E10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61ACA" w14:textId="77777777" w:rsidR="00B50DC3" w:rsidRDefault="00B50DC3" w:rsidP="00491D7B">
      <w:r>
        <w:separator/>
      </w:r>
    </w:p>
  </w:footnote>
  <w:footnote w:type="continuationSeparator" w:id="0">
    <w:p w14:paraId="7ADE11A7" w14:textId="77777777" w:rsidR="00B50DC3" w:rsidRDefault="00B50DC3" w:rsidP="00491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4D02F" w14:textId="77777777" w:rsidR="00875FAD" w:rsidRPr="00875FAD" w:rsidRDefault="00875FAD" w:rsidP="00875F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14332-04-20</w:t>
    </w:r>
    <w:r>
      <w:rPr>
        <w:rFonts w:ascii="David" w:hAnsi="David"/>
        <w:color w:val="000000"/>
        <w:sz w:val="22"/>
        <w:szCs w:val="22"/>
        <w:rtl/>
      </w:rPr>
      <w:tab/>
      <w:t xml:space="preserve"> מדינת ישראל נ' שלמה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BF0F5" w14:textId="77777777" w:rsidR="00875FAD" w:rsidRPr="00875FAD" w:rsidRDefault="00875FAD" w:rsidP="00875F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14332-04-20</w:t>
    </w:r>
    <w:r>
      <w:rPr>
        <w:rFonts w:ascii="David" w:hAnsi="David"/>
        <w:color w:val="000000"/>
        <w:sz w:val="22"/>
        <w:szCs w:val="22"/>
        <w:rtl/>
      </w:rPr>
      <w:tab/>
      <w:t xml:space="preserve"> מדינת ישראל נ' שלמה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74E40"/>
    <w:multiLevelType w:val="hybridMultilevel"/>
    <w:tmpl w:val="A762F87A"/>
    <w:lvl w:ilvl="0" w:tplc="5D94518A">
      <w:start w:val="1"/>
      <w:numFmt w:val="hebrew1"/>
      <w:lvlText w:val="%1."/>
      <w:lvlJc w:val="left"/>
      <w:pPr>
        <w:ind w:left="1440" w:hanging="72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A5476A"/>
    <w:multiLevelType w:val="hybridMultilevel"/>
    <w:tmpl w:val="4E6869AA"/>
    <w:lvl w:ilvl="0" w:tplc="057EF82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803444">
    <w:abstractNumId w:val="1"/>
  </w:num>
  <w:num w:numId="2" w16cid:durableId="66397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695A"/>
    <w:rsid w:val="000018A1"/>
    <w:rsid w:val="001B5A3B"/>
    <w:rsid w:val="002E4EE6"/>
    <w:rsid w:val="002E7BE7"/>
    <w:rsid w:val="003C5B10"/>
    <w:rsid w:val="003D3C86"/>
    <w:rsid w:val="00491D7B"/>
    <w:rsid w:val="00875FAD"/>
    <w:rsid w:val="009219E8"/>
    <w:rsid w:val="00A0546D"/>
    <w:rsid w:val="00A51F89"/>
    <w:rsid w:val="00B50DC3"/>
    <w:rsid w:val="00C2411E"/>
    <w:rsid w:val="00C34AF8"/>
    <w:rsid w:val="00EA695A"/>
    <w:rsid w:val="00F666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67A707"/>
  <w15:chartTrackingRefBased/>
  <w15:docId w15:val="{58EDBF21-804C-41A4-BE72-EAE4A36A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69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695A"/>
    <w:pPr>
      <w:tabs>
        <w:tab w:val="center" w:pos="4153"/>
        <w:tab w:val="right" w:pos="8306"/>
      </w:tabs>
    </w:pPr>
  </w:style>
  <w:style w:type="character" w:customStyle="1" w:styleId="a4">
    <w:name w:val="כותרת עליונה תו"/>
    <w:link w:val="a3"/>
    <w:rsid w:val="00EA695A"/>
    <w:rPr>
      <w:rFonts w:ascii="Times New Roman" w:eastAsia="Times New Roman" w:hAnsi="Times New Roman" w:cs="David"/>
      <w:sz w:val="24"/>
      <w:szCs w:val="24"/>
    </w:rPr>
  </w:style>
  <w:style w:type="paragraph" w:styleId="a5">
    <w:name w:val="footer"/>
    <w:basedOn w:val="a"/>
    <w:link w:val="a6"/>
    <w:rsid w:val="00EA695A"/>
    <w:pPr>
      <w:tabs>
        <w:tab w:val="center" w:pos="4153"/>
        <w:tab w:val="right" w:pos="8306"/>
      </w:tabs>
    </w:pPr>
  </w:style>
  <w:style w:type="character" w:customStyle="1" w:styleId="a6">
    <w:name w:val="כותרת תחתונה תו"/>
    <w:link w:val="a5"/>
    <w:rsid w:val="00EA695A"/>
    <w:rPr>
      <w:rFonts w:ascii="Times New Roman" w:eastAsia="Times New Roman" w:hAnsi="Times New Roman" w:cs="David"/>
      <w:sz w:val="24"/>
      <w:szCs w:val="24"/>
    </w:rPr>
  </w:style>
  <w:style w:type="table" w:styleId="a7">
    <w:name w:val="Table Grid"/>
    <w:basedOn w:val="a1"/>
    <w:rsid w:val="00EA69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695A"/>
  </w:style>
  <w:style w:type="paragraph" w:styleId="a9">
    <w:name w:val="List Paragraph"/>
    <w:basedOn w:val="a"/>
    <w:qFormat/>
    <w:rsid w:val="00EA695A"/>
    <w:pPr>
      <w:ind w:left="720"/>
      <w:contextualSpacing/>
    </w:pPr>
  </w:style>
  <w:style w:type="character" w:styleId="Hyperlink">
    <w:name w:val="Hyperlink"/>
    <w:rsid w:val="00875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12762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127622" TargetMode="External"/><Relationship Id="rId12" Type="http://schemas.openxmlformats.org/officeDocument/2006/relationships/hyperlink" Target="http://www.nevo.co.il/case/687518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1980458"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2497554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13022249"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2178</Words>
  <Characters>10891</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13043</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4980820</vt:i4>
      </vt:variant>
      <vt:variant>
        <vt:i4>18</vt:i4>
      </vt:variant>
      <vt:variant>
        <vt:i4>0</vt:i4>
      </vt:variant>
      <vt:variant>
        <vt:i4>5</vt:i4>
      </vt:variant>
      <vt:variant>
        <vt:lpwstr>http://www.nevo.co.il/law/127622</vt:lpwstr>
      </vt:variant>
      <vt:variant>
        <vt:lpwstr/>
      </vt:variant>
      <vt:variant>
        <vt:i4>3211377</vt:i4>
      </vt:variant>
      <vt:variant>
        <vt:i4>15</vt:i4>
      </vt:variant>
      <vt:variant>
        <vt:i4>0</vt:i4>
      </vt:variant>
      <vt:variant>
        <vt:i4>5</vt:i4>
      </vt:variant>
      <vt:variant>
        <vt:lpwstr>http://www.nevo.co.il/case/6875181</vt:lpwstr>
      </vt:variant>
      <vt:variant>
        <vt:lpwstr/>
      </vt:variant>
      <vt:variant>
        <vt:i4>4063353</vt:i4>
      </vt:variant>
      <vt:variant>
        <vt:i4>12</vt:i4>
      </vt:variant>
      <vt:variant>
        <vt:i4>0</vt:i4>
      </vt:variant>
      <vt:variant>
        <vt:i4>5</vt:i4>
      </vt:variant>
      <vt:variant>
        <vt:lpwstr>http://www.nevo.co.il/case/21980458</vt:lpwstr>
      </vt:variant>
      <vt:variant>
        <vt:lpwstr/>
      </vt:variant>
      <vt:variant>
        <vt:i4>3801202</vt:i4>
      </vt:variant>
      <vt:variant>
        <vt:i4>9</vt:i4>
      </vt:variant>
      <vt:variant>
        <vt:i4>0</vt:i4>
      </vt:variant>
      <vt:variant>
        <vt:i4>5</vt:i4>
      </vt:variant>
      <vt:variant>
        <vt:lpwstr>http://www.nevo.co.il/case/24975541</vt:lpwstr>
      </vt:variant>
      <vt:variant>
        <vt:lpwstr/>
      </vt:variant>
      <vt:variant>
        <vt:i4>3604599</vt:i4>
      </vt:variant>
      <vt:variant>
        <vt:i4>6</vt:i4>
      </vt:variant>
      <vt:variant>
        <vt:i4>0</vt:i4>
      </vt:variant>
      <vt:variant>
        <vt:i4>5</vt:i4>
      </vt:variant>
      <vt:variant>
        <vt:lpwstr>http://www.nevo.co.il/case/13022249</vt:lpwstr>
      </vt:variant>
      <vt:variant>
        <vt:lpwstr/>
      </vt:variant>
      <vt:variant>
        <vt:i4>8257637</vt:i4>
      </vt:variant>
      <vt:variant>
        <vt:i4>3</vt:i4>
      </vt:variant>
      <vt:variant>
        <vt:i4>0</vt:i4>
      </vt:variant>
      <vt:variant>
        <vt:i4>5</vt:i4>
      </vt:variant>
      <vt:variant>
        <vt:lpwstr>http://www.nevo.co.il/law/4216</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2025-04-23T00:32:00Z</dcterms:created>
  <dcterms:modified xsi:type="dcterms:W3CDTF">2025-04-23T00:32:00Z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14332</vt:lpwstr>
  </property>
  <property fmtid="{D5CDD505-2E9C-101B-9397-08002B2CF9AE}" pid="6" name="NEWPARTB">
    <vt:lpwstr>04</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שלמה וקנין</vt:lpwstr>
  </property>
  <property fmtid="{D5CDD505-2E9C-101B-9397-08002B2CF9AE}" pid="10" name="LAWYER">
    <vt:lpwstr>ארז בר צבי;אריאלה נבון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20220329</vt:lpwstr>
  </property>
  <property fmtid="{D5CDD505-2E9C-101B-9397-08002B2CF9AE}" pid="14" name="TYPE_N_DATE">
    <vt:lpwstr>38020220329</vt:lpwstr>
  </property>
  <property fmtid="{D5CDD505-2E9C-101B-9397-08002B2CF9AE}" pid="15" name="WORDNUMPAGES">
    <vt:lpwstr>8</vt:lpwstr>
  </property>
  <property fmtid="{D5CDD505-2E9C-101B-9397-08002B2CF9AE}" pid="16" name="TYPE_ABS_DATE">
    <vt:lpwstr>380020220329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13022249;24975541;21980458;6875181</vt:lpwstr>
  </property>
  <property fmtid="{D5CDD505-2E9C-101B-9397-08002B2CF9AE}" pid="36" name="LAWLISTTMP1">
    <vt:lpwstr>127622</vt:lpwstr>
  </property>
  <property fmtid="{D5CDD505-2E9C-101B-9397-08002B2CF9AE}" pid="37" name="LAWLISTTMP2">
    <vt:lpwstr>4216</vt:lpwstr>
  </property>
</Properties>
</file>