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577C2E" w:rsidRPr="002549F7" w14:paraId="5E9F932E" w14:textId="77777777" w:rsidTr="00871460">
        <w:trPr>
          <w:trHeight w:hRule="exact" w:val="418"/>
          <w:jc w:val="center"/>
        </w:trPr>
        <w:tc>
          <w:tcPr>
            <w:tcW w:w="8721" w:type="dxa"/>
            <w:gridSpan w:val="2"/>
          </w:tcPr>
          <w:p w14:paraId="2508D351" w14:textId="77777777" w:rsidR="00577C2E" w:rsidRPr="002549F7" w:rsidRDefault="00577C2E" w:rsidP="00C9251A">
            <w:pPr>
              <w:pStyle w:val="a3"/>
              <w:jc w:val="center"/>
              <w:rPr>
                <w:rFonts w:ascii="Tahoma" w:hAnsi="Tahoma" w:cs="Tahoma"/>
                <w:color w:val="000080"/>
                <w:rtl/>
              </w:rPr>
            </w:pPr>
            <w:bookmarkStart w:id="0" w:name="LastJudge"/>
            <w:r w:rsidRPr="002549F7">
              <w:rPr>
                <w:rFonts w:ascii="Tahoma" w:hAnsi="Tahoma" w:cs="Tahoma"/>
                <w:b/>
                <w:bCs/>
                <w:color w:val="000080"/>
                <w:rtl/>
              </w:rPr>
              <w:t>בית משפט השלום בכפר סבא</w:t>
            </w:r>
          </w:p>
        </w:tc>
      </w:tr>
      <w:tr w:rsidR="00577C2E" w:rsidRPr="002549F7" w14:paraId="3F00F615" w14:textId="77777777" w:rsidTr="00871460">
        <w:trPr>
          <w:trHeight w:val="337"/>
          <w:jc w:val="center"/>
        </w:trPr>
        <w:tc>
          <w:tcPr>
            <w:tcW w:w="5050" w:type="dxa"/>
          </w:tcPr>
          <w:p w14:paraId="2ADE33DD" w14:textId="77777777" w:rsidR="00577C2E" w:rsidRPr="002549F7" w:rsidRDefault="00577C2E" w:rsidP="00C9251A">
            <w:pPr>
              <w:rPr>
                <w:rFonts w:ascii="David" w:hAnsi="David"/>
                <w:b/>
                <w:bCs/>
                <w:sz w:val="26"/>
                <w:szCs w:val="26"/>
                <w:rtl/>
              </w:rPr>
            </w:pPr>
            <w:r w:rsidRPr="002549F7">
              <w:rPr>
                <w:rFonts w:ascii="David" w:hAnsi="David"/>
                <w:b/>
                <w:bCs/>
                <w:sz w:val="26"/>
                <w:szCs w:val="26"/>
                <w:rtl/>
              </w:rPr>
              <w:t>ת"פ 20147-04-20 מדינת ישראל נ' סרסור</w:t>
            </w:r>
          </w:p>
          <w:p w14:paraId="29786B32" w14:textId="77777777" w:rsidR="00577C2E" w:rsidRPr="002549F7" w:rsidRDefault="00577C2E" w:rsidP="00C9251A">
            <w:pPr>
              <w:pStyle w:val="a3"/>
              <w:rPr>
                <w:rFonts w:ascii="David" w:hAnsi="David"/>
                <w:b/>
                <w:bCs/>
                <w:sz w:val="26"/>
                <w:szCs w:val="26"/>
                <w:rtl/>
              </w:rPr>
            </w:pPr>
          </w:p>
        </w:tc>
        <w:tc>
          <w:tcPr>
            <w:tcW w:w="3671" w:type="dxa"/>
          </w:tcPr>
          <w:p w14:paraId="0BB522B3" w14:textId="77777777" w:rsidR="00577C2E" w:rsidRPr="002549F7" w:rsidRDefault="00577C2E" w:rsidP="00C9251A">
            <w:pPr>
              <w:pStyle w:val="a3"/>
              <w:jc w:val="right"/>
              <w:rPr>
                <w:rFonts w:ascii="David" w:hAnsi="David"/>
                <w:b/>
                <w:bCs/>
                <w:sz w:val="26"/>
                <w:szCs w:val="26"/>
                <w:rtl/>
              </w:rPr>
            </w:pPr>
            <w:r w:rsidRPr="002549F7">
              <w:rPr>
                <w:rFonts w:ascii="David" w:hAnsi="David"/>
                <w:b/>
                <w:bCs/>
                <w:sz w:val="26"/>
                <w:szCs w:val="26"/>
                <w:rtl/>
              </w:rPr>
              <w:t>29 מאי 2022</w:t>
            </w:r>
          </w:p>
        </w:tc>
      </w:tr>
    </w:tbl>
    <w:p w14:paraId="22ED614B" w14:textId="77777777" w:rsidR="00577C2E" w:rsidRPr="002549F7" w:rsidRDefault="00577C2E" w:rsidP="00577C2E">
      <w:pPr>
        <w:pStyle w:val="a3"/>
        <w:rPr>
          <w:rtl/>
        </w:rPr>
      </w:pPr>
      <w:r w:rsidRPr="002549F7">
        <w:rPr>
          <w:rFonts w:hint="cs"/>
          <w:rtl/>
        </w:rPr>
        <w:t xml:space="preserve"> </w:t>
      </w:r>
    </w:p>
    <w:p w14:paraId="07BA2FAC" w14:textId="77777777" w:rsidR="00577C2E" w:rsidRPr="002549F7" w:rsidRDefault="00577C2E" w:rsidP="00577C2E">
      <w:pPr>
        <w:rPr>
          <w:sz w:val="26"/>
          <w:szCs w:val="26"/>
          <w:rtl/>
        </w:rPr>
      </w:pPr>
    </w:p>
    <w:p w14:paraId="0CC3A085" w14:textId="77777777" w:rsidR="00577C2E" w:rsidRPr="002549F7" w:rsidRDefault="00577C2E" w:rsidP="00577C2E">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3088"/>
        <w:gridCol w:w="5098"/>
      </w:tblGrid>
      <w:tr w:rsidR="00577C2E" w:rsidRPr="002549F7" w14:paraId="5F605354" w14:textId="77777777" w:rsidTr="00577C2E">
        <w:trPr>
          <w:trHeight w:val="295"/>
          <w:jc w:val="center"/>
        </w:trPr>
        <w:tc>
          <w:tcPr>
            <w:tcW w:w="634" w:type="dxa"/>
            <w:tcBorders>
              <w:top w:val="nil"/>
              <w:left w:val="nil"/>
              <w:bottom w:val="nil"/>
              <w:right w:val="nil"/>
            </w:tcBorders>
            <w:shd w:val="clear" w:color="auto" w:fill="auto"/>
          </w:tcPr>
          <w:p w14:paraId="47F1C949" w14:textId="77777777" w:rsidR="00577C2E" w:rsidRPr="002549F7" w:rsidRDefault="00577C2E" w:rsidP="00577C2E">
            <w:pPr>
              <w:jc w:val="both"/>
              <w:rPr>
                <w:rFonts w:ascii="David" w:hAnsi="David"/>
                <w:b/>
                <w:bCs/>
                <w:sz w:val="26"/>
                <w:szCs w:val="26"/>
              </w:rPr>
            </w:pPr>
            <w:r w:rsidRPr="002549F7">
              <w:rPr>
                <w:rFonts w:ascii="David" w:hAnsi="David" w:hint="cs"/>
                <w:b/>
                <w:bCs/>
                <w:sz w:val="26"/>
                <w:szCs w:val="26"/>
                <w:rtl/>
              </w:rPr>
              <w:t>לפני</w:t>
            </w:r>
          </w:p>
        </w:tc>
        <w:tc>
          <w:tcPr>
            <w:tcW w:w="8186" w:type="dxa"/>
            <w:gridSpan w:val="2"/>
            <w:tcBorders>
              <w:top w:val="nil"/>
              <w:left w:val="nil"/>
              <w:bottom w:val="nil"/>
              <w:right w:val="nil"/>
            </w:tcBorders>
            <w:shd w:val="clear" w:color="auto" w:fill="auto"/>
          </w:tcPr>
          <w:p w14:paraId="21C3CD7D" w14:textId="77777777" w:rsidR="00577C2E" w:rsidRPr="002549F7" w:rsidRDefault="00577C2E" w:rsidP="00C9251A">
            <w:pPr>
              <w:rPr>
                <w:rFonts w:ascii="David" w:hAnsi="David"/>
                <w:b/>
                <w:bCs/>
                <w:sz w:val="26"/>
                <w:szCs w:val="26"/>
                <w:rtl/>
              </w:rPr>
            </w:pPr>
            <w:r w:rsidRPr="002549F7">
              <w:rPr>
                <w:rFonts w:ascii="David" w:hAnsi="David"/>
                <w:b/>
                <w:bCs/>
                <w:sz w:val="26"/>
                <w:szCs w:val="26"/>
                <w:rtl/>
              </w:rPr>
              <w:t>כבוד השופטת  אילה אורן</w:t>
            </w:r>
          </w:p>
          <w:p w14:paraId="6FAEF153" w14:textId="77777777" w:rsidR="00577C2E" w:rsidRPr="002549F7" w:rsidRDefault="00577C2E" w:rsidP="00C9251A">
            <w:pPr>
              <w:rPr>
                <w:rFonts w:ascii="David" w:hAnsi="David"/>
                <w:sz w:val="26"/>
                <w:szCs w:val="26"/>
                <w:rtl/>
              </w:rPr>
            </w:pPr>
          </w:p>
          <w:p w14:paraId="256CF0D8" w14:textId="77777777" w:rsidR="00577C2E" w:rsidRPr="002549F7" w:rsidRDefault="00577C2E" w:rsidP="00577C2E">
            <w:pPr>
              <w:jc w:val="both"/>
              <w:rPr>
                <w:rFonts w:ascii="David" w:hAnsi="David"/>
                <w:sz w:val="26"/>
                <w:szCs w:val="26"/>
              </w:rPr>
            </w:pPr>
          </w:p>
        </w:tc>
      </w:tr>
      <w:tr w:rsidR="00577C2E" w:rsidRPr="002549F7" w14:paraId="57563CB6" w14:textId="77777777" w:rsidTr="00577C2E">
        <w:trPr>
          <w:trHeight w:val="355"/>
          <w:jc w:val="center"/>
        </w:trPr>
        <w:tc>
          <w:tcPr>
            <w:tcW w:w="634" w:type="dxa"/>
            <w:tcBorders>
              <w:top w:val="nil"/>
              <w:left w:val="nil"/>
              <w:bottom w:val="nil"/>
              <w:right w:val="nil"/>
            </w:tcBorders>
            <w:shd w:val="clear" w:color="auto" w:fill="auto"/>
          </w:tcPr>
          <w:p w14:paraId="0D699496" w14:textId="77777777" w:rsidR="00577C2E" w:rsidRPr="002549F7" w:rsidRDefault="00577C2E" w:rsidP="00577C2E">
            <w:pPr>
              <w:jc w:val="both"/>
              <w:rPr>
                <w:rFonts w:ascii="David" w:hAnsi="David"/>
                <w:sz w:val="26"/>
                <w:szCs w:val="26"/>
              </w:rPr>
            </w:pPr>
            <w:bookmarkStart w:id="1" w:name="FirstAppellant"/>
          </w:p>
        </w:tc>
        <w:tc>
          <w:tcPr>
            <w:tcW w:w="3088" w:type="dxa"/>
            <w:tcBorders>
              <w:top w:val="nil"/>
              <w:left w:val="nil"/>
              <w:bottom w:val="nil"/>
              <w:right w:val="nil"/>
            </w:tcBorders>
            <w:shd w:val="clear" w:color="auto" w:fill="auto"/>
          </w:tcPr>
          <w:p w14:paraId="2675F484" w14:textId="77777777" w:rsidR="00577C2E" w:rsidRPr="002549F7" w:rsidRDefault="00577C2E" w:rsidP="00577C2E">
            <w:pPr>
              <w:suppressLineNumbers/>
            </w:pPr>
            <w:r w:rsidRPr="002549F7">
              <w:rPr>
                <w:rFonts w:ascii="Arial" w:hAnsi="Arial" w:hint="cs"/>
                <w:b/>
                <w:bCs/>
                <w:sz w:val="26"/>
                <w:szCs w:val="26"/>
                <w:rtl/>
              </w:rPr>
              <w:t>ה</w:t>
            </w:r>
            <w:r w:rsidRPr="002549F7">
              <w:rPr>
                <w:rFonts w:ascii="Arial" w:hAnsi="Arial"/>
                <w:b/>
                <w:bCs/>
                <w:sz w:val="26"/>
                <w:szCs w:val="26"/>
                <w:rtl/>
              </w:rPr>
              <w:t>מאשימה</w:t>
            </w:r>
          </w:p>
          <w:p w14:paraId="1632445F" w14:textId="77777777" w:rsidR="00577C2E" w:rsidRPr="002549F7" w:rsidRDefault="00577C2E" w:rsidP="00C9251A">
            <w:pPr>
              <w:rPr>
                <w:rFonts w:ascii="David" w:hAnsi="David"/>
                <w:sz w:val="26"/>
                <w:szCs w:val="26"/>
              </w:rPr>
            </w:pPr>
          </w:p>
        </w:tc>
        <w:tc>
          <w:tcPr>
            <w:tcW w:w="5098" w:type="dxa"/>
            <w:tcBorders>
              <w:top w:val="nil"/>
              <w:left w:val="nil"/>
              <w:bottom w:val="nil"/>
              <w:right w:val="nil"/>
            </w:tcBorders>
            <w:shd w:val="clear" w:color="auto" w:fill="auto"/>
            <w:vAlign w:val="center"/>
          </w:tcPr>
          <w:p w14:paraId="2175B0E1" w14:textId="77777777" w:rsidR="00577C2E" w:rsidRPr="002549F7" w:rsidRDefault="00577C2E" w:rsidP="00577C2E">
            <w:pPr>
              <w:suppressLineNumbers/>
            </w:pPr>
            <w:r w:rsidRPr="002549F7">
              <w:rPr>
                <w:rFonts w:ascii="Arial" w:hAnsi="Arial"/>
                <w:b/>
                <w:bCs/>
                <w:sz w:val="26"/>
                <w:szCs w:val="26"/>
                <w:rtl/>
              </w:rPr>
              <w:t>מדינת ישראל</w:t>
            </w:r>
          </w:p>
          <w:p w14:paraId="3B0F5C57" w14:textId="77777777" w:rsidR="00577C2E" w:rsidRPr="002549F7" w:rsidRDefault="00577C2E" w:rsidP="00C9251A">
            <w:pPr>
              <w:rPr>
                <w:rFonts w:ascii="David" w:hAnsi="David"/>
                <w:sz w:val="26"/>
                <w:szCs w:val="26"/>
              </w:rPr>
            </w:pPr>
          </w:p>
        </w:tc>
      </w:tr>
      <w:bookmarkEnd w:id="1"/>
      <w:tr w:rsidR="00577C2E" w:rsidRPr="002549F7" w14:paraId="583FA2AC" w14:textId="77777777" w:rsidTr="00577C2E">
        <w:trPr>
          <w:trHeight w:val="355"/>
          <w:jc w:val="center"/>
        </w:trPr>
        <w:tc>
          <w:tcPr>
            <w:tcW w:w="634" w:type="dxa"/>
            <w:tcBorders>
              <w:top w:val="nil"/>
              <w:left w:val="nil"/>
              <w:bottom w:val="nil"/>
              <w:right w:val="nil"/>
            </w:tcBorders>
            <w:shd w:val="clear" w:color="auto" w:fill="auto"/>
          </w:tcPr>
          <w:p w14:paraId="2263FA6B" w14:textId="77777777" w:rsidR="00577C2E" w:rsidRPr="002549F7" w:rsidRDefault="00577C2E" w:rsidP="00577C2E">
            <w:pPr>
              <w:jc w:val="both"/>
              <w:rPr>
                <w:rFonts w:ascii="David" w:hAnsi="David"/>
                <w:sz w:val="26"/>
                <w:szCs w:val="26"/>
                <w:rtl/>
              </w:rPr>
            </w:pPr>
          </w:p>
        </w:tc>
        <w:tc>
          <w:tcPr>
            <w:tcW w:w="8186" w:type="dxa"/>
            <w:gridSpan w:val="2"/>
            <w:tcBorders>
              <w:top w:val="nil"/>
              <w:left w:val="nil"/>
              <w:bottom w:val="nil"/>
              <w:right w:val="nil"/>
            </w:tcBorders>
            <w:shd w:val="clear" w:color="auto" w:fill="auto"/>
          </w:tcPr>
          <w:p w14:paraId="708AAEB7" w14:textId="77777777" w:rsidR="00577C2E" w:rsidRPr="002549F7" w:rsidRDefault="00577C2E" w:rsidP="00577C2E">
            <w:pPr>
              <w:jc w:val="center"/>
              <w:rPr>
                <w:rFonts w:ascii="David" w:hAnsi="David"/>
                <w:b/>
                <w:bCs/>
                <w:sz w:val="26"/>
                <w:szCs w:val="26"/>
                <w:rtl/>
              </w:rPr>
            </w:pPr>
          </w:p>
          <w:p w14:paraId="135D8623" w14:textId="77777777" w:rsidR="00577C2E" w:rsidRPr="002549F7" w:rsidRDefault="00577C2E" w:rsidP="00577C2E">
            <w:pPr>
              <w:jc w:val="center"/>
              <w:rPr>
                <w:rFonts w:ascii="David" w:hAnsi="David"/>
                <w:b/>
                <w:bCs/>
                <w:sz w:val="26"/>
                <w:szCs w:val="26"/>
                <w:rtl/>
              </w:rPr>
            </w:pPr>
            <w:r w:rsidRPr="002549F7">
              <w:rPr>
                <w:rFonts w:ascii="David" w:hAnsi="David"/>
                <w:b/>
                <w:bCs/>
                <w:sz w:val="26"/>
                <w:szCs w:val="26"/>
                <w:rtl/>
              </w:rPr>
              <w:t>נגד</w:t>
            </w:r>
          </w:p>
          <w:p w14:paraId="05EFB6AC" w14:textId="77777777" w:rsidR="00577C2E" w:rsidRPr="002549F7" w:rsidRDefault="00577C2E" w:rsidP="00577C2E">
            <w:pPr>
              <w:jc w:val="both"/>
              <w:rPr>
                <w:rFonts w:ascii="David" w:hAnsi="David"/>
                <w:sz w:val="26"/>
                <w:szCs w:val="26"/>
              </w:rPr>
            </w:pPr>
          </w:p>
        </w:tc>
      </w:tr>
      <w:tr w:rsidR="00577C2E" w:rsidRPr="002549F7" w14:paraId="7427AB5D" w14:textId="77777777" w:rsidTr="00577C2E">
        <w:trPr>
          <w:trHeight w:val="355"/>
          <w:jc w:val="center"/>
        </w:trPr>
        <w:tc>
          <w:tcPr>
            <w:tcW w:w="634" w:type="dxa"/>
            <w:tcBorders>
              <w:top w:val="nil"/>
              <w:left w:val="nil"/>
              <w:bottom w:val="nil"/>
              <w:right w:val="nil"/>
            </w:tcBorders>
            <w:shd w:val="clear" w:color="auto" w:fill="auto"/>
          </w:tcPr>
          <w:p w14:paraId="1C50978C" w14:textId="77777777" w:rsidR="00577C2E" w:rsidRPr="002549F7" w:rsidRDefault="00577C2E" w:rsidP="00C9251A">
            <w:pPr>
              <w:rPr>
                <w:rFonts w:ascii="David" w:hAnsi="David"/>
                <w:sz w:val="26"/>
                <w:szCs w:val="26"/>
                <w:rtl/>
              </w:rPr>
            </w:pPr>
          </w:p>
        </w:tc>
        <w:tc>
          <w:tcPr>
            <w:tcW w:w="3088" w:type="dxa"/>
            <w:tcBorders>
              <w:top w:val="nil"/>
              <w:left w:val="nil"/>
              <w:bottom w:val="nil"/>
              <w:right w:val="nil"/>
            </w:tcBorders>
            <w:shd w:val="clear" w:color="auto" w:fill="auto"/>
          </w:tcPr>
          <w:p w14:paraId="5AD2A163" w14:textId="77777777" w:rsidR="00577C2E" w:rsidRPr="002549F7" w:rsidRDefault="00577C2E" w:rsidP="00C9251A">
            <w:pPr>
              <w:rPr>
                <w:rFonts w:ascii="Arial" w:hAnsi="Arial"/>
                <w:b/>
                <w:bCs/>
                <w:sz w:val="26"/>
                <w:szCs w:val="26"/>
                <w:rtl/>
              </w:rPr>
            </w:pPr>
            <w:r w:rsidRPr="002549F7">
              <w:rPr>
                <w:rFonts w:ascii="Arial" w:hAnsi="Arial"/>
                <w:b/>
                <w:bCs/>
                <w:sz w:val="26"/>
                <w:szCs w:val="26"/>
                <w:rtl/>
              </w:rPr>
              <w:t>הנא</w:t>
            </w:r>
            <w:r w:rsidRPr="002549F7">
              <w:rPr>
                <w:rFonts w:ascii="Arial" w:hAnsi="Arial" w:hint="cs"/>
                <w:b/>
                <w:bCs/>
                <w:sz w:val="26"/>
                <w:szCs w:val="26"/>
                <w:rtl/>
              </w:rPr>
              <w:t>ש</w:t>
            </w:r>
            <w:r w:rsidRPr="002549F7">
              <w:rPr>
                <w:rFonts w:ascii="Arial" w:hAnsi="Arial"/>
                <w:b/>
                <w:bCs/>
                <w:sz w:val="26"/>
                <w:szCs w:val="26"/>
                <w:rtl/>
              </w:rPr>
              <w:t>ם</w:t>
            </w:r>
          </w:p>
        </w:tc>
        <w:tc>
          <w:tcPr>
            <w:tcW w:w="5098" w:type="dxa"/>
            <w:tcBorders>
              <w:top w:val="nil"/>
              <w:left w:val="nil"/>
              <w:bottom w:val="nil"/>
              <w:right w:val="nil"/>
            </w:tcBorders>
            <w:shd w:val="clear" w:color="auto" w:fill="auto"/>
            <w:vAlign w:val="center"/>
          </w:tcPr>
          <w:p w14:paraId="5D863066" w14:textId="77777777" w:rsidR="00577C2E" w:rsidRPr="002549F7" w:rsidRDefault="00577C2E" w:rsidP="00577C2E">
            <w:pPr>
              <w:suppressLineNumbers/>
            </w:pPr>
            <w:r w:rsidRPr="002549F7">
              <w:rPr>
                <w:rFonts w:ascii="Arial" w:hAnsi="Arial"/>
                <w:b/>
                <w:bCs/>
                <w:sz w:val="26"/>
                <w:szCs w:val="26"/>
                <w:rtl/>
              </w:rPr>
              <w:t>בהא סרסור</w:t>
            </w:r>
          </w:p>
          <w:p w14:paraId="7FFBA64C" w14:textId="77777777" w:rsidR="00577C2E" w:rsidRPr="002549F7" w:rsidRDefault="00577C2E" w:rsidP="00C9251A">
            <w:pPr>
              <w:rPr>
                <w:rFonts w:ascii="David" w:hAnsi="David"/>
                <w:sz w:val="26"/>
                <w:szCs w:val="26"/>
              </w:rPr>
            </w:pPr>
          </w:p>
        </w:tc>
      </w:tr>
    </w:tbl>
    <w:p w14:paraId="30E6156F" w14:textId="77777777" w:rsidR="00871460" w:rsidRDefault="00871460" w:rsidP="00577C2E">
      <w:pPr>
        <w:rPr>
          <w:sz w:val="26"/>
          <w:szCs w:val="26"/>
          <w:rtl/>
        </w:rPr>
      </w:pPr>
    </w:p>
    <w:p w14:paraId="05D1068A" w14:textId="77777777" w:rsidR="00871460" w:rsidRPr="00871460" w:rsidRDefault="00871460" w:rsidP="00871460">
      <w:pPr>
        <w:spacing w:after="120" w:line="240" w:lineRule="exact"/>
        <w:ind w:left="283" w:hanging="283"/>
        <w:jc w:val="both"/>
        <w:rPr>
          <w:rFonts w:ascii="FrankRuehl" w:hAnsi="FrankRuehl" w:cs="FrankRuehl"/>
          <w:rtl/>
        </w:rPr>
      </w:pPr>
    </w:p>
    <w:p w14:paraId="3EF48CFD" w14:textId="77777777" w:rsidR="00092623" w:rsidRPr="00092623" w:rsidRDefault="00092623" w:rsidP="00092623">
      <w:pPr>
        <w:spacing w:before="120" w:after="120" w:line="240" w:lineRule="exact"/>
        <w:ind w:left="283" w:hanging="283"/>
        <w:jc w:val="both"/>
        <w:rPr>
          <w:rFonts w:ascii="FrankRuehl" w:hAnsi="FrankRuehl" w:cs="FrankRuehl"/>
          <w:rtl/>
        </w:rPr>
      </w:pPr>
    </w:p>
    <w:p w14:paraId="46D189DF" w14:textId="77777777" w:rsidR="00434B58" w:rsidRDefault="00434B58" w:rsidP="00434B58">
      <w:pPr>
        <w:rPr>
          <w:rFonts w:ascii="Arial" w:hAnsi="Arial"/>
          <w:sz w:val="26"/>
          <w:szCs w:val="26"/>
          <w:rtl/>
        </w:rPr>
      </w:pPr>
      <w:bookmarkStart w:id="2" w:name="LawTable"/>
      <w:bookmarkEnd w:id="2"/>
    </w:p>
    <w:p w14:paraId="6FA3002F" w14:textId="77777777" w:rsidR="00434B58" w:rsidRPr="00434B58" w:rsidRDefault="00434B58" w:rsidP="00434B58">
      <w:pPr>
        <w:spacing w:before="120" w:after="120" w:line="240" w:lineRule="exact"/>
        <w:ind w:left="283" w:hanging="283"/>
        <w:jc w:val="both"/>
        <w:rPr>
          <w:rFonts w:ascii="FrankRuehl" w:hAnsi="FrankRuehl" w:cs="FrankRuehl"/>
          <w:rtl/>
        </w:rPr>
      </w:pPr>
    </w:p>
    <w:p w14:paraId="5B4AF28D" w14:textId="77777777" w:rsidR="00434B58" w:rsidRPr="00434B58" w:rsidRDefault="00434B58" w:rsidP="00434B58">
      <w:pPr>
        <w:spacing w:before="120" w:after="120" w:line="240" w:lineRule="exact"/>
        <w:ind w:left="283" w:hanging="283"/>
        <w:jc w:val="both"/>
        <w:rPr>
          <w:rFonts w:ascii="FrankRuehl" w:hAnsi="FrankRuehl" w:cs="FrankRuehl"/>
          <w:rtl/>
        </w:rPr>
      </w:pPr>
    </w:p>
    <w:p w14:paraId="6547DF37" w14:textId="77777777" w:rsidR="00434B58" w:rsidRPr="00434B58" w:rsidRDefault="00434B58" w:rsidP="00434B58">
      <w:pPr>
        <w:spacing w:before="120" w:after="120" w:line="240" w:lineRule="exact"/>
        <w:ind w:left="283" w:hanging="283"/>
        <w:jc w:val="both"/>
        <w:rPr>
          <w:rFonts w:ascii="FrankRuehl" w:hAnsi="FrankRuehl" w:cs="FrankRuehl"/>
          <w:rtl/>
        </w:rPr>
      </w:pPr>
      <w:r w:rsidRPr="00434B58">
        <w:rPr>
          <w:rFonts w:ascii="FrankRuehl" w:hAnsi="FrankRuehl" w:cs="FrankRuehl"/>
          <w:rtl/>
        </w:rPr>
        <w:t xml:space="preserve">חקיקה שאוזכרה: </w:t>
      </w:r>
    </w:p>
    <w:p w14:paraId="114B3293" w14:textId="77777777" w:rsidR="00434B58" w:rsidRPr="00434B58" w:rsidRDefault="00434B58" w:rsidP="00434B58">
      <w:pPr>
        <w:spacing w:before="120" w:after="120" w:line="240" w:lineRule="exact"/>
        <w:ind w:left="283" w:hanging="283"/>
        <w:jc w:val="both"/>
        <w:rPr>
          <w:rFonts w:ascii="FrankRuehl" w:hAnsi="FrankRuehl" w:cs="FrankRuehl"/>
          <w:rtl/>
        </w:rPr>
      </w:pPr>
      <w:hyperlink r:id="rId7" w:history="1">
        <w:r w:rsidRPr="00434B58">
          <w:rPr>
            <w:rFonts w:ascii="FrankRuehl" w:hAnsi="FrankRuehl" w:cs="FrankRuehl"/>
            <w:color w:val="0000FF"/>
            <w:rtl/>
          </w:rPr>
          <w:t>פקודת הסמים המסוכנים [נוסח חדש], תשל"ג-1973</w:t>
        </w:r>
      </w:hyperlink>
      <w:r w:rsidRPr="00434B58">
        <w:rPr>
          <w:rFonts w:ascii="FrankRuehl" w:hAnsi="FrankRuehl" w:cs="FrankRuehl"/>
          <w:rtl/>
        </w:rPr>
        <w:t xml:space="preserve">: סע'  </w:t>
      </w:r>
      <w:hyperlink r:id="rId8" w:history="1">
        <w:r w:rsidRPr="00434B58">
          <w:rPr>
            <w:rFonts w:ascii="FrankRuehl" w:hAnsi="FrankRuehl" w:cs="FrankRuehl"/>
            <w:color w:val="0000FF"/>
            <w:rtl/>
          </w:rPr>
          <w:t>7.א.</w:t>
        </w:r>
      </w:hyperlink>
      <w:r w:rsidRPr="00434B58">
        <w:rPr>
          <w:rFonts w:ascii="FrankRuehl" w:hAnsi="FrankRuehl" w:cs="FrankRuehl"/>
          <w:rtl/>
        </w:rPr>
        <w:t xml:space="preserve">, </w:t>
      </w:r>
      <w:hyperlink r:id="rId9" w:history="1">
        <w:r w:rsidRPr="00434B58">
          <w:rPr>
            <w:rFonts w:ascii="FrankRuehl" w:hAnsi="FrankRuehl" w:cs="FrankRuehl"/>
            <w:color w:val="0000FF"/>
            <w:rtl/>
          </w:rPr>
          <w:t>7.ג</w:t>
        </w:r>
      </w:hyperlink>
    </w:p>
    <w:p w14:paraId="0CDFF2F8" w14:textId="77777777" w:rsidR="00434B58" w:rsidRPr="00434B58" w:rsidRDefault="00434B58" w:rsidP="00434B58">
      <w:pPr>
        <w:spacing w:before="120" w:after="120" w:line="240" w:lineRule="exact"/>
        <w:ind w:left="283" w:hanging="283"/>
        <w:jc w:val="both"/>
        <w:rPr>
          <w:rFonts w:ascii="FrankRuehl" w:hAnsi="FrankRuehl" w:cs="FrankRuehl"/>
          <w:rtl/>
        </w:rPr>
      </w:pPr>
      <w:hyperlink r:id="rId10" w:history="1">
        <w:r w:rsidRPr="00434B58">
          <w:rPr>
            <w:rFonts w:ascii="FrankRuehl" w:hAnsi="FrankRuehl" w:cs="FrankRuehl"/>
            <w:color w:val="0000FF"/>
            <w:rtl/>
          </w:rPr>
          <w:t>חוק העונשין, תשל"ז-1977</w:t>
        </w:r>
      </w:hyperlink>
    </w:p>
    <w:p w14:paraId="0678C51A" w14:textId="77777777" w:rsidR="00434B58" w:rsidRPr="00434B58" w:rsidRDefault="00434B58" w:rsidP="00434B58">
      <w:pPr>
        <w:rPr>
          <w:rFonts w:ascii="Arial" w:hAnsi="Arial"/>
          <w:sz w:val="26"/>
          <w:szCs w:val="26"/>
          <w:rtl/>
        </w:rPr>
      </w:pPr>
      <w:bookmarkStart w:id="3" w:name="LawTable_End"/>
      <w:bookmarkEnd w:id="3"/>
    </w:p>
    <w:p w14:paraId="622E21FA" w14:textId="77777777" w:rsidR="00577C2E" w:rsidRPr="00092623" w:rsidRDefault="00577C2E" w:rsidP="00092623">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7C2E" w14:paraId="11BF37B8" w14:textId="77777777" w:rsidTr="00577C2E">
        <w:trPr>
          <w:trHeight w:val="355"/>
          <w:jc w:val="center"/>
        </w:trPr>
        <w:tc>
          <w:tcPr>
            <w:tcW w:w="8820" w:type="dxa"/>
            <w:tcBorders>
              <w:top w:val="nil"/>
              <w:left w:val="nil"/>
              <w:bottom w:val="nil"/>
              <w:right w:val="nil"/>
            </w:tcBorders>
            <w:shd w:val="clear" w:color="auto" w:fill="auto"/>
          </w:tcPr>
          <w:p w14:paraId="1EDA621E" w14:textId="77777777" w:rsidR="002549F7" w:rsidRPr="002549F7" w:rsidRDefault="002549F7" w:rsidP="002549F7">
            <w:pPr>
              <w:jc w:val="center"/>
              <w:rPr>
                <w:rFonts w:ascii="David" w:hAnsi="David"/>
                <w:b/>
                <w:bCs/>
                <w:sz w:val="32"/>
                <w:szCs w:val="32"/>
                <w:u w:val="single"/>
                <w:rtl/>
              </w:rPr>
            </w:pPr>
            <w:bookmarkStart w:id="4" w:name="PsakDin" w:colFirst="0" w:colLast="0"/>
            <w:bookmarkEnd w:id="0"/>
            <w:r w:rsidRPr="002549F7">
              <w:rPr>
                <w:rFonts w:ascii="David" w:hAnsi="David"/>
                <w:b/>
                <w:bCs/>
                <w:sz w:val="32"/>
                <w:szCs w:val="32"/>
                <w:u w:val="single"/>
                <w:rtl/>
              </w:rPr>
              <w:t>גזר דין</w:t>
            </w:r>
          </w:p>
          <w:p w14:paraId="3AF2DAC3" w14:textId="77777777" w:rsidR="00577C2E" w:rsidRPr="002549F7" w:rsidRDefault="00577C2E" w:rsidP="002549F7">
            <w:pPr>
              <w:jc w:val="center"/>
              <w:rPr>
                <w:rFonts w:ascii="David" w:hAnsi="David"/>
                <w:bCs/>
                <w:sz w:val="32"/>
                <w:szCs w:val="32"/>
                <w:u w:val="single"/>
                <w:rtl/>
              </w:rPr>
            </w:pPr>
          </w:p>
        </w:tc>
      </w:tr>
      <w:bookmarkEnd w:id="4"/>
    </w:tbl>
    <w:p w14:paraId="6FC94F41" w14:textId="77777777" w:rsidR="00577C2E" w:rsidRPr="000F2247" w:rsidRDefault="00577C2E" w:rsidP="00577C2E">
      <w:pPr>
        <w:rPr>
          <w:rFonts w:ascii="Arial" w:hAnsi="Arial"/>
          <w:b/>
          <w:bCs/>
          <w:sz w:val="26"/>
          <w:szCs w:val="26"/>
          <w:rtl/>
        </w:rPr>
      </w:pPr>
    </w:p>
    <w:p w14:paraId="18F26069" w14:textId="77777777" w:rsidR="00577C2E" w:rsidRDefault="00577C2E" w:rsidP="00577C2E">
      <w:pPr>
        <w:spacing w:line="480" w:lineRule="auto"/>
        <w:jc w:val="both"/>
        <w:rPr>
          <w:rFonts w:ascii="David" w:hAnsi="David"/>
          <w:b/>
          <w:bCs/>
          <w:u w:val="single"/>
          <w:rtl/>
        </w:rPr>
      </w:pPr>
      <w:r>
        <w:rPr>
          <w:rFonts w:ascii="David" w:hAnsi="David"/>
          <w:b/>
          <w:bCs/>
          <w:u w:val="single"/>
          <w:rtl/>
        </w:rPr>
        <w:t xml:space="preserve">כתב האישום </w:t>
      </w:r>
    </w:p>
    <w:p w14:paraId="25694FEC" w14:textId="77777777" w:rsidR="00577C2E" w:rsidRDefault="00577C2E" w:rsidP="00577C2E">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הודה במסגרת הסדר טיעון דיוני בעובדות כתב אישום מתוקן בעבירה של החזקת סמים מסוכנים מסוג קוקאין במשקל של 3.37 גרם שלא לצריכתו העצמית, לפי סעיפים </w:t>
      </w:r>
      <w:hyperlink r:id="rId11" w:history="1">
        <w:r w:rsidR="00871460" w:rsidRPr="00871460">
          <w:rPr>
            <w:rStyle w:val="Hyperlink"/>
            <w:rFonts w:ascii="David" w:hAnsi="David"/>
            <w:rtl/>
          </w:rPr>
          <w:t>7(א) ו-(ג)</w:t>
        </w:r>
      </w:hyperlink>
      <w:r>
        <w:rPr>
          <w:rFonts w:ascii="David" w:hAnsi="David"/>
          <w:rtl/>
        </w:rPr>
        <w:t xml:space="preserve"> רישא ל</w:t>
      </w:r>
      <w:hyperlink r:id="rId12" w:history="1">
        <w:r w:rsidR="002549F7" w:rsidRPr="002549F7">
          <w:rPr>
            <w:rFonts w:ascii="David" w:hAnsi="David"/>
            <w:color w:val="0000FF"/>
            <w:u w:val="single"/>
            <w:rtl/>
          </w:rPr>
          <w:t>פקודת הסמים המסוכנים</w:t>
        </w:r>
      </w:hyperlink>
      <w:r>
        <w:rPr>
          <w:rFonts w:ascii="David" w:hAnsi="David"/>
          <w:rtl/>
        </w:rPr>
        <w:t xml:space="preserve"> [נוסח חדש], תשל"ג- 1973 (להלן: "פקודת הסמים"), בכך שביום 27.8.2019 החזיק 3.37 גרם של סם מסוכן מסוג קוקאין בשקית בארונית בביתו. </w:t>
      </w:r>
    </w:p>
    <w:p w14:paraId="542BD7EA" w14:textId="77777777" w:rsidR="00577C2E" w:rsidRDefault="00577C2E" w:rsidP="00577C2E">
      <w:pPr>
        <w:pStyle w:val="a9"/>
        <w:spacing w:after="0" w:line="240" w:lineRule="auto"/>
        <w:rPr>
          <w:rFonts w:ascii="David" w:hAnsi="David" w:cs="David"/>
          <w:sz w:val="24"/>
          <w:szCs w:val="24"/>
        </w:rPr>
      </w:pPr>
      <w:bookmarkStart w:id="6" w:name="ABSTRACT_END"/>
      <w:bookmarkEnd w:id="6"/>
    </w:p>
    <w:p w14:paraId="31071B47" w14:textId="77777777" w:rsidR="00577C2E" w:rsidRDefault="00577C2E" w:rsidP="00577C2E">
      <w:pPr>
        <w:numPr>
          <w:ilvl w:val="0"/>
          <w:numId w:val="1"/>
        </w:numPr>
        <w:spacing w:line="360" w:lineRule="auto"/>
        <w:jc w:val="both"/>
        <w:rPr>
          <w:rFonts w:ascii="David" w:hAnsi="David"/>
          <w:rtl/>
        </w:rPr>
      </w:pPr>
      <w:r>
        <w:rPr>
          <w:rFonts w:ascii="David" w:hAnsi="David"/>
          <w:rtl/>
        </w:rPr>
        <w:t xml:space="preserve">ביום 4.7.2021 עם הצגת הסדר הטיעון, הוסכם שהנאשם יישלח לשירות המבחן לשם קבלת תסקיר לעניין העונש. באותו מעמד הצהירה המאשימה כי היא תעתור לעונש של מאסר בעבודות שירות למשך 6 חודשים, וההגנה תהיה חופשית בטיעוניה. לפיכך נדחה הדיון לשם קבלת תסקיר מאת שירות המבחן וחוות דעת ממונה על עבודות השירות. </w:t>
      </w:r>
    </w:p>
    <w:p w14:paraId="78AE4283" w14:textId="77777777" w:rsidR="00577C2E" w:rsidRDefault="00577C2E" w:rsidP="00577C2E">
      <w:pPr>
        <w:pStyle w:val="a9"/>
        <w:spacing w:after="0" w:line="240" w:lineRule="auto"/>
        <w:rPr>
          <w:rFonts w:ascii="David" w:hAnsi="David" w:cs="David"/>
          <w:sz w:val="24"/>
          <w:szCs w:val="24"/>
        </w:rPr>
      </w:pPr>
    </w:p>
    <w:p w14:paraId="503AA5FB" w14:textId="77777777" w:rsidR="00577C2E" w:rsidRDefault="00577C2E" w:rsidP="00577C2E">
      <w:pPr>
        <w:numPr>
          <w:ilvl w:val="0"/>
          <w:numId w:val="1"/>
        </w:numPr>
        <w:spacing w:line="360" w:lineRule="auto"/>
        <w:jc w:val="both"/>
        <w:rPr>
          <w:rFonts w:ascii="David" w:hAnsi="David"/>
          <w:rtl/>
        </w:rPr>
      </w:pPr>
      <w:r>
        <w:rPr>
          <w:rFonts w:ascii="David" w:hAnsi="David"/>
          <w:rtl/>
        </w:rPr>
        <w:lastRenderedPageBreak/>
        <w:t xml:space="preserve">תסקיר שירות המבחן מיום 26.5.2022 תיאר את נסיבות חייו של הנאשם, שהוא בן 41, נשוי ואב לשלושה ילדים קטינים צעירים, עובד בשמירה מזה 7 שנים. הנאשם עבר תאונת דרכים ובעקבותיה הוא סובל מבעיות אורתופדיות, ולשם כך נעזר בקנביס רפואי אותו הוא נוטל ברישיון לשם התמודדות עם כאבים. הנאשם סיים 12 שנות לימוד, ולאחר מכן התחבר לחברה שולית בשכונת מגוריו, דבר שהביא להידרדרות לעבריינות. עוד עולה כי משפחתו של הנאשם התמודדה עם פטירה של אחותו </w:t>
      </w:r>
      <w:r>
        <w:rPr>
          <w:rFonts w:ascii="David" w:hAnsi="David" w:hint="cs"/>
          <w:rtl/>
        </w:rPr>
        <w:t xml:space="preserve">ז"ל </w:t>
      </w:r>
      <w:r>
        <w:rPr>
          <w:rFonts w:ascii="David" w:hAnsi="David"/>
          <w:rtl/>
        </w:rPr>
        <w:t xml:space="preserve">לפי כ- 10 שנים בשל מחלת סרטן, ואחד מאחיו מתמודד עם קשיים שונים שזה לא המקום לפרטם מפאת צנעת הפרט. </w:t>
      </w:r>
    </w:p>
    <w:p w14:paraId="74FE7AE7" w14:textId="77777777" w:rsidR="00577C2E" w:rsidRDefault="00577C2E" w:rsidP="00577C2E">
      <w:pPr>
        <w:pStyle w:val="a9"/>
        <w:spacing w:after="0" w:line="240" w:lineRule="auto"/>
        <w:rPr>
          <w:rFonts w:ascii="David" w:hAnsi="David"/>
          <w:rtl/>
        </w:rPr>
      </w:pPr>
    </w:p>
    <w:p w14:paraId="61BDDF42" w14:textId="77777777" w:rsidR="00577C2E" w:rsidRDefault="00577C2E" w:rsidP="00577C2E">
      <w:pPr>
        <w:numPr>
          <w:ilvl w:val="0"/>
          <w:numId w:val="1"/>
        </w:numPr>
        <w:spacing w:line="360" w:lineRule="auto"/>
        <w:jc w:val="both"/>
        <w:rPr>
          <w:rFonts w:ascii="David" w:hAnsi="David"/>
          <w:rtl/>
        </w:rPr>
      </w:pPr>
      <w:r>
        <w:rPr>
          <w:rFonts w:ascii="David" w:hAnsi="David"/>
          <w:rtl/>
        </w:rPr>
        <w:t xml:space="preserve">לעניין העבירה המיוחס </w:t>
      </w:r>
      <w:r>
        <w:rPr>
          <w:rFonts w:ascii="David" w:hAnsi="David" w:hint="cs"/>
          <w:rtl/>
        </w:rPr>
        <w:t xml:space="preserve">לנאשם </w:t>
      </w:r>
      <w:r>
        <w:rPr>
          <w:rFonts w:ascii="David" w:hAnsi="David"/>
          <w:rtl/>
        </w:rPr>
        <w:t xml:space="preserve">ציין שירות המבחן שהנאשם הודה בביצועה ונטל אחריות על מעשיו, תוך הבנת חומרת השלכת מעשיו, אף שבתוך כך טען שהחזיק את הסמים לצריכתו העצמית ולצורך טיפול במכאוביו. במשך 16 שנים מנהל הנאשם אורח חיים תקין, ומדובר במקרה בודד, שאינו משקף את אורחותיו בשים לב כי הוא הרחיק עצמו מכל חברה שולית. </w:t>
      </w:r>
    </w:p>
    <w:p w14:paraId="4C2AE42E" w14:textId="77777777" w:rsidR="00577C2E" w:rsidRDefault="00577C2E" w:rsidP="00577C2E">
      <w:pPr>
        <w:pStyle w:val="a9"/>
        <w:spacing w:after="0" w:line="240" w:lineRule="auto"/>
        <w:rPr>
          <w:rFonts w:ascii="David" w:hAnsi="David" w:cs="David"/>
          <w:sz w:val="24"/>
          <w:szCs w:val="24"/>
        </w:rPr>
      </w:pPr>
    </w:p>
    <w:p w14:paraId="2480A68F" w14:textId="77777777" w:rsidR="00577C2E" w:rsidRDefault="00577C2E" w:rsidP="00577C2E">
      <w:pPr>
        <w:numPr>
          <w:ilvl w:val="0"/>
          <w:numId w:val="1"/>
        </w:numPr>
        <w:spacing w:line="360" w:lineRule="auto"/>
        <w:jc w:val="both"/>
        <w:rPr>
          <w:rFonts w:ascii="David" w:hAnsi="David"/>
          <w:rtl/>
        </w:rPr>
      </w:pPr>
      <w:r>
        <w:rPr>
          <w:rFonts w:ascii="David" w:hAnsi="David"/>
          <w:rtl/>
        </w:rPr>
        <w:t>עוד עלה מהתסקיר שהנאשם חווה את תקופת המעצר במשך חודש כתקופה קשה, ומאז גברה אחריותו למצבו ובחירותיו</w:t>
      </w:r>
      <w:r>
        <w:rPr>
          <w:rFonts w:ascii="David" w:hAnsi="David" w:hint="cs"/>
          <w:rtl/>
        </w:rPr>
        <w:t xml:space="preserve"> (הצדדים הצהירו במהלך הקראת גזר הדין כי נפלה טעות בתסקיר, היות שנאשם היה עצור בתיק זה </w:t>
      </w:r>
      <w:r>
        <w:rPr>
          <w:rFonts w:ascii="David" w:hAnsi="David" w:hint="cs"/>
          <w:u w:val="single"/>
          <w:rtl/>
        </w:rPr>
        <w:t>28.8.2019 עד 30.8.2019</w:t>
      </w:r>
      <w:r>
        <w:rPr>
          <w:rFonts w:ascii="David" w:hAnsi="David" w:hint="cs"/>
          <w:rtl/>
        </w:rPr>
        <w:t xml:space="preserve"> ונראה כי מדובר במצער אחר). </w:t>
      </w:r>
      <w:r>
        <w:rPr>
          <w:rFonts w:ascii="David" w:hAnsi="David"/>
          <w:rtl/>
        </w:rPr>
        <w:t>בנוגע לשימוש בחומרים ממכרים, מסר הנאשם כי הוא סובל מכאבים כתוצאה מתאונת הדרכים שעבר ולכן השתמש בעבר בקוקאין. לצד זאת, הנאשם התבקש למסור בדיקת שתן אקראית</w:t>
      </w:r>
      <w:r>
        <w:rPr>
          <w:rFonts w:ascii="David" w:hAnsi="David" w:hint="cs"/>
          <w:rtl/>
        </w:rPr>
        <w:t>,</w:t>
      </w:r>
      <w:r>
        <w:rPr>
          <w:rFonts w:ascii="David" w:hAnsi="David"/>
          <w:rtl/>
        </w:rPr>
        <w:t xml:space="preserve"> וזו העידה על ניקיונו מסמים. אשר להערכת הסיכון במצבו של הנאשם, עמד שירות המבחן על סיכוי</w:t>
      </w:r>
      <w:r>
        <w:rPr>
          <w:rFonts w:ascii="David" w:hAnsi="David" w:hint="cs"/>
          <w:rtl/>
        </w:rPr>
        <w:t>ו</w:t>
      </w:r>
      <w:r>
        <w:rPr>
          <w:rFonts w:ascii="David" w:hAnsi="David"/>
          <w:rtl/>
        </w:rPr>
        <w:t xml:space="preserve"> </w:t>
      </w:r>
      <w:r>
        <w:rPr>
          <w:rFonts w:ascii="David" w:hAnsi="David" w:hint="cs"/>
          <w:rtl/>
        </w:rPr>
        <w:t>ל</w:t>
      </w:r>
      <w:r>
        <w:rPr>
          <w:rFonts w:ascii="David" w:hAnsi="David"/>
          <w:rtl/>
        </w:rPr>
        <w:t>שיקום לנוכח</w:t>
      </w:r>
      <w:r>
        <w:rPr>
          <w:rFonts w:ascii="David" w:hAnsi="David" w:hint="cs"/>
          <w:rtl/>
        </w:rPr>
        <w:t xml:space="preserve"> ניהול</w:t>
      </w:r>
      <w:r>
        <w:rPr>
          <w:rFonts w:ascii="David" w:hAnsi="David"/>
          <w:rtl/>
        </w:rPr>
        <w:t xml:space="preserve"> אורח חיים נורמטיבי, והיות</w:t>
      </w:r>
      <w:r>
        <w:rPr>
          <w:rFonts w:ascii="David" w:hAnsi="David" w:hint="cs"/>
          <w:rtl/>
        </w:rPr>
        <w:t xml:space="preserve"> הנאשם</w:t>
      </w:r>
      <w:r>
        <w:rPr>
          <w:rFonts w:ascii="David" w:hAnsi="David"/>
          <w:rtl/>
        </w:rPr>
        <w:t xml:space="preserve"> בעל משפחה. מאידך</w:t>
      </w:r>
      <w:r>
        <w:rPr>
          <w:rFonts w:ascii="David" w:hAnsi="David" w:hint="cs"/>
          <w:rtl/>
        </w:rPr>
        <w:t xml:space="preserve"> גיסא,</w:t>
      </w:r>
      <w:r>
        <w:rPr>
          <w:rFonts w:ascii="David" w:hAnsi="David"/>
          <w:rtl/>
        </w:rPr>
        <w:t xml:space="preserve"> עמד </w:t>
      </w:r>
      <w:r>
        <w:rPr>
          <w:rFonts w:ascii="David" w:hAnsi="David" w:hint="cs"/>
          <w:rtl/>
        </w:rPr>
        <w:t xml:space="preserve">השירות </w:t>
      </w:r>
      <w:r>
        <w:rPr>
          <w:rFonts w:ascii="David" w:hAnsi="David"/>
          <w:rtl/>
        </w:rPr>
        <w:t xml:space="preserve">על הסיכון הנלמד מפניית הנאשם לפתרונות קלים ומהירים, </w:t>
      </w:r>
      <w:r>
        <w:rPr>
          <w:rFonts w:ascii="David" w:hAnsi="David" w:hint="cs"/>
          <w:rtl/>
        </w:rPr>
        <w:t>ו</w:t>
      </w:r>
      <w:r>
        <w:rPr>
          <w:rFonts w:ascii="David" w:hAnsi="David"/>
          <w:rtl/>
        </w:rPr>
        <w:t xml:space="preserve">בהעדר הליך טיפולי ושלילת נזקקות </w:t>
      </w:r>
      <w:r>
        <w:rPr>
          <w:rFonts w:ascii="David" w:hAnsi="David" w:hint="cs"/>
          <w:rtl/>
        </w:rPr>
        <w:t xml:space="preserve">לטיפול </w:t>
      </w:r>
      <w:r>
        <w:rPr>
          <w:rFonts w:ascii="David" w:hAnsi="David"/>
          <w:rtl/>
        </w:rPr>
        <w:t>מצד הנאשם, הצביע שירות המבחן על קיום סיכון להישנות התנהגות עוברת חוק מצד הנאשם</w:t>
      </w:r>
      <w:r>
        <w:rPr>
          <w:rFonts w:ascii="David" w:hAnsi="David" w:hint="cs"/>
          <w:rtl/>
        </w:rPr>
        <w:t>,</w:t>
      </w:r>
      <w:r>
        <w:rPr>
          <w:rFonts w:ascii="David" w:hAnsi="David"/>
          <w:rtl/>
        </w:rPr>
        <w:t xml:space="preserve"> ו</w:t>
      </w:r>
      <w:r>
        <w:rPr>
          <w:rFonts w:ascii="David" w:hAnsi="David" w:hint="cs"/>
          <w:rtl/>
        </w:rPr>
        <w:t xml:space="preserve">לפיכך </w:t>
      </w:r>
      <w:r>
        <w:rPr>
          <w:rFonts w:ascii="David" w:hAnsi="David"/>
          <w:rtl/>
        </w:rPr>
        <w:t xml:space="preserve">המליץ על ענישה קונקרטית מציבה גבולות ברורים בדמות עבודות שירות. </w:t>
      </w:r>
    </w:p>
    <w:p w14:paraId="76827A5D" w14:textId="77777777" w:rsidR="00577C2E" w:rsidRDefault="00577C2E" w:rsidP="00577C2E">
      <w:pPr>
        <w:spacing w:line="480" w:lineRule="auto"/>
        <w:ind w:left="720"/>
        <w:contextualSpacing/>
        <w:rPr>
          <w:rFonts w:ascii="David" w:hAnsi="David"/>
        </w:rPr>
      </w:pPr>
    </w:p>
    <w:p w14:paraId="069D2764" w14:textId="77777777" w:rsidR="00577C2E" w:rsidRDefault="00577C2E" w:rsidP="00577C2E">
      <w:pPr>
        <w:spacing w:line="480" w:lineRule="auto"/>
        <w:jc w:val="both"/>
        <w:rPr>
          <w:rFonts w:ascii="David" w:hAnsi="David"/>
          <w:b/>
          <w:bCs/>
          <w:u w:val="single"/>
          <w:rtl/>
        </w:rPr>
      </w:pPr>
      <w:r>
        <w:rPr>
          <w:rFonts w:ascii="David" w:hAnsi="David"/>
          <w:b/>
          <w:bCs/>
          <w:u w:val="single"/>
          <w:rtl/>
        </w:rPr>
        <w:t xml:space="preserve">טיעוני הצדדים לעונש </w:t>
      </w:r>
    </w:p>
    <w:p w14:paraId="55FCE67E" w14:textId="77777777" w:rsidR="00577C2E" w:rsidRPr="00577C2E" w:rsidRDefault="00577C2E" w:rsidP="00577C2E">
      <w:pPr>
        <w:numPr>
          <w:ilvl w:val="0"/>
          <w:numId w:val="1"/>
        </w:numPr>
        <w:spacing w:line="360" w:lineRule="auto"/>
        <w:jc w:val="both"/>
        <w:rPr>
          <w:rFonts w:ascii="David" w:eastAsia="Calibri" w:hAnsi="David"/>
        </w:rPr>
      </w:pPr>
      <w:r>
        <w:rPr>
          <w:rFonts w:ascii="David" w:hAnsi="David"/>
          <w:rtl/>
        </w:rPr>
        <w:t xml:space="preserve">ב"כ המאשימה עוה"ד רוני אלסטר, הגישה את רישומו הפלילי </w:t>
      </w:r>
      <w:r>
        <w:rPr>
          <w:rFonts w:ascii="David" w:hAnsi="David" w:hint="cs"/>
          <w:rtl/>
        </w:rPr>
        <w:t xml:space="preserve">של הנאשם, </w:t>
      </w:r>
      <w:r>
        <w:rPr>
          <w:rFonts w:ascii="David" w:hAnsi="David"/>
          <w:rtl/>
        </w:rPr>
        <w:t>וטענה כי מתחם העונש ההולם נע בין 6 ל- 12 חודשי מאסר בפועל, ועתרה בהתאם להסדר הטיעון להשית על הנאשם 6 חודשי מאסר בעבודות שירות</w:t>
      </w:r>
      <w:r>
        <w:rPr>
          <w:rFonts w:ascii="David" w:hAnsi="David" w:hint="cs"/>
          <w:rtl/>
        </w:rPr>
        <w:t>, לצד מאסר על תנאי וקנס</w:t>
      </w:r>
      <w:r>
        <w:rPr>
          <w:rFonts w:ascii="David" w:hAnsi="David"/>
          <w:rtl/>
        </w:rPr>
        <w:t xml:space="preserve">. לתמיכה בטענותיה הפנתה ב"כ המאשימה לפסיקה (אליה אתייחס בהמשך), לתסקיר שירות המבחן ולנסיבות הנאשם לקולה וחומרה. </w:t>
      </w:r>
    </w:p>
    <w:p w14:paraId="62234E55" w14:textId="77777777" w:rsidR="00577C2E" w:rsidRDefault="00577C2E" w:rsidP="00577C2E">
      <w:pPr>
        <w:ind w:left="720"/>
        <w:contextualSpacing/>
        <w:rPr>
          <w:rFonts w:ascii="David" w:hAnsi="David"/>
        </w:rPr>
      </w:pPr>
    </w:p>
    <w:p w14:paraId="7F80F58E" w14:textId="77777777" w:rsidR="00577C2E" w:rsidRDefault="00577C2E" w:rsidP="00577C2E">
      <w:pPr>
        <w:numPr>
          <w:ilvl w:val="0"/>
          <w:numId w:val="1"/>
        </w:numPr>
        <w:spacing w:line="360" w:lineRule="auto"/>
        <w:jc w:val="both"/>
        <w:rPr>
          <w:rFonts w:ascii="David" w:hAnsi="David"/>
        </w:rPr>
      </w:pPr>
      <w:r>
        <w:rPr>
          <w:rFonts w:ascii="David" w:hAnsi="David"/>
          <w:rtl/>
        </w:rPr>
        <w:t>ב"כ הנאשם עוה"ד אנואר פריג', טען כי תסקיר שירות המבחן חיובי, הנאשם לקח אחריות, הפנים את הפסול במעשיו והבין את ההשלכות הכרוכות ב</w:t>
      </w:r>
      <w:r>
        <w:rPr>
          <w:rFonts w:ascii="David" w:hAnsi="David" w:hint="cs"/>
          <w:rtl/>
        </w:rPr>
        <w:t>עבירה</w:t>
      </w:r>
      <w:r>
        <w:rPr>
          <w:rFonts w:ascii="David" w:hAnsi="David"/>
          <w:rtl/>
        </w:rPr>
        <w:t xml:space="preserve">. כעולה מהתסקיר נלמד שהנאשם שינה את אורחות חייו ב-16 השנים האחרונות, מאז הרשעתו האחרונה, הוא מועסק בחברת אבטחה מזה כ-7 שנים, והוא מפרנס יחיד של משפחתו. נטען כי ענישה, אף בדרך של </w:t>
      </w:r>
      <w:r>
        <w:rPr>
          <w:rFonts w:ascii="David" w:hAnsi="David"/>
          <w:rtl/>
        </w:rPr>
        <w:lastRenderedPageBreak/>
        <w:t xml:space="preserve">בעבודות שירות תגדע את השיקום שעשה </w:t>
      </w:r>
      <w:r>
        <w:rPr>
          <w:rFonts w:ascii="David" w:hAnsi="David" w:hint="cs"/>
          <w:rtl/>
        </w:rPr>
        <w:t xml:space="preserve">הנאשם </w:t>
      </w:r>
      <w:r>
        <w:rPr>
          <w:rFonts w:ascii="David" w:hAnsi="David"/>
          <w:rtl/>
        </w:rPr>
        <w:t xml:space="preserve">בעצמו, ולכן יש להושיט לו יד ולהשית עליו מאסר מותנה בלבד. </w:t>
      </w:r>
    </w:p>
    <w:p w14:paraId="11595142" w14:textId="77777777" w:rsidR="00577C2E" w:rsidRDefault="00577C2E" w:rsidP="00577C2E">
      <w:pPr>
        <w:pStyle w:val="a9"/>
        <w:spacing w:after="0" w:line="240" w:lineRule="auto"/>
        <w:rPr>
          <w:rFonts w:ascii="David" w:hAnsi="David" w:cs="David"/>
          <w:sz w:val="24"/>
          <w:szCs w:val="24"/>
        </w:rPr>
      </w:pPr>
    </w:p>
    <w:p w14:paraId="2A8F1071" w14:textId="77777777" w:rsidR="00577C2E" w:rsidRDefault="00577C2E" w:rsidP="00577C2E">
      <w:pPr>
        <w:numPr>
          <w:ilvl w:val="0"/>
          <w:numId w:val="1"/>
        </w:numPr>
        <w:spacing w:line="360" w:lineRule="auto"/>
        <w:jc w:val="both"/>
        <w:rPr>
          <w:rFonts w:ascii="David" w:hAnsi="David"/>
        </w:rPr>
      </w:pPr>
      <w:r>
        <w:rPr>
          <w:rFonts w:ascii="David" w:hAnsi="David"/>
          <w:rtl/>
        </w:rPr>
        <w:t>לעניין שלילת הנזקקות הטיפולית כפי שעלה מתסקיר שירות המבחן, טען ב"כ הנאשם כי הנאשם אינו רואה צורך בטיפול שכן הוא נקי מסמים, כעולה מבדיקת השתן</w:t>
      </w:r>
      <w:r>
        <w:rPr>
          <w:rFonts w:ascii="David" w:hAnsi="David" w:hint="cs"/>
          <w:rtl/>
        </w:rPr>
        <w:t xml:space="preserve"> שנערכה לו</w:t>
      </w:r>
      <w:r>
        <w:rPr>
          <w:rFonts w:ascii="David" w:hAnsi="David"/>
          <w:rtl/>
        </w:rPr>
        <w:t>. ב"כ הנאשם טען שיש לתת את הדעת לחלוף הזמן מאז בוצעה העבירה לפני 3 שנים, לנסיבות האישיות והמשפחתיות שהשפיעו על הנאשם, ולתמיכה בטענותיו הגיש מסמכים רפואיים מהם עולה כי הנאשם סבל ממצב נפשי מורכב בשנת 2018 ונקבעו לו 19% נכות מטעם המוסד לביטוח לאומי.</w:t>
      </w:r>
      <w:r w:rsidR="002549F7">
        <w:rPr>
          <w:rFonts w:ascii="David" w:hAnsi="David"/>
          <w:rtl/>
        </w:rPr>
        <w:t xml:space="preserve"> </w:t>
      </w:r>
      <w:r>
        <w:rPr>
          <w:rFonts w:ascii="David" w:hAnsi="David"/>
          <w:rtl/>
        </w:rPr>
        <w:t xml:space="preserve"> </w:t>
      </w:r>
    </w:p>
    <w:p w14:paraId="4D76931F" w14:textId="77777777" w:rsidR="00577C2E" w:rsidRDefault="00577C2E" w:rsidP="00577C2E">
      <w:pPr>
        <w:ind w:left="360"/>
        <w:jc w:val="both"/>
        <w:rPr>
          <w:rFonts w:ascii="David" w:hAnsi="David"/>
        </w:rPr>
      </w:pPr>
    </w:p>
    <w:p w14:paraId="58F6DE75" w14:textId="77777777" w:rsidR="00577C2E" w:rsidRDefault="00577C2E" w:rsidP="00577C2E">
      <w:pPr>
        <w:numPr>
          <w:ilvl w:val="0"/>
          <w:numId w:val="1"/>
        </w:numPr>
        <w:spacing w:line="360" w:lineRule="auto"/>
        <w:jc w:val="both"/>
        <w:rPr>
          <w:rFonts w:ascii="David" w:hAnsi="David"/>
          <w:sz w:val="22"/>
          <w:szCs w:val="22"/>
        </w:rPr>
      </w:pPr>
      <w:r>
        <w:rPr>
          <w:rFonts w:ascii="David" w:hAnsi="David"/>
          <w:rtl/>
        </w:rPr>
        <w:t xml:space="preserve">הנאשם בדברו האחרון הביע חרטה על ביצוע העבירה ואמר שלא ישוב על כך. </w:t>
      </w:r>
    </w:p>
    <w:p w14:paraId="11C11250" w14:textId="77777777" w:rsidR="00577C2E" w:rsidRDefault="00577C2E" w:rsidP="00577C2E">
      <w:pPr>
        <w:spacing w:line="480" w:lineRule="auto"/>
        <w:jc w:val="both"/>
        <w:rPr>
          <w:rFonts w:ascii="David" w:hAnsi="David"/>
          <w:b/>
          <w:bCs/>
          <w:u w:val="single"/>
          <w:rtl/>
        </w:rPr>
      </w:pPr>
    </w:p>
    <w:p w14:paraId="36E83871" w14:textId="77777777" w:rsidR="00577C2E" w:rsidRDefault="00577C2E" w:rsidP="00577C2E">
      <w:pPr>
        <w:spacing w:line="480" w:lineRule="auto"/>
        <w:jc w:val="both"/>
        <w:rPr>
          <w:rFonts w:ascii="David" w:hAnsi="David"/>
          <w:b/>
          <w:bCs/>
          <w:u w:val="single"/>
          <w:rtl/>
        </w:rPr>
      </w:pPr>
    </w:p>
    <w:p w14:paraId="05CA156E" w14:textId="77777777" w:rsidR="00577C2E" w:rsidRDefault="00577C2E" w:rsidP="00577C2E">
      <w:pPr>
        <w:spacing w:line="480" w:lineRule="auto"/>
        <w:jc w:val="both"/>
        <w:rPr>
          <w:rFonts w:ascii="David" w:hAnsi="David"/>
          <w:b/>
          <w:bCs/>
          <w:u w:val="single"/>
          <w:rtl/>
        </w:rPr>
      </w:pPr>
      <w:r>
        <w:rPr>
          <w:rFonts w:ascii="David" w:hAnsi="David"/>
          <w:b/>
          <w:bCs/>
          <w:u w:val="single"/>
          <w:rtl/>
        </w:rPr>
        <w:t xml:space="preserve">גזירת העונש </w:t>
      </w:r>
    </w:p>
    <w:p w14:paraId="34A4D04A" w14:textId="77777777" w:rsidR="00577C2E" w:rsidRDefault="00577C2E" w:rsidP="00577C2E">
      <w:pPr>
        <w:numPr>
          <w:ilvl w:val="0"/>
          <w:numId w:val="1"/>
        </w:numPr>
        <w:spacing w:line="360" w:lineRule="auto"/>
        <w:jc w:val="both"/>
        <w:rPr>
          <w:rFonts w:ascii="David" w:hAnsi="David"/>
          <w:b/>
          <w:bCs/>
          <w:u w:val="single"/>
        </w:rPr>
      </w:pPr>
      <w:r>
        <w:rPr>
          <w:rFonts w:ascii="David" w:hAnsi="David"/>
          <w:rtl/>
        </w:rPr>
        <w:t>העיקרון המנחה בגזירת הדין הוא קיומו של יחס הולם בין חומרת העבירה בה הורשע הנאשם בנסיבותיה ומידת אשמו, לבין סוג העונש ומידתו. בהתאם לתיקון 113 ל</w:t>
      </w:r>
      <w:hyperlink r:id="rId13" w:history="1">
        <w:r w:rsidR="002549F7" w:rsidRPr="002549F7">
          <w:rPr>
            <w:rFonts w:ascii="David" w:hAnsi="David"/>
            <w:color w:val="0000FF"/>
            <w:u w:val="single"/>
            <w:rtl/>
          </w:rPr>
          <w:t>חוק העונשין</w:t>
        </w:r>
      </w:hyperlink>
      <w:r>
        <w:rPr>
          <w:rFonts w:ascii="David" w:hAnsi="David"/>
          <w:rtl/>
        </w:rPr>
        <w:t>, במלאכת גזירת הדין על בית המשפט לקבוע את מתחם העונש ההולם לעבירה בה הורשע הנאשם, בהתחשב בחומרת הפגיעה בערכים המוגנים ובמדיניות הענישה הנוהגת, ולגזור את העונש בתוך המתחם בהתחשב בנסיבות שאינן קשורות בעבירה, ובהן נסיבותיו האישיות של הנאשם.</w:t>
      </w:r>
    </w:p>
    <w:p w14:paraId="31D76A9F" w14:textId="77777777" w:rsidR="00577C2E" w:rsidRDefault="00577C2E" w:rsidP="00577C2E">
      <w:pPr>
        <w:ind w:left="360"/>
        <w:jc w:val="both"/>
        <w:rPr>
          <w:rFonts w:ascii="David" w:hAnsi="David"/>
          <w:b/>
          <w:bCs/>
          <w:u w:val="single"/>
        </w:rPr>
      </w:pPr>
    </w:p>
    <w:p w14:paraId="30221108" w14:textId="77777777" w:rsidR="00577C2E" w:rsidRDefault="00577C2E" w:rsidP="00577C2E">
      <w:pPr>
        <w:spacing w:line="480" w:lineRule="auto"/>
        <w:jc w:val="both"/>
        <w:rPr>
          <w:rFonts w:ascii="David" w:hAnsi="David"/>
          <w:u w:val="single"/>
          <w:rtl/>
        </w:rPr>
      </w:pPr>
      <w:r>
        <w:rPr>
          <w:rFonts w:ascii="David" w:hAnsi="David"/>
          <w:u w:val="single"/>
          <w:rtl/>
        </w:rPr>
        <w:t>קביעת מתחם העונש ההולם</w:t>
      </w:r>
    </w:p>
    <w:p w14:paraId="25F42D62" w14:textId="77777777" w:rsidR="00577C2E" w:rsidRDefault="00577C2E" w:rsidP="00577C2E">
      <w:pPr>
        <w:numPr>
          <w:ilvl w:val="0"/>
          <w:numId w:val="1"/>
        </w:numPr>
        <w:spacing w:line="360" w:lineRule="auto"/>
        <w:contextualSpacing/>
        <w:jc w:val="both"/>
        <w:rPr>
          <w:rFonts w:ascii="David" w:hAnsi="David"/>
          <w:rtl/>
        </w:rPr>
      </w:pPr>
      <w:r>
        <w:rPr>
          <w:rFonts w:ascii="David" w:hAnsi="David"/>
          <w:rtl/>
        </w:rPr>
        <w:t>הערכים המוגנים הנפגעים בביצוע עבירת סמים רחבים ונוגעים לבריאות הציבור, ביטחונו ורכושו. בית המשפט העליון עמד על פגיעתם הקשה של עבירות סמים בבריאות הציבור בשל השפעתם ההרסנית על הגוף והנפש, לצד הסיכון הטמון בהם לביצוע עבירות נלוות כדוגמת רכוש ואלימות, בין היתר בשל הצורך במימון צריכת הסמים (</w:t>
      </w:r>
      <w:hyperlink r:id="rId14" w:history="1">
        <w:r w:rsidR="002549F7" w:rsidRPr="002549F7">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5" w:history="1">
        <w:r w:rsidR="002549F7" w:rsidRPr="002549F7">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6" w:history="1">
        <w:r w:rsidR="002549F7" w:rsidRPr="002549F7">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237DDB66" w14:textId="77777777" w:rsidR="00577C2E" w:rsidRDefault="00577C2E" w:rsidP="00577C2E">
      <w:pPr>
        <w:ind w:left="360"/>
        <w:contextualSpacing/>
        <w:jc w:val="both"/>
        <w:rPr>
          <w:rFonts w:ascii="David" w:hAnsi="David"/>
        </w:rPr>
      </w:pPr>
    </w:p>
    <w:p w14:paraId="2E56A6E1" w14:textId="77777777" w:rsidR="00577C2E" w:rsidRDefault="00577C2E" w:rsidP="00577C2E">
      <w:pPr>
        <w:numPr>
          <w:ilvl w:val="0"/>
          <w:numId w:val="1"/>
        </w:numPr>
        <w:spacing w:line="360" w:lineRule="auto"/>
        <w:contextualSpacing/>
        <w:jc w:val="both"/>
        <w:rPr>
          <w:rFonts w:ascii="David" w:hAnsi="David"/>
          <w:b/>
          <w:bCs/>
          <w:rtl/>
        </w:rPr>
      </w:pPr>
      <w:r>
        <w:rPr>
          <w:rFonts w:ascii="David" w:hAnsi="David"/>
          <w:u w:val="single"/>
          <w:rtl/>
        </w:rPr>
        <w:t>לשם קביעת מתחם הענישה ההולם אבחן ענישה נוהגת רלוונטית בשינויים המחוייבים לקולה וחומרה, כדלקמן:</w:t>
      </w:r>
    </w:p>
    <w:p w14:paraId="4D4CE2E0" w14:textId="77777777" w:rsidR="00577C2E" w:rsidRDefault="00577C2E" w:rsidP="00577C2E">
      <w:pPr>
        <w:ind w:left="360"/>
        <w:contextualSpacing/>
        <w:jc w:val="both"/>
        <w:rPr>
          <w:rFonts w:ascii="David" w:hAnsi="David"/>
          <w:b/>
          <w:bCs/>
        </w:rPr>
      </w:pPr>
    </w:p>
    <w:p w14:paraId="19A87CC0" w14:textId="77777777" w:rsidR="00577C2E" w:rsidRDefault="00577C2E" w:rsidP="00577C2E">
      <w:pPr>
        <w:numPr>
          <w:ilvl w:val="0"/>
          <w:numId w:val="2"/>
        </w:numPr>
        <w:spacing w:line="360" w:lineRule="auto"/>
        <w:contextualSpacing/>
        <w:jc w:val="both"/>
        <w:rPr>
          <w:rFonts w:ascii="David" w:hAnsi="David"/>
          <w:b/>
          <w:bCs/>
        </w:rPr>
      </w:pPr>
      <w:r>
        <w:rPr>
          <w:rFonts w:ascii="David" w:hAnsi="David"/>
          <w:rtl/>
        </w:rPr>
        <w:t xml:space="preserve">ברע"פ </w:t>
      </w:r>
      <w:hyperlink r:id="rId17" w:history="1">
        <w:r w:rsidR="00092623" w:rsidRPr="00092623">
          <w:rPr>
            <w:rFonts w:ascii="David" w:hAnsi="David"/>
            <w:color w:val="0000FF"/>
            <w:u w:val="single"/>
            <w:rtl/>
          </w:rPr>
          <w:t xml:space="preserve">1743/18 </w:t>
        </w:r>
      </w:hyperlink>
      <w:r>
        <w:rPr>
          <w:rFonts w:ascii="David" w:hAnsi="David"/>
          <w:rtl/>
        </w:rPr>
        <w:t xml:space="preserve"> </w:t>
      </w:r>
      <w:r>
        <w:rPr>
          <w:rFonts w:ascii="David" w:hAnsi="David"/>
          <w:b/>
          <w:bCs/>
          <w:rtl/>
        </w:rPr>
        <w:t xml:space="preserve">אוחיון נ' מדינת ישראל </w:t>
      </w:r>
      <w:r>
        <w:rPr>
          <w:rFonts w:ascii="David" w:hAnsi="David"/>
          <w:rtl/>
        </w:rPr>
        <w:t>(22.4.2018) נדון נאשם שהורשע על פי הודאתו בהחזקת סם מסוכן מסוג קוקאין במשקל כולל של</w:t>
      </w:r>
      <w:r>
        <w:rPr>
          <w:rFonts w:ascii="David" w:hAnsi="David"/>
          <w:u w:val="single"/>
          <w:rtl/>
        </w:rPr>
        <w:t xml:space="preserve"> 2.1 גרם שחולקו ל-5 יחידות</w:t>
      </w:r>
      <w:r>
        <w:rPr>
          <w:rFonts w:ascii="David" w:hAnsi="David"/>
          <w:rtl/>
        </w:rPr>
        <w:t xml:space="preserve"> שלפי דבריו קנה למען מסיבת רווקים בה היה אמור להשתתף. בית המשפט השלום קבע כי מתחם העונש ההולם נע בין </w:t>
      </w:r>
      <w:r>
        <w:rPr>
          <w:rFonts w:ascii="David" w:hAnsi="David"/>
          <w:u w:val="single"/>
          <w:rtl/>
        </w:rPr>
        <w:t>מאסר על תנאי ועד 12 חודשי מאסר בפועל</w:t>
      </w:r>
      <w:r>
        <w:rPr>
          <w:rFonts w:ascii="David" w:hAnsi="David"/>
          <w:rtl/>
        </w:rPr>
        <w:t>. בהתחשב בהיעדר עבר פלילי, הודאת הנאשם במיוחס לו כבר בחקירתו, ונוכח ההתרשמות שלהליך הפלילי היה אפקט מרתיע על הנאשם נגזר עליו עונש מאסר על תנאי. ערעור המדינה על קולת העונש התקבל</w:t>
      </w:r>
      <w:r>
        <w:rPr>
          <w:rFonts w:ascii="David" w:hAnsi="David" w:hint="cs"/>
          <w:rtl/>
        </w:rPr>
        <w:t xml:space="preserve"> ו</w:t>
      </w:r>
      <w:r>
        <w:rPr>
          <w:rFonts w:ascii="David" w:hAnsi="David"/>
          <w:rtl/>
        </w:rPr>
        <w:t xml:space="preserve">בית המשפט המחוזי בתל אביב קבע כי </w:t>
      </w:r>
      <w:r>
        <w:rPr>
          <w:rFonts w:ascii="David" w:hAnsi="David"/>
          <w:u w:val="single"/>
          <w:rtl/>
        </w:rPr>
        <w:t>מתחם העונש ההולם נע בין 6 ועד 12 חודשי  מאסר בפועל</w:t>
      </w:r>
      <w:r>
        <w:rPr>
          <w:rFonts w:ascii="David" w:hAnsi="David"/>
          <w:rtl/>
        </w:rPr>
        <w:t>, וגזר על הנאשם חודשיים מאסר</w:t>
      </w:r>
      <w:r>
        <w:rPr>
          <w:rFonts w:ascii="David" w:hAnsi="David" w:hint="cs"/>
          <w:rtl/>
        </w:rPr>
        <w:t xml:space="preserve"> לריצוי </w:t>
      </w:r>
      <w:r>
        <w:rPr>
          <w:rFonts w:ascii="David" w:hAnsi="David"/>
          <w:rtl/>
        </w:rPr>
        <w:t>בעבודות שירות, בשל כל טעמים דלעיל לקולה. בקשה לרשות ערעור שהגיש הנאשם נדחתה.</w:t>
      </w:r>
    </w:p>
    <w:p w14:paraId="6FC68F43" w14:textId="77777777" w:rsidR="00577C2E" w:rsidRDefault="00577C2E" w:rsidP="00577C2E">
      <w:pPr>
        <w:spacing w:line="360" w:lineRule="auto"/>
        <w:ind w:left="720"/>
        <w:contextualSpacing/>
        <w:jc w:val="both"/>
        <w:rPr>
          <w:rFonts w:ascii="David" w:hAnsi="David"/>
          <w:b/>
          <w:bCs/>
        </w:rPr>
      </w:pPr>
    </w:p>
    <w:p w14:paraId="2F73026A" w14:textId="77777777" w:rsidR="00577C2E" w:rsidRDefault="00577C2E" w:rsidP="00577C2E">
      <w:pPr>
        <w:numPr>
          <w:ilvl w:val="0"/>
          <w:numId w:val="2"/>
        </w:numPr>
        <w:spacing w:line="360" w:lineRule="auto"/>
        <w:contextualSpacing/>
        <w:jc w:val="both"/>
        <w:rPr>
          <w:rFonts w:ascii="David" w:hAnsi="David"/>
          <w:b/>
          <w:bCs/>
        </w:rPr>
      </w:pPr>
      <w:r>
        <w:rPr>
          <w:rFonts w:ascii="David" w:hAnsi="David"/>
          <w:rtl/>
        </w:rPr>
        <w:t>ב</w:t>
      </w:r>
      <w:hyperlink r:id="rId18" w:history="1">
        <w:r w:rsidR="002549F7" w:rsidRPr="002549F7">
          <w:rPr>
            <w:rFonts w:ascii="David" w:hAnsi="David"/>
            <w:color w:val="0000FF"/>
            <w:u w:val="single"/>
            <w:rtl/>
          </w:rPr>
          <w:t>עפ"ג (תל אביב – יפו) 26655-04-14</w:t>
        </w:r>
      </w:hyperlink>
      <w:r>
        <w:rPr>
          <w:rFonts w:ascii="David" w:hAnsi="David"/>
          <w:rtl/>
        </w:rPr>
        <w:t xml:space="preserve"> </w:t>
      </w:r>
      <w:r>
        <w:rPr>
          <w:rFonts w:ascii="David" w:hAnsi="David"/>
          <w:b/>
          <w:bCs/>
          <w:rtl/>
        </w:rPr>
        <w:t xml:space="preserve">חמדאן נ' מדינת ישראל </w:t>
      </w:r>
      <w:r>
        <w:rPr>
          <w:rFonts w:ascii="David" w:hAnsi="David"/>
          <w:rtl/>
        </w:rPr>
        <w:t xml:space="preserve">(10.9.2014) נדון נאשם שהורשע על פי הודאתו במסגרת הסדר טיעון בעבירה של החזקת סם מסוכן שלא לצריכה עצמית בכך שבעת שנהג ברכב של אחר הסתיר במגן </w:t>
      </w:r>
      <w:r>
        <w:rPr>
          <w:rFonts w:ascii="David" w:hAnsi="David" w:hint="cs"/>
          <w:rtl/>
        </w:rPr>
        <w:t>ה</w:t>
      </w:r>
      <w:r>
        <w:rPr>
          <w:rFonts w:ascii="David" w:hAnsi="David"/>
          <w:rtl/>
        </w:rPr>
        <w:t xml:space="preserve">שמש סם מסוג קוקאין במשקל של 5.2464 גרם נטו, מחולק ל-12 שקיות. בית המשפט השלום קבע כי </w:t>
      </w:r>
      <w:r>
        <w:rPr>
          <w:rFonts w:ascii="David" w:hAnsi="David"/>
          <w:u w:val="single"/>
          <w:rtl/>
        </w:rPr>
        <w:t>מתחם העונש ההולם נע בין 8 ל-18 חודשי מאסר בפועל</w:t>
      </w:r>
      <w:r>
        <w:rPr>
          <w:rFonts w:ascii="David" w:hAnsi="David"/>
          <w:rtl/>
        </w:rPr>
        <w:t>. בהתחשב בגילו הצעיר של הנאשם, העדר עבר פלילי ותסקירים חיוביים מאת שירות המבחן, גזר על הנאשם 8 חודשי מאסר בפועל. הנאשם הגיש ערעור על חומרת העונש, אך חזר בו לאחר שמיעת המלצת בית המשפט המחוזי.</w:t>
      </w:r>
    </w:p>
    <w:p w14:paraId="6A3066C2" w14:textId="77777777" w:rsidR="00577C2E" w:rsidRDefault="00577C2E" w:rsidP="00577C2E">
      <w:pPr>
        <w:numPr>
          <w:ilvl w:val="0"/>
          <w:numId w:val="1"/>
        </w:numPr>
        <w:spacing w:line="360" w:lineRule="auto"/>
        <w:jc w:val="both"/>
        <w:rPr>
          <w:rFonts w:ascii="David" w:hAnsi="David"/>
        </w:rPr>
      </w:pPr>
      <w:r>
        <w:rPr>
          <w:rFonts w:ascii="David" w:hAnsi="David"/>
          <w:rtl/>
        </w:rPr>
        <w:t>בבחינת נסיבות העבירה נתתי דעתי לפסיקה שהגישה המאשימה, אך בשים לב שמדובר בנאשמים שהחזיקו בסמים קשים בין כותלי הכלא בהיותם אסירים, אף אם מדובר בכמ</w:t>
      </w:r>
      <w:r>
        <w:rPr>
          <w:rFonts w:ascii="David" w:hAnsi="David" w:hint="cs"/>
          <w:rtl/>
        </w:rPr>
        <w:t>ו</w:t>
      </w:r>
      <w:r>
        <w:rPr>
          <w:rFonts w:ascii="David" w:hAnsi="David"/>
          <w:rtl/>
        </w:rPr>
        <w:t xml:space="preserve">יות קטנות בהרבה מענייננו, אינני סבורה כי ניתן ללמוד </w:t>
      </w:r>
      <w:r>
        <w:rPr>
          <w:rFonts w:ascii="David" w:hAnsi="David" w:hint="cs"/>
          <w:rtl/>
        </w:rPr>
        <w:t xml:space="preserve">מהם </w:t>
      </w:r>
      <w:r>
        <w:rPr>
          <w:rFonts w:ascii="David" w:hAnsi="David"/>
          <w:rtl/>
        </w:rPr>
        <w:t xml:space="preserve">אשר לענישה הנוהגת כאן. </w:t>
      </w:r>
    </w:p>
    <w:p w14:paraId="5DE320E7" w14:textId="77777777" w:rsidR="00577C2E" w:rsidRPr="007B49A3" w:rsidRDefault="00577C2E" w:rsidP="00577C2E">
      <w:pPr>
        <w:ind w:left="360"/>
        <w:jc w:val="both"/>
        <w:rPr>
          <w:rFonts w:ascii="David" w:hAnsi="David"/>
        </w:rPr>
      </w:pPr>
    </w:p>
    <w:p w14:paraId="6D72247E" w14:textId="77777777" w:rsidR="00577C2E" w:rsidRDefault="00577C2E" w:rsidP="00577C2E">
      <w:pPr>
        <w:numPr>
          <w:ilvl w:val="0"/>
          <w:numId w:val="1"/>
        </w:numPr>
        <w:spacing w:line="360" w:lineRule="auto"/>
        <w:jc w:val="both"/>
        <w:rPr>
          <w:rFonts w:ascii="David" w:hAnsi="David"/>
        </w:rPr>
      </w:pPr>
      <w:r>
        <w:rPr>
          <w:rFonts w:ascii="David" w:hAnsi="David"/>
          <w:rtl/>
        </w:rPr>
        <w:t>בבחינת הפסיקה אליה הפנה ב"כ הנאשם, גם בה לא מצאתי רלוונטיות של ממש, בשים לב שב</w:t>
      </w:r>
      <w:hyperlink r:id="rId19" w:history="1">
        <w:r w:rsidR="002549F7" w:rsidRPr="002549F7">
          <w:rPr>
            <w:rFonts w:ascii="David" w:hAnsi="David"/>
            <w:color w:val="0000FF"/>
            <w:u w:val="single"/>
            <w:rtl/>
          </w:rPr>
          <w:t>ת"פ (שלום ת"א) 44294-01-20</w:t>
        </w:r>
      </w:hyperlink>
      <w:r>
        <w:rPr>
          <w:rFonts w:ascii="David" w:hAnsi="David"/>
          <w:rtl/>
        </w:rPr>
        <w:t xml:space="preserve"> </w:t>
      </w:r>
      <w:r>
        <w:rPr>
          <w:rFonts w:ascii="David" w:hAnsi="David"/>
          <w:b/>
          <w:bCs/>
          <w:rtl/>
        </w:rPr>
        <w:t>מדינת ישראל נ' אבן בררי</w:t>
      </w:r>
      <w:r>
        <w:rPr>
          <w:rFonts w:ascii="David" w:hAnsi="David"/>
          <w:rtl/>
        </w:rPr>
        <w:t xml:space="preserve"> (12.4.2022) דובר בהסדר סגור לעונש של 3 חודשי עבודות שירות וענישה נילוות, כאשר בבסיס ההסדר עמד קושי ראייתי; וב</w:t>
      </w:r>
      <w:hyperlink r:id="rId20" w:history="1">
        <w:r w:rsidR="002549F7" w:rsidRPr="002549F7">
          <w:rPr>
            <w:rFonts w:ascii="David" w:hAnsi="David"/>
            <w:color w:val="0000FF"/>
            <w:u w:val="single"/>
            <w:rtl/>
          </w:rPr>
          <w:t>ת"פ (שלום ת"א) 20393-02-20</w:t>
        </w:r>
      </w:hyperlink>
      <w:r>
        <w:rPr>
          <w:rFonts w:ascii="David" w:hAnsi="David"/>
          <w:rtl/>
        </w:rPr>
        <w:t xml:space="preserve"> </w:t>
      </w:r>
      <w:r>
        <w:rPr>
          <w:rFonts w:ascii="David" w:hAnsi="David"/>
          <w:b/>
          <w:bCs/>
          <w:rtl/>
        </w:rPr>
        <w:t>מדינת ישראל נ' עיסא</w:t>
      </w:r>
      <w:r>
        <w:rPr>
          <w:rFonts w:ascii="David" w:hAnsi="David"/>
          <w:rtl/>
        </w:rPr>
        <w:t xml:space="preserve"> (16.2.2022) דובר בחריגה ממתחם העונש ההולם מטעמי שיקום, ש</w:t>
      </w:r>
      <w:r>
        <w:rPr>
          <w:rFonts w:ascii="David" w:hAnsi="David" w:hint="cs"/>
          <w:rtl/>
        </w:rPr>
        <w:t xml:space="preserve">ם </w:t>
      </w:r>
      <w:r>
        <w:rPr>
          <w:rFonts w:ascii="David" w:hAnsi="David"/>
          <w:rtl/>
        </w:rPr>
        <w:t>ביצע נאשם – נהג מונית עבירה של סיוע לסחר בסמים מסוג קוקאין במשקל של כ- 1.5 גרם</w:t>
      </w:r>
      <w:r>
        <w:rPr>
          <w:rFonts w:ascii="David" w:hAnsi="David" w:hint="cs"/>
          <w:rtl/>
        </w:rPr>
        <w:t xml:space="preserve">. </w:t>
      </w:r>
      <w:r>
        <w:rPr>
          <w:rFonts w:ascii="David" w:hAnsi="David"/>
          <w:rtl/>
        </w:rPr>
        <w:t xml:space="preserve"> </w:t>
      </w:r>
    </w:p>
    <w:p w14:paraId="4EEEE92A" w14:textId="77777777" w:rsidR="00577C2E" w:rsidRPr="007B49A3" w:rsidRDefault="00577C2E" w:rsidP="00577C2E">
      <w:pPr>
        <w:ind w:left="360"/>
        <w:jc w:val="both"/>
        <w:rPr>
          <w:rFonts w:ascii="David" w:hAnsi="David"/>
        </w:rPr>
      </w:pPr>
    </w:p>
    <w:p w14:paraId="3E73BF9B" w14:textId="77777777" w:rsidR="00577C2E" w:rsidRDefault="00577C2E" w:rsidP="00577C2E">
      <w:pPr>
        <w:numPr>
          <w:ilvl w:val="0"/>
          <w:numId w:val="1"/>
        </w:numPr>
        <w:spacing w:line="360" w:lineRule="auto"/>
        <w:jc w:val="both"/>
        <w:rPr>
          <w:rFonts w:ascii="David" w:hAnsi="David"/>
          <w:b/>
          <w:bCs/>
        </w:rPr>
      </w:pPr>
      <w:r>
        <w:rPr>
          <w:rFonts w:ascii="David" w:hAnsi="David"/>
          <w:rtl/>
        </w:rPr>
        <w:t xml:space="preserve">אשר על כן, בשים לב לחומרת העבירה בה הורשע הנאשם בנסיבותיה ובהתחשב בענישה הנוהגת, אני קובעת כי </w:t>
      </w:r>
      <w:r>
        <w:rPr>
          <w:rFonts w:ascii="David" w:hAnsi="David"/>
          <w:b/>
          <w:bCs/>
          <w:rtl/>
        </w:rPr>
        <w:t>מתחם העונש ההולם נע בין מספר חודשי מאסר שיכול שירוצו בעבודות שירות ועד 12 חודשים</w:t>
      </w:r>
      <w:r>
        <w:rPr>
          <w:rFonts w:ascii="David" w:hAnsi="David"/>
          <w:rtl/>
        </w:rPr>
        <w:t>.</w:t>
      </w:r>
      <w:r>
        <w:rPr>
          <w:rFonts w:ascii="David" w:hAnsi="David"/>
          <w:b/>
          <w:bCs/>
          <w:rtl/>
        </w:rPr>
        <w:t xml:space="preserve"> </w:t>
      </w:r>
    </w:p>
    <w:p w14:paraId="798A84DB" w14:textId="77777777" w:rsidR="00577C2E" w:rsidRDefault="00577C2E" w:rsidP="00577C2E">
      <w:pPr>
        <w:spacing w:line="480" w:lineRule="auto"/>
        <w:ind w:left="360"/>
        <w:jc w:val="both"/>
        <w:rPr>
          <w:rFonts w:ascii="David" w:hAnsi="David"/>
          <w:b/>
          <w:bCs/>
        </w:rPr>
      </w:pPr>
    </w:p>
    <w:p w14:paraId="5217C6CF" w14:textId="77777777" w:rsidR="00577C2E" w:rsidRDefault="00577C2E" w:rsidP="00577C2E">
      <w:pPr>
        <w:spacing w:line="480" w:lineRule="auto"/>
        <w:jc w:val="both"/>
        <w:rPr>
          <w:rFonts w:ascii="David" w:hAnsi="David"/>
          <w:sz w:val="28"/>
          <w:szCs w:val="28"/>
          <w:u w:val="single"/>
        </w:rPr>
      </w:pPr>
      <w:r>
        <w:rPr>
          <w:rFonts w:ascii="David" w:hAnsi="David"/>
          <w:u w:val="single"/>
          <w:rtl/>
        </w:rPr>
        <w:t xml:space="preserve">נסיבות שאינן קשורות בביצוע העבירה </w:t>
      </w:r>
    </w:p>
    <w:p w14:paraId="7532D9C6" w14:textId="77777777" w:rsidR="00577C2E" w:rsidRDefault="00577C2E" w:rsidP="00577C2E">
      <w:pPr>
        <w:numPr>
          <w:ilvl w:val="0"/>
          <w:numId w:val="1"/>
        </w:numPr>
        <w:spacing w:line="360" w:lineRule="auto"/>
        <w:jc w:val="both"/>
        <w:rPr>
          <w:rFonts w:ascii="David" w:hAnsi="David"/>
        </w:rPr>
      </w:pPr>
      <w:r>
        <w:rPr>
          <w:rFonts w:ascii="David" w:hAnsi="David"/>
          <w:rtl/>
        </w:rPr>
        <w:t xml:space="preserve">הנאשם הורשע על-פי הודאתו במיוחס לו בכתב אישום מתוקן, ובכך נטל אחריות וחסך מזמנו של בית המשפט. לטובת ענייננו אניח שהגם שהנאשם טען כי החזיק את הסמים לצריכתו העצמית בשל הצורך להתמודד עם כאבים, הרי משהוא הודה שוב במיוחס לו בדיון לפניי, יש בכך הודאה מלאה.  </w:t>
      </w:r>
    </w:p>
    <w:p w14:paraId="3AD97452" w14:textId="77777777" w:rsidR="00577C2E" w:rsidRDefault="00577C2E" w:rsidP="00577C2E">
      <w:pPr>
        <w:ind w:left="360"/>
        <w:jc w:val="both"/>
        <w:rPr>
          <w:rFonts w:ascii="David" w:hAnsi="David"/>
        </w:rPr>
      </w:pPr>
    </w:p>
    <w:p w14:paraId="43503D23" w14:textId="77777777" w:rsidR="00577C2E" w:rsidRPr="00577C2E" w:rsidRDefault="00577C2E" w:rsidP="00577C2E">
      <w:pPr>
        <w:numPr>
          <w:ilvl w:val="0"/>
          <w:numId w:val="1"/>
        </w:numPr>
        <w:spacing w:line="360" w:lineRule="auto"/>
        <w:jc w:val="both"/>
        <w:rPr>
          <w:rFonts w:ascii="David" w:eastAsia="Calibri" w:hAnsi="David"/>
        </w:rPr>
      </w:pPr>
      <w:r>
        <w:rPr>
          <w:rFonts w:ascii="David" w:hAnsi="David"/>
          <w:rtl/>
        </w:rPr>
        <w:t>עוד לקולה נתתי דעתי כי מדובר בנאשם שעבר כברת דרך מאז הרשעתו היחידה, משנת 2006 בעבירה שהתיישנה ואינה רלוונטית לענייננו, והוא מתנהל באופן נורמטיבי, כבעל משפחה, ובעל יציבות תעסוקתית מזה שנים</w:t>
      </w:r>
      <w:r>
        <w:rPr>
          <w:rFonts w:ascii="David" w:hAnsi="David" w:hint="cs"/>
          <w:rtl/>
        </w:rPr>
        <w:t>. עוד לקולה נתתי דעתי כי</w:t>
      </w:r>
      <w:r>
        <w:rPr>
          <w:rFonts w:ascii="David" w:hAnsi="David"/>
          <w:rtl/>
        </w:rPr>
        <w:t xml:space="preserve"> חלפו כ- 3 שנים מאז ביצוע העבירה והיא אינה משקפת את אורחותיו. </w:t>
      </w:r>
    </w:p>
    <w:p w14:paraId="78464F43" w14:textId="77777777" w:rsidR="00577C2E" w:rsidRDefault="00577C2E" w:rsidP="00577C2E">
      <w:pPr>
        <w:ind w:left="360"/>
        <w:jc w:val="both"/>
        <w:rPr>
          <w:rFonts w:ascii="David" w:hAnsi="David"/>
        </w:rPr>
      </w:pPr>
    </w:p>
    <w:p w14:paraId="3C5BBE97" w14:textId="77777777" w:rsidR="00577C2E" w:rsidRDefault="00577C2E" w:rsidP="00577C2E">
      <w:pPr>
        <w:numPr>
          <w:ilvl w:val="0"/>
          <w:numId w:val="1"/>
        </w:numPr>
        <w:spacing w:line="360" w:lineRule="auto"/>
        <w:jc w:val="both"/>
        <w:rPr>
          <w:rFonts w:ascii="David" w:hAnsi="David"/>
          <w:rtl/>
        </w:rPr>
      </w:pPr>
      <w:r>
        <w:rPr>
          <w:rFonts w:ascii="David" w:hAnsi="David" w:hint="cs"/>
          <w:rtl/>
        </w:rPr>
        <w:t xml:space="preserve">כן </w:t>
      </w:r>
      <w:r>
        <w:rPr>
          <w:rFonts w:ascii="David" w:hAnsi="David"/>
          <w:rtl/>
        </w:rPr>
        <w:t xml:space="preserve">לקולה נתתי דעתי גם לתסקיר שירות המבחן החיובי, המצביע על התמודדות הנאשם עם קשייו האישיים, ועל מתן בדיקת שתן אקראית נקייה, דבר התומך בטיעוניו כי הוא זנח כל שימוש בסמים. </w:t>
      </w:r>
    </w:p>
    <w:p w14:paraId="26AB8D6F" w14:textId="77777777" w:rsidR="00577C2E" w:rsidRDefault="00577C2E" w:rsidP="00577C2E">
      <w:pPr>
        <w:ind w:left="360"/>
        <w:jc w:val="both"/>
        <w:rPr>
          <w:rFonts w:ascii="David" w:hAnsi="David"/>
        </w:rPr>
      </w:pPr>
    </w:p>
    <w:p w14:paraId="1E5DA85A" w14:textId="77777777" w:rsidR="00577C2E" w:rsidRDefault="00577C2E" w:rsidP="00577C2E">
      <w:pPr>
        <w:numPr>
          <w:ilvl w:val="0"/>
          <w:numId w:val="1"/>
        </w:numPr>
        <w:spacing w:line="360" w:lineRule="auto"/>
        <w:jc w:val="both"/>
        <w:rPr>
          <w:rFonts w:ascii="David" w:hAnsi="David"/>
        </w:rPr>
      </w:pPr>
      <w:r>
        <w:rPr>
          <w:rFonts w:ascii="David" w:hAnsi="David"/>
          <w:rtl/>
        </w:rPr>
        <w:t>מנגד נתתי דעתי גם לשלילת נזקקות טיפולית מצד הנאשם ועל הסיכון עליו הצביע שירות המבחן לביצוע עבירות דומות</w:t>
      </w:r>
      <w:r>
        <w:rPr>
          <w:rFonts w:ascii="David" w:hAnsi="David" w:hint="cs"/>
          <w:rtl/>
        </w:rPr>
        <w:t xml:space="preserve">, בשל כך והיות ששירות המבחן העריך כי לנאשם נטייה לפנות לפתרונות קלים ומהירים למצוקותיו. </w:t>
      </w:r>
    </w:p>
    <w:p w14:paraId="0A10540C" w14:textId="77777777" w:rsidR="00577C2E" w:rsidRDefault="00577C2E" w:rsidP="00577C2E">
      <w:pPr>
        <w:ind w:left="360"/>
        <w:jc w:val="both"/>
        <w:rPr>
          <w:rFonts w:ascii="David" w:hAnsi="David"/>
          <w:rtl/>
        </w:rPr>
      </w:pPr>
    </w:p>
    <w:p w14:paraId="2F75118C" w14:textId="77777777" w:rsidR="00577C2E" w:rsidRDefault="00577C2E" w:rsidP="00577C2E">
      <w:pPr>
        <w:numPr>
          <w:ilvl w:val="0"/>
          <w:numId w:val="1"/>
        </w:numPr>
        <w:spacing w:line="360" w:lineRule="auto"/>
        <w:jc w:val="both"/>
        <w:rPr>
          <w:rFonts w:ascii="David" w:hAnsi="David"/>
          <w:b/>
          <w:bCs/>
          <w:u w:val="single"/>
        </w:rPr>
      </w:pPr>
      <w:r>
        <w:rPr>
          <w:rFonts w:ascii="David" w:hAnsi="David" w:hint="cs"/>
          <w:rtl/>
        </w:rPr>
        <w:t>מ</w:t>
      </w:r>
      <w:r>
        <w:rPr>
          <w:rFonts w:ascii="David" w:hAnsi="David"/>
          <w:rtl/>
        </w:rPr>
        <w:t xml:space="preserve">מכלול השיקולים לחומרה וקולה אני סבורה כי יש למקם את עונשו של הנאשם בחלקו התחתון של המתחם. </w:t>
      </w:r>
    </w:p>
    <w:p w14:paraId="392F02C0" w14:textId="77777777" w:rsidR="00577C2E" w:rsidRDefault="00577C2E" w:rsidP="00577C2E">
      <w:pPr>
        <w:spacing w:line="360" w:lineRule="auto"/>
        <w:ind w:left="360"/>
        <w:jc w:val="both"/>
        <w:rPr>
          <w:rFonts w:ascii="David" w:hAnsi="David"/>
          <w:b/>
          <w:bCs/>
          <w:u w:val="single"/>
        </w:rPr>
      </w:pPr>
    </w:p>
    <w:p w14:paraId="5B893FE3" w14:textId="77777777" w:rsidR="00577C2E" w:rsidRDefault="00577C2E" w:rsidP="00577C2E">
      <w:pPr>
        <w:numPr>
          <w:ilvl w:val="0"/>
          <w:numId w:val="1"/>
        </w:numPr>
        <w:spacing w:line="36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3B64D3E3" w14:textId="77777777" w:rsidR="00577C2E" w:rsidRDefault="00577C2E" w:rsidP="00577C2E">
      <w:pPr>
        <w:pStyle w:val="a9"/>
        <w:spacing w:after="0" w:line="240" w:lineRule="auto"/>
        <w:rPr>
          <w:rFonts w:ascii="David" w:hAnsi="David" w:cs="David"/>
          <w:b/>
          <w:bCs/>
          <w:sz w:val="24"/>
          <w:szCs w:val="24"/>
          <w:u w:val="single"/>
        </w:rPr>
      </w:pPr>
    </w:p>
    <w:p w14:paraId="26217EF0" w14:textId="77777777" w:rsidR="00577C2E" w:rsidRDefault="00577C2E" w:rsidP="00577C2E">
      <w:pPr>
        <w:numPr>
          <w:ilvl w:val="0"/>
          <w:numId w:val="3"/>
        </w:numPr>
        <w:spacing w:line="360" w:lineRule="auto"/>
        <w:jc w:val="both"/>
        <w:rPr>
          <w:rFonts w:ascii="David" w:hAnsi="David"/>
        </w:rPr>
      </w:pPr>
      <w:r>
        <w:rPr>
          <w:rFonts w:ascii="David" w:hAnsi="David"/>
          <w:rtl/>
        </w:rPr>
        <w:t xml:space="preserve">מאסר למשך 4 חודשים שירוצה בעבודות שירות. </w:t>
      </w:r>
    </w:p>
    <w:p w14:paraId="6E0F7DFF" w14:textId="77777777" w:rsidR="00577C2E" w:rsidRDefault="00577C2E" w:rsidP="00577C2E">
      <w:pPr>
        <w:spacing w:line="360" w:lineRule="auto"/>
        <w:ind w:left="720"/>
        <w:jc w:val="both"/>
        <w:rPr>
          <w:rFonts w:ascii="David" w:hAnsi="David"/>
          <w:rtl/>
        </w:rPr>
      </w:pPr>
      <w:r>
        <w:rPr>
          <w:rFonts w:ascii="David" w:hAnsi="David" w:hint="cs"/>
          <w:rtl/>
        </w:rPr>
        <w:t xml:space="preserve">הנאשם יתייצב לריצוי עונש ביום 1.8.2022 בשעה 8:00 במשרד הממונה על עבודות השירות ברמלה, או במועד אחר כפי שיקבע הממונה על עבודות השירות. בעניין זה יגיש הממונה על עבודות השירות הודעה בכתב לבית המשפט על התייצבות הנאשם לריצוי העונש. </w:t>
      </w:r>
    </w:p>
    <w:p w14:paraId="6361A468" w14:textId="77777777" w:rsidR="00577C2E" w:rsidRDefault="00577C2E" w:rsidP="00577C2E">
      <w:pPr>
        <w:jc w:val="both"/>
        <w:rPr>
          <w:rFonts w:ascii="David" w:hAnsi="David"/>
        </w:rPr>
      </w:pPr>
    </w:p>
    <w:p w14:paraId="33ED24E4" w14:textId="77777777" w:rsidR="00577C2E" w:rsidRDefault="00577C2E" w:rsidP="00577C2E">
      <w:pPr>
        <w:numPr>
          <w:ilvl w:val="0"/>
          <w:numId w:val="3"/>
        </w:numPr>
        <w:spacing w:line="360" w:lineRule="auto"/>
        <w:jc w:val="both"/>
        <w:rPr>
          <w:rFonts w:ascii="David" w:hAnsi="David"/>
        </w:rPr>
      </w:pPr>
      <w:r>
        <w:rPr>
          <w:rFonts w:ascii="David" w:hAnsi="David"/>
          <w:rtl/>
        </w:rPr>
        <w:t xml:space="preserve">מאסר מותנה למשך 6 חודשים, והתנאי הוא כי הנאשם לא יעבור עבירת סמים מסוג פשע למשך 3 שנים.  </w:t>
      </w:r>
    </w:p>
    <w:p w14:paraId="2BAD0304" w14:textId="77777777" w:rsidR="00577C2E" w:rsidRDefault="00577C2E" w:rsidP="00577C2E">
      <w:pPr>
        <w:ind w:left="720"/>
        <w:contextualSpacing/>
        <w:rPr>
          <w:rFonts w:ascii="David" w:hAnsi="David"/>
        </w:rPr>
      </w:pPr>
    </w:p>
    <w:p w14:paraId="27596F2C" w14:textId="77777777" w:rsidR="00577C2E" w:rsidRDefault="00577C2E" w:rsidP="00577C2E">
      <w:pPr>
        <w:numPr>
          <w:ilvl w:val="0"/>
          <w:numId w:val="3"/>
        </w:numPr>
        <w:spacing w:line="360" w:lineRule="auto"/>
        <w:jc w:val="both"/>
        <w:rPr>
          <w:rFonts w:ascii="David" w:hAnsi="David"/>
          <w:rtl/>
        </w:rPr>
      </w:pPr>
      <w:r>
        <w:rPr>
          <w:rFonts w:ascii="David" w:hAnsi="David"/>
          <w:rtl/>
        </w:rPr>
        <w:t xml:space="preserve">מאסר מותנה למשך 3 חודשים, והתנאי הוא כי הנאשם לא יעבור עבירת סמים מסוג עוון, למשך 3 שנים.  </w:t>
      </w:r>
    </w:p>
    <w:p w14:paraId="2D0A9FBC" w14:textId="77777777" w:rsidR="00577C2E" w:rsidRDefault="00577C2E" w:rsidP="00577C2E">
      <w:pPr>
        <w:ind w:left="720"/>
        <w:jc w:val="both"/>
        <w:rPr>
          <w:rFonts w:ascii="David" w:hAnsi="David"/>
        </w:rPr>
      </w:pPr>
    </w:p>
    <w:p w14:paraId="0B9EC458" w14:textId="77777777" w:rsidR="00577C2E" w:rsidRDefault="00577C2E" w:rsidP="00577C2E">
      <w:pPr>
        <w:numPr>
          <w:ilvl w:val="0"/>
          <w:numId w:val="3"/>
        </w:numPr>
        <w:spacing w:line="360" w:lineRule="auto"/>
        <w:contextualSpacing/>
        <w:jc w:val="both"/>
        <w:rPr>
          <w:rFonts w:ascii="David" w:hAnsi="David"/>
          <w:u w:val="single"/>
        </w:rPr>
      </w:pPr>
      <w:r w:rsidRPr="00B00485">
        <w:rPr>
          <w:rFonts w:ascii="David" w:hAnsi="David"/>
          <w:rtl/>
        </w:rPr>
        <w:t xml:space="preserve">קנס בסך </w:t>
      </w:r>
      <w:r w:rsidRPr="00B00485">
        <w:rPr>
          <w:rFonts w:ascii="David" w:hAnsi="David" w:hint="cs"/>
          <w:rtl/>
        </w:rPr>
        <w:t xml:space="preserve">1,500 ₪ שישולם עד ליום </w:t>
      </w:r>
      <w:r>
        <w:rPr>
          <w:rFonts w:ascii="David" w:hAnsi="David" w:hint="cs"/>
          <w:u w:val="single"/>
          <w:rtl/>
        </w:rPr>
        <w:t xml:space="preserve">1.9.2022, אחרת יישא 5 ימי מאסר תמורתו. </w:t>
      </w:r>
    </w:p>
    <w:p w14:paraId="64DF1DA9" w14:textId="77777777" w:rsidR="00577C2E" w:rsidRPr="00B00485" w:rsidRDefault="00577C2E" w:rsidP="00577C2E">
      <w:pPr>
        <w:contextualSpacing/>
        <w:jc w:val="both"/>
        <w:rPr>
          <w:rFonts w:ascii="David" w:hAnsi="David"/>
          <w:u w:val="single"/>
        </w:rPr>
      </w:pPr>
    </w:p>
    <w:p w14:paraId="5E81D75A" w14:textId="77777777" w:rsidR="00577C2E" w:rsidRDefault="00577C2E" w:rsidP="00577C2E">
      <w:pPr>
        <w:spacing w:line="360" w:lineRule="auto"/>
        <w:jc w:val="both"/>
        <w:rPr>
          <w:rFonts w:ascii="David" w:hAnsi="David"/>
          <w:u w:val="single"/>
          <w:rtl/>
        </w:rPr>
      </w:pPr>
      <w:r>
        <w:rPr>
          <w:rFonts w:ascii="David" w:hAnsi="David"/>
          <w:u w:val="single"/>
          <w:rtl/>
        </w:rPr>
        <w:t xml:space="preserve">מובהר לנאשם כי עליו להקפיד לבצע את עונש עבודות השירות בהתאם להנחיות והכללים, אחרת יכול שיופקע </w:t>
      </w:r>
      <w:r>
        <w:rPr>
          <w:rFonts w:ascii="David" w:hAnsi="David" w:hint="cs"/>
          <w:u w:val="single"/>
          <w:rtl/>
        </w:rPr>
        <w:t>ה</w:t>
      </w:r>
      <w:r>
        <w:rPr>
          <w:rFonts w:ascii="David" w:hAnsi="David"/>
          <w:u w:val="single"/>
          <w:rtl/>
        </w:rPr>
        <w:t>עונש על-ידי הממונה</w:t>
      </w:r>
      <w:r>
        <w:rPr>
          <w:rFonts w:ascii="David" w:hAnsi="David" w:hint="cs"/>
          <w:u w:val="single"/>
          <w:rtl/>
        </w:rPr>
        <w:t xml:space="preserve"> על עבודות השירות ויהיה עליו לרצות את יתרת המאסר מאחורי סורג ובריח. </w:t>
      </w:r>
    </w:p>
    <w:p w14:paraId="362F744F" w14:textId="77777777" w:rsidR="00577C2E" w:rsidRDefault="00577C2E" w:rsidP="00577C2E">
      <w:pPr>
        <w:spacing w:line="360" w:lineRule="auto"/>
        <w:jc w:val="both"/>
        <w:rPr>
          <w:rFonts w:ascii="David" w:hAnsi="David"/>
          <w:u w:val="single"/>
          <w:rtl/>
        </w:rPr>
      </w:pPr>
    </w:p>
    <w:p w14:paraId="558DC1A8" w14:textId="77777777" w:rsidR="00577C2E" w:rsidRPr="009B101B" w:rsidRDefault="00577C2E" w:rsidP="00577C2E">
      <w:pPr>
        <w:spacing w:line="360" w:lineRule="auto"/>
        <w:jc w:val="both"/>
        <w:rPr>
          <w:rFonts w:ascii="David" w:hAnsi="David"/>
          <w:b/>
          <w:bCs/>
        </w:rPr>
      </w:pPr>
      <w:r w:rsidRPr="009B101B">
        <w:rPr>
          <w:rFonts w:ascii="David" w:hAnsi="David"/>
          <w:b/>
          <w:bCs/>
          <w:rtl/>
        </w:rPr>
        <w:t>ניתן צו כללי להשמדת מוצגים.</w:t>
      </w:r>
    </w:p>
    <w:p w14:paraId="3A4B2465" w14:textId="77777777" w:rsidR="00577C2E" w:rsidRDefault="00577C2E" w:rsidP="00577C2E">
      <w:pPr>
        <w:rPr>
          <w:rFonts w:ascii="David" w:hAnsi="David"/>
          <w:b/>
          <w:bCs/>
          <w:u w:val="single"/>
          <w:rtl/>
        </w:rPr>
      </w:pPr>
    </w:p>
    <w:p w14:paraId="6FC012C7" w14:textId="77777777" w:rsidR="00577C2E" w:rsidRDefault="00577C2E" w:rsidP="00577C2E">
      <w:pPr>
        <w:rPr>
          <w:rFonts w:ascii="David" w:hAnsi="David"/>
          <w:b/>
          <w:bCs/>
          <w:u w:val="single"/>
          <w:rtl/>
        </w:rPr>
      </w:pPr>
      <w:r>
        <w:rPr>
          <w:rFonts w:ascii="David" w:hAnsi="David"/>
          <w:b/>
          <w:bCs/>
          <w:u w:val="single"/>
          <w:rtl/>
        </w:rPr>
        <w:t>זכות ערעור לבית המשפט המחוזי מרכז-לוד בתוך 45 ימים.</w:t>
      </w:r>
    </w:p>
    <w:p w14:paraId="369D3F33" w14:textId="77777777" w:rsidR="00577C2E" w:rsidRDefault="00577C2E" w:rsidP="00577C2E">
      <w:pPr>
        <w:rPr>
          <w:rFonts w:ascii="David" w:hAnsi="David"/>
          <w:b/>
          <w:bCs/>
          <w:u w:val="single"/>
          <w:rtl/>
        </w:rPr>
      </w:pPr>
    </w:p>
    <w:p w14:paraId="498E5860" w14:textId="77777777" w:rsidR="00577C2E" w:rsidRPr="00577C2E" w:rsidRDefault="002549F7" w:rsidP="00577C2E">
      <w:pPr>
        <w:rPr>
          <w:rFonts w:ascii="David" w:eastAsia="Calibri" w:hAnsi="David"/>
          <w:sz w:val="22"/>
          <w:szCs w:val="22"/>
          <w:u w:val="single"/>
          <w:rtl/>
        </w:rPr>
      </w:pPr>
      <w:r w:rsidRPr="002549F7">
        <w:rPr>
          <w:rFonts w:ascii="David" w:hAnsi="David"/>
          <w:color w:val="FFFFFF"/>
          <w:sz w:val="2"/>
          <w:szCs w:val="2"/>
          <w:u w:val="single"/>
          <w:rtl/>
        </w:rPr>
        <w:t>5129371</w:t>
      </w:r>
      <w:r w:rsidR="00577C2E" w:rsidRPr="00B00485">
        <w:rPr>
          <w:rFonts w:ascii="David" w:hAnsi="David"/>
          <w:u w:val="single"/>
          <w:rtl/>
        </w:rPr>
        <w:t xml:space="preserve">המזכירות תשלח עותק של גזר הדין לממונה על עבודות השירות ולשירות המבחן. </w:t>
      </w:r>
    </w:p>
    <w:p w14:paraId="74E13456" w14:textId="77777777" w:rsidR="00577C2E" w:rsidRPr="002549F7" w:rsidRDefault="002549F7" w:rsidP="00577C2E">
      <w:pPr>
        <w:rPr>
          <w:rFonts w:ascii="Arial" w:hAnsi="Arial"/>
          <w:b/>
          <w:bCs/>
          <w:color w:val="FFFFFF"/>
          <w:sz w:val="2"/>
          <w:szCs w:val="2"/>
          <w:rtl/>
        </w:rPr>
      </w:pPr>
      <w:r w:rsidRPr="002549F7">
        <w:rPr>
          <w:rFonts w:ascii="Arial" w:hAnsi="Arial"/>
          <w:b/>
          <w:bCs/>
          <w:color w:val="FFFFFF"/>
          <w:sz w:val="2"/>
          <w:szCs w:val="2"/>
          <w:rtl/>
        </w:rPr>
        <w:t>54678313</w:t>
      </w:r>
    </w:p>
    <w:p w14:paraId="7EA1C2CC" w14:textId="77777777" w:rsidR="00577C2E" w:rsidRPr="000F2247" w:rsidRDefault="00577C2E" w:rsidP="00577C2E">
      <w:pPr>
        <w:rPr>
          <w:rFonts w:ascii="Arial" w:hAnsi="Arial"/>
          <w:b/>
          <w:bCs/>
          <w:sz w:val="26"/>
          <w:szCs w:val="26"/>
          <w:rtl/>
        </w:rPr>
      </w:pPr>
    </w:p>
    <w:p w14:paraId="1EBAFA2E" w14:textId="77777777" w:rsidR="00577C2E" w:rsidRPr="00B00485" w:rsidRDefault="002549F7" w:rsidP="00577C2E">
      <w:pPr>
        <w:spacing w:line="360" w:lineRule="auto"/>
        <w:jc w:val="both"/>
        <w:rPr>
          <w:rFonts w:ascii="Arial" w:hAnsi="Arial"/>
        </w:rPr>
      </w:pPr>
      <w:bookmarkStart w:id="7" w:name="Nitan"/>
      <w:r>
        <w:rPr>
          <w:rFonts w:ascii="Arial" w:hAnsi="Arial"/>
          <w:rtl/>
        </w:rPr>
        <w:t xml:space="preserve">ניתן היום,  כ"ח אייר תשפ"ב, 29 מאי 2022, בנוכחות הנאשם וב"כ עוה"ד אנוואר פריג' וב"כ </w:t>
      </w:r>
      <w:bookmarkEnd w:id="7"/>
      <w:r w:rsidR="00577C2E" w:rsidRPr="00B00485">
        <w:rPr>
          <w:rFonts w:ascii="Arial" w:hAnsi="Arial" w:hint="cs"/>
          <w:rtl/>
        </w:rPr>
        <w:t>המאשימה עו"ד קובי לן</w:t>
      </w:r>
      <w:r w:rsidR="00577C2E">
        <w:rPr>
          <w:rFonts w:ascii="Arial" w:hAnsi="Arial" w:hint="cs"/>
          <w:rtl/>
        </w:rPr>
        <w:t xml:space="preserve"> ועו"ד רוני אלסטר</w:t>
      </w:r>
      <w:r w:rsidR="00577C2E" w:rsidRPr="00B00485">
        <w:rPr>
          <w:rFonts w:ascii="Arial" w:hAnsi="Arial" w:hint="cs"/>
          <w:rtl/>
        </w:rPr>
        <w:t xml:space="preserve">. </w:t>
      </w:r>
    </w:p>
    <w:p w14:paraId="061C8A1C" w14:textId="77777777" w:rsidR="00577C2E" w:rsidRPr="000F2247" w:rsidRDefault="00577C2E" w:rsidP="002549F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EB0E05" w14:textId="77777777" w:rsidR="00577C2E" w:rsidRPr="000F2247" w:rsidRDefault="00577C2E" w:rsidP="00577C2E">
      <w:pPr>
        <w:jc w:val="center"/>
        <w:rPr>
          <w:rFonts w:ascii="Arial" w:hAnsi="Arial"/>
          <w:b/>
          <w:bCs/>
          <w:sz w:val="26"/>
          <w:szCs w:val="26"/>
          <w:rtl/>
        </w:rPr>
      </w:pPr>
    </w:p>
    <w:p w14:paraId="478591FC" w14:textId="77777777" w:rsidR="00527737" w:rsidRPr="002549F7" w:rsidRDefault="00527737" w:rsidP="002549F7">
      <w:pPr>
        <w:keepNext/>
        <w:rPr>
          <w:rFonts w:ascii="David" w:hAnsi="David"/>
          <w:color w:val="000000"/>
          <w:sz w:val="22"/>
          <w:szCs w:val="22"/>
          <w:rtl/>
        </w:rPr>
      </w:pPr>
    </w:p>
    <w:p w14:paraId="6A3E44EA" w14:textId="77777777" w:rsidR="002549F7" w:rsidRPr="002549F7" w:rsidRDefault="002549F7" w:rsidP="002549F7">
      <w:pPr>
        <w:keepNext/>
        <w:rPr>
          <w:rFonts w:ascii="David" w:hAnsi="David"/>
          <w:color w:val="000000"/>
          <w:sz w:val="22"/>
          <w:szCs w:val="22"/>
          <w:rtl/>
        </w:rPr>
      </w:pPr>
      <w:r w:rsidRPr="002549F7">
        <w:rPr>
          <w:rFonts w:ascii="David" w:hAnsi="David"/>
          <w:color w:val="000000"/>
          <w:sz w:val="22"/>
          <w:szCs w:val="22"/>
          <w:rtl/>
        </w:rPr>
        <w:t>אילה אורן 54678313</w:t>
      </w:r>
    </w:p>
    <w:p w14:paraId="71E6B313" w14:textId="77777777" w:rsidR="002549F7" w:rsidRDefault="002549F7" w:rsidP="002549F7">
      <w:r w:rsidRPr="002549F7">
        <w:rPr>
          <w:color w:val="000000"/>
          <w:rtl/>
        </w:rPr>
        <w:t>נוסח מסמך זה כפוף לשינויי ניסוח ועריכה</w:t>
      </w:r>
    </w:p>
    <w:p w14:paraId="3A70D996" w14:textId="77777777" w:rsidR="002549F7" w:rsidRDefault="002549F7" w:rsidP="002549F7">
      <w:pPr>
        <w:rPr>
          <w:rtl/>
        </w:rPr>
      </w:pPr>
    </w:p>
    <w:p w14:paraId="165828BC" w14:textId="77777777" w:rsidR="002549F7" w:rsidRDefault="002549F7" w:rsidP="002549F7">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4F1F7496" w14:textId="77777777" w:rsidR="002549F7" w:rsidRPr="002549F7" w:rsidRDefault="002549F7" w:rsidP="002549F7">
      <w:pPr>
        <w:jc w:val="center"/>
        <w:rPr>
          <w:color w:val="0000FF"/>
          <w:u w:val="single"/>
        </w:rPr>
      </w:pPr>
    </w:p>
    <w:sectPr w:rsidR="002549F7" w:rsidRPr="002549F7" w:rsidSect="002549F7">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524BC" w14:textId="77777777" w:rsidR="00251FA0" w:rsidRDefault="00251FA0" w:rsidP="00E8646A">
      <w:r>
        <w:separator/>
      </w:r>
    </w:p>
  </w:endnote>
  <w:endnote w:type="continuationSeparator" w:id="0">
    <w:p w14:paraId="0AD637C9" w14:textId="77777777" w:rsidR="00251FA0" w:rsidRDefault="00251FA0" w:rsidP="00E8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382F8" w14:textId="77777777" w:rsidR="002549F7" w:rsidRDefault="002549F7" w:rsidP="002549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0457DB" w14:textId="77777777" w:rsidR="00C9251A" w:rsidRPr="002549F7" w:rsidRDefault="002549F7" w:rsidP="002549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19E92" w14:textId="77777777" w:rsidR="002549F7" w:rsidRDefault="002549F7" w:rsidP="002549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17FC">
      <w:rPr>
        <w:rFonts w:ascii="FrankRuehl" w:hAnsi="FrankRuehl" w:cs="FrankRuehl"/>
        <w:noProof/>
        <w:rtl/>
      </w:rPr>
      <w:t>1</w:t>
    </w:r>
    <w:r>
      <w:rPr>
        <w:rFonts w:ascii="FrankRuehl" w:hAnsi="FrankRuehl" w:cs="FrankRuehl"/>
        <w:rtl/>
      </w:rPr>
      <w:fldChar w:fldCharType="end"/>
    </w:r>
  </w:p>
  <w:p w14:paraId="520CF951" w14:textId="77777777" w:rsidR="00C9251A" w:rsidRPr="002549F7" w:rsidRDefault="002549F7" w:rsidP="002549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2C3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CF0A4" w14:textId="77777777" w:rsidR="00251FA0" w:rsidRDefault="00251FA0" w:rsidP="00E8646A">
      <w:r>
        <w:separator/>
      </w:r>
    </w:p>
  </w:footnote>
  <w:footnote w:type="continuationSeparator" w:id="0">
    <w:p w14:paraId="34E88D72" w14:textId="77777777" w:rsidR="00251FA0" w:rsidRDefault="00251FA0" w:rsidP="00E8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C6EA" w14:textId="77777777" w:rsidR="002549F7" w:rsidRPr="002549F7" w:rsidRDefault="002549F7" w:rsidP="002549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20147-04-20</w:t>
    </w:r>
    <w:r>
      <w:rPr>
        <w:rFonts w:ascii="David" w:hAnsi="David"/>
        <w:color w:val="000000"/>
        <w:sz w:val="22"/>
        <w:szCs w:val="22"/>
        <w:rtl/>
      </w:rPr>
      <w:tab/>
      <w:t xml:space="preserve"> מדינת ישראל נ' בהא סרסור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449BC" w14:textId="77777777" w:rsidR="002549F7" w:rsidRPr="002549F7" w:rsidRDefault="002549F7" w:rsidP="002549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20147-04-20</w:t>
    </w:r>
    <w:r>
      <w:rPr>
        <w:rFonts w:ascii="David" w:hAnsi="David"/>
        <w:color w:val="000000"/>
        <w:sz w:val="22"/>
        <w:szCs w:val="22"/>
        <w:rtl/>
      </w:rPr>
      <w:tab/>
      <w:t xml:space="preserve"> מדינת ישראל נ' בהא סרסור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1D0708"/>
    <w:multiLevelType w:val="hybridMultilevel"/>
    <w:tmpl w:val="F530E26C"/>
    <w:lvl w:ilvl="0" w:tplc="E9FC2B7A">
      <w:start w:val="1"/>
      <w:numFmt w:val="hebrew1"/>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5359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0408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454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7C2E"/>
    <w:rsid w:val="00092623"/>
    <w:rsid w:val="000E36D5"/>
    <w:rsid w:val="001B5A3B"/>
    <w:rsid w:val="00251FA0"/>
    <w:rsid w:val="002549F7"/>
    <w:rsid w:val="003B7E47"/>
    <w:rsid w:val="00434B58"/>
    <w:rsid w:val="00527737"/>
    <w:rsid w:val="00577C2E"/>
    <w:rsid w:val="00770015"/>
    <w:rsid w:val="0077762E"/>
    <w:rsid w:val="00871460"/>
    <w:rsid w:val="00B017FC"/>
    <w:rsid w:val="00C9251A"/>
    <w:rsid w:val="00E8646A"/>
    <w:rsid w:val="00F06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ACA2B5"/>
  <w15:chartTrackingRefBased/>
  <w15:docId w15:val="{75FE82A7-2A15-412D-BE1D-1444CCBF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7C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7C2E"/>
    <w:pPr>
      <w:tabs>
        <w:tab w:val="center" w:pos="4153"/>
        <w:tab w:val="right" w:pos="8306"/>
      </w:tabs>
    </w:pPr>
  </w:style>
  <w:style w:type="character" w:customStyle="1" w:styleId="a4">
    <w:name w:val="כותרת עליונה תו"/>
    <w:link w:val="a3"/>
    <w:rsid w:val="00577C2E"/>
    <w:rPr>
      <w:rFonts w:ascii="Times New Roman" w:eastAsia="Times New Roman" w:hAnsi="Times New Roman" w:cs="David"/>
      <w:sz w:val="24"/>
      <w:szCs w:val="24"/>
    </w:rPr>
  </w:style>
  <w:style w:type="paragraph" w:styleId="a5">
    <w:name w:val="footer"/>
    <w:basedOn w:val="a"/>
    <w:link w:val="a6"/>
    <w:rsid w:val="00577C2E"/>
    <w:pPr>
      <w:tabs>
        <w:tab w:val="center" w:pos="4153"/>
        <w:tab w:val="right" w:pos="8306"/>
      </w:tabs>
    </w:pPr>
  </w:style>
  <w:style w:type="character" w:customStyle="1" w:styleId="a6">
    <w:name w:val="כותרת תחתונה תו"/>
    <w:link w:val="a5"/>
    <w:rsid w:val="00577C2E"/>
    <w:rPr>
      <w:rFonts w:ascii="Times New Roman" w:eastAsia="Times New Roman" w:hAnsi="Times New Roman" w:cs="David"/>
      <w:sz w:val="24"/>
      <w:szCs w:val="24"/>
    </w:rPr>
  </w:style>
  <w:style w:type="table" w:styleId="a7">
    <w:name w:val="Table Grid"/>
    <w:basedOn w:val="a1"/>
    <w:rsid w:val="00577C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7C2E"/>
  </w:style>
  <w:style w:type="paragraph" w:styleId="a9">
    <w:name w:val="List Paragraph"/>
    <w:basedOn w:val="a"/>
    <w:qFormat/>
    <w:rsid w:val="00577C2E"/>
    <w:pPr>
      <w:spacing w:after="160" w:line="254" w:lineRule="auto"/>
      <w:ind w:left="720"/>
      <w:contextualSpacing/>
    </w:pPr>
    <w:rPr>
      <w:rFonts w:ascii="Calibri" w:hAnsi="Calibri" w:cs="Arial"/>
      <w:sz w:val="22"/>
      <w:szCs w:val="22"/>
    </w:rPr>
  </w:style>
  <w:style w:type="character" w:styleId="Hyperlink">
    <w:name w:val="Hyperlink"/>
    <w:rsid w:val="00254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687948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75076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4287803" TargetMode="External"/><Relationship Id="rId20" Type="http://schemas.openxmlformats.org/officeDocument/2006/relationships/hyperlink" Target="http://www.nevo.co.il/case/264388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472796"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637580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683594"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9711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4063353</vt:i4>
      </vt:variant>
      <vt:variant>
        <vt:i4>39</vt:i4>
      </vt:variant>
      <vt:variant>
        <vt:i4>0</vt:i4>
      </vt:variant>
      <vt:variant>
        <vt:i4>5</vt:i4>
      </vt:variant>
      <vt:variant>
        <vt:lpwstr>http://www.nevo.co.il/case/26438804</vt:lpwstr>
      </vt:variant>
      <vt:variant>
        <vt:lpwstr/>
      </vt:variant>
      <vt:variant>
        <vt:i4>3407997</vt:i4>
      </vt:variant>
      <vt:variant>
        <vt:i4>36</vt:i4>
      </vt:variant>
      <vt:variant>
        <vt:i4>0</vt:i4>
      </vt:variant>
      <vt:variant>
        <vt:i4>5</vt:i4>
      </vt:variant>
      <vt:variant>
        <vt:lpwstr>http://www.nevo.co.il/case/26375804</vt:lpwstr>
      </vt:variant>
      <vt:variant>
        <vt:lpwstr/>
      </vt:variant>
      <vt:variant>
        <vt:i4>3670129</vt:i4>
      </vt:variant>
      <vt:variant>
        <vt:i4>33</vt:i4>
      </vt:variant>
      <vt:variant>
        <vt:i4>0</vt:i4>
      </vt:variant>
      <vt:variant>
        <vt:i4>5</vt:i4>
      </vt:variant>
      <vt:variant>
        <vt:lpwstr>http://www.nevo.co.il/case/16879489</vt:lpwstr>
      </vt:variant>
      <vt:variant>
        <vt:lpwstr/>
      </vt:variant>
      <vt:variant>
        <vt:i4>3342453</vt:i4>
      </vt:variant>
      <vt:variant>
        <vt:i4>30</vt:i4>
      </vt:variant>
      <vt:variant>
        <vt:i4>0</vt:i4>
      </vt:variant>
      <vt:variant>
        <vt:i4>5</vt:i4>
      </vt:variant>
      <vt:variant>
        <vt:lpwstr>http://www.nevo.co.il/case/23750765</vt:lpwstr>
      </vt:variant>
      <vt:variant>
        <vt:lpwstr/>
      </vt:variant>
      <vt:variant>
        <vt:i4>3604592</vt:i4>
      </vt:variant>
      <vt:variant>
        <vt:i4>27</vt:i4>
      </vt:variant>
      <vt:variant>
        <vt:i4>0</vt:i4>
      </vt:variant>
      <vt:variant>
        <vt:i4>5</vt:i4>
      </vt:variant>
      <vt:variant>
        <vt:lpwstr>http://www.nevo.co.il/case/24287803</vt:lpwstr>
      </vt:variant>
      <vt:variant>
        <vt:lpwstr/>
      </vt:variant>
      <vt:variant>
        <vt:i4>3997813</vt:i4>
      </vt:variant>
      <vt:variant>
        <vt:i4>24</vt:i4>
      </vt:variant>
      <vt:variant>
        <vt:i4>0</vt:i4>
      </vt:variant>
      <vt:variant>
        <vt:i4>5</vt:i4>
      </vt:variant>
      <vt:variant>
        <vt:lpwstr>http://www.nevo.co.il/case/21472796</vt:lpwstr>
      </vt:variant>
      <vt:variant>
        <vt:lpwstr/>
      </vt:variant>
      <vt:variant>
        <vt:i4>4063353</vt:i4>
      </vt:variant>
      <vt:variant>
        <vt:i4>21</vt:i4>
      </vt:variant>
      <vt:variant>
        <vt:i4>0</vt:i4>
      </vt:variant>
      <vt:variant>
        <vt:i4>5</vt:i4>
      </vt:variant>
      <vt:variant>
        <vt:lpwstr>http://www.nevo.co.il/case/20683594</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20147</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בהא סרסור</vt:lpwstr>
  </property>
  <property fmtid="{D5CDD505-2E9C-101B-9397-08002B2CF9AE}" pid="10" name="JUDGE">
    <vt:lpwstr>אילה אורן</vt:lpwstr>
  </property>
  <property fmtid="{D5CDD505-2E9C-101B-9397-08002B2CF9AE}" pid="11" name="CITY">
    <vt:lpwstr>כ"ס</vt:lpwstr>
  </property>
  <property fmtid="{D5CDD505-2E9C-101B-9397-08002B2CF9AE}" pid="12" name="DATE">
    <vt:lpwstr>20220529</vt:lpwstr>
  </property>
  <property fmtid="{D5CDD505-2E9C-101B-9397-08002B2CF9AE}" pid="13" name="TYPE_N_DATE">
    <vt:lpwstr>38020220529</vt:lpwstr>
  </property>
  <property fmtid="{D5CDD505-2E9C-101B-9397-08002B2CF9AE}" pid="14" name="WORDNUMPAGES">
    <vt:lpwstr>6</vt:lpwstr>
  </property>
  <property fmtid="{D5CDD505-2E9C-101B-9397-08002B2CF9AE}" pid="15" name="TYPE_ABS_DATE">
    <vt:lpwstr>380020220529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20683594;21472796;24287803;23750765;16879489;26375804;26438804</vt:lpwstr>
  </property>
  <property fmtid="{D5CDD505-2E9C-101B-9397-08002B2CF9AE}" pid="36" name="LAWLISTTMP1">
    <vt:lpwstr>4216/007.a;007.c</vt:lpwstr>
  </property>
  <property fmtid="{D5CDD505-2E9C-101B-9397-08002B2CF9AE}" pid="37" name="LAWLISTTMP2">
    <vt:lpwstr>70301</vt:lpwstr>
  </property>
</Properties>
</file>