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332"/>
        <w:gridCol w:w="3613"/>
        <w:gridCol w:w="544"/>
        <w:gridCol w:w="3034"/>
        <w:gridCol w:w="297"/>
      </w:tblGrid>
      <w:tr w:rsidR="002C2E0F" w:rsidRPr="00E15BF5" w14:paraId="621C03CF" w14:textId="77777777" w:rsidTr="006B3AFC">
        <w:trPr>
          <w:gridAfter w:val="1"/>
          <w:wAfter w:w="297" w:type="dxa"/>
          <w:trHeight w:hRule="exact" w:val="418"/>
          <w:jc w:val="center"/>
        </w:trPr>
        <w:tc>
          <w:tcPr>
            <w:tcW w:w="8523" w:type="dxa"/>
            <w:gridSpan w:val="4"/>
          </w:tcPr>
          <w:p w14:paraId="132A8AD0" w14:textId="77777777" w:rsidR="002C2E0F" w:rsidRPr="00E15BF5" w:rsidRDefault="002C2E0F" w:rsidP="008F4AA2">
            <w:pPr>
              <w:pStyle w:val="a3"/>
              <w:jc w:val="center"/>
              <w:rPr>
                <w:rFonts w:ascii="Tahoma" w:hAnsi="Tahoma"/>
                <w:color w:val="000080"/>
                <w:sz w:val="32"/>
                <w:szCs w:val="32"/>
                <w:rtl/>
              </w:rPr>
            </w:pPr>
            <w:bookmarkStart w:id="0" w:name="LastJudge"/>
            <w:r w:rsidRPr="00E15BF5">
              <w:rPr>
                <w:rFonts w:ascii="Tahoma" w:hAnsi="Tahoma"/>
                <w:b/>
                <w:bCs/>
                <w:color w:val="000080"/>
                <w:sz w:val="32"/>
                <w:szCs w:val="32"/>
                <w:rtl/>
              </w:rPr>
              <w:t>בית משפט השלום בתל אביב - יפו</w:t>
            </w:r>
          </w:p>
        </w:tc>
      </w:tr>
      <w:tr w:rsidR="002C2E0F" w:rsidRPr="00E15BF5" w14:paraId="6ECEA84C" w14:textId="77777777" w:rsidTr="006B3AFC">
        <w:trPr>
          <w:gridAfter w:val="1"/>
          <w:wAfter w:w="297" w:type="dxa"/>
          <w:trHeight w:val="337"/>
          <w:jc w:val="center"/>
        </w:trPr>
        <w:tc>
          <w:tcPr>
            <w:tcW w:w="4945" w:type="dxa"/>
            <w:gridSpan w:val="2"/>
          </w:tcPr>
          <w:p w14:paraId="67CB0984" w14:textId="77777777" w:rsidR="002C2E0F" w:rsidRPr="00E15BF5" w:rsidRDefault="002C2E0F" w:rsidP="008F4AA2">
            <w:pPr>
              <w:rPr>
                <w:sz w:val="26"/>
                <w:szCs w:val="26"/>
                <w:rtl/>
              </w:rPr>
            </w:pPr>
            <w:r w:rsidRPr="00E15BF5">
              <w:rPr>
                <w:sz w:val="26"/>
                <w:szCs w:val="26"/>
                <w:rtl/>
              </w:rPr>
              <w:t>ת"פ</w:t>
            </w:r>
            <w:r w:rsidRPr="00E15BF5">
              <w:rPr>
                <w:rFonts w:hint="cs"/>
                <w:sz w:val="26"/>
                <w:szCs w:val="26"/>
                <w:rtl/>
              </w:rPr>
              <w:t xml:space="preserve"> </w:t>
            </w:r>
            <w:r w:rsidRPr="00E15BF5">
              <w:rPr>
                <w:sz w:val="26"/>
                <w:szCs w:val="26"/>
                <w:rtl/>
              </w:rPr>
              <w:t>25060-04-20</w:t>
            </w:r>
            <w:r w:rsidRPr="00E15BF5">
              <w:rPr>
                <w:rFonts w:hint="cs"/>
                <w:sz w:val="26"/>
                <w:szCs w:val="26"/>
                <w:rtl/>
              </w:rPr>
              <w:t xml:space="preserve"> </w:t>
            </w:r>
            <w:r w:rsidRPr="00E15BF5">
              <w:rPr>
                <w:b/>
                <w:bCs/>
                <w:sz w:val="26"/>
                <w:szCs w:val="26"/>
                <w:rtl/>
              </w:rPr>
              <w:t>מדינת ישראל נ' בן שושן</w:t>
            </w:r>
          </w:p>
        </w:tc>
        <w:tc>
          <w:tcPr>
            <w:tcW w:w="3578" w:type="dxa"/>
            <w:gridSpan w:val="2"/>
          </w:tcPr>
          <w:p w14:paraId="73390DAD" w14:textId="77777777" w:rsidR="002C2E0F" w:rsidRPr="00E15BF5" w:rsidRDefault="002C2E0F" w:rsidP="008F4AA2">
            <w:pPr>
              <w:pStyle w:val="a3"/>
              <w:jc w:val="right"/>
              <w:rPr>
                <w:rFonts w:cs="FrankRuehl"/>
                <w:sz w:val="28"/>
                <w:szCs w:val="28"/>
                <w:rtl/>
              </w:rPr>
            </w:pPr>
          </w:p>
        </w:tc>
      </w:tr>
      <w:tr w:rsidR="002C2E0F" w:rsidRPr="00E15BF5" w14:paraId="3BE251B3" w14:textId="77777777" w:rsidTr="006B3A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091B4E98" w14:textId="77777777" w:rsidR="002C2E0F" w:rsidRPr="00E15BF5" w:rsidRDefault="002C2E0F" w:rsidP="002C2E0F">
            <w:pPr>
              <w:spacing w:line="360" w:lineRule="auto"/>
              <w:jc w:val="both"/>
              <w:rPr>
                <w:rFonts w:ascii="Arial" w:hAnsi="Arial"/>
                <w:b/>
                <w:bCs/>
                <w:sz w:val="26"/>
                <w:szCs w:val="26"/>
                <w:rtl/>
              </w:rPr>
            </w:pPr>
            <w:r w:rsidRPr="00E15BF5">
              <w:rPr>
                <w:rFonts w:hint="cs"/>
                <w:rtl/>
              </w:rPr>
              <w:t xml:space="preserve"> </w:t>
            </w:r>
            <w:r w:rsidRPr="00E15BF5">
              <w:rPr>
                <w:rFonts w:ascii="Arial" w:hAnsi="Arial" w:hint="cs"/>
                <w:b/>
                <w:bCs/>
                <w:sz w:val="26"/>
                <w:szCs w:val="26"/>
                <w:rtl/>
              </w:rPr>
              <w:t>ל</w:t>
            </w:r>
            <w:r w:rsidRPr="00E15BF5">
              <w:rPr>
                <w:rFonts w:ascii="Arial" w:hAnsi="Arial"/>
                <w:b/>
                <w:bCs/>
                <w:sz w:val="26"/>
                <w:szCs w:val="26"/>
                <w:rtl/>
              </w:rPr>
              <w:t xml:space="preserve">פני </w:t>
            </w:r>
            <w:r w:rsidRPr="00E15BF5">
              <w:rPr>
                <w:rFonts w:ascii="Arial" w:hAnsi="Arial" w:hint="cs"/>
                <w:b/>
                <w:bCs/>
                <w:sz w:val="26"/>
                <w:szCs w:val="26"/>
                <w:rtl/>
              </w:rPr>
              <w:t>כבוד ה</w:t>
            </w:r>
            <w:r w:rsidRPr="00E15BF5">
              <w:rPr>
                <w:rFonts w:ascii="Arial" w:hAnsi="Arial"/>
                <w:b/>
                <w:bCs/>
                <w:sz w:val="26"/>
                <w:szCs w:val="26"/>
                <w:rtl/>
              </w:rPr>
              <w:t>שופט</w:t>
            </w:r>
            <w:r w:rsidRPr="00E15BF5">
              <w:rPr>
                <w:rFonts w:ascii="Arial" w:hAnsi="Arial" w:hint="cs"/>
                <w:b/>
                <w:bCs/>
                <w:sz w:val="26"/>
                <w:szCs w:val="26"/>
                <w:rtl/>
              </w:rPr>
              <w:t xml:space="preserve"> </w:t>
            </w:r>
            <w:r w:rsidRPr="00E15BF5">
              <w:rPr>
                <w:rFonts w:ascii="Arial" w:hAnsi="Arial"/>
                <w:b/>
                <w:bCs/>
                <w:sz w:val="26"/>
                <w:szCs w:val="26"/>
                <w:rtl/>
              </w:rPr>
              <w:t>שאול אבינור</w:t>
            </w:r>
          </w:p>
          <w:p w14:paraId="77A2CEBE" w14:textId="77777777" w:rsidR="002C2E0F" w:rsidRPr="00E15BF5" w:rsidRDefault="002C2E0F" w:rsidP="002C2E0F">
            <w:pPr>
              <w:spacing w:line="360" w:lineRule="auto"/>
              <w:jc w:val="both"/>
              <w:rPr>
                <w:rFonts w:ascii="Arial" w:hAnsi="Arial"/>
                <w:b/>
                <w:bCs/>
                <w:sz w:val="26"/>
                <w:szCs w:val="26"/>
                <w:rtl/>
              </w:rPr>
            </w:pPr>
          </w:p>
        </w:tc>
      </w:tr>
      <w:tr w:rsidR="002C2E0F" w:rsidRPr="00E15BF5" w14:paraId="45355965" w14:textId="77777777" w:rsidTr="006B3A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74651179" w14:textId="77777777" w:rsidR="002C2E0F" w:rsidRPr="00E15BF5" w:rsidRDefault="002C2E0F" w:rsidP="002C2E0F">
            <w:pPr>
              <w:spacing w:line="360" w:lineRule="auto"/>
              <w:jc w:val="both"/>
              <w:rPr>
                <w:rFonts w:ascii="Arial" w:hAnsi="Arial"/>
                <w:b/>
                <w:bCs/>
                <w:sz w:val="26"/>
                <w:szCs w:val="26"/>
              </w:rPr>
            </w:pPr>
            <w:bookmarkStart w:id="1" w:name="FirstAppellant"/>
            <w:bookmarkStart w:id="2" w:name="FirstLawyer"/>
            <w:r w:rsidRPr="00E15BF5">
              <w:rPr>
                <w:rFonts w:ascii="Arial" w:hAnsi="Arial" w:hint="cs"/>
                <w:b/>
                <w:bCs/>
                <w:sz w:val="26"/>
                <w:szCs w:val="26"/>
                <w:rtl/>
              </w:rPr>
              <w:t>ה</w:t>
            </w:r>
            <w:r w:rsidRPr="00E15BF5">
              <w:rPr>
                <w:rFonts w:ascii="Arial" w:hAnsi="Arial"/>
                <w:b/>
                <w:bCs/>
                <w:sz w:val="26"/>
                <w:szCs w:val="26"/>
                <w:rtl/>
              </w:rPr>
              <w:t>מאשימה</w:t>
            </w:r>
            <w:r w:rsidRPr="00E15BF5">
              <w:rPr>
                <w:rFonts w:ascii="Arial" w:hAnsi="Arial" w:hint="cs"/>
                <w:b/>
                <w:bCs/>
                <w:sz w:val="26"/>
                <w:szCs w:val="26"/>
                <w:rtl/>
              </w:rPr>
              <w:t>:</w:t>
            </w:r>
          </w:p>
        </w:tc>
        <w:tc>
          <w:tcPr>
            <w:tcW w:w="4157" w:type="dxa"/>
            <w:gridSpan w:val="2"/>
            <w:tcBorders>
              <w:top w:val="nil"/>
              <w:left w:val="nil"/>
              <w:bottom w:val="nil"/>
              <w:right w:val="nil"/>
            </w:tcBorders>
            <w:shd w:val="clear" w:color="auto" w:fill="auto"/>
          </w:tcPr>
          <w:p w14:paraId="645C39CE" w14:textId="77777777" w:rsidR="002C2E0F" w:rsidRPr="00E15BF5" w:rsidRDefault="002C2E0F" w:rsidP="002C2E0F">
            <w:pPr>
              <w:spacing w:line="360" w:lineRule="auto"/>
              <w:rPr>
                <w:b/>
                <w:bCs/>
                <w:sz w:val="26"/>
                <w:szCs w:val="26"/>
                <w:rtl/>
              </w:rPr>
            </w:pPr>
            <w:r w:rsidRPr="00E15BF5">
              <w:rPr>
                <w:rFonts w:ascii="Arial" w:hAnsi="Arial"/>
                <w:b/>
                <w:bCs/>
                <w:sz w:val="26"/>
                <w:szCs w:val="26"/>
                <w:rtl/>
              </w:rPr>
              <w:t>מדינת ישראל</w:t>
            </w:r>
          </w:p>
          <w:p w14:paraId="41226E93" w14:textId="77777777" w:rsidR="002C2E0F" w:rsidRPr="00E15BF5" w:rsidRDefault="002C2E0F" w:rsidP="002C2E0F">
            <w:pPr>
              <w:spacing w:line="360" w:lineRule="auto"/>
              <w:rPr>
                <w:sz w:val="26"/>
                <w:szCs w:val="26"/>
              </w:rPr>
            </w:pPr>
            <w:r w:rsidRPr="00E15BF5">
              <w:rPr>
                <w:rFonts w:hint="cs"/>
                <w:rtl/>
              </w:rPr>
              <w:t>ע"י ב"כ עו"ד ג'סיקה קומורסי</w:t>
            </w:r>
          </w:p>
        </w:tc>
        <w:tc>
          <w:tcPr>
            <w:tcW w:w="3331" w:type="dxa"/>
            <w:gridSpan w:val="2"/>
            <w:tcBorders>
              <w:top w:val="nil"/>
              <w:left w:val="nil"/>
              <w:bottom w:val="nil"/>
              <w:right w:val="nil"/>
            </w:tcBorders>
            <w:shd w:val="clear" w:color="auto" w:fill="auto"/>
          </w:tcPr>
          <w:p w14:paraId="60F8D5F7" w14:textId="77777777" w:rsidR="002C2E0F" w:rsidRPr="00E15BF5" w:rsidRDefault="002C2E0F" w:rsidP="002C2E0F">
            <w:pPr>
              <w:spacing w:line="360" w:lineRule="auto"/>
              <w:jc w:val="both"/>
              <w:rPr>
                <w:rFonts w:ascii="Arial" w:hAnsi="Arial"/>
                <w:b/>
                <w:bCs/>
                <w:sz w:val="26"/>
                <w:szCs w:val="26"/>
              </w:rPr>
            </w:pPr>
          </w:p>
        </w:tc>
      </w:tr>
      <w:bookmarkEnd w:id="1"/>
      <w:bookmarkEnd w:id="2"/>
      <w:tr w:rsidR="002C2E0F" w:rsidRPr="00E15BF5" w14:paraId="61D7AAAC" w14:textId="77777777" w:rsidTr="006B3A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332" w:type="dxa"/>
            <w:tcBorders>
              <w:top w:val="nil"/>
              <w:left w:val="nil"/>
              <w:bottom w:val="nil"/>
              <w:right w:val="nil"/>
            </w:tcBorders>
            <w:shd w:val="clear" w:color="auto" w:fill="auto"/>
          </w:tcPr>
          <w:p w14:paraId="2AB34A6A" w14:textId="77777777" w:rsidR="002C2E0F" w:rsidRPr="00E15BF5" w:rsidRDefault="002C2E0F" w:rsidP="002C2E0F">
            <w:pPr>
              <w:spacing w:line="360" w:lineRule="auto"/>
              <w:jc w:val="both"/>
              <w:rPr>
                <w:rFonts w:ascii="Arial" w:hAnsi="Arial"/>
                <w:b/>
                <w:bCs/>
                <w:sz w:val="26"/>
                <w:szCs w:val="26"/>
                <w:rtl/>
              </w:rPr>
            </w:pPr>
          </w:p>
        </w:tc>
        <w:tc>
          <w:tcPr>
            <w:tcW w:w="7488" w:type="dxa"/>
            <w:gridSpan w:val="4"/>
            <w:tcBorders>
              <w:top w:val="nil"/>
              <w:left w:val="nil"/>
              <w:bottom w:val="nil"/>
              <w:right w:val="nil"/>
            </w:tcBorders>
            <w:shd w:val="clear" w:color="auto" w:fill="auto"/>
          </w:tcPr>
          <w:p w14:paraId="3B3A8C5D" w14:textId="77777777" w:rsidR="002C2E0F" w:rsidRPr="00E15BF5" w:rsidRDefault="002C2E0F" w:rsidP="002C2E0F">
            <w:pPr>
              <w:spacing w:line="360" w:lineRule="auto"/>
              <w:jc w:val="center"/>
              <w:rPr>
                <w:rFonts w:ascii="Arial" w:hAnsi="Arial"/>
                <w:b/>
                <w:bCs/>
                <w:sz w:val="26"/>
                <w:szCs w:val="26"/>
                <w:rtl/>
              </w:rPr>
            </w:pPr>
          </w:p>
          <w:p w14:paraId="5027AD0B" w14:textId="77777777" w:rsidR="002C2E0F" w:rsidRPr="00E15BF5" w:rsidRDefault="002C2E0F" w:rsidP="002C2E0F">
            <w:pPr>
              <w:spacing w:line="360" w:lineRule="auto"/>
              <w:jc w:val="center"/>
              <w:rPr>
                <w:rFonts w:ascii="Arial" w:hAnsi="Arial"/>
                <w:b/>
                <w:bCs/>
                <w:sz w:val="26"/>
                <w:szCs w:val="26"/>
                <w:rtl/>
              </w:rPr>
            </w:pPr>
            <w:r w:rsidRPr="00E15BF5">
              <w:rPr>
                <w:rFonts w:ascii="Arial" w:hAnsi="Arial"/>
                <w:b/>
                <w:bCs/>
                <w:sz w:val="26"/>
                <w:szCs w:val="26"/>
                <w:rtl/>
              </w:rPr>
              <w:t>נגד</w:t>
            </w:r>
          </w:p>
          <w:p w14:paraId="1D264FFF" w14:textId="77777777" w:rsidR="002C2E0F" w:rsidRPr="00E15BF5" w:rsidRDefault="002C2E0F" w:rsidP="002C2E0F">
            <w:pPr>
              <w:spacing w:line="360" w:lineRule="auto"/>
              <w:jc w:val="both"/>
              <w:rPr>
                <w:rFonts w:ascii="Arial" w:hAnsi="Arial"/>
                <w:b/>
                <w:bCs/>
                <w:sz w:val="26"/>
                <w:szCs w:val="26"/>
              </w:rPr>
            </w:pPr>
          </w:p>
        </w:tc>
      </w:tr>
      <w:tr w:rsidR="002C2E0F" w:rsidRPr="00E15BF5" w14:paraId="205D02EC" w14:textId="77777777" w:rsidTr="006B3A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29BB7BCD" w14:textId="77777777" w:rsidR="002C2E0F" w:rsidRPr="00E15BF5" w:rsidRDefault="002C2E0F" w:rsidP="002C2E0F">
            <w:pPr>
              <w:spacing w:line="360" w:lineRule="auto"/>
              <w:rPr>
                <w:rFonts w:ascii="Arial" w:hAnsi="Arial"/>
                <w:b/>
                <w:bCs/>
                <w:sz w:val="26"/>
                <w:szCs w:val="26"/>
                <w:rtl/>
              </w:rPr>
            </w:pPr>
            <w:r w:rsidRPr="00E15BF5">
              <w:rPr>
                <w:rFonts w:ascii="Arial" w:hAnsi="Arial" w:hint="cs"/>
                <w:b/>
                <w:bCs/>
                <w:sz w:val="26"/>
                <w:szCs w:val="26"/>
                <w:rtl/>
              </w:rPr>
              <w:t>ה</w:t>
            </w:r>
            <w:r w:rsidRPr="00E15BF5">
              <w:rPr>
                <w:rFonts w:ascii="Arial" w:hAnsi="Arial"/>
                <w:b/>
                <w:bCs/>
                <w:sz w:val="26"/>
                <w:szCs w:val="26"/>
                <w:rtl/>
              </w:rPr>
              <w:t>נאשם</w:t>
            </w:r>
            <w:r w:rsidRPr="00E15BF5">
              <w:rPr>
                <w:rFonts w:ascii="Arial" w:hAnsi="Arial" w:hint="cs"/>
                <w:b/>
                <w:bCs/>
                <w:sz w:val="26"/>
                <w:szCs w:val="26"/>
                <w:rtl/>
              </w:rPr>
              <w:t>:</w:t>
            </w:r>
          </w:p>
        </w:tc>
        <w:tc>
          <w:tcPr>
            <w:tcW w:w="4157" w:type="dxa"/>
            <w:gridSpan w:val="2"/>
            <w:tcBorders>
              <w:top w:val="nil"/>
              <w:left w:val="nil"/>
              <w:bottom w:val="nil"/>
              <w:right w:val="nil"/>
            </w:tcBorders>
            <w:shd w:val="clear" w:color="auto" w:fill="auto"/>
          </w:tcPr>
          <w:p w14:paraId="18892FDB" w14:textId="77777777" w:rsidR="002C2E0F" w:rsidRPr="00E15BF5" w:rsidRDefault="002C2E0F" w:rsidP="002C2E0F">
            <w:pPr>
              <w:spacing w:line="360" w:lineRule="auto"/>
              <w:rPr>
                <w:b/>
                <w:bCs/>
                <w:sz w:val="26"/>
                <w:szCs w:val="26"/>
                <w:rtl/>
              </w:rPr>
            </w:pPr>
            <w:r w:rsidRPr="00E15BF5">
              <w:rPr>
                <w:rFonts w:ascii="Arial" w:hAnsi="Arial"/>
                <w:b/>
                <w:bCs/>
                <w:sz w:val="26"/>
                <w:szCs w:val="26"/>
                <w:rtl/>
              </w:rPr>
              <w:t>מרדכי בן שושן</w:t>
            </w:r>
          </w:p>
          <w:p w14:paraId="61FDA9DE" w14:textId="77777777" w:rsidR="002C2E0F" w:rsidRPr="00E15BF5" w:rsidRDefault="002C2E0F" w:rsidP="002C2E0F">
            <w:pPr>
              <w:spacing w:line="360" w:lineRule="auto"/>
              <w:rPr>
                <w:sz w:val="26"/>
                <w:szCs w:val="26"/>
                <w:rtl/>
              </w:rPr>
            </w:pPr>
            <w:r w:rsidRPr="00E15BF5">
              <w:rPr>
                <w:rFonts w:hint="cs"/>
                <w:rtl/>
              </w:rPr>
              <w:t>ע"י ב"כ עו"ד יוגב חיימי</w:t>
            </w:r>
          </w:p>
        </w:tc>
        <w:tc>
          <w:tcPr>
            <w:tcW w:w="3331" w:type="dxa"/>
            <w:gridSpan w:val="2"/>
            <w:tcBorders>
              <w:top w:val="nil"/>
              <w:left w:val="nil"/>
              <w:bottom w:val="nil"/>
              <w:right w:val="nil"/>
            </w:tcBorders>
            <w:shd w:val="clear" w:color="auto" w:fill="auto"/>
          </w:tcPr>
          <w:p w14:paraId="5B6A8429" w14:textId="77777777" w:rsidR="002C2E0F" w:rsidRPr="00E15BF5" w:rsidRDefault="002C2E0F" w:rsidP="002C2E0F">
            <w:pPr>
              <w:spacing w:line="360" w:lineRule="auto"/>
              <w:jc w:val="right"/>
              <w:rPr>
                <w:rFonts w:ascii="Arial" w:hAnsi="Arial"/>
                <w:b/>
                <w:bCs/>
                <w:sz w:val="26"/>
                <w:szCs w:val="26"/>
              </w:rPr>
            </w:pPr>
          </w:p>
        </w:tc>
      </w:tr>
    </w:tbl>
    <w:p w14:paraId="2B45CC09" w14:textId="77777777" w:rsidR="006B3AFC" w:rsidRDefault="006B3AFC" w:rsidP="00E15BF5">
      <w:pPr>
        <w:spacing w:line="360" w:lineRule="auto"/>
        <w:rPr>
          <w:rtl/>
        </w:rPr>
      </w:pPr>
    </w:p>
    <w:p w14:paraId="2FB146DE" w14:textId="77777777" w:rsidR="006B3AFC" w:rsidRPr="006B3AFC" w:rsidRDefault="006B3AFC" w:rsidP="006B3AFC">
      <w:pPr>
        <w:spacing w:after="120" w:line="240" w:lineRule="exact"/>
        <w:ind w:left="283" w:hanging="283"/>
        <w:jc w:val="both"/>
        <w:rPr>
          <w:rFonts w:ascii="FrankRuehl" w:hAnsi="FrankRuehl" w:cs="FrankRuehl"/>
          <w:rtl/>
        </w:rPr>
      </w:pPr>
    </w:p>
    <w:p w14:paraId="3EF88512" w14:textId="77777777" w:rsidR="009F2B9B" w:rsidRPr="009F2B9B" w:rsidRDefault="009F2B9B" w:rsidP="009F2B9B">
      <w:pPr>
        <w:spacing w:before="120" w:after="120" w:line="240" w:lineRule="exact"/>
        <w:ind w:left="283" w:hanging="283"/>
        <w:jc w:val="both"/>
        <w:rPr>
          <w:rFonts w:ascii="FrankRuehl" w:hAnsi="FrankRuehl" w:cs="FrankRuehl"/>
          <w:rtl/>
        </w:rPr>
      </w:pPr>
    </w:p>
    <w:p w14:paraId="5F15D5E2" w14:textId="77777777" w:rsidR="00F73F56" w:rsidRDefault="00F73F56" w:rsidP="00F73F56">
      <w:pPr>
        <w:spacing w:line="360" w:lineRule="auto"/>
        <w:rPr>
          <w:rtl/>
        </w:rPr>
      </w:pPr>
      <w:bookmarkStart w:id="3" w:name="LawTable"/>
      <w:bookmarkEnd w:id="3"/>
    </w:p>
    <w:p w14:paraId="63BB30D7" w14:textId="77777777" w:rsidR="00F73F56" w:rsidRPr="00F73F56" w:rsidRDefault="00F73F56" w:rsidP="00F73F56">
      <w:pPr>
        <w:spacing w:before="120" w:after="120" w:line="240" w:lineRule="exact"/>
        <w:ind w:left="283" w:hanging="283"/>
        <w:jc w:val="both"/>
        <w:rPr>
          <w:rFonts w:ascii="FrankRuehl" w:hAnsi="FrankRuehl" w:cs="FrankRuehl"/>
          <w:rtl/>
        </w:rPr>
      </w:pPr>
    </w:p>
    <w:p w14:paraId="1F4D9DF8" w14:textId="77777777" w:rsidR="00F73F56" w:rsidRPr="00F73F56" w:rsidRDefault="00F73F56" w:rsidP="00F73F56">
      <w:pPr>
        <w:spacing w:before="120" w:after="120" w:line="240" w:lineRule="exact"/>
        <w:ind w:left="283" w:hanging="283"/>
        <w:jc w:val="both"/>
        <w:rPr>
          <w:rFonts w:ascii="FrankRuehl" w:hAnsi="FrankRuehl" w:cs="FrankRuehl"/>
          <w:rtl/>
        </w:rPr>
      </w:pPr>
    </w:p>
    <w:p w14:paraId="7FB20237" w14:textId="77777777" w:rsidR="00F73F56" w:rsidRPr="00F73F56" w:rsidRDefault="00F73F56" w:rsidP="00F73F56">
      <w:pPr>
        <w:spacing w:before="120" w:after="120" w:line="240" w:lineRule="exact"/>
        <w:ind w:left="283" w:hanging="283"/>
        <w:jc w:val="both"/>
        <w:rPr>
          <w:rFonts w:ascii="FrankRuehl" w:hAnsi="FrankRuehl" w:cs="FrankRuehl"/>
          <w:rtl/>
        </w:rPr>
      </w:pPr>
      <w:r w:rsidRPr="00F73F56">
        <w:rPr>
          <w:rFonts w:ascii="FrankRuehl" w:hAnsi="FrankRuehl" w:cs="FrankRuehl"/>
          <w:rtl/>
        </w:rPr>
        <w:t xml:space="preserve">חקיקה שאוזכרה: </w:t>
      </w:r>
    </w:p>
    <w:p w14:paraId="6B0BF0FD" w14:textId="77777777" w:rsidR="00F73F56" w:rsidRPr="00F73F56" w:rsidRDefault="00F73F56" w:rsidP="00F73F56">
      <w:pPr>
        <w:spacing w:before="120" w:after="120" w:line="240" w:lineRule="exact"/>
        <w:ind w:left="283" w:hanging="283"/>
        <w:jc w:val="both"/>
        <w:rPr>
          <w:rFonts w:ascii="FrankRuehl" w:hAnsi="FrankRuehl" w:cs="FrankRuehl"/>
          <w:rtl/>
        </w:rPr>
      </w:pPr>
      <w:hyperlink r:id="rId7" w:history="1">
        <w:r w:rsidRPr="00F73F56">
          <w:rPr>
            <w:rFonts w:ascii="FrankRuehl" w:hAnsi="FrankRuehl" w:cs="FrankRuehl"/>
            <w:color w:val="0000FF"/>
            <w:rtl/>
          </w:rPr>
          <w:t>פקודת הסמים המסוכנים [נוסח חדש], תשל"ג-1973</w:t>
        </w:r>
      </w:hyperlink>
      <w:r w:rsidRPr="00F73F56">
        <w:rPr>
          <w:rFonts w:ascii="FrankRuehl" w:hAnsi="FrankRuehl" w:cs="FrankRuehl"/>
          <w:rtl/>
        </w:rPr>
        <w:t xml:space="preserve">: סע'  </w:t>
      </w:r>
      <w:hyperlink r:id="rId8" w:history="1">
        <w:r w:rsidRPr="00F73F56">
          <w:rPr>
            <w:rFonts w:ascii="FrankRuehl" w:hAnsi="FrankRuehl" w:cs="FrankRuehl"/>
            <w:color w:val="0000FF"/>
            <w:rtl/>
          </w:rPr>
          <w:t>7(א)</w:t>
        </w:r>
      </w:hyperlink>
      <w:r w:rsidRPr="00F73F56">
        <w:rPr>
          <w:rFonts w:ascii="FrankRuehl" w:hAnsi="FrankRuehl" w:cs="FrankRuehl"/>
          <w:rtl/>
        </w:rPr>
        <w:t xml:space="preserve">, </w:t>
      </w:r>
      <w:hyperlink r:id="rId9" w:history="1">
        <w:r w:rsidRPr="00F73F56">
          <w:rPr>
            <w:rFonts w:ascii="FrankRuehl" w:hAnsi="FrankRuehl" w:cs="FrankRuehl"/>
            <w:color w:val="0000FF"/>
            <w:rtl/>
          </w:rPr>
          <w:t>7(ג)</w:t>
        </w:r>
      </w:hyperlink>
    </w:p>
    <w:p w14:paraId="4429013D" w14:textId="77777777" w:rsidR="00F73F56" w:rsidRPr="00F73F56" w:rsidRDefault="00F73F56" w:rsidP="00F73F56">
      <w:pPr>
        <w:spacing w:before="120" w:after="120" w:line="240" w:lineRule="exact"/>
        <w:ind w:left="283" w:hanging="283"/>
        <w:jc w:val="both"/>
        <w:rPr>
          <w:rFonts w:ascii="FrankRuehl" w:hAnsi="FrankRuehl" w:cs="FrankRuehl"/>
          <w:rtl/>
        </w:rPr>
      </w:pPr>
      <w:hyperlink r:id="rId10" w:history="1">
        <w:r w:rsidRPr="00F73F56">
          <w:rPr>
            <w:rFonts w:ascii="FrankRuehl" w:hAnsi="FrankRuehl" w:cs="FrankRuehl"/>
            <w:color w:val="0000FF"/>
            <w:rtl/>
          </w:rPr>
          <w:t>תקנות התעבורה, תשכ"א-1961 - לא מרובדות</w:t>
        </w:r>
      </w:hyperlink>
      <w:r w:rsidRPr="00F73F56">
        <w:rPr>
          <w:rFonts w:ascii="FrankRuehl" w:hAnsi="FrankRuehl" w:cs="FrankRuehl"/>
          <w:rtl/>
        </w:rPr>
        <w:t xml:space="preserve">: סע'  </w:t>
      </w:r>
      <w:hyperlink r:id="rId11" w:history="1">
        <w:r w:rsidRPr="00F73F56">
          <w:rPr>
            <w:rFonts w:ascii="FrankRuehl" w:hAnsi="FrankRuehl" w:cs="FrankRuehl"/>
            <w:color w:val="0000FF"/>
            <w:rtl/>
          </w:rPr>
          <w:t>26(2)</w:t>
        </w:r>
      </w:hyperlink>
    </w:p>
    <w:p w14:paraId="74214737" w14:textId="77777777" w:rsidR="00F73F56" w:rsidRPr="00F73F56" w:rsidRDefault="00F73F56" w:rsidP="00F73F56">
      <w:pPr>
        <w:spacing w:before="120" w:after="120" w:line="240" w:lineRule="exact"/>
        <w:ind w:left="283" w:hanging="283"/>
        <w:jc w:val="both"/>
        <w:rPr>
          <w:rFonts w:ascii="FrankRuehl" w:hAnsi="FrankRuehl" w:cs="FrankRuehl"/>
          <w:rtl/>
        </w:rPr>
      </w:pPr>
      <w:hyperlink r:id="rId12" w:history="1">
        <w:r w:rsidRPr="00F73F56">
          <w:rPr>
            <w:rFonts w:ascii="FrankRuehl" w:hAnsi="FrankRuehl" w:cs="FrankRuehl"/>
            <w:color w:val="0000FF"/>
            <w:rtl/>
          </w:rPr>
          <w:t>חוק העונשין, תשל"ז-1977</w:t>
        </w:r>
      </w:hyperlink>
      <w:r w:rsidRPr="00F73F56">
        <w:rPr>
          <w:rFonts w:ascii="FrankRuehl" w:hAnsi="FrankRuehl" w:cs="FrankRuehl"/>
          <w:rtl/>
        </w:rPr>
        <w:t xml:space="preserve">: סע'  </w:t>
      </w:r>
      <w:hyperlink r:id="rId13" w:history="1">
        <w:r w:rsidRPr="00F73F56">
          <w:rPr>
            <w:rFonts w:ascii="FrankRuehl" w:hAnsi="FrankRuehl" w:cs="FrankRuehl"/>
            <w:color w:val="0000FF"/>
            <w:rtl/>
          </w:rPr>
          <w:t>5</w:t>
        </w:r>
      </w:hyperlink>
      <w:r w:rsidRPr="00F73F56">
        <w:rPr>
          <w:rFonts w:ascii="FrankRuehl" w:hAnsi="FrankRuehl" w:cs="FrankRuehl"/>
          <w:rtl/>
        </w:rPr>
        <w:t xml:space="preserve">, </w:t>
      </w:r>
      <w:hyperlink r:id="rId14" w:history="1">
        <w:r w:rsidRPr="00F73F56">
          <w:rPr>
            <w:rFonts w:ascii="FrankRuehl" w:hAnsi="FrankRuehl" w:cs="FrankRuehl"/>
            <w:color w:val="0000FF"/>
            <w:rtl/>
          </w:rPr>
          <w:t>6</w:t>
        </w:r>
      </w:hyperlink>
      <w:r w:rsidRPr="00F73F56">
        <w:rPr>
          <w:rFonts w:ascii="FrankRuehl" w:hAnsi="FrankRuehl" w:cs="FrankRuehl"/>
          <w:rtl/>
        </w:rPr>
        <w:t xml:space="preserve">, </w:t>
      </w:r>
      <w:hyperlink r:id="rId15" w:history="1">
        <w:r w:rsidRPr="00F73F56">
          <w:rPr>
            <w:rFonts w:ascii="FrankRuehl" w:hAnsi="FrankRuehl" w:cs="FrankRuehl"/>
            <w:color w:val="0000FF"/>
            <w:rtl/>
          </w:rPr>
          <w:t>40יא</w:t>
        </w:r>
      </w:hyperlink>
    </w:p>
    <w:p w14:paraId="3BB602D1" w14:textId="77777777" w:rsidR="00F73F56" w:rsidRPr="00F73F56" w:rsidRDefault="00F73F56" w:rsidP="00F73F56">
      <w:pPr>
        <w:spacing w:before="120" w:after="120" w:line="240" w:lineRule="exact"/>
        <w:ind w:left="283" w:hanging="283"/>
        <w:jc w:val="both"/>
        <w:rPr>
          <w:rFonts w:ascii="FrankRuehl" w:hAnsi="FrankRuehl" w:cs="FrankRuehl"/>
          <w:rtl/>
        </w:rPr>
      </w:pPr>
      <w:hyperlink r:id="rId16" w:history="1">
        <w:r w:rsidRPr="00F73F56">
          <w:rPr>
            <w:rFonts w:ascii="FrankRuehl" w:hAnsi="FrankRuehl" w:cs="FrankRuehl"/>
            <w:color w:val="0000FF"/>
            <w:rtl/>
          </w:rPr>
          <w:t>תקנות העבירות המינהליות, תשמ"ו-1986</w:t>
        </w:r>
      </w:hyperlink>
      <w:r w:rsidRPr="00F73F56">
        <w:rPr>
          <w:rFonts w:ascii="FrankRuehl" w:hAnsi="FrankRuehl" w:cs="FrankRuehl"/>
          <w:rtl/>
        </w:rPr>
        <w:t xml:space="preserve">: סע'  </w:t>
      </w:r>
      <w:hyperlink r:id="rId17" w:history="1">
        <w:r w:rsidRPr="00F73F56">
          <w:rPr>
            <w:rFonts w:ascii="FrankRuehl" w:hAnsi="FrankRuehl" w:cs="FrankRuehl"/>
            <w:color w:val="0000FF"/>
            <w:rtl/>
          </w:rPr>
          <w:t>2(א)(2)</w:t>
        </w:r>
      </w:hyperlink>
    </w:p>
    <w:p w14:paraId="5096CCE3" w14:textId="77777777" w:rsidR="00F73F56" w:rsidRPr="00F73F56" w:rsidRDefault="00F73F56" w:rsidP="00F73F56">
      <w:pPr>
        <w:spacing w:line="360" w:lineRule="auto"/>
        <w:rPr>
          <w:rtl/>
        </w:rPr>
      </w:pPr>
      <w:bookmarkStart w:id="4" w:name="LawTable_End"/>
      <w:bookmarkEnd w:id="4"/>
    </w:p>
    <w:p w14:paraId="443F0CD0" w14:textId="77777777" w:rsidR="002C2E0F" w:rsidRPr="009F2B9B" w:rsidRDefault="002C2E0F" w:rsidP="009F2B9B">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2E0F" w:rsidRPr="000D7AD2" w14:paraId="03E07136" w14:textId="77777777" w:rsidTr="002C2E0F">
        <w:trPr>
          <w:trHeight w:val="355"/>
          <w:jc w:val="center"/>
        </w:trPr>
        <w:tc>
          <w:tcPr>
            <w:tcW w:w="8820" w:type="dxa"/>
            <w:tcBorders>
              <w:top w:val="nil"/>
              <w:left w:val="nil"/>
              <w:bottom w:val="nil"/>
              <w:right w:val="nil"/>
            </w:tcBorders>
            <w:shd w:val="clear" w:color="auto" w:fill="auto"/>
          </w:tcPr>
          <w:p w14:paraId="41DB5411" w14:textId="77777777" w:rsidR="00E15BF5" w:rsidRPr="00E15BF5" w:rsidRDefault="00E15BF5" w:rsidP="00E15BF5">
            <w:pPr>
              <w:spacing w:after="120" w:line="360" w:lineRule="auto"/>
              <w:jc w:val="center"/>
              <w:rPr>
                <w:rFonts w:ascii="Arial" w:hAnsi="Arial"/>
                <w:b/>
                <w:bCs/>
                <w:sz w:val="36"/>
                <w:szCs w:val="36"/>
                <w:u w:val="single"/>
                <w:rtl/>
              </w:rPr>
            </w:pPr>
            <w:bookmarkStart w:id="5" w:name="PsakDin" w:colFirst="0" w:colLast="0"/>
            <w:bookmarkEnd w:id="0"/>
            <w:r w:rsidRPr="00E15BF5">
              <w:rPr>
                <w:rFonts w:ascii="Arial" w:hAnsi="Arial"/>
                <w:b/>
                <w:bCs/>
                <w:sz w:val="36"/>
                <w:szCs w:val="36"/>
                <w:u w:val="single"/>
                <w:rtl/>
              </w:rPr>
              <w:t>גזר דין</w:t>
            </w:r>
          </w:p>
          <w:p w14:paraId="1634D51D" w14:textId="77777777" w:rsidR="002C2E0F" w:rsidRPr="00E15BF5" w:rsidRDefault="002C2E0F" w:rsidP="00E15BF5">
            <w:pPr>
              <w:spacing w:after="120" w:line="360" w:lineRule="auto"/>
              <w:jc w:val="center"/>
              <w:rPr>
                <w:rFonts w:ascii="Arial" w:hAnsi="Arial"/>
                <w:b/>
                <w:bCs/>
                <w:sz w:val="36"/>
                <w:szCs w:val="36"/>
                <w:u w:val="single"/>
                <w:rtl/>
              </w:rPr>
            </w:pPr>
          </w:p>
        </w:tc>
      </w:tr>
    </w:tbl>
    <w:bookmarkEnd w:id="5"/>
    <w:p w14:paraId="5463D685" w14:textId="77777777" w:rsidR="002C2E0F" w:rsidRPr="00C34CF0" w:rsidRDefault="002C2E0F" w:rsidP="002C2E0F">
      <w:pPr>
        <w:spacing w:after="120" w:line="360" w:lineRule="auto"/>
        <w:jc w:val="both"/>
        <w:rPr>
          <w:rFonts w:ascii="David" w:hAnsi="David"/>
          <w:b/>
          <w:bCs/>
          <w:rtl/>
        </w:rPr>
      </w:pPr>
      <w:r w:rsidRPr="00C34CF0">
        <w:rPr>
          <w:rFonts w:ascii="David" w:hAnsi="David"/>
          <w:b/>
          <w:bCs/>
          <w:rtl/>
        </w:rPr>
        <w:t>א.</w:t>
      </w:r>
      <w:r w:rsidRPr="00C34CF0">
        <w:rPr>
          <w:rFonts w:ascii="David" w:hAnsi="David"/>
          <w:b/>
          <w:bCs/>
          <w:rtl/>
        </w:rPr>
        <w:tab/>
      </w:r>
      <w:r w:rsidRPr="00C34CF0">
        <w:rPr>
          <w:rFonts w:ascii="David" w:hAnsi="David"/>
          <w:b/>
          <w:bCs/>
          <w:u w:val="single"/>
          <w:rtl/>
        </w:rPr>
        <w:t>רקע כללי:</w:t>
      </w:r>
    </w:p>
    <w:p w14:paraId="1529851C" w14:textId="77777777" w:rsidR="002C2E0F" w:rsidRPr="000C1232" w:rsidRDefault="002C2E0F" w:rsidP="002C2E0F">
      <w:pPr>
        <w:numPr>
          <w:ilvl w:val="0"/>
          <w:numId w:val="1"/>
        </w:numPr>
        <w:tabs>
          <w:tab w:val="num" w:pos="720"/>
        </w:tabs>
        <w:spacing w:after="120" w:line="360" w:lineRule="auto"/>
        <w:ind w:left="720"/>
        <w:jc w:val="both"/>
        <w:rPr>
          <w:rFonts w:ascii="David" w:eastAsia="David" w:hAnsi="David"/>
        </w:rPr>
      </w:pPr>
      <w:bookmarkStart w:id="6" w:name="ABSTRACT_START"/>
      <w:bookmarkEnd w:id="6"/>
      <w:r w:rsidRPr="000C1232">
        <w:rPr>
          <w:rFonts w:ascii="David" w:eastAsia="David" w:hAnsi="David" w:hint="cs"/>
          <w:rtl/>
        </w:rPr>
        <w:t xml:space="preserve">הנאשם הורשע </w:t>
      </w:r>
      <w:r w:rsidRPr="000C1232">
        <w:rPr>
          <w:rFonts w:ascii="David" w:eastAsia="David" w:hAnsi="David"/>
          <w:rtl/>
        </w:rPr>
        <w:t>–</w:t>
      </w:r>
      <w:r w:rsidRPr="000C1232">
        <w:rPr>
          <w:rFonts w:ascii="David" w:eastAsia="David" w:hAnsi="David" w:hint="cs"/>
          <w:rtl/>
        </w:rPr>
        <w:t xml:space="preserve"> במסגר</w:t>
      </w:r>
      <w:r>
        <w:rPr>
          <w:rFonts w:ascii="David" w:eastAsia="David" w:hAnsi="David" w:hint="cs"/>
          <w:rtl/>
        </w:rPr>
        <w:t>ת הסדר טיעון, בו צירף גם את ת"פ</w:t>
      </w:r>
      <w:r w:rsidRPr="000C1232">
        <w:rPr>
          <w:rFonts w:ascii="David" w:eastAsia="David" w:hAnsi="David" w:hint="cs"/>
          <w:rtl/>
        </w:rPr>
        <w:t xml:space="preserve"> 6474-12-19 מבית משפט השלום לתעבורה בתל אביב (להלן </w:t>
      </w:r>
      <w:r w:rsidRPr="000C1232">
        <w:rPr>
          <w:rFonts w:ascii="David" w:eastAsia="David" w:hAnsi="David"/>
          <w:rtl/>
        </w:rPr>
        <w:t>–</w:t>
      </w:r>
      <w:r w:rsidRPr="000C1232">
        <w:rPr>
          <w:rFonts w:ascii="David" w:eastAsia="David" w:hAnsi="David" w:hint="cs"/>
          <w:rtl/>
        </w:rPr>
        <w:t xml:space="preserve"> התיק המצורף) </w:t>
      </w:r>
      <w:r w:rsidRPr="000C1232">
        <w:rPr>
          <w:rFonts w:ascii="David" w:eastAsia="David" w:hAnsi="David"/>
          <w:rtl/>
        </w:rPr>
        <w:t>–</w:t>
      </w:r>
      <w:r w:rsidRPr="000C1232">
        <w:rPr>
          <w:rFonts w:ascii="David" w:eastAsia="David" w:hAnsi="David" w:hint="cs"/>
          <w:rtl/>
        </w:rPr>
        <w:t xml:space="preserve"> בעבירות </w:t>
      </w:r>
      <w:r>
        <w:rPr>
          <w:rFonts w:ascii="David" w:eastAsia="David" w:hAnsi="David" w:hint="cs"/>
          <w:rtl/>
        </w:rPr>
        <w:t xml:space="preserve">שבהן הואשם, </w:t>
      </w:r>
      <w:r w:rsidRPr="000C1232">
        <w:rPr>
          <w:rFonts w:ascii="David" w:eastAsia="David" w:hAnsi="David" w:hint="cs"/>
          <w:rtl/>
        </w:rPr>
        <w:t>כלהלן:</w:t>
      </w:r>
    </w:p>
    <w:p w14:paraId="74E44003" w14:textId="77777777" w:rsidR="002C2E0F" w:rsidRPr="000C1232" w:rsidRDefault="002C2E0F" w:rsidP="002C2E0F">
      <w:pPr>
        <w:spacing w:after="120" w:line="360" w:lineRule="auto"/>
        <w:ind w:left="1440"/>
        <w:jc w:val="both"/>
        <w:rPr>
          <w:rFonts w:ascii="David" w:eastAsia="David" w:hAnsi="David"/>
        </w:rPr>
      </w:pPr>
      <w:r w:rsidRPr="000C1232">
        <w:rPr>
          <w:rFonts w:ascii="David" w:eastAsia="David" w:hAnsi="David" w:hint="cs"/>
          <w:b/>
          <w:bCs/>
          <w:rtl/>
        </w:rPr>
        <w:t>בתיק העיקרי</w:t>
      </w:r>
      <w:r w:rsidRPr="000C1232">
        <w:rPr>
          <w:rFonts w:ascii="David" w:eastAsia="David" w:hAnsi="David" w:hint="cs"/>
          <w:rtl/>
        </w:rPr>
        <w:t xml:space="preserve"> </w:t>
      </w:r>
      <w:r w:rsidRPr="000C1232">
        <w:rPr>
          <w:rFonts w:ascii="David" w:eastAsia="David" w:hAnsi="David"/>
          <w:rtl/>
        </w:rPr>
        <w:t>–</w:t>
      </w:r>
      <w:r w:rsidRPr="000C1232">
        <w:rPr>
          <w:rFonts w:ascii="David" w:eastAsia="David" w:hAnsi="David" w:hint="cs"/>
          <w:rtl/>
        </w:rPr>
        <w:t xml:space="preserve"> בעבירה של </w:t>
      </w:r>
      <w:r w:rsidRPr="000C1232">
        <w:rPr>
          <w:rFonts w:ascii="David" w:eastAsia="David" w:hAnsi="David" w:hint="cs"/>
          <w:b/>
          <w:bCs/>
          <w:rtl/>
        </w:rPr>
        <w:t>החזקה בסמים לצריכה עצמית</w:t>
      </w:r>
      <w:r w:rsidRPr="000C1232">
        <w:rPr>
          <w:rFonts w:ascii="David" w:eastAsia="David" w:hAnsi="David" w:hint="cs"/>
          <w:rtl/>
        </w:rPr>
        <w:t>, לפי הוראות</w:t>
      </w:r>
      <w:r>
        <w:rPr>
          <w:rFonts w:ascii="David" w:eastAsia="David" w:hAnsi="David" w:hint="cs"/>
          <w:rtl/>
        </w:rPr>
        <w:t xml:space="preserve"> </w:t>
      </w:r>
      <w:hyperlink r:id="rId18" w:history="1">
        <w:r w:rsidR="006B3AFC" w:rsidRPr="006B3AFC">
          <w:rPr>
            <w:rStyle w:val="Hyperlink"/>
            <w:rFonts w:ascii="David" w:eastAsia="David" w:hAnsi="David" w:hint="eastAsia"/>
            <w:rtl/>
          </w:rPr>
          <w:t>סעיף</w:t>
        </w:r>
        <w:r w:rsidR="006B3AFC" w:rsidRPr="006B3AFC">
          <w:rPr>
            <w:rStyle w:val="Hyperlink"/>
            <w:rFonts w:ascii="David" w:eastAsia="David" w:hAnsi="David"/>
            <w:rtl/>
          </w:rPr>
          <w:t xml:space="preserve"> 7(א)</w:t>
        </w:r>
      </w:hyperlink>
      <w:r>
        <w:rPr>
          <w:rFonts w:ascii="David" w:eastAsia="David" w:hAnsi="David" w:hint="cs"/>
          <w:rtl/>
        </w:rPr>
        <w:t xml:space="preserve"> יחד עם סעיף </w:t>
      </w:r>
      <w:hyperlink r:id="rId19" w:history="1">
        <w:r w:rsidR="006B3AFC" w:rsidRPr="006B3AFC">
          <w:rPr>
            <w:rStyle w:val="Hyperlink"/>
            <w:rFonts w:ascii="David" w:eastAsia="David" w:hAnsi="David"/>
            <w:rtl/>
          </w:rPr>
          <w:t>7(ג)</w:t>
        </w:r>
      </w:hyperlink>
      <w:r w:rsidRPr="000C1232">
        <w:rPr>
          <w:rFonts w:ascii="David" w:eastAsia="David" w:hAnsi="David" w:hint="cs"/>
          <w:rtl/>
        </w:rPr>
        <w:t xml:space="preserve"> סיפא, ל</w:t>
      </w:r>
      <w:hyperlink r:id="rId20" w:history="1">
        <w:r w:rsidR="00E15BF5" w:rsidRPr="00E15BF5">
          <w:rPr>
            <w:rFonts w:ascii="David" w:eastAsia="David" w:hAnsi="David"/>
            <w:color w:val="0000FF"/>
            <w:u w:val="single"/>
            <w:rtl/>
          </w:rPr>
          <w:t>פקודת הסמים המסוכנים</w:t>
        </w:r>
      </w:hyperlink>
      <w:r w:rsidRPr="000C1232">
        <w:rPr>
          <w:rFonts w:ascii="David" w:eastAsia="David" w:hAnsi="David" w:hint="cs"/>
          <w:rtl/>
        </w:rPr>
        <w:t xml:space="preserve"> [נוסח חדש]</w:t>
      </w:r>
      <w:r>
        <w:rPr>
          <w:rFonts w:ascii="David" w:eastAsia="David" w:hAnsi="David" w:hint="cs"/>
          <w:rtl/>
        </w:rPr>
        <w:t>,</w:t>
      </w:r>
      <w:r w:rsidRPr="000C1232">
        <w:rPr>
          <w:rFonts w:ascii="David" w:eastAsia="David" w:hAnsi="David" w:hint="cs"/>
          <w:rtl/>
        </w:rPr>
        <w:t xml:space="preserve"> תשל"ג-1973 (להלן </w:t>
      </w:r>
      <w:r w:rsidRPr="000C1232">
        <w:rPr>
          <w:rFonts w:ascii="David" w:eastAsia="David" w:hAnsi="David"/>
          <w:rtl/>
        </w:rPr>
        <w:t>–</w:t>
      </w:r>
      <w:r w:rsidRPr="000C1232">
        <w:rPr>
          <w:rFonts w:ascii="David" w:eastAsia="David" w:hAnsi="David" w:hint="cs"/>
          <w:rtl/>
        </w:rPr>
        <w:t xml:space="preserve"> פקודת הסמים המסוכנים).</w:t>
      </w:r>
    </w:p>
    <w:p w14:paraId="73789FCF" w14:textId="77777777" w:rsidR="002C2E0F" w:rsidRPr="001108F6" w:rsidRDefault="002C2E0F" w:rsidP="002C2E0F">
      <w:pPr>
        <w:spacing w:after="120" w:line="360" w:lineRule="auto"/>
        <w:ind w:left="1440"/>
        <w:jc w:val="both"/>
        <w:rPr>
          <w:rFonts w:ascii="David" w:eastAsia="David" w:hAnsi="David"/>
        </w:rPr>
      </w:pPr>
      <w:bookmarkStart w:id="7" w:name="ABSTRACT_END"/>
      <w:bookmarkEnd w:id="7"/>
      <w:r w:rsidRPr="000C1232">
        <w:rPr>
          <w:rFonts w:ascii="David" w:eastAsia="David" w:hAnsi="David" w:hint="cs"/>
          <w:b/>
          <w:bCs/>
          <w:rtl/>
        </w:rPr>
        <w:lastRenderedPageBreak/>
        <w:t>בתיק המצורף</w:t>
      </w:r>
      <w:r w:rsidRPr="000C1232">
        <w:rPr>
          <w:rFonts w:ascii="David" w:eastAsia="David" w:hAnsi="David" w:hint="cs"/>
          <w:rtl/>
        </w:rPr>
        <w:t xml:space="preserve"> </w:t>
      </w:r>
      <w:r w:rsidRPr="000C1232">
        <w:rPr>
          <w:rFonts w:ascii="David" w:eastAsia="David" w:hAnsi="David"/>
          <w:rtl/>
        </w:rPr>
        <w:t>–</w:t>
      </w:r>
      <w:r w:rsidRPr="000C1232">
        <w:rPr>
          <w:rFonts w:ascii="David" w:eastAsia="David" w:hAnsi="David" w:hint="cs"/>
          <w:rtl/>
        </w:rPr>
        <w:t xml:space="preserve"> בעבירה של</w:t>
      </w:r>
      <w:r w:rsidRPr="000C1232">
        <w:rPr>
          <w:rFonts w:ascii="David" w:eastAsia="David" w:hAnsi="David" w:hint="cs"/>
          <w:b/>
          <w:bCs/>
          <w:rtl/>
        </w:rPr>
        <w:t xml:space="preserve"> </w:t>
      </w:r>
      <w:r w:rsidRPr="003968E1">
        <w:rPr>
          <w:rFonts w:ascii="David" w:eastAsia="David" w:hAnsi="David" w:hint="cs"/>
          <w:b/>
          <w:bCs/>
          <w:rtl/>
        </w:rPr>
        <w:t>נהיגה תחת השפעת סמים</w:t>
      </w:r>
      <w:r w:rsidRPr="003968E1">
        <w:rPr>
          <w:rFonts w:ascii="David" w:eastAsia="David" w:hAnsi="David"/>
          <w:b/>
          <w:bCs/>
          <w:rtl/>
        </w:rPr>
        <w:t xml:space="preserve"> משכרים או משקאות משכרים</w:t>
      </w:r>
      <w:r>
        <w:rPr>
          <w:rFonts w:ascii="David" w:eastAsia="David" w:hAnsi="David" w:hint="cs"/>
          <w:rtl/>
        </w:rPr>
        <w:t>,</w:t>
      </w:r>
      <w:r w:rsidRPr="000C1232">
        <w:rPr>
          <w:rFonts w:ascii="David" w:eastAsia="David" w:hAnsi="David" w:hint="cs"/>
          <w:rtl/>
        </w:rPr>
        <w:t xml:space="preserve"> לפי הוראות </w:t>
      </w:r>
      <w:hyperlink r:id="rId21" w:history="1">
        <w:r w:rsidR="006B3AFC" w:rsidRPr="006B3AFC">
          <w:rPr>
            <w:rStyle w:val="Hyperlink"/>
            <w:rFonts w:ascii="David" w:eastAsia="David" w:hAnsi="David" w:hint="eastAsia"/>
            <w:rtl/>
          </w:rPr>
          <w:t>תקנה</w:t>
        </w:r>
        <w:r w:rsidR="006B3AFC" w:rsidRPr="006B3AFC">
          <w:rPr>
            <w:rStyle w:val="Hyperlink"/>
            <w:rFonts w:ascii="David" w:eastAsia="David" w:hAnsi="David"/>
            <w:rtl/>
          </w:rPr>
          <w:t xml:space="preserve"> 26(2)</w:t>
        </w:r>
      </w:hyperlink>
      <w:r w:rsidRPr="000C1232">
        <w:rPr>
          <w:rFonts w:ascii="David" w:eastAsia="David" w:hAnsi="David" w:hint="cs"/>
          <w:rtl/>
        </w:rPr>
        <w:t xml:space="preserve"> ל</w:t>
      </w:r>
      <w:hyperlink r:id="rId22" w:history="1">
        <w:r w:rsidR="00E15BF5" w:rsidRPr="00E15BF5">
          <w:rPr>
            <w:rFonts w:ascii="David" w:eastAsia="David" w:hAnsi="David"/>
            <w:color w:val="0000FF"/>
            <w:u w:val="single"/>
            <w:rtl/>
          </w:rPr>
          <w:t>תקנות התעבורה</w:t>
        </w:r>
      </w:hyperlink>
      <w:r w:rsidRPr="000C1232">
        <w:rPr>
          <w:rFonts w:ascii="David" w:eastAsia="David" w:hAnsi="David" w:hint="cs"/>
          <w:rtl/>
        </w:rPr>
        <w:t xml:space="preserve">, תשכ"א-1961 (להלן </w:t>
      </w:r>
      <w:r w:rsidRPr="000C1232">
        <w:rPr>
          <w:rFonts w:ascii="David" w:eastAsia="David" w:hAnsi="David"/>
          <w:rtl/>
        </w:rPr>
        <w:t>–</w:t>
      </w:r>
      <w:r w:rsidRPr="000C1232">
        <w:rPr>
          <w:rFonts w:ascii="David" w:eastAsia="David" w:hAnsi="David" w:hint="cs"/>
          <w:rtl/>
        </w:rPr>
        <w:t xml:space="preserve"> תקנות התעבורה).</w:t>
      </w:r>
    </w:p>
    <w:p w14:paraId="7597B79D" w14:textId="77777777" w:rsidR="002C2E0F" w:rsidRPr="00D72071" w:rsidRDefault="002C2E0F" w:rsidP="002C2E0F">
      <w:pPr>
        <w:numPr>
          <w:ilvl w:val="0"/>
          <w:numId w:val="1"/>
        </w:numPr>
        <w:tabs>
          <w:tab w:val="num" w:pos="720"/>
        </w:tabs>
        <w:spacing w:after="120" w:line="360" w:lineRule="auto"/>
        <w:ind w:left="720"/>
        <w:jc w:val="both"/>
        <w:rPr>
          <w:rFonts w:ascii="David" w:eastAsia="David" w:hAnsi="David"/>
        </w:rPr>
      </w:pPr>
      <w:r w:rsidRPr="00D72071">
        <w:rPr>
          <w:rFonts w:ascii="David" w:eastAsia="David" w:hAnsi="David" w:hint="cs"/>
          <w:rtl/>
        </w:rPr>
        <w:t xml:space="preserve">בעובדות כתב האישום </w:t>
      </w:r>
      <w:r>
        <w:rPr>
          <w:rFonts w:ascii="David" w:eastAsia="David" w:hAnsi="David" w:hint="cs"/>
          <w:rtl/>
        </w:rPr>
        <w:t xml:space="preserve">בתיק העיקרי </w:t>
      </w:r>
      <w:r w:rsidRPr="00D72071">
        <w:rPr>
          <w:rFonts w:ascii="David" w:eastAsia="David" w:hAnsi="David" w:hint="cs"/>
          <w:rtl/>
        </w:rPr>
        <w:t xml:space="preserve">נטען כי ביום 26.09.19 </w:t>
      </w:r>
      <w:r>
        <w:rPr>
          <w:rFonts w:ascii="David" w:eastAsia="David" w:hAnsi="David" w:hint="cs"/>
          <w:rtl/>
        </w:rPr>
        <w:t xml:space="preserve">החזיק הנאשם, בדירתו ברחוב וינהויז ביהוד, </w:t>
      </w:r>
      <w:r w:rsidRPr="00D72071">
        <w:rPr>
          <w:rFonts w:ascii="David" w:eastAsia="David" w:hAnsi="David" w:hint="cs"/>
          <w:rtl/>
        </w:rPr>
        <w:t>שקית המכילה 16 סיגריות מגולגלות של ס</w:t>
      </w:r>
      <w:r>
        <w:rPr>
          <w:rFonts w:ascii="David" w:eastAsia="David" w:hAnsi="David" w:hint="cs"/>
          <w:rtl/>
        </w:rPr>
        <w:t>מים מסוכנים</w:t>
      </w:r>
      <w:r w:rsidRPr="00D72071">
        <w:rPr>
          <w:rFonts w:ascii="David" w:eastAsia="David" w:hAnsi="David" w:hint="cs"/>
          <w:rtl/>
        </w:rPr>
        <w:t xml:space="preserve"> מסוג קנביס</w:t>
      </w:r>
      <w:r>
        <w:rPr>
          <w:rFonts w:ascii="David" w:eastAsia="David" w:hAnsi="David" w:hint="cs"/>
          <w:rtl/>
        </w:rPr>
        <w:t xml:space="preserve"> (בתוך מייבש כביסה), ובכמות נוספת של סמים כאמור במשקל </w:t>
      </w:r>
      <w:r w:rsidRPr="00D72071">
        <w:rPr>
          <w:rFonts w:ascii="David" w:eastAsia="David" w:hAnsi="David" w:hint="cs"/>
          <w:rtl/>
        </w:rPr>
        <w:t>של 0.70 גרם</w:t>
      </w:r>
      <w:r>
        <w:rPr>
          <w:rFonts w:ascii="David" w:eastAsia="David" w:hAnsi="David" w:hint="cs"/>
          <w:rtl/>
        </w:rPr>
        <w:t xml:space="preserve"> נטו (בתוך קופסה ממתכת בחדר הכביסה).</w:t>
      </w:r>
    </w:p>
    <w:p w14:paraId="586C0622" w14:textId="77777777" w:rsidR="002C2E0F" w:rsidRDefault="002C2E0F" w:rsidP="002C2E0F">
      <w:pPr>
        <w:spacing w:after="120" w:line="360" w:lineRule="auto"/>
        <w:ind w:left="720"/>
        <w:jc w:val="both"/>
        <w:rPr>
          <w:rFonts w:ascii="David" w:eastAsia="David" w:hAnsi="David"/>
        </w:rPr>
      </w:pPr>
      <w:r>
        <w:rPr>
          <w:rFonts w:ascii="David" w:eastAsia="David" w:hAnsi="David" w:hint="cs"/>
          <w:rtl/>
        </w:rPr>
        <w:t xml:space="preserve">בעובדות כתב האישום המתוקן בתיק המצורף נטען כי </w:t>
      </w:r>
      <w:r w:rsidRPr="00DB7633">
        <w:rPr>
          <w:rFonts w:ascii="David" w:eastAsia="David" w:hAnsi="David" w:hint="cs"/>
          <w:rtl/>
        </w:rPr>
        <w:t>ביום 21.11.19 בשעה 10:32 או בסמוך לכך</w:t>
      </w:r>
      <w:r>
        <w:rPr>
          <w:rFonts w:ascii="David" w:eastAsia="David" w:hAnsi="David" w:hint="cs"/>
          <w:rtl/>
        </w:rPr>
        <w:t xml:space="preserve"> נהג הנאשם ברכב ברחוב הנ"ל, כאשר בבדיקת שתן נמצאו בגופו תוצרי חילוף חומרים של סמים מסוכנים מסוג קנביס.</w:t>
      </w:r>
    </w:p>
    <w:p w14:paraId="4334292F"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Pr>
          <w:rFonts w:ascii="David" w:eastAsia="David" w:hAnsi="David" w:hint="cs"/>
          <w:rtl/>
        </w:rPr>
        <w:t xml:space="preserve">לאחר מספר דיונים מקדמיים </w:t>
      </w:r>
      <w:r>
        <w:rPr>
          <w:rFonts w:ascii="David" w:eastAsia="David" w:hAnsi="David"/>
          <w:rtl/>
        </w:rPr>
        <w:t>–</w:t>
      </w:r>
      <w:r>
        <w:rPr>
          <w:rFonts w:ascii="David" w:eastAsia="David" w:hAnsi="David" w:hint="cs"/>
          <w:rtl/>
        </w:rPr>
        <w:t xml:space="preserve"> ולאחר שבתחילה הוסכם להעביר את התיק העיקרי לבחינה מחודשת של היחידה להסדרים מותנים (ר' בפרוטוקול, עמ' 2) </w:t>
      </w:r>
      <w:r>
        <w:rPr>
          <w:rFonts w:ascii="David" w:eastAsia="David" w:hAnsi="David"/>
          <w:rtl/>
        </w:rPr>
        <w:t>–</w:t>
      </w:r>
      <w:r>
        <w:rPr>
          <w:rFonts w:ascii="David" w:eastAsia="David" w:hAnsi="David" w:hint="cs"/>
          <w:rtl/>
        </w:rPr>
        <w:t xml:space="preserve"> הגיעו הצדדים להסדר טיעון דיוני.</w:t>
      </w:r>
    </w:p>
    <w:p w14:paraId="431CB9F4"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Pr>
          <w:rFonts w:ascii="David" w:eastAsia="David" w:hAnsi="David" w:hint="cs"/>
          <w:rtl/>
        </w:rPr>
        <w:t xml:space="preserve">במסגרת הסדר הטיעון האמור הודה הנאשם בעובדות כתב האישום בתיק העיקרי וכן בעובדות כתב האישום המתוקן בתיק המצורף, בו תוקנה הוראת החיקוק </w:t>
      </w:r>
      <w:hyperlink r:id="rId23" w:history="1">
        <w:r w:rsidR="006B3AFC" w:rsidRPr="006B3AFC">
          <w:rPr>
            <w:rStyle w:val="Hyperlink"/>
            <w:rFonts w:ascii="David" w:eastAsia="David" w:hAnsi="David" w:hint="eastAsia"/>
            <w:rtl/>
          </w:rPr>
          <w:t>לתקנה</w:t>
        </w:r>
        <w:r w:rsidR="006B3AFC" w:rsidRPr="006B3AFC">
          <w:rPr>
            <w:rStyle w:val="Hyperlink"/>
            <w:rFonts w:ascii="David" w:eastAsia="David" w:hAnsi="David"/>
            <w:rtl/>
          </w:rPr>
          <w:t xml:space="preserve"> 26(2)</w:t>
        </w:r>
      </w:hyperlink>
      <w:r>
        <w:rPr>
          <w:rFonts w:ascii="David" w:eastAsia="David" w:hAnsi="David" w:hint="cs"/>
          <w:rtl/>
        </w:rPr>
        <w:t xml:space="preserve"> ל</w:t>
      </w:r>
      <w:hyperlink r:id="rId24" w:history="1">
        <w:r w:rsidR="00E15BF5" w:rsidRPr="00E15BF5">
          <w:rPr>
            <w:rFonts w:ascii="David" w:eastAsia="David" w:hAnsi="David"/>
            <w:color w:val="0000FF"/>
            <w:u w:val="single"/>
            <w:rtl/>
          </w:rPr>
          <w:t>תקנות התעבורה</w:t>
        </w:r>
      </w:hyperlink>
      <w:r>
        <w:rPr>
          <w:rFonts w:ascii="David" w:eastAsia="David" w:hAnsi="David" w:hint="cs"/>
          <w:rtl/>
        </w:rPr>
        <w:t xml:space="preserve"> (ר' שם, בעמ' 11 ובעמ' 12). הנאשם הורשע אפוא בעבירות שבהן הואשם בשני התיקים, כאמור בפסקה 1 דלעיל.</w:t>
      </w:r>
    </w:p>
    <w:p w14:paraId="4016A33A" w14:textId="77777777" w:rsidR="002C2E0F" w:rsidRDefault="002C2E0F" w:rsidP="002C2E0F">
      <w:pPr>
        <w:spacing w:after="120" w:line="360" w:lineRule="auto"/>
        <w:jc w:val="both"/>
        <w:rPr>
          <w:rFonts w:ascii="David" w:eastAsia="David" w:hAnsi="David"/>
          <w:rtl/>
        </w:rPr>
      </w:pPr>
    </w:p>
    <w:p w14:paraId="3F80BCE4" w14:textId="77777777" w:rsidR="002C2E0F" w:rsidRPr="000C1232" w:rsidRDefault="002C2E0F" w:rsidP="002C2E0F">
      <w:pPr>
        <w:spacing w:after="120" w:line="360" w:lineRule="auto"/>
        <w:jc w:val="both"/>
        <w:rPr>
          <w:rFonts w:ascii="David" w:eastAsia="David" w:hAnsi="David"/>
          <w:b/>
          <w:bCs/>
          <w:u w:val="single"/>
        </w:rPr>
      </w:pPr>
      <w:r w:rsidRPr="00423E13">
        <w:rPr>
          <w:rFonts w:ascii="David" w:eastAsia="David" w:hAnsi="David" w:hint="cs"/>
          <w:b/>
          <w:bCs/>
          <w:rtl/>
        </w:rPr>
        <w:t>ב.</w:t>
      </w:r>
      <w:r w:rsidRPr="00423E13">
        <w:rPr>
          <w:rFonts w:ascii="David" w:eastAsia="David" w:hAnsi="David" w:hint="cs"/>
          <w:b/>
          <w:bCs/>
          <w:rtl/>
        </w:rPr>
        <w:tab/>
      </w:r>
      <w:r>
        <w:rPr>
          <w:rFonts w:ascii="David" w:eastAsia="David" w:hAnsi="David" w:hint="cs"/>
          <w:b/>
          <w:bCs/>
          <w:u w:val="single"/>
          <w:rtl/>
        </w:rPr>
        <w:t>הראיות לקביעת העונש ו</w:t>
      </w:r>
      <w:r w:rsidRPr="000C1232">
        <w:rPr>
          <w:rFonts w:ascii="David" w:eastAsia="David" w:hAnsi="David" w:hint="cs"/>
          <w:b/>
          <w:bCs/>
          <w:u w:val="single"/>
          <w:rtl/>
        </w:rPr>
        <w:t>עיקר טיעוני הצדדים:</w:t>
      </w:r>
    </w:p>
    <w:p w14:paraId="48DB41FB"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Pr>
          <w:rFonts w:ascii="David" w:eastAsia="David" w:hAnsi="David" w:hint="cs"/>
          <w:rtl/>
        </w:rPr>
        <w:t xml:space="preserve">כראיות לקביעת העונש הגישה ב"כ המאשימה את תדפיסי המידע הפלילי והתעבורתי של הנאשם. כעולה מתדפיסים אלה לנאשם </w:t>
      </w:r>
      <w:r>
        <w:rPr>
          <w:rFonts w:ascii="David" w:eastAsia="David" w:hAnsi="David"/>
          <w:rtl/>
        </w:rPr>
        <w:t>–</w:t>
      </w:r>
      <w:r>
        <w:rPr>
          <w:rFonts w:ascii="David" w:eastAsia="David" w:hAnsi="David" w:hint="cs"/>
          <w:rtl/>
        </w:rPr>
        <w:t xml:space="preserve"> יליד שנת 1980, כבן 42 שנים כיום </w:t>
      </w:r>
      <w:r>
        <w:rPr>
          <w:rFonts w:ascii="David" w:eastAsia="David" w:hAnsi="David"/>
          <w:rtl/>
        </w:rPr>
        <w:t>–</w:t>
      </w:r>
      <w:r>
        <w:rPr>
          <w:rFonts w:ascii="David" w:eastAsia="David" w:hAnsi="David" w:hint="cs"/>
          <w:rtl/>
        </w:rPr>
        <w:t xml:space="preserve"> שלוש הרשעות פליליות קודמות, בעיקר בעבירות רכוש. עם זאת, מדובר בעבירות ישנות מאוד, שכבר התיישנו. בנוסף, לנאשם 28 רישומי תעבורה קודמים במגוון של עבירות תעבורה ובהן נהיגה במהירות מופרזת, שימוש בטלפון נייד שלא באמצעות דיבורית ועוד. ואולם, אין לנאשם הרשעה קודמת בעבירת תעבורה דומה.</w:t>
      </w:r>
    </w:p>
    <w:p w14:paraId="1E7F1B25"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Pr>
          <w:rFonts w:ascii="David" w:eastAsia="David" w:hAnsi="David" w:hint="cs"/>
          <w:rtl/>
        </w:rPr>
        <w:t>ב"כ המאשימה עמדה על נסיבות ביצוע העבירות, כפי שהן עולות מעובדות כתבי האישום. במיוחד הטעימה ב"כ המאשימה את הסיכון לחיי אדם, אשר נשקף ממעשיו של מי שצורך סמים ולאחר מכן עולה על הכביש. מעשים אלה אף פגעו בערך החברתי המוגן של השמירה על שלום המשתמשים בדרך; וזאת מעבר לפגיעה בערך החברתי של מיגור נגע הסמים.</w:t>
      </w:r>
    </w:p>
    <w:p w14:paraId="0D410F92"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Pr>
          <w:rFonts w:ascii="David" w:eastAsia="David" w:hAnsi="David" w:hint="cs"/>
          <w:rtl/>
        </w:rPr>
        <w:t xml:space="preserve">בנסיבות אלה עתרה ב"כ המאשימה לקביעת מתחמי עונש </w:t>
      </w:r>
      <w:r w:rsidRPr="00314494">
        <w:rPr>
          <w:rFonts w:ascii="David" w:eastAsia="David" w:hAnsi="David" w:hint="cs"/>
          <w:rtl/>
        </w:rPr>
        <w:t>הול</w:t>
      </w:r>
      <w:r>
        <w:rPr>
          <w:rFonts w:ascii="David" w:eastAsia="David" w:hAnsi="David" w:hint="cs"/>
          <w:rtl/>
        </w:rPr>
        <w:t>מי</w:t>
      </w:r>
      <w:r w:rsidRPr="00314494">
        <w:rPr>
          <w:rFonts w:ascii="David" w:eastAsia="David" w:hAnsi="David" w:hint="cs"/>
          <w:rtl/>
        </w:rPr>
        <w:t xml:space="preserve">ם </w:t>
      </w:r>
      <w:r>
        <w:rPr>
          <w:rFonts w:ascii="David" w:eastAsia="David" w:hAnsi="David" w:hint="cs"/>
          <w:rtl/>
        </w:rPr>
        <w:t xml:space="preserve">כלהלן: </w:t>
      </w:r>
      <w:r w:rsidRPr="009C0F84">
        <w:rPr>
          <w:rFonts w:ascii="David" w:eastAsia="David" w:hAnsi="David" w:hint="cs"/>
          <w:b/>
          <w:bCs/>
          <w:rtl/>
        </w:rPr>
        <w:t xml:space="preserve">בתיק העיקרי </w:t>
      </w:r>
      <w:r w:rsidRPr="009C0F84">
        <w:rPr>
          <w:rFonts w:ascii="David" w:eastAsia="David" w:hAnsi="David"/>
          <w:b/>
          <w:bCs/>
          <w:rtl/>
        </w:rPr>
        <w:t>–</w:t>
      </w:r>
      <w:r>
        <w:rPr>
          <w:rFonts w:ascii="David" w:eastAsia="David" w:hAnsi="David" w:hint="cs"/>
          <w:rtl/>
        </w:rPr>
        <w:t xml:space="preserve"> בין </w:t>
      </w:r>
      <w:r w:rsidRPr="00314494">
        <w:rPr>
          <w:rFonts w:ascii="David" w:eastAsia="David" w:hAnsi="David" w:hint="cs"/>
          <w:rtl/>
        </w:rPr>
        <w:t xml:space="preserve">מאסר </w:t>
      </w:r>
      <w:r>
        <w:rPr>
          <w:rFonts w:ascii="David" w:eastAsia="David" w:hAnsi="David" w:hint="cs"/>
          <w:rtl/>
        </w:rPr>
        <w:t xml:space="preserve">מותנה </w:t>
      </w:r>
      <w:r w:rsidRPr="00314494">
        <w:rPr>
          <w:rFonts w:ascii="David" w:eastAsia="David" w:hAnsi="David" w:hint="cs"/>
          <w:rtl/>
        </w:rPr>
        <w:t xml:space="preserve">לבין 6 חודשי מאסר </w:t>
      </w:r>
      <w:r>
        <w:rPr>
          <w:rFonts w:ascii="David" w:eastAsia="David" w:hAnsi="David" w:hint="cs"/>
          <w:rtl/>
        </w:rPr>
        <w:t xml:space="preserve">בפועל, שניתן לשאתם בדרך של עבודות שירות; </w:t>
      </w:r>
      <w:r w:rsidRPr="009C0F84">
        <w:rPr>
          <w:rFonts w:ascii="David" w:eastAsia="David" w:hAnsi="David" w:hint="cs"/>
          <w:b/>
          <w:bCs/>
          <w:rtl/>
        </w:rPr>
        <w:t xml:space="preserve">בתיק המצורף </w:t>
      </w:r>
      <w:r w:rsidRPr="009C0F84">
        <w:rPr>
          <w:rFonts w:ascii="David" w:eastAsia="David" w:hAnsi="David"/>
          <w:b/>
          <w:bCs/>
          <w:rtl/>
        </w:rPr>
        <w:t>–</w:t>
      </w:r>
      <w:r w:rsidRPr="009C0F84">
        <w:rPr>
          <w:rFonts w:ascii="David" w:eastAsia="David" w:hAnsi="David" w:hint="cs"/>
          <w:b/>
          <w:bCs/>
          <w:rtl/>
        </w:rPr>
        <w:t xml:space="preserve"> </w:t>
      </w:r>
      <w:r>
        <w:rPr>
          <w:rFonts w:ascii="David" w:eastAsia="David" w:hAnsi="David" w:hint="cs"/>
          <w:rtl/>
        </w:rPr>
        <w:t xml:space="preserve">בין </w:t>
      </w:r>
      <w:r w:rsidRPr="00314494">
        <w:rPr>
          <w:rFonts w:ascii="David" w:eastAsia="David" w:hAnsi="David" w:hint="cs"/>
          <w:rtl/>
        </w:rPr>
        <w:t>3 חודשי פסילה ב</w:t>
      </w:r>
      <w:r>
        <w:rPr>
          <w:rFonts w:ascii="David" w:eastAsia="David" w:hAnsi="David" w:hint="cs"/>
          <w:rtl/>
        </w:rPr>
        <w:t>פועל לבין 12 חודשי פסילה בפועל.</w:t>
      </w:r>
    </w:p>
    <w:p w14:paraId="13FEFF33"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Pr>
          <w:rFonts w:ascii="David" w:eastAsia="David" w:hAnsi="David" w:hint="cs"/>
          <w:rtl/>
        </w:rPr>
        <w:t xml:space="preserve">אשר לגזירת העונש בתוך מתחמי העונש ההולמים עמדה ב"כ המאשימה על רישומיו הקודמים של הנאשם (במישור הפלילי ובמישור התעבורתי), אך הוסיפה וציינה, </w:t>
      </w:r>
      <w:r>
        <w:rPr>
          <w:rFonts w:ascii="David" w:eastAsia="David" w:hAnsi="David" w:hint="cs"/>
          <w:rtl/>
        </w:rPr>
        <w:lastRenderedPageBreak/>
        <w:t xml:space="preserve">בהגינותה, את ההודאה ואת נטילת האחריות. בנסיבות אלה טענה כי יש לגזור את דינו של הנאשם, בתיק העיקרי, בתחתית מתחם העונש ההולם, וביחד עם תיק המצורף לעונשים הבאים: מאסר מותנה, 9 חודשי פסילה בפועל, קנס כספי ופסילה מותנית. </w:t>
      </w:r>
    </w:p>
    <w:p w14:paraId="389112FB"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sidRPr="005432C8">
        <w:rPr>
          <w:rFonts w:ascii="David" w:eastAsia="David" w:hAnsi="David" w:hint="cs"/>
          <w:rtl/>
        </w:rPr>
        <w:t>ב</w:t>
      </w:r>
      <w:r>
        <w:rPr>
          <w:rFonts w:ascii="David" w:eastAsia="David" w:hAnsi="David" w:hint="cs"/>
          <w:rtl/>
        </w:rPr>
        <w:t xml:space="preserve">"כ הנאשם, מצידו, הדגיש בפתח טיעוניו כי העבירה בה הורשע הנאשם בתיק העיקרי </w:t>
      </w:r>
      <w:r>
        <w:rPr>
          <w:rFonts w:ascii="David" w:eastAsia="David" w:hAnsi="David"/>
          <w:rtl/>
        </w:rPr>
        <w:t>–</w:t>
      </w:r>
      <w:r>
        <w:rPr>
          <w:rFonts w:ascii="David" w:eastAsia="David" w:hAnsi="David" w:hint="cs"/>
          <w:rtl/>
        </w:rPr>
        <w:t xml:space="preserve"> החזקת סמים מסוג קנביס לצריכה עצמית </w:t>
      </w:r>
      <w:r>
        <w:rPr>
          <w:rFonts w:ascii="David" w:eastAsia="David" w:hAnsi="David"/>
          <w:rtl/>
        </w:rPr>
        <w:t>–</w:t>
      </w:r>
      <w:r>
        <w:rPr>
          <w:rFonts w:ascii="David" w:eastAsia="David" w:hAnsi="David" w:hint="cs"/>
          <w:rtl/>
        </w:rPr>
        <w:t xml:space="preserve"> היא כיום עבירה מנהלית. זאת ועוד: השימוש אותו עשה הנאשם בקנביס היה לצרכים רפואיים גרידא, על מנת להתמודד עם כאבים שמהם הוא סבל וממשיך לסבול בעטיה של תאונת דרכים שעבר. הא ראייה לכך היא העובדה כי כיום קיבל הנאשם היתר כדין לשימוש בקנביס (רפואי).</w:t>
      </w:r>
    </w:p>
    <w:p w14:paraId="3091FDA7"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Pr>
          <w:rFonts w:ascii="David" w:eastAsia="David" w:hAnsi="David" w:hint="cs"/>
          <w:rtl/>
        </w:rPr>
        <w:t>אשר לתיק המצורף הטעים ב"כ הנאשם כי מדובר באירוע שקרה מספר ימים לאחר שהנאשם חזר מאמסטרדם, שם צרך קנביס בהתאם לדין דשם, כאשר הבדיקה שנערכה בארץ מצאה את שרידי הסמים האמורים. עוד הדגיש ב"כ הנאשם כי לא מדובר ברמת שרידי סמים העלולה לגרום לחוסר מסוגלות לנהוג, ובדיקת ה</w:t>
      </w:r>
      <w:r w:rsidRPr="00F647E2">
        <w:rPr>
          <w:rFonts w:ascii="David" w:eastAsia="David" w:hAnsi="David" w:hint="cs"/>
          <w:rtl/>
        </w:rPr>
        <w:t>מאפיינ</w:t>
      </w:r>
      <w:r>
        <w:rPr>
          <w:rFonts w:ascii="David" w:eastAsia="David" w:hAnsi="David" w:hint="cs"/>
          <w:rtl/>
        </w:rPr>
        <w:t>ים אשר בוצעה על ידי שוטר תעבורה מלמדת זאת. בנסיבות אלה ביקש ב"כ הנאשם להקל עם מרשו, ככל האפשר.</w:t>
      </w:r>
    </w:p>
    <w:p w14:paraId="6BBCBAAB"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sidRPr="00F647E2">
        <w:rPr>
          <w:rFonts w:ascii="David" w:eastAsia="David" w:hAnsi="David" w:hint="cs"/>
          <w:rtl/>
        </w:rPr>
        <w:t xml:space="preserve">עוד </w:t>
      </w:r>
      <w:r>
        <w:rPr>
          <w:rFonts w:ascii="David" w:eastAsia="David" w:hAnsi="David" w:hint="cs"/>
          <w:rtl/>
        </w:rPr>
        <w:t>ציין ה</w:t>
      </w:r>
      <w:r w:rsidRPr="00F647E2">
        <w:rPr>
          <w:rFonts w:ascii="David" w:eastAsia="David" w:hAnsi="David" w:hint="cs"/>
          <w:rtl/>
        </w:rPr>
        <w:t xml:space="preserve">סניגור </w:t>
      </w:r>
      <w:r>
        <w:rPr>
          <w:rFonts w:ascii="David" w:eastAsia="David" w:hAnsi="David" w:hint="cs"/>
          <w:rtl/>
        </w:rPr>
        <w:t xml:space="preserve">כי הנאשם היה נתון בשלילה </w:t>
      </w:r>
      <w:r w:rsidRPr="00F647E2">
        <w:rPr>
          <w:rFonts w:ascii="David" w:eastAsia="David" w:hAnsi="David" w:hint="cs"/>
          <w:rtl/>
        </w:rPr>
        <w:t>מנהלית</w:t>
      </w:r>
      <w:r>
        <w:rPr>
          <w:rFonts w:ascii="David" w:eastAsia="David" w:hAnsi="David" w:hint="cs"/>
          <w:rtl/>
        </w:rPr>
        <w:t>, במשך כ</w:t>
      </w:r>
      <w:r w:rsidRPr="00F647E2">
        <w:rPr>
          <w:rFonts w:ascii="David" w:eastAsia="David" w:hAnsi="David" w:hint="cs"/>
          <w:rtl/>
        </w:rPr>
        <w:t>חודשיים</w:t>
      </w:r>
      <w:r>
        <w:rPr>
          <w:rFonts w:ascii="David" w:eastAsia="David" w:hAnsi="David" w:hint="cs"/>
          <w:rtl/>
        </w:rPr>
        <w:t xml:space="preserve"> ימים</w:t>
      </w:r>
      <w:r w:rsidRPr="00F647E2">
        <w:rPr>
          <w:rFonts w:ascii="David" w:eastAsia="David" w:hAnsi="David" w:hint="cs"/>
          <w:rtl/>
        </w:rPr>
        <w:t xml:space="preserve">, </w:t>
      </w:r>
      <w:r>
        <w:rPr>
          <w:rFonts w:ascii="David" w:eastAsia="David" w:hAnsi="David" w:hint="cs"/>
          <w:rtl/>
        </w:rPr>
        <w:t xml:space="preserve">וביקש לנכות תקופה זו מכל עונש פסילה שייגזר עליו. בנוסף, על אף שרישיונו של הנאשם הוחזר לו לאחר חודשיים, כאמור, בית המשפט לתעבורה הוסיף וקבע איסור נהיגה בשעות הלילה; והסניגור ביקש להתחשב גם בנתון זה. אשר לענישה הכלכלית עתר ב"כ הנאשם לענישה מינימלית נוכח מצבו הכלכלי של הנאשם, אשר כיום מתקיים מקצבת נכות. </w:t>
      </w:r>
    </w:p>
    <w:p w14:paraId="42522B81" w14:textId="77777777" w:rsidR="002C2E0F" w:rsidRPr="00A65E32" w:rsidRDefault="002C2E0F" w:rsidP="002C2E0F">
      <w:pPr>
        <w:numPr>
          <w:ilvl w:val="0"/>
          <w:numId w:val="1"/>
        </w:numPr>
        <w:tabs>
          <w:tab w:val="num" w:pos="720"/>
        </w:tabs>
        <w:spacing w:after="120" w:line="360" w:lineRule="auto"/>
        <w:ind w:left="720"/>
        <w:jc w:val="both"/>
        <w:rPr>
          <w:rFonts w:ascii="David" w:eastAsia="David" w:hAnsi="David"/>
        </w:rPr>
      </w:pPr>
      <w:r w:rsidRPr="00A65E32">
        <w:rPr>
          <w:rFonts w:ascii="David" w:eastAsia="David" w:hAnsi="David" w:hint="cs"/>
          <w:rtl/>
        </w:rPr>
        <w:t xml:space="preserve">לבסוף הנאשם, בדברו האחרון לעונש, ביקש מחילה </w:t>
      </w:r>
      <w:r w:rsidRPr="00A65E32">
        <w:rPr>
          <w:rFonts w:ascii="David" w:eastAsia="David" w:hAnsi="David"/>
          <w:rtl/>
        </w:rPr>
        <w:t>–</w:t>
      </w:r>
      <w:r w:rsidRPr="00A65E32">
        <w:rPr>
          <w:rFonts w:ascii="David" w:eastAsia="David" w:hAnsi="David" w:hint="cs"/>
          <w:rtl/>
        </w:rPr>
        <w:t xml:space="preserve"> תוך שעמד על חלוף הזמן והנסיבות שהביאו אותו לשימוש בקנביס</w:t>
      </w:r>
      <w:r>
        <w:rPr>
          <w:rFonts w:ascii="David" w:eastAsia="David" w:hAnsi="David" w:hint="cs"/>
          <w:rtl/>
        </w:rPr>
        <w:t>,</w:t>
      </w:r>
      <w:r w:rsidRPr="00A65E32">
        <w:rPr>
          <w:rFonts w:ascii="David" w:eastAsia="David" w:hAnsi="David" w:hint="cs"/>
          <w:rtl/>
        </w:rPr>
        <w:t xml:space="preserve"> לצרכים רפואיים (בפרוטוקול, עמ' 14 שורה 17 ואילך).</w:t>
      </w:r>
    </w:p>
    <w:p w14:paraId="655BD797" w14:textId="77777777" w:rsidR="002C2E0F" w:rsidRDefault="002C2E0F" w:rsidP="002C2E0F">
      <w:pPr>
        <w:spacing w:after="120" w:line="360" w:lineRule="auto"/>
        <w:jc w:val="both"/>
        <w:rPr>
          <w:rFonts w:ascii="David" w:eastAsia="David" w:hAnsi="David"/>
          <w:rtl/>
        </w:rPr>
      </w:pPr>
    </w:p>
    <w:p w14:paraId="0F6AB2FF" w14:textId="77777777" w:rsidR="002C2E0F" w:rsidRPr="00BE3C20" w:rsidRDefault="002C2E0F" w:rsidP="002C2E0F">
      <w:pPr>
        <w:snapToGrid w:val="0"/>
        <w:spacing w:after="120" w:line="360" w:lineRule="auto"/>
        <w:jc w:val="both"/>
        <w:rPr>
          <w:rFonts w:ascii="David" w:hAnsi="David"/>
          <w:b/>
          <w:bCs/>
          <w:u w:val="single"/>
        </w:rPr>
      </w:pPr>
      <w:r>
        <w:rPr>
          <w:rFonts w:ascii="David" w:hAnsi="David" w:hint="cs"/>
          <w:b/>
          <w:bCs/>
          <w:rtl/>
        </w:rPr>
        <w:t>ג</w:t>
      </w:r>
      <w:r w:rsidRPr="00BE3C20">
        <w:rPr>
          <w:rFonts w:ascii="David" w:hAnsi="David"/>
          <w:b/>
          <w:bCs/>
          <w:rtl/>
        </w:rPr>
        <w:t>.</w:t>
      </w:r>
      <w:r w:rsidRPr="00BE3C20">
        <w:rPr>
          <w:rFonts w:ascii="David" w:hAnsi="David"/>
          <w:b/>
          <w:bCs/>
          <w:rtl/>
        </w:rPr>
        <w:tab/>
      </w:r>
      <w:r>
        <w:rPr>
          <w:rFonts w:ascii="David" w:hAnsi="David" w:hint="cs"/>
          <w:b/>
          <w:bCs/>
          <w:u w:val="single"/>
          <w:rtl/>
        </w:rPr>
        <w:t>דיון והכרעה</w:t>
      </w:r>
      <w:r w:rsidRPr="00BE3C20">
        <w:rPr>
          <w:rFonts w:ascii="David" w:hAnsi="David"/>
          <w:b/>
          <w:bCs/>
          <w:u w:val="single"/>
          <w:rtl/>
        </w:rPr>
        <w:t>:</w:t>
      </w:r>
    </w:p>
    <w:p w14:paraId="0B618CC6"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sidRPr="00EE18A9">
        <w:rPr>
          <w:rFonts w:ascii="David" w:eastAsia="David" w:hAnsi="David"/>
          <w:rtl/>
        </w:rPr>
        <w:t xml:space="preserve">על פי הוראות </w:t>
      </w:r>
      <w:hyperlink r:id="rId25" w:history="1">
        <w:r w:rsidR="00E15BF5" w:rsidRPr="00E15BF5">
          <w:rPr>
            <w:rFonts w:ascii="David" w:eastAsia="David" w:hAnsi="David"/>
            <w:color w:val="0000FF"/>
            <w:u w:val="single"/>
            <w:rtl/>
          </w:rPr>
          <w:t>חוק העונשין</w:t>
        </w:r>
      </w:hyperlink>
      <w:r w:rsidRPr="00EE18A9">
        <w:rPr>
          <w:rFonts w:ascii="David" w:eastAsia="David" w:hAnsi="David"/>
          <w:rtl/>
        </w:rPr>
        <w:t>, תשל"ז-1977 (להלן – חוק העונשין),</w:t>
      </w:r>
      <w:r w:rsidRPr="00EE18A9">
        <w:rPr>
          <w:rFonts w:ascii="David" w:eastAsia="David" w:hAnsi="David" w:hint="cs"/>
          <w:rtl/>
        </w:rPr>
        <w:t xml:space="preserve"> בעת גזירת עונשו של נאשם על בית המשפט לקבוע, תחילה, את מתחם העונש ההולם ל</w:t>
      </w:r>
      <w:r>
        <w:rPr>
          <w:rFonts w:ascii="David" w:eastAsia="David" w:hAnsi="David" w:hint="cs"/>
          <w:rtl/>
        </w:rPr>
        <w:t>כל "</w:t>
      </w:r>
      <w:r w:rsidRPr="00EE18A9">
        <w:rPr>
          <w:rFonts w:ascii="David" w:eastAsia="David" w:hAnsi="David" w:hint="cs"/>
          <w:rtl/>
        </w:rPr>
        <w:t>אירוע</w:t>
      </w:r>
      <w:r>
        <w:rPr>
          <w:rFonts w:ascii="David" w:eastAsia="David" w:hAnsi="David" w:hint="cs"/>
          <w:rtl/>
        </w:rPr>
        <w:t>" עברייני</w:t>
      </w:r>
      <w:r w:rsidRPr="00EE18A9">
        <w:rPr>
          <w:rFonts w:ascii="David" w:eastAsia="David" w:hAnsi="David" w:hint="cs"/>
          <w:rtl/>
        </w:rPr>
        <w:t xml:space="preserve"> שבגינו הורשע הנאשם, </w:t>
      </w:r>
      <w:r>
        <w:rPr>
          <w:rFonts w:ascii="David" w:eastAsia="David" w:hAnsi="David" w:hint="cs"/>
          <w:rtl/>
        </w:rPr>
        <w:t>ולאחר מכן לגזור את עונשו בתוך מתחם זה.</w:t>
      </w:r>
    </w:p>
    <w:p w14:paraId="38623AE2"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Pr>
          <w:rFonts w:ascii="David" w:eastAsia="David" w:hAnsi="David" w:hint="cs"/>
          <w:rtl/>
        </w:rPr>
        <w:t xml:space="preserve">קביעת מתחם העונש ההולם תיעשה </w:t>
      </w:r>
      <w:r w:rsidRPr="00EE18A9">
        <w:rPr>
          <w:rFonts w:ascii="David" w:eastAsia="David" w:hAnsi="David" w:hint="cs"/>
          <w:rtl/>
        </w:rPr>
        <w:t>בהתאם לעיקרון ההלימה. בית המשפט</w:t>
      </w:r>
      <w:r>
        <w:rPr>
          <w:rFonts w:ascii="David" w:eastAsia="David" w:hAnsi="David" w:hint="cs"/>
          <w:rtl/>
        </w:rPr>
        <w:t xml:space="preserve"> יתחשב</w:t>
      </w:r>
      <w:r w:rsidRPr="00EE18A9">
        <w:rPr>
          <w:rFonts w:ascii="David" w:eastAsia="David" w:hAnsi="David" w:hint="cs"/>
          <w:rtl/>
        </w:rPr>
        <w:t>, בהקשר זה, בערכים החברתיים שנפגעו מביצוע העבירות ובמידת הפגיעה בהם, במדיניות הענישה הנהוגה ובנסיבות הקשורות בביצוע העבירות.</w:t>
      </w:r>
      <w:r>
        <w:rPr>
          <w:rFonts w:ascii="David" w:eastAsia="David" w:hAnsi="David" w:hint="cs"/>
          <w:rtl/>
        </w:rPr>
        <w:t xml:space="preserve"> בענייננו, נוכח סמיכות הזמנים והמקומות, כמו גם מהות העבירות, נכון אפוא לקבוע מתחם עונש הולם אחד בלבד.</w:t>
      </w:r>
    </w:p>
    <w:p w14:paraId="2B79B75C"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Pr>
          <w:rFonts w:ascii="David" w:eastAsia="David" w:hAnsi="David" w:hint="cs"/>
          <w:rtl/>
        </w:rPr>
        <w:t xml:space="preserve">אשר לקביעת מתחם עונש הולם אחד זה, כידוע </w:t>
      </w:r>
      <w:r w:rsidRPr="00EE18A9">
        <w:rPr>
          <w:rFonts w:ascii="David" w:eastAsia="David" w:hAnsi="David"/>
          <w:rtl/>
        </w:rPr>
        <w:t xml:space="preserve">הפסיקה חוזרת ומדגישה את חומרתן </w:t>
      </w:r>
      <w:r>
        <w:rPr>
          <w:rFonts w:ascii="David" w:eastAsia="David" w:hAnsi="David" w:hint="cs"/>
          <w:rtl/>
        </w:rPr>
        <w:t xml:space="preserve">הרבה </w:t>
      </w:r>
      <w:r w:rsidRPr="00EE18A9">
        <w:rPr>
          <w:rFonts w:ascii="David" w:eastAsia="David" w:hAnsi="David"/>
          <w:rtl/>
        </w:rPr>
        <w:t>של עבירות הסמים, שביצוען פוגע במידה ניכרת בערכים החברתיים של ההגנה על שלום הציבור ועל בריאותו</w:t>
      </w:r>
      <w:r>
        <w:rPr>
          <w:rFonts w:ascii="David" w:eastAsia="David" w:hAnsi="David" w:hint="cs"/>
          <w:rtl/>
        </w:rPr>
        <w:t>, ובהקשר זה מקובל עליי טיעון ב"כ המאשימה.</w:t>
      </w:r>
    </w:p>
    <w:p w14:paraId="777C144B" w14:textId="77777777" w:rsidR="002C2E0F" w:rsidRPr="00EE18A9" w:rsidRDefault="002C2E0F" w:rsidP="002C2E0F">
      <w:pPr>
        <w:numPr>
          <w:ilvl w:val="0"/>
          <w:numId w:val="1"/>
        </w:numPr>
        <w:tabs>
          <w:tab w:val="num" w:pos="720"/>
        </w:tabs>
        <w:spacing w:after="120" w:line="360" w:lineRule="auto"/>
        <w:ind w:left="720"/>
        <w:jc w:val="both"/>
        <w:rPr>
          <w:rFonts w:ascii="David" w:eastAsia="David" w:hAnsi="David"/>
        </w:rPr>
      </w:pPr>
      <w:r>
        <w:rPr>
          <w:rFonts w:ascii="David" w:eastAsia="David" w:hAnsi="David" w:hint="cs"/>
          <w:rtl/>
        </w:rPr>
        <w:t>יחד עם זאת, במישור העונשי לא ניתן להתעלם מכך שהעבירה בה הורשע הנאשם בתיק העיק</w:t>
      </w:r>
      <w:r w:rsidRPr="00EE18A9">
        <w:rPr>
          <w:rFonts w:ascii="David" w:eastAsia="David" w:hAnsi="David" w:hint="cs"/>
          <w:rtl/>
        </w:rPr>
        <w:t xml:space="preserve">רי </w:t>
      </w:r>
      <w:r w:rsidRPr="00EE18A9">
        <w:rPr>
          <w:rFonts w:ascii="David" w:eastAsia="David" w:hAnsi="David"/>
          <w:rtl/>
        </w:rPr>
        <w:t>–</w:t>
      </w:r>
      <w:r w:rsidRPr="00EE18A9">
        <w:rPr>
          <w:rFonts w:ascii="David" w:eastAsia="David" w:hAnsi="David" w:hint="cs"/>
          <w:rtl/>
        </w:rPr>
        <w:t xml:space="preserve"> החזקת סמים מסוג קנביס לצריכה עצמית, במקום פרטי </w:t>
      </w:r>
      <w:r w:rsidRPr="00EE18A9">
        <w:rPr>
          <w:rFonts w:ascii="David" w:eastAsia="David" w:hAnsi="David"/>
          <w:rtl/>
        </w:rPr>
        <w:t>–</w:t>
      </w:r>
      <w:r w:rsidRPr="00EE18A9">
        <w:rPr>
          <w:rFonts w:ascii="David" w:eastAsia="David" w:hAnsi="David" w:hint="cs"/>
          <w:rtl/>
        </w:rPr>
        <w:t xml:space="preserve"> נקבעה לאחרונה כעבירה מנהלית שעונשה קנס בסך 500 ₪ בלבד (ר' בהוראות </w:t>
      </w:r>
      <w:hyperlink r:id="rId26" w:history="1">
        <w:r w:rsidR="006B3AFC" w:rsidRPr="006B3AFC">
          <w:rPr>
            <w:rStyle w:val="Hyperlink"/>
            <w:rFonts w:ascii="David" w:eastAsia="David" w:hAnsi="David" w:hint="eastAsia"/>
            <w:rtl/>
          </w:rPr>
          <w:t>תקנה</w:t>
        </w:r>
        <w:r w:rsidR="006B3AFC" w:rsidRPr="006B3AFC">
          <w:rPr>
            <w:rStyle w:val="Hyperlink"/>
            <w:rFonts w:ascii="David" w:eastAsia="David" w:hAnsi="David"/>
            <w:rtl/>
          </w:rPr>
          <w:t xml:space="preserve"> 2(א)(2)</w:t>
        </w:r>
      </w:hyperlink>
      <w:r w:rsidRPr="00EE18A9">
        <w:rPr>
          <w:rFonts w:ascii="David" w:eastAsia="David" w:hAnsi="David" w:hint="cs"/>
          <w:rtl/>
        </w:rPr>
        <w:t xml:space="preserve"> ל</w:t>
      </w:r>
      <w:hyperlink r:id="rId27" w:history="1">
        <w:r w:rsidR="00E15BF5" w:rsidRPr="00E15BF5">
          <w:rPr>
            <w:rFonts w:ascii="David" w:eastAsia="David" w:hAnsi="David"/>
            <w:color w:val="0000FF"/>
            <w:u w:val="single"/>
            <w:rtl/>
          </w:rPr>
          <w:t>תקנות העבירות המינהליות</w:t>
        </w:r>
      </w:hyperlink>
      <w:r w:rsidRPr="00EE18A9">
        <w:rPr>
          <w:rFonts w:ascii="David" w:eastAsia="David" w:hAnsi="David"/>
          <w:rtl/>
        </w:rPr>
        <w:t xml:space="preserve"> (קנס מינהלי – החזקת קנאביס ושימוש בו לצריכה עצמית), תשפ"ב-2022</w:t>
      </w:r>
      <w:r w:rsidRPr="00EE18A9">
        <w:rPr>
          <w:rFonts w:ascii="David" w:eastAsia="David" w:hAnsi="David" w:hint="cs"/>
          <w:rtl/>
        </w:rPr>
        <w:t>).</w:t>
      </w:r>
    </w:p>
    <w:p w14:paraId="6E237336"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sidRPr="00B14E8E">
        <w:rPr>
          <w:rFonts w:ascii="David" w:eastAsia="David" w:hAnsi="David" w:hint="cs"/>
          <w:rtl/>
        </w:rPr>
        <w:t xml:space="preserve">לא כאן המקום לערוך ניתוח מקיף בשאלת תחולת סעיפים </w:t>
      </w:r>
      <w:hyperlink r:id="rId28" w:history="1">
        <w:r w:rsidR="006B3AFC" w:rsidRPr="006B3AFC">
          <w:rPr>
            <w:rStyle w:val="Hyperlink"/>
            <w:rFonts w:ascii="David" w:eastAsia="David" w:hAnsi="David"/>
            <w:rtl/>
          </w:rPr>
          <w:t>5 ו-6</w:t>
        </w:r>
      </w:hyperlink>
      <w:r w:rsidRPr="00B14E8E">
        <w:rPr>
          <w:rFonts w:ascii="David" w:eastAsia="David" w:hAnsi="David" w:hint="cs"/>
          <w:rtl/>
        </w:rPr>
        <w:t xml:space="preserve"> ל</w:t>
      </w:r>
      <w:hyperlink r:id="rId29" w:history="1">
        <w:r w:rsidR="00E15BF5" w:rsidRPr="00E15BF5">
          <w:rPr>
            <w:rFonts w:ascii="David" w:eastAsia="David" w:hAnsi="David"/>
            <w:color w:val="0000FF"/>
            <w:u w:val="single"/>
            <w:rtl/>
          </w:rPr>
          <w:t>חוק העונשין</w:t>
        </w:r>
      </w:hyperlink>
      <w:r w:rsidRPr="00B14E8E">
        <w:rPr>
          <w:rFonts w:ascii="David" w:eastAsia="David" w:hAnsi="David" w:hint="cs"/>
          <w:rtl/>
        </w:rPr>
        <w:t xml:space="preserve"> על העבירה של החזקת קנביס לצריכה עצמית, אך ברור למדי </w:t>
      </w:r>
      <w:r w:rsidRPr="00B14E8E">
        <w:rPr>
          <w:rFonts w:ascii="David" w:eastAsia="David" w:hAnsi="David"/>
          <w:rtl/>
        </w:rPr>
        <w:t>–</w:t>
      </w:r>
      <w:r w:rsidRPr="00B14E8E">
        <w:rPr>
          <w:rFonts w:ascii="David" w:eastAsia="David" w:hAnsi="David" w:hint="cs"/>
          <w:rtl/>
        </w:rPr>
        <w:t xml:space="preserve"> גם נוכח מדיניות הענישה שהיתה נהוגה עובר לחקיקת התקנות הנ"ל </w:t>
      </w:r>
      <w:r w:rsidRPr="00B14E8E">
        <w:rPr>
          <w:rFonts w:ascii="David" w:eastAsia="David" w:hAnsi="David"/>
          <w:rtl/>
        </w:rPr>
        <w:t>–</w:t>
      </w:r>
      <w:r w:rsidRPr="00B14E8E">
        <w:rPr>
          <w:rFonts w:ascii="David" w:eastAsia="David" w:hAnsi="David" w:hint="cs"/>
          <w:rtl/>
        </w:rPr>
        <w:t xml:space="preserve"> כי כיום מתחם העונש ההולם להחזקה לצריכה עצמית של סמים מסוג קנביס</w:t>
      </w:r>
      <w:r>
        <w:rPr>
          <w:rFonts w:ascii="David" w:eastAsia="David" w:hAnsi="David" w:hint="cs"/>
          <w:rtl/>
        </w:rPr>
        <w:t>,</w:t>
      </w:r>
      <w:r w:rsidRPr="00B14E8E">
        <w:rPr>
          <w:rFonts w:ascii="David" w:eastAsia="David" w:hAnsi="David" w:hint="cs"/>
          <w:rtl/>
        </w:rPr>
        <w:t xml:space="preserve"> בכמויות מזעריות </w:t>
      </w:r>
      <w:r>
        <w:rPr>
          <w:rFonts w:ascii="David" w:eastAsia="David" w:hAnsi="David" w:hint="cs"/>
          <w:rtl/>
        </w:rPr>
        <w:t xml:space="preserve">כבענייננו, </w:t>
      </w:r>
      <w:r w:rsidRPr="00B14E8E">
        <w:rPr>
          <w:rFonts w:ascii="David" w:eastAsia="David" w:hAnsi="David" w:hint="cs"/>
          <w:rtl/>
        </w:rPr>
        <w:t>אינו יכול לעלות בחומרתו מעבר לתחו</w:t>
      </w:r>
      <w:r>
        <w:rPr>
          <w:rFonts w:ascii="David" w:eastAsia="David" w:hAnsi="David" w:hint="cs"/>
          <w:rtl/>
        </w:rPr>
        <w:t>ם הכלכלי (היינו מתחם קנס בלבד).</w:t>
      </w:r>
    </w:p>
    <w:p w14:paraId="6107C318"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sidRPr="00B14E8E">
        <w:rPr>
          <w:rFonts w:ascii="David" w:eastAsia="David" w:hAnsi="David" w:hint="cs"/>
          <w:rtl/>
        </w:rPr>
        <w:t>אשר לעבירת התעבורה בתיק המצורף</w:t>
      </w:r>
      <w:r>
        <w:rPr>
          <w:rFonts w:ascii="David" w:eastAsia="David" w:hAnsi="David" w:hint="cs"/>
          <w:rtl/>
        </w:rPr>
        <w:t>,</w:t>
      </w:r>
      <w:r w:rsidRPr="00B14E8E">
        <w:rPr>
          <w:rFonts w:ascii="David" w:eastAsia="David" w:hAnsi="David" w:hint="cs"/>
          <w:rtl/>
        </w:rPr>
        <w:t xml:space="preserve"> מקובל עליי טיעון ב"כ</w:t>
      </w:r>
      <w:r>
        <w:rPr>
          <w:rFonts w:ascii="David" w:eastAsia="David" w:hAnsi="David" w:hint="cs"/>
          <w:rtl/>
        </w:rPr>
        <w:t xml:space="preserve"> המאשימה למתחם העונש ההולם ה</w:t>
      </w:r>
      <w:r w:rsidRPr="00B14E8E">
        <w:rPr>
          <w:rFonts w:ascii="David" w:eastAsia="David" w:hAnsi="David" w:hint="cs"/>
          <w:rtl/>
        </w:rPr>
        <w:t>עולה בקנה אחד</w:t>
      </w:r>
      <w:r>
        <w:rPr>
          <w:rFonts w:ascii="David" w:eastAsia="David" w:hAnsi="David" w:hint="cs"/>
          <w:rtl/>
        </w:rPr>
        <w:t xml:space="preserve"> עם מדיניות הענישה הנהוגה, שלפיה</w:t>
      </w:r>
      <w:r w:rsidRPr="00B14E8E">
        <w:rPr>
          <w:rFonts w:ascii="David" w:eastAsia="David" w:hAnsi="David" w:hint="cs"/>
          <w:rtl/>
        </w:rPr>
        <w:t xml:space="preserve"> המתחם כולל עונש של פסילה בפועל שבין 3 חודשים לבין 12 חודשים, בצירוף ענישה נלווית (ר' למשל </w:t>
      </w:r>
      <w:hyperlink r:id="rId30" w:history="1">
        <w:r w:rsidR="00E15BF5" w:rsidRPr="00E15BF5">
          <w:rPr>
            <w:rFonts w:ascii="David" w:eastAsia="David" w:hAnsi="David"/>
            <w:color w:val="0000FF"/>
            <w:u w:val="single"/>
            <w:rtl/>
          </w:rPr>
          <w:t>תת"ע (תעבורה פתח תקווה) 9278-06-16</w:t>
        </w:r>
      </w:hyperlink>
      <w:r w:rsidRPr="00B14E8E">
        <w:rPr>
          <w:rFonts w:ascii="David" w:eastAsia="David" w:hAnsi="David" w:hint="cs"/>
          <w:rtl/>
        </w:rPr>
        <w:t xml:space="preserve"> </w:t>
      </w:r>
      <w:r w:rsidRPr="00B14E8E">
        <w:rPr>
          <w:rFonts w:ascii="David" w:eastAsia="David" w:hAnsi="David" w:hint="cs"/>
          <w:b/>
          <w:bCs/>
          <w:rtl/>
        </w:rPr>
        <w:t>מדינת ישראל נ' פודגורנוב</w:t>
      </w:r>
      <w:r w:rsidRPr="00B14E8E">
        <w:rPr>
          <w:rFonts w:ascii="David" w:eastAsia="David" w:hAnsi="David" w:hint="cs"/>
          <w:rtl/>
        </w:rPr>
        <w:t xml:space="preserve"> (</w:t>
      </w:r>
      <w:r>
        <w:rPr>
          <w:rFonts w:ascii="David" w:eastAsia="David" w:hAnsi="David" w:hint="cs"/>
          <w:rtl/>
        </w:rPr>
        <w:t>0</w:t>
      </w:r>
      <w:r w:rsidRPr="00B14E8E">
        <w:rPr>
          <w:rFonts w:ascii="David" w:eastAsia="David" w:hAnsi="David" w:hint="cs"/>
          <w:rtl/>
        </w:rPr>
        <w:t>4.</w:t>
      </w:r>
      <w:r>
        <w:rPr>
          <w:rFonts w:ascii="David" w:eastAsia="David" w:hAnsi="David" w:hint="cs"/>
          <w:rtl/>
        </w:rPr>
        <w:t>0</w:t>
      </w:r>
      <w:r w:rsidRPr="00B14E8E">
        <w:rPr>
          <w:rFonts w:ascii="David" w:eastAsia="David" w:hAnsi="David" w:hint="cs"/>
          <w:rtl/>
        </w:rPr>
        <w:t>6.</w:t>
      </w:r>
      <w:r>
        <w:rPr>
          <w:rFonts w:ascii="David" w:eastAsia="David" w:hAnsi="David" w:hint="cs"/>
          <w:rtl/>
        </w:rPr>
        <w:t>20</w:t>
      </w:r>
      <w:r w:rsidRPr="00B14E8E">
        <w:rPr>
          <w:rFonts w:ascii="David" w:eastAsia="David" w:hAnsi="David" w:hint="cs"/>
          <w:rtl/>
        </w:rPr>
        <w:t>17)</w:t>
      </w:r>
      <w:r>
        <w:rPr>
          <w:rFonts w:ascii="David" w:eastAsia="David" w:hAnsi="David" w:hint="cs"/>
          <w:rtl/>
        </w:rPr>
        <w:t>).</w:t>
      </w:r>
    </w:p>
    <w:p w14:paraId="01D45FE4"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Pr>
          <w:rFonts w:hint="cs"/>
          <w:rtl/>
        </w:rPr>
        <w:t>אני קובע אפוא את מתחם העונש ההולם, למכלול העבירות דנא, בין מאסר מותנה ושלושה חודשי פסילה בפועל, לבין מספר חודשי מאסר בפועל, לנשיאה בעבודות שירות, ו-12 חודשי פסילה בפועל.</w:t>
      </w:r>
    </w:p>
    <w:p w14:paraId="4B6F5E15"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sidRPr="005B58DE">
        <w:rPr>
          <w:rFonts w:ascii="David" w:eastAsia="David" w:hAnsi="David" w:hint="cs"/>
          <w:rtl/>
        </w:rPr>
        <w:t>מכאן, יש לעבור לגזירת עונשו של הנאשם בתוך מתחם העונש ההולם</w:t>
      </w:r>
      <w:r>
        <w:rPr>
          <w:rFonts w:ascii="David" w:eastAsia="David" w:hAnsi="David" w:hint="cs"/>
          <w:rtl/>
        </w:rPr>
        <w:t>. זאת</w:t>
      </w:r>
      <w:r w:rsidRPr="005B58DE">
        <w:rPr>
          <w:rFonts w:ascii="David" w:eastAsia="David" w:hAnsi="David" w:hint="cs"/>
          <w:rtl/>
        </w:rPr>
        <w:t xml:space="preserve">, בהתחשב בנסיבות שאינן קשורות בביצוע העבירות, לרבות אלה המנויות </w:t>
      </w:r>
      <w:r>
        <w:rPr>
          <w:rFonts w:ascii="David" w:eastAsia="David" w:hAnsi="David" w:hint="cs"/>
          <w:rtl/>
        </w:rPr>
        <w:t xml:space="preserve">בהוראות </w:t>
      </w:r>
      <w:hyperlink r:id="rId31" w:history="1">
        <w:r w:rsidR="006B3AFC" w:rsidRPr="006B3AFC">
          <w:rPr>
            <w:rStyle w:val="Hyperlink"/>
            <w:rFonts w:ascii="David" w:eastAsia="David" w:hAnsi="David" w:hint="eastAsia"/>
            <w:rtl/>
          </w:rPr>
          <w:t>סעיף</w:t>
        </w:r>
        <w:r w:rsidR="006B3AFC" w:rsidRPr="006B3AFC">
          <w:rPr>
            <w:rStyle w:val="Hyperlink"/>
            <w:rFonts w:ascii="David" w:eastAsia="David" w:hAnsi="David"/>
            <w:rtl/>
          </w:rPr>
          <w:t xml:space="preserve"> 40יא</w:t>
        </w:r>
      </w:hyperlink>
      <w:r>
        <w:rPr>
          <w:rFonts w:ascii="David" w:eastAsia="David" w:hAnsi="David" w:hint="cs"/>
          <w:rtl/>
        </w:rPr>
        <w:t xml:space="preserve"> ל</w:t>
      </w:r>
      <w:hyperlink r:id="rId32" w:history="1">
        <w:r w:rsidR="00E15BF5" w:rsidRPr="00E15BF5">
          <w:rPr>
            <w:rFonts w:ascii="David" w:eastAsia="David" w:hAnsi="David"/>
            <w:color w:val="0000FF"/>
            <w:u w:val="single"/>
            <w:rtl/>
          </w:rPr>
          <w:t>חוק העונשין</w:t>
        </w:r>
      </w:hyperlink>
      <w:r>
        <w:rPr>
          <w:rFonts w:ascii="David" w:eastAsia="David" w:hAnsi="David" w:hint="cs"/>
          <w:rtl/>
        </w:rPr>
        <w:t>.</w:t>
      </w:r>
    </w:p>
    <w:p w14:paraId="0A792493" w14:textId="77777777" w:rsidR="002C2E0F" w:rsidRDefault="002C2E0F" w:rsidP="002C2E0F">
      <w:pPr>
        <w:numPr>
          <w:ilvl w:val="0"/>
          <w:numId w:val="1"/>
        </w:numPr>
        <w:tabs>
          <w:tab w:val="num" w:pos="720"/>
        </w:tabs>
        <w:spacing w:after="120" w:line="360" w:lineRule="auto"/>
        <w:ind w:left="720"/>
        <w:jc w:val="both"/>
        <w:rPr>
          <w:rFonts w:ascii="David" w:eastAsia="David" w:hAnsi="David"/>
        </w:rPr>
      </w:pPr>
      <w:r w:rsidRPr="005B58DE">
        <w:rPr>
          <w:rFonts w:ascii="David" w:eastAsia="David" w:hAnsi="David" w:hint="cs"/>
          <w:rtl/>
        </w:rPr>
        <w:t xml:space="preserve">בהתחשב בנסיבות אלה, על פני הדברים מדובר במקרה בו </w:t>
      </w:r>
      <w:r>
        <w:rPr>
          <w:rFonts w:ascii="David" w:eastAsia="David" w:hAnsi="David" w:hint="cs"/>
          <w:rtl/>
        </w:rPr>
        <w:t xml:space="preserve">נכון </w:t>
      </w:r>
      <w:r w:rsidRPr="005B58DE">
        <w:rPr>
          <w:rFonts w:ascii="David" w:eastAsia="David" w:hAnsi="David" w:hint="cs"/>
          <w:rtl/>
        </w:rPr>
        <w:t>לג</w:t>
      </w:r>
      <w:r>
        <w:rPr>
          <w:rFonts w:ascii="David" w:eastAsia="David" w:hAnsi="David" w:hint="cs"/>
          <w:rtl/>
        </w:rPr>
        <w:t>זור את הדין בקרבת ה</w:t>
      </w:r>
      <w:r w:rsidRPr="005B58DE">
        <w:rPr>
          <w:rFonts w:ascii="David" w:eastAsia="David" w:hAnsi="David" w:hint="cs"/>
          <w:rtl/>
        </w:rPr>
        <w:t>רף התחתון של מתחם העונש ההולם</w:t>
      </w:r>
      <w:r>
        <w:rPr>
          <w:rFonts w:ascii="David" w:eastAsia="David" w:hAnsi="David" w:hint="cs"/>
          <w:rtl/>
        </w:rPr>
        <w:t>, הגם שלא ברף התחתון ממש</w:t>
      </w:r>
      <w:r w:rsidRPr="005B58DE">
        <w:rPr>
          <w:rFonts w:ascii="David" w:eastAsia="David" w:hAnsi="David" w:hint="cs"/>
          <w:rtl/>
        </w:rPr>
        <w:t xml:space="preserve">. עסקינן </w:t>
      </w:r>
      <w:r>
        <w:rPr>
          <w:rFonts w:ascii="David" w:eastAsia="David" w:hAnsi="David" w:hint="cs"/>
          <w:rtl/>
        </w:rPr>
        <w:t xml:space="preserve">כאמור </w:t>
      </w:r>
      <w:r w:rsidRPr="005B58DE">
        <w:rPr>
          <w:rFonts w:ascii="David" w:eastAsia="David" w:hAnsi="David" w:hint="cs"/>
          <w:rtl/>
        </w:rPr>
        <w:t>בנאשם שהודה במעשיו ו</w:t>
      </w:r>
      <w:r>
        <w:rPr>
          <w:rFonts w:ascii="David" w:eastAsia="David" w:hAnsi="David" w:hint="cs"/>
          <w:rtl/>
        </w:rPr>
        <w:t>נטל אחריות עליהם, לרבות בצירוף תיק התעבורה</w:t>
      </w:r>
      <w:r w:rsidRPr="005B58DE">
        <w:rPr>
          <w:rFonts w:ascii="David" w:eastAsia="David" w:hAnsi="David" w:hint="cs"/>
          <w:rtl/>
        </w:rPr>
        <w:t>. בנוסף, מאז ביצוע העבירות חלף זמן ניכר, ומדובר בנאשם שכיום אוחז ברישיון לשימוש בקנביס רפואי</w:t>
      </w:r>
      <w:r>
        <w:rPr>
          <w:rFonts w:ascii="David" w:eastAsia="David" w:hAnsi="David" w:hint="cs"/>
          <w:rtl/>
        </w:rPr>
        <w:t>,</w:t>
      </w:r>
      <w:r w:rsidRPr="005B58DE">
        <w:rPr>
          <w:rFonts w:ascii="David" w:eastAsia="David" w:hAnsi="David" w:hint="cs"/>
          <w:rtl/>
        </w:rPr>
        <w:t xml:space="preserve"> על רקע מצבו הרפואי והכאבים מהם הוא סובל. </w:t>
      </w:r>
      <w:r>
        <w:rPr>
          <w:rFonts w:ascii="David" w:eastAsia="David" w:hAnsi="David" w:hint="cs"/>
          <w:rtl/>
        </w:rPr>
        <w:t>עם זאת לנאשם עבר פלילי, הגם שישן ושאינו כולל הרשעה</w:t>
      </w:r>
      <w:r w:rsidRPr="005B58DE">
        <w:rPr>
          <w:rFonts w:ascii="David" w:eastAsia="David" w:hAnsi="David" w:hint="cs"/>
          <w:rtl/>
        </w:rPr>
        <w:t xml:space="preserve"> בעבירות דומות.</w:t>
      </w:r>
      <w:r>
        <w:rPr>
          <w:rFonts w:ascii="David" w:eastAsia="David" w:hAnsi="David" w:hint="cs"/>
          <w:rtl/>
        </w:rPr>
        <w:t xml:space="preserve"> עוד יש להתחשב במצבו הכלכלי של הנאשם, כאשר טענותיו בהקשר זה לא נסתרו, וכן בתקופה בה היה נתון הנאשם במגבלות נהיגה.</w:t>
      </w:r>
    </w:p>
    <w:p w14:paraId="647CD6D2" w14:textId="77777777" w:rsidR="002C2E0F" w:rsidRPr="001D0590" w:rsidRDefault="002C2E0F" w:rsidP="002C2E0F">
      <w:pPr>
        <w:numPr>
          <w:ilvl w:val="0"/>
          <w:numId w:val="1"/>
        </w:numPr>
        <w:tabs>
          <w:tab w:val="num" w:pos="720"/>
        </w:tabs>
        <w:spacing w:after="120" w:line="360" w:lineRule="auto"/>
        <w:ind w:left="720"/>
        <w:jc w:val="both"/>
        <w:rPr>
          <w:rFonts w:ascii="David" w:eastAsia="David" w:hAnsi="David"/>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244A11B4" w14:textId="77777777" w:rsidR="002C2E0F" w:rsidRDefault="002C2E0F" w:rsidP="002C2E0F">
      <w:pPr>
        <w:spacing w:after="120" w:line="360" w:lineRule="auto"/>
        <w:ind w:left="1440" w:hanging="720"/>
        <w:jc w:val="both"/>
        <w:rPr>
          <w:rFonts w:ascii="Tahoma" w:hAnsi="Tahoma"/>
        </w:rPr>
      </w:pPr>
      <w:r>
        <w:rPr>
          <w:rFonts w:hint="cs"/>
          <w:rtl/>
        </w:rPr>
        <w:t>(א)</w:t>
      </w:r>
      <w:r>
        <w:rPr>
          <w:rtl/>
        </w:rPr>
        <w:tab/>
      </w:r>
      <w:r>
        <w:rPr>
          <w:rFonts w:hint="cs"/>
          <w:rtl/>
        </w:rPr>
        <w:t>מאסר על תנאי למשך 3 חודשים, אותו לא יישא הנא</w:t>
      </w:r>
      <w:r w:rsidRPr="00722548">
        <w:rPr>
          <w:rFonts w:hint="cs"/>
          <w:rtl/>
        </w:rPr>
        <w:t xml:space="preserve">שם אלא אם כן יעבור, תוך שנתיים מהיום, עבירה של </w:t>
      </w:r>
      <w:r w:rsidRPr="00722548">
        <w:rPr>
          <w:rFonts w:ascii="David" w:eastAsia="David" w:hAnsi="David" w:hint="cs"/>
          <w:rtl/>
        </w:rPr>
        <w:t>נהיגה תחת השפעת סמים</w:t>
      </w:r>
      <w:r w:rsidRPr="00722548">
        <w:rPr>
          <w:rFonts w:ascii="David" w:eastAsia="David" w:hAnsi="David"/>
          <w:rtl/>
        </w:rPr>
        <w:t xml:space="preserve"> משכרים או משקאות משכרים</w:t>
      </w:r>
      <w:r w:rsidRPr="00722548">
        <w:rPr>
          <w:rFonts w:hint="cs"/>
          <w:rtl/>
        </w:rPr>
        <w:t xml:space="preserve">, או עבירה של נהיגה בשכרות, או עבירה של </w:t>
      </w:r>
      <w:r>
        <w:rPr>
          <w:rFonts w:hint="cs"/>
          <w:rtl/>
        </w:rPr>
        <w:t xml:space="preserve">נהיגה בזמן פסילה. </w:t>
      </w:r>
    </w:p>
    <w:p w14:paraId="4895F0F2" w14:textId="77777777" w:rsidR="002C2E0F" w:rsidRPr="00E0628E" w:rsidRDefault="002C2E0F" w:rsidP="002C2E0F">
      <w:pPr>
        <w:spacing w:after="120" w:line="360" w:lineRule="auto"/>
        <w:ind w:left="720"/>
        <w:jc w:val="both"/>
        <w:rPr>
          <w:rFonts w:ascii="Tahoma" w:hAnsi="Tahoma"/>
        </w:rPr>
      </w:pPr>
      <w:r>
        <w:rPr>
          <w:rFonts w:hint="cs"/>
          <w:rtl/>
        </w:rPr>
        <w:t>(ב)</w:t>
      </w:r>
      <w:r>
        <w:rPr>
          <w:rtl/>
        </w:rPr>
        <w:tab/>
      </w:r>
      <w:r>
        <w:rPr>
          <w:rFonts w:hint="cs"/>
          <w:rtl/>
        </w:rPr>
        <w:t>קנס בסך של 1,000 ₪, או 5 ימי מאסר תמורתו.</w:t>
      </w:r>
    </w:p>
    <w:p w14:paraId="3B49437D" w14:textId="77777777" w:rsidR="002C2E0F" w:rsidRDefault="002C2E0F" w:rsidP="002C2E0F">
      <w:pPr>
        <w:spacing w:after="120" w:line="360" w:lineRule="auto"/>
        <w:ind w:left="1440"/>
        <w:jc w:val="both"/>
        <w:rPr>
          <w:rFonts w:ascii="Tahoma" w:hAnsi="Tahoma"/>
        </w:rPr>
      </w:pPr>
      <w:r>
        <w:rPr>
          <w:rFonts w:hint="cs"/>
          <w:rtl/>
        </w:rPr>
        <w:t>הקנס ישולם ב-4 תשלומים חודשיים, שווים ורצופים, החל מיום 01.08.2022 ובכל אחד בחודש שלאחריו. היה והנאשם לא ישלם את אחד התשלומים במועד תועמד כל יתרת הקנס לפירעון מידי.</w:t>
      </w:r>
    </w:p>
    <w:p w14:paraId="04AEE882" w14:textId="77777777" w:rsidR="002C2E0F" w:rsidRDefault="002C2E0F" w:rsidP="002C2E0F">
      <w:pPr>
        <w:spacing w:after="120" w:line="360" w:lineRule="auto"/>
        <w:ind w:left="1440" w:hanging="720"/>
        <w:jc w:val="both"/>
        <w:rPr>
          <w:rtl/>
        </w:rPr>
      </w:pPr>
      <w:r>
        <w:rPr>
          <w:rFonts w:hint="cs"/>
          <w:rtl/>
        </w:rPr>
        <w:t>(ג)</w:t>
      </w:r>
      <w:r>
        <w:rPr>
          <w:rtl/>
        </w:rPr>
        <w:tab/>
      </w:r>
      <w:r>
        <w:rPr>
          <w:rFonts w:hint="cs"/>
          <w:rtl/>
        </w:rPr>
        <w:t>פסילה מלקבל או מלהחזיק רישיון נהיגה לתקופה של 4 חודשים.</w:t>
      </w:r>
    </w:p>
    <w:p w14:paraId="451A6B63" w14:textId="77777777" w:rsidR="002C2E0F" w:rsidRDefault="002C2E0F" w:rsidP="002C2E0F">
      <w:pPr>
        <w:spacing w:after="120" w:line="360" w:lineRule="auto"/>
        <w:ind w:left="1440"/>
        <w:jc w:val="both"/>
        <w:rPr>
          <w:rtl/>
        </w:rPr>
      </w:pPr>
      <w:r>
        <w:rPr>
          <w:rFonts w:hint="cs"/>
          <w:rtl/>
        </w:rPr>
        <w:t>מתקופת הפסילה יש לנכות את תקופת הפסילה המנהלית.</w:t>
      </w:r>
    </w:p>
    <w:p w14:paraId="21969C98" w14:textId="77777777" w:rsidR="002C2E0F" w:rsidRDefault="002C2E0F" w:rsidP="002C2E0F">
      <w:pPr>
        <w:spacing w:after="120" w:line="360" w:lineRule="auto"/>
        <w:ind w:left="1440"/>
        <w:jc w:val="both"/>
        <w:rPr>
          <w:rtl/>
        </w:rPr>
      </w:pPr>
      <w:r>
        <w:rPr>
          <w:rFonts w:hint="cs"/>
          <w:rtl/>
        </w:rPr>
        <w:t>על הנאשם להפקיד את רישיונו במזכירות בית המשפט לתעבורה בתל אביב, עד ליום 01.08.2022.</w:t>
      </w:r>
    </w:p>
    <w:p w14:paraId="2A022EB7" w14:textId="77777777" w:rsidR="002C2E0F" w:rsidRDefault="002C2E0F" w:rsidP="002C2E0F">
      <w:pPr>
        <w:spacing w:after="120" w:line="360" w:lineRule="auto"/>
        <w:ind w:left="1440" w:hanging="720"/>
        <w:jc w:val="both"/>
        <w:rPr>
          <w:rFonts w:ascii="Tahoma" w:hAnsi="Tahoma"/>
        </w:rPr>
      </w:pPr>
      <w:r>
        <w:rPr>
          <w:rFonts w:hint="cs"/>
          <w:rtl/>
        </w:rPr>
        <w:t>(ד)</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33" w:history="1">
        <w:r w:rsidR="00E15BF5" w:rsidRPr="00E15BF5">
          <w:rPr>
            <w:color w:val="0000FF"/>
            <w:u w:val="single"/>
            <w:rtl/>
          </w:rPr>
          <w:t>פקודת הסמים המסוכנים</w:t>
        </w:r>
      </w:hyperlink>
      <w:r>
        <w:rPr>
          <w:rFonts w:hint="cs"/>
          <w:rtl/>
        </w:rPr>
        <w:t>.</w:t>
      </w:r>
    </w:p>
    <w:p w14:paraId="30C6DE80" w14:textId="77777777" w:rsidR="002C2E0F" w:rsidRDefault="002C2E0F" w:rsidP="002C2E0F">
      <w:pPr>
        <w:spacing w:after="120" w:line="360" w:lineRule="auto"/>
        <w:jc w:val="both"/>
        <w:rPr>
          <w:rtl/>
        </w:rPr>
      </w:pPr>
      <w:r>
        <w:rPr>
          <w:rFonts w:hint="cs"/>
          <w:rtl/>
        </w:rPr>
        <w:t>ניתן בזה צו כללי, לעניין מוצגים, לשיקול דעתו של קצין משטרה. הסמים יושמדו.</w:t>
      </w:r>
    </w:p>
    <w:p w14:paraId="58529AEE" w14:textId="77777777" w:rsidR="002C2E0F" w:rsidRDefault="002C2E0F" w:rsidP="002C2E0F">
      <w:pPr>
        <w:spacing w:after="120" w:line="360" w:lineRule="auto"/>
        <w:jc w:val="both"/>
        <w:rPr>
          <w:rtl/>
        </w:rPr>
      </w:pPr>
      <w:r>
        <w:rPr>
          <w:rFonts w:hint="cs"/>
          <w:rtl/>
        </w:rPr>
        <w:t xml:space="preserve">ניתן בזה צו כללי, לעניין מוצגים, לשיקול דעתו של קצין משטרה. </w:t>
      </w:r>
    </w:p>
    <w:p w14:paraId="740E92C5" w14:textId="77777777" w:rsidR="002C2E0F" w:rsidRDefault="00E15BF5" w:rsidP="002C2E0F">
      <w:pPr>
        <w:snapToGrid w:val="0"/>
        <w:spacing w:after="120" w:line="360" w:lineRule="auto"/>
        <w:jc w:val="both"/>
        <w:rPr>
          <w:rtl/>
        </w:rPr>
      </w:pPr>
      <w:r w:rsidRPr="00E15BF5">
        <w:rPr>
          <w:color w:val="FFFFFF"/>
          <w:sz w:val="2"/>
          <w:szCs w:val="2"/>
          <w:rtl/>
        </w:rPr>
        <w:t>5129371</w:t>
      </w:r>
      <w:r w:rsidR="002C2E0F">
        <w:rPr>
          <w:rFonts w:hint="cs"/>
          <w:rtl/>
        </w:rPr>
        <w:t>זכות ערעור בתוך 45 יום מהיום.</w:t>
      </w:r>
    </w:p>
    <w:p w14:paraId="6E218880" w14:textId="77777777" w:rsidR="002C2E0F" w:rsidRPr="00250B83" w:rsidRDefault="00E15BF5" w:rsidP="002C2E0F">
      <w:pPr>
        <w:rPr>
          <w:rtl/>
        </w:rPr>
      </w:pPr>
      <w:bookmarkStart w:id="8" w:name="Nitan"/>
      <w:r w:rsidRPr="00E15BF5">
        <w:rPr>
          <w:rFonts w:ascii="Arial" w:hAnsi="Arial"/>
          <w:color w:val="FFFFFF"/>
          <w:sz w:val="2"/>
          <w:szCs w:val="2"/>
          <w:rtl/>
        </w:rPr>
        <w:t>54678313</w:t>
      </w:r>
      <w:r>
        <w:rPr>
          <w:rFonts w:ascii="Arial" w:hAnsi="Arial"/>
          <w:rtl/>
        </w:rPr>
        <w:t xml:space="preserve">ניתן היום, כ"ג סיוון תשפ"ב, 22 יוני 2022, במעמד הצדדים. </w:t>
      </w:r>
      <w:bookmarkEnd w:id="8"/>
    </w:p>
    <w:p w14:paraId="177E76EF" w14:textId="77777777" w:rsidR="002C2E0F" w:rsidRPr="00250B83" w:rsidRDefault="002C2E0F" w:rsidP="00E15BF5">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9A57FF8" w14:textId="77777777" w:rsidR="002C2E0F" w:rsidRPr="00250B83" w:rsidRDefault="002C2E0F" w:rsidP="002C2E0F">
      <w:pPr>
        <w:jc w:val="center"/>
        <w:rPr>
          <w:rFonts w:ascii="Arial" w:hAnsi="Arial"/>
          <w:rtl/>
        </w:rPr>
      </w:pPr>
    </w:p>
    <w:p w14:paraId="0D2B426F" w14:textId="77777777" w:rsidR="002C2E0F" w:rsidRPr="00250B83" w:rsidRDefault="002C2E0F" w:rsidP="002C2E0F">
      <w:pPr>
        <w:rPr>
          <w:rtl/>
        </w:rPr>
      </w:pPr>
    </w:p>
    <w:p w14:paraId="4FA06108" w14:textId="77777777" w:rsidR="002C2E0F" w:rsidRDefault="002C2E0F" w:rsidP="002C2E0F">
      <w:pPr>
        <w:pStyle w:val="a3"/>
        <w:jc w:val="center"/>
        <w:rPr>
          <w:rtl/>
        </w:rPr>
      </w:pPr>
    </w:p>
    <w:p w14:paraId="56B75F66" w14:textId="77777777" w:rsidR="00B71A20" w:rsidRPr="00E15BF5" w:rsidRDefault="00B71A20" w:rsidP="00E15BF5">
      <w:pPr>
        <w:keepNext/>
        <w:rPr>
          <w:rFonts w:ascii="David" w:hAnsi="David"/>
          <w:color w:val="000000"/>
          <w:sz w:val="22"/>
          <w:szCs w:val="22"/>
          <w:rtl/>
        </w:rPr>
      </w:pPr>
    </w:p>
    <w:p w14:paraId="53D3B0AF" w14:textId="77777777" w:rsidR="00E15BF5" w:rsidRPr="00E15BF5" w:rsidRDefault="00E15BF5" w:rsidP="00E15BF5">
      <w:pPr>
        <w:keepNext/>
        <w:rPr>
          <w:rFonts w:ascii="David" w:hAnsi="David"/>
          <w:color w:val="000000"/>
          <w:sz w:val="22"/>
          <w:szCs w:val="22"/>
          <w:rtl/>
        </w:rPr>
      </w:pPr>
      <w:r w:rsidRPr="00E15BF5">
        <w:rPr>
          <w:rFonts w:ascii="David" w:hAnsi="David"/>
          <w:color w:val="000000"/>
          <w:sz w:val="22"/>
          <w:szCs w:val="22"/>
          <w:rtl/>
        </w:rPr>
        <w:t>שאול אבינור 54678313</w:t>
      </w:r>
    </w:p>
    <w:p w14:paraId="7B2E013D" w14:textId="77777777" w:rsidR="00E15BF5" w:rsidRDefault="00E15BF5" w:rsidP="00E15BF5">
      <w:r w:rsidRPr="00E15BF5">
        <w:rPr>
          <w:color w:val="000000"/>
          <w:rtl/>
        </w:rPr>
        <w:t>נוסח מסמך זה כפוף לשינויי ניסוח ועריכה</w:t>
      </w:r>
    </w:p>
    <w:p w14:paraId="2EF26EEE" w14:textId="77777777" w:rsidR="00E15BF5" w:rsidRDefault="00E15BF5" w:rsidP="00E15BF5">
      <w:pPr>
        <w:rPr>
          <w:rtl/>
        </w:rPr>
      </w:pPr>
    </w:p>
    <w:p w14:paraId="25967E59" w14:textId="77777777" w:rsidR="00E15BF5" w:rsidRDefault="00E15BF5" w:rsidP="00E15BF5">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1979E6AA" w14:textId="77777777" w:rsidR="00E15BF5" w:rsidRPr="00E15BF5" w:rsidRDefault="00E15BF5" w:rsidP="00E15BF5">
      <w:pPr>
        <w:jc w:val="center"/>
        <w:rPr>
          <w:color w:val="0000FF"/>
          <w:u w:val="single"/>
        </w:rPr>
      </w:pPr>
    </w:p>
    <w:sectPr w:rsidR="00E15BF5" w:rsidRPr="00E15BF5" w:rsidSect="00E15BF5">
      <w:headerReference w:type="even" r:id="rId35"/>
      <w:headerReference w:type="default" r:id="rId36"/>
      <w:footerReference w:type="even" r:id="rId37"/>
      <w:footerReference w:type="default" r:id="rId3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D12FA" w14:textId="77777777" w:rsidR="000134AF" w:rsidRDefault="000134AF" w:rsidP="00626199">
      <w:r>
        <w:separator/>
      </w:r>
    </w:p>
  </w:endnote>
  <w:endnote w:type="continuationSeparator" w:id="0">
    <w:p w14:paraId="226E6BC3" w14:textId="77777777" w:rsidR="000134AF" w:rsidRDefault="000134AF" w:rsidP="00626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83EDB" w14:textId="77777777" w:rsidR="00E15BF5" w:rsidRDefault="00E15BF5" w:rsidP="00E15BF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80234F" w14:textId="77777777" w:rsidR="008F4AA2" w:rsidRPr="00E15BF5" w:rsidRDefault="00E15BF5" w:rsidP="00E15BF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7E083" w14:textId="77777777" w:rsidR="00E15BF5" w:rsidRDefault="00E15BF5" w:rsidP="00E15BF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68A6">
      <w:rPr>
        <w:rFonts w:ascii="FrankRuehl" w:hAnsi="FrankRuehl" w:cs="FrankRuehl"/>
        <w:noProof/>
        <w:rtl/>
      </w:rPr>
      <w:t>1</w:t>
    </w:r>
    <w:r>
      <w:rPr>
        <w:rFonts w:ascii="FrankRuehl" w:hAnsi="FrankRuehl" w:cs="FrankRuehl"/>
        <w:rtl/>
      </w:rPr>
      <w:fldChar w:fldCharType="end"/>
    </w:r>
  </w:p>
  <w:p w14:paraId="014CFC7A" w14:textId="77777777" w:rsidR="008F4AA2" w:rsidRPr="00E15BF5" w:rsidRDefault="00E15BF5" w:rsidP="00E15BF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A3BA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9B20E" w14:textId="77777777" w:rsidR="000134AF" w:rsidRDefault="000134AF" w:rsidP="00626199">
      <w:r>
        <w:separator/>
      </w:r>
    </w:p>
  </w:footnote>
  <w:footnote w:type="continuationSeparator" w:id="0">
    <w:p w14:paraId="1E6996FB" w14:textId="77777777" w:rsidR="000134AF" w:rsidRDefault="000134AF" w:rsidP="00626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F6876" w14:textId="77777777" w:rsidR="00E15BF5" w:rsidRPr="00E15BF5" w:rsidRDefault="00E15BF5" w:rsidP="00E15BF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25060-04-20</w:t>
    </w:r>
    <w:r>
      <w:rPr>
        <w:rFonts w:ascii="David" w:hAnsi="David"/>
        <w:color w:val="000000"/>
        <w:sz w:val="22"/>
        <w:szCs w:val="22"/>
        <w:rtl/>
      </w:rPr>
      <w:tab/>
      <w:t xml:space="preserve"> מדינת ישראל נ' מרדכי בן שושן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7B9EF" w14:textId="77777777" w:rsidR="00E15BF5" w:rsidRPr="00E15BF5" w:rsidRDefault="00E15BF5" w:rsidP="00E15BF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25060-04-20</w:t>
    </w:r>
    <w:r>
      <w:rPr>
        <w:rFonts w:ascii="David" w:hAnsi="David"/>
        <w:color w:val="000000"/>
        <w:sz w:val="22"/>
        <w:szCs w:val="22"/>
        <w:rtl/>
      </w:rPr>
      <w:tab/>
      <w:t xml:space="preserve"> מדינת ישראל נ' מרדכי בן שושן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549ED"/>
    <w:multiLevelType w:val="hybridMultilevel"/>
    <w:tmpl w:val="10D4D46A"/>
    <w:lvl w:ilvl="0" w:tplc="63E270DA">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89183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2E0F"/>
    <w:rsid w:val="00007D16"/>
    <w:rsid w:val="000134AF"/>
    <w:rsid w:val="001B5A3B"/>
    <w:rsid w:val="002C2E0F"/>
    <w:rsid w:val="005068A6"/>
    <w:rsid w:val="00626199"/>
    <w:rsid w:val="006B3AFC"/>
    <w:rsid w:val="0089677D"/>
    <w:rsid w:val="008F4AA2"/>
    <w:rsid w:val="009F2B9B"/>
    <w:rsid w:val="00A36CB2"/>
    <w:rsid w:val="00B71A20"/>
    <w:rsid w:val="00D97E82"/>
    <w:rsid w:val="00E15BF5"/>
    <w:rsid w:val="00EE3D0C"/>
    <w:rsid w:val="00F73F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5C996F"/>
  <w15:chartTrackingRefBased/>
  <w15:docId w15:val="{F806C1AD-B5AD-42CC-9930-091E4AAA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2E0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C2E0F"/>
    <w:pPr>
      <w:tabs>
        <w:tab w:val="center" w:pos="4153"/>
        <w:tab w:val="right" w:pos="8306"/>
      </w:tabs>
    </w:pPr>
  </w:style>
  <w:style w:type="character" w:customStyle="1" w:styleId="a4">
    <w:name w:val="כותרת עליונה תו"/>
    <w:link w:val="a3"/>
    <w:rsid w:val="002C2E0F"/>
    <w:rPr>
      <w:rFonts w:ascii="Times New Roman" w:eastAsia="Times New Roman" w:hAnsi="Times New Roman" w:cs="David"/>
      <w:sz w:val="24"/>
      <w:szCs w:val="24"/>
    </w:rPr>
  </w:style>
  <w:style w:type="paragraph" w:styleId="a5">
    <w:name w:val="footer"/>
    <w:basedOn w:val="a"/>
    <w:link w:val="a6"/>
    <w:rsid w:val="002C2E0F"/>
    <w:pPr>
      <w:tabs>
        <w:tab w:val="center" w:pos="4153"/>
        <w:tab w:val="right" w:pos="8306"/>
      </w:tabs>
    </w:pPr>
  </w:style>
  <w:style w:type="character" w:customStyle="1" w:styleId="a6">
    <w:name w:val="כותרת תחתונה תו"/>
    <w:link w:val="a5"/>
    <w:rsid w:val="002C2E0F"/>
    <w:rPr>
      <w:rFonts w:ascii="Times New Roman" w:eastAsia="Times New Roman" w:hAnsi="Times New Roman" w:cs="David"/>
      <w:sz w:val="24"/>
      <w:szCs w:val="24"/>
    </w:rPr>
  </w:style>
  <w:style w:type="table" w:styleId="a7">
    <w:name w:val="Table Grid"/>
    <w:basedOn w:val="a1"/>
    <w:rsid w:val="002C2E0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C2E0F"/>
  </w:style>
  <w:style w:type="character" w:styleId="Hyperlink">
    <w:name w:val="Hyperlink"/>
    <w:rsid w:val="00E15B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4323/2.a.2" TargetMode="External"/><Relationship Id="rId39" Type="http://schemas.openxmlformats.org/officeDocument/2006/relationships/fontTable" Target="fontTable.xml"/><Relationship Id="rId21" Type="http://schemas.openxmlformats.org/officeDocument/2006/relationships/hyperlink" Target="http://www.nevo.co.il/law/74274/26.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323/2.a.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323" TargetMode="External"/><Relationship Id="rId20" Type="http://schemas.openxmlformats.org/officeDocument/2006/relationships/hyperlink" Target="http://www.nevo.co.il/law/4216"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74/26.2" TargetMode="External"/><Relationship Id="rId24" Type="http://schemas.openxmlformats.org/officeDocument/2006/relationships/hyperlink" Target="http://www.nevo.co.il/law/74274" TargetMode="External"/><Relationship Id="rId32" Type="http://schemas.openxmlformats.org/officeDocument/2006/relationships/hyperlink" Target="http://www.nevo.co.il/law/703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4274/26.2" TargetMode="External"/><Relationship Id="rId28" Type="http://schemas.openxmlformats.org/officeDocument/2006/relationships/hyperlink" Target="http://www.nevo.co.il/law/70301/5;6" TargetMode="External"/><Relationship Id="rId36" Type="http://schemas.openxmlformats.org/officeDocument/2006/relationships/header" Target="header2.xml"/><Relationship Id="rId10" Type="http://schemas.openxmlformats.org/officeDocument/2006/relationships/hyperlink" Target="http://www.nevo.co.il/law/74274"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6" TargetMode="External"/><Relationship Id="rId22" Type="http://schemas.openxmlformats.org/officeDocument/2006/relationships/hyperlink" Target="http://www.nevo.co.il/law/74274" TargetMode="External"/><Relationship Id="rId27" Type="http://schemas.openxmlformats.org/officeDocument/2006/relationships/hyperlink" Target="http://www.nevo.co.il/law/4323" TargetMode="External"/><Relationship Id="rId30" Type="http://schemas.openxmlformats.org/officeDocument/2006/relationships/hyperlink" Target="http://www.nevo.co.il/case/22178884"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1590</Words>
  <Characters>7950</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9521</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3342457</vt:i4>
      </vt:variant>
      <vt:variant>
        <vt:i4>69</vt:i4>
      </vt:variant>
      <vt:variant>
        <vt:i4>0</vt:i4>
      </vt:variant>
      <vt:variant>
        <vt:i4>5</vt:i4>
      </vt:variant>
      <vt:variant>
        <vt:lpwstr>http://www.nevo.co.il/case/22178884</vt:lpwstr>
      </vt:variant>
      <vt:variant>
        <vt:lpwstr/>
      </vt:variant>
      <vt:variant>
        <vt:i4>7995492</vt:i4>
      </vt:variant>
      <vt:variant>
        <vt:i4>66</vt:i4>
      </vt:variant>
      <vt:variant>
        <vt:i4>0</vt:i4>
      </vt:variant>
      <vt:variant>
        <vt:i4>5</vt:i4>
      </vt:variant>
      <vt:variant>
        <vt:lpwstr>http://www.nevo.co.il/law/70301</vt:lpwstr>
      </vt:variant>
      <vt:variant>
        <vt:lpwstr/>
      </vt:variant>
      <vt:variant>
        <vt:i4>7209056</vt:i4>
      </vt:variant>
      <vt:variant>
        <vt:i4>63</vt:i4>
      </vt:variant>
      <vt:variant>
        <vt:i4>0</vt:i4>
      </vt:variant>
      <vt:variant>
        <vt:i4>5</vt:i4>
      </vt:variant>
      <vt:variant>
        <vt:lpwstr>http://www.nevo.co.il/law/70301/5;6</vt:lpwstr>
      </vt:variant>
      <vt:variant>
        <vt:lpwstr/>
      </vt:variant>
      <vt:variant>
        <vt:i4>7995494</vt:i4>
      </vt:variant>
      <vt:variant>
        <vt:i4>60</vt:i4>
      </vt:variant>
      <vt:variant>
        <vt:i4>0</vt:i4>
      </vt:variant>
      <vt:variant>
        <vt:i4>5</vt:i4>
      </vt:variant>
      <vt:variant>
        <vt:lpwstr>http://www.nevo.co.il/law/4323</vt:lpwstr>
      </vt:variant>
      <vt:variant>
        <vt:lpwstr/>
      </vt:variant>
      <vt:variant>
        <vt:i4>1769545</vt:i4>
      </vt:variant>
      <vt:variant>
        <vt:i4>57</vt:i4>
      </vt:variant>
      <vt:variant>
        <vt:i4>0</vt:i4>
      </vt:variant>
      <vt:variant>
        <vt:i4>5</vt:i4>
      </vt:variant>
      <vt:variant>
        <vt:lpwstr>http://www.nevo.co.il/law/4323/2.a.2</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7929957</vt:i4>
      </vt:variant>
      <vt:variant>
        <vt:i4>51</vt:i4>
      </vt:variant>
      <vt:variant>
        <vt:i4>0</vt:i4>
      </vt:variant>
      <vt:variant>
        <vt:i4>5</vt:i4>
      </vt:variant>
      <vt:variant>
        <vt:lpwstr>http://www.nevo.co.il/law/74274</vt:lpwstr>
      </vt:variant>
      <vt:variant>
        <vt:lpwstr/>
      </vt:variant>
      <vt:variant>
        <vt:i4>5374029</vt:i4>
      </vt:variant>
      <vt:variant>
        <vt:i4>48</vt:i4>
      </vt:variant>
      <vt:variant>
        <vt:i4>0</vt:i4>
      </vt:variant>
      <vt:variant>
        <vt:i4>5</vt:i4>
      </vt:variant>
      <vt:variant>
        <vt:lpwstr>http://www.nevo.co.il/law/74274/26.2</vt:lpwstr>
      </vt:variant>
      <vt:variant>
        <vt:lpwstr/>
      </vt:variant>
      <vt:variant>
        <vt:i4>7929957</vt:i4>
      </vt:variant>
      <vt:variant>
        <vt:i4>45</vt:i4>
      </vt:variant>
      <vt:variant>
        <vt:i4>0</vt:i4>
      </vt:variant>
      <vt:variant>
        <vt:i4>5</vt:i4>
      </vt:variant>
      <vt:variant>
        <vt:lpwstr>http://www.nevo.co.il/law/74274</vt:lpwstr>
      </vt:variant>
      <vt:variant>
        <vt:lpwstr/>
      </vt:variant>
      <vt:variant>
        <vt:i4>5374029</vt:i4>
      </vt:variant>
      <vt:variant>
        <vt:i4>42</vt:i4>
      </vt:variant>
      <vt:variant>
        <vt:i4>0</vt:i4>
      </vt:variant>
      <vt:variant>
        <vt:i4>5</vt:i4>
      </vt:variant>
      <vt:variant>
        <vt:lpwstr>http://www.nevo.co.il/law/74274/26.2</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1769545</vt:i4>
      </vt:variant>
      <vt:variant>
        <vt:i4>30</vt:i4>
      </vt:variant>
      <vt:variant>
        <vt:i4>0</vt:i4>
      </vt:variant>
      <vt:variant>
        <vt:i4>5</vt:i4>
      </vt:variant>
      <vt:variant>
        <vt:lpwstr>http://www.nevo.co.il/law/4323/2.a.2</vt:lpwstr>
      </vt:variant>
      <vt:variant>
        <vt:lpwstr/>
      </vt:variant>
      <vt:variant>
        <vt:i4>7995494</vt:i4>
      </vt:variant>
      <vt:variant>
        <vt:i4>27</vt:i4>
      </vt:variant>
      <vt:variant>
        <vt:i4>0</vt:i4>
      </vt:variant>
      <vt:variant>
        <vt:i4>5</vt:i4>
      </vt:variant>
      <vt:variant>
        <vt:lpwstr>http://www.nevo.co.il/law/4323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5570645</vt:i4>
      </vt:variant>
      <vt:variant>
        <vt:i4>21</vt:i4>
      </vt:variant>
      <vt:variant>
        <vt:i4>0</vt:i4>
      </vt:variant>
      <vt:variant>
        <vt:i4>5</vt:i4>
      </vt:variant>
      <vt:variant>
        <vt:lpwstr>http://www.nevo.co.il/law/70301/6</vt:lpwstr>
      </vt:variant>
      <vt:variant>
        <vt:lpwstr/>
      </vt:variant>
      <vt:variant>
        <vt:i4>5570645</vt:i4>
      </vt:variant>
      <vt:variant>
        <vt:i4>18</vt:i4>
      </vt:variant>
      <vt:variant>
        <vt:i4>0</vt:i4>
      </vt:variant>
      <vt:variant>
        <vt:i4>5</vt:i4>
      </vt:variant>
      <vt:variant>
        <vt:lpwstr>http://www.nevo.co.il/law/70301/5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5374029</vt:i4>
      </vt:variant>
      <vt:variant>
        <vt:i4>12</vt:i4>
      </vt:variant>
      <vt:variant>
        <vt:i4>0</vt:i4>
      </vt:variant>
      <vt:variant>
        <vt:i4>5</vt:i4>
      </vt:variant>
      <vt:variant>
        <vt:lpwstr>http://www.nevo.co.il/law/74274/26.2</vt:lpwstr>
      </vt:variant>
      <vt:variant>
        <vt:lpwstr/>
      </vt:variant>
      <vt:variant>
        <vt:i4>7929957</vt:i4>
      </vt:variant>
      <vt:variant>
        <vt:i4>9</vt:i4>
      </vt:variant>
      <vt:variant>
        <vt:i4>0</vt:i4>
      </vt:variant>
      <vt:variant>
        <vt:i4>5</vt:i4>
      </vt:variant>
      <vt:variant>
        <vt:lpwstr>http://www.nevo.co.il/law/74274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2025-04-23T00:33:00Z</dcterms:created>
  <dcterms:modified xsi:type="dcterms:W3CDTF">2025-04-23T00:33:00Z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25060</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מרדכי בן שושן</vt:lpwstr>
  </property>
  <property fmtid="{D5CDD505-2E9C-101B-9397-08002B2CF9AE}" pid="10" name="LAWYER">
    <vt:lpwstr>ג'סיקה קומורסי;יוגב חיימי</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20220622</vt:lpwstr>
  </property>
  <property fmtid="{D5CDD505-2E9C-101B-9397-08002B2CF9AE}" pid="14" name="TYPE_N_DATE">
    <vt:lpwstr>38020220622</vt:lpwstr>
  </property>
  <property fmtid="{D5CDD505-2E9C-101B-9397-08002B2CF9AE}" pid="15" name="WORDNUMPAGES">
    <vt:lpwstr>5</vt:lpwstr>
  </property>
  <property fmtid="{D5CDD505-2E9C-101B-9397-08002B2CF9AE}" pid="16" name="TYPE_ABS_DATE">
    <vt:lpwstr>380020220622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22178884</vt:lpwstr>
  </property>
  <property fmtid="{D5CDD505-2E9C-101B-9397-08002B2CF9AE}" pid="36" name="LAWLISTTMP1">
    <vt:lpwstr>4216/007.a;007.c</vt:lpwstr>
  </property>
  <property fmtid="{D5CDD505-2E9C-101B-9397-08002B2CF9AE}" pid="37" name="LAWLISTTMP2">
    <vt:lpwstr>74274/026.2:2</vt:lpwstr>
  </property>
  <property fmtid="{D5CDD505-2E9C-101B-9397-08002B2CF9AE}" pid="38" name="LAWLISTTMP3">
    <vt:lpwstr>70301/005;006;40ja</vt:lpwstr>
  </property>
  <property fmtid="{D5CDD505-2E9C-101B-9397-08002B2CF9AE}" pid="39" name="LAWLISTTMP4">
    <vt:lpwstr>4323/002.a.2</vt:lpwstr>
  </property>
</Properties>
</file>